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3.xml" ContentType="application/vnd.openxmlformats-officedocument.wordprocessingml.header+xml"/>
  <Override PartName="/word/footer4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535" w:rsidRPr="00D26163" w:rsidRDefault="00F20535" w:rsidP="005F056D">
      <w:pPr>
        <w:jc w:val="center"/>
        <w:rPr>
          <w:rFonts w:ascii="Calibri" w:hAnsi="Calibri" w:cs="Calibri"/>
          <w:b/>
          <w:sz w:val="48"/>
          <w:szCs w:val="48"/>
        </w:rPr>
      </w:pPr>
    </w:p>
    <w:p w:rsidR="00F20535" w:rsidRPr="00D26163" w:rsidRDefault="00F20535" w:rsidP="005F056D">
      <w:pPr>
        <w:jc w:val="center"/>
        <w:rPr>
          <w:rFonts w:ascii="Calibri" w:hAnsi="Calibri" w:cs="Calibri"/>
          <w:b/>
          <w:sz w:val="48"/>
          <w:szCs w:val="48"/>
        </w:rPr>
      </w:pPr>
    </w:p>
    <w:p w:rsidR="00F20535" w:rsidRPr="00D26163" w:rsidRDefault="00F20535" w:rsidP="005F056D">
      <w:pPr>
        <w:jc w:val="center"/>
        <w:rPr>
          <w:rFonts w:ascii="Calibri" w:hAnsi="Calibri" w:cs="Calibri"/>
          <w:b/>
          <w:sz w:val="48"/>
          <w:szCs w:val="48"/>
        </w:rPr>
      </w:pPr>
    </w:p>
    <w:p w:rsidR="00F20535" w:rsidRPr="00D26163" w:rsidRDefault="00F20535" w:rsidP="005F056D">
      <w:pPr>
        <w:jc w:val="center"/>
        <w:rPr>
          <w:rFonts w:ascii="Calibri" w:hAnsi="Calibri" w:cs="Calibri"/>
          <w:b/>
          <w:sz w:val="48"/>
          <w:szCs w:val="48"/>
        </w:rPr>
      </w:pPr>
    </w:p>
    <w:p w:rsidR="00F20535" w:rsidRPr="00D26163" w:rsidRDefault="00F20535" w:rsidP="005F056D">
      <w:pPr>
        <w:pBdr>
          <w:bottom w:val="single" w:sz="4" w:space="1" w:color="auto"/>
        </w:pBdr>
        <w:jc w:val="center"/>
        <w:rPr>
          <w:rFonts w:ascii="Calibri" w:hAnsi="Calibri" w:cs="Calibri"/>
          <w:b/>
          <w:sz w:val="52"/>
          <w:szCs w:val="52"/>
        </w:rPr>
      </w:pPr>
      <w:r w:rsidRPr="00D26163">
        <w:rPr>
          <w:rFonts w:ascii="Calibri" w:hAnsi="Calibri" w:cs="Calibri"/>
          <w:b/>
          <w:sz w:val="52"/>
          <w:szCs w:val="52"/>
        </w:rPr>
        <w:t>201</w:t>
      </w:r>
      <w:r>
        <w:rPr>
          <w:rFonts w:ascii="Calibri" w:hAnsi="Calibri" w:cs="Calibri"/>
          <w:b/>
          <w:sz w:val="52"/>
          <w:szCs w:val="52"/>
        </w:rPr>
        <w:t>7</w:t>
      </w:r>
      <w:r>
        <w:rPr>
          <w:rFonts w:ascii="Calibri" w:hAnsi="Calibri" w:cs="Calibri"/>
          <w:b/>
          <w:sz w:val="52"/>
          <w:szCs w:val="52"/>
        </w:rPr>
        <w:noBreakHyphen/>
      </w:r>
      <w:r w:rsidRPr="00D26163">
        <w:rPr>
          <w:rFonts w:ascii="Calibri" w:hAnsi="Calibri" w:cs="Calibri"/>
          <w:b/>
          <w:sz w:val="52"/>
          <w:szCs w:val="52"/>
        </w:rPr>
        <w:t>1</w:t>
      </w:r>
      <w:r>
        <w:rPr>
          <w:rFonts w:ascii="Calibri" w:hAnsi="Calibri" w:cs="Calibri"/>
          <w:b/>
          <w:sz w:val="52"/>
          <w:szCs w:val="52"/>
        </w:rPr>
        <w:t>8</w:t>
      </w:r>
      <w:r w:rsidRPr="00D26163">
        <w:rPr>
          <w:rFonts w:ascii="Calibri" w:hAnsi="Calibri" w:cs="Calibri"/>
          <w:b/>
          <w:sz w:val="52"/>
          <w:szCs w:val="52"/>
        </w:rPr>
        <w:t xml:space="preserve"> Mid</w:t>
      </w:r>
      <w:r>
        <w:rPr>
          <w:rFonts w:ascii="Calibri" w:hAnsi="Calibri" w:cs="Calibri"/>
          <w:b/>
          <w:sz w:val="52"/>
          <w:szCs w:val="52"/>
        </w:rPr>
        <w:noBreakHyphen/>
      </w:r>
      <w:r w:rsidRPr="00D26163">
        <w:rPr>
          <w:rFonts w:ascii="Calibri" w:hAnsi="Calibri" w:cs="Calibri"/>
          <w:b/>
          <w:sz w:val="52"/>
          <w:szCs w:val="52"/>
        </w:rPr>
        <w:t>Year Financial Report</w:t>
      </w:r>
    </w:p>
    <w:p w:rsidR="00F20535" w:rsidRPr="00D26163" w:rsidRDefault="00F20535" w:rsidP="005F056D">
      <w:pPr>
        <w:jc w:val="center"/>
        <w:rPr>
          <w:rFonts w:ascii="Calibri" w:hAnsi="Calibri" w:cs="Calibri"/>
          <w:b/>
          <w:sz w:val="40"/>
          <w:szCs w:val="40"/>
        </w:rPr>
      </w:pPr>
      <w:r w:rsidRPr="00D26163">
        <w:rPr>
          <w:rFonts w:ascii="Calibri" w:hAnsi="Calibri" w:cs="Calibri"/>
          <w:b/>
          <w:sz w:val="40"/>
          <w:szCs w:val="40"/>
        </w:rPr>
        <w:t>(incorporating Quarterly Financial Report No. 2)</w:t>
      </w:r>
    </w:p>
    <w:p w:rsidR="00F20535" w:rsidRPr="00D26163" w:rsidRDefault="00F20535" w:rsidP="005F056D">
      <w:pPr>
        <w:jc w:val="center"/>
        <w:rPr>
          <w:rFonts w:ascii="Calibri" w:hAnsi="Calibri" w:cs="Calibri"/>
          <w:szCs w:val="24"/>
        </w:rPr>
      </w:pPr>
    </w:p>
    <w:p w:rsidR="00F20535" w:rsidRPr="00D26163" w:rsidRDefault="00F20535" w:rsidP="005F056D">
      <w:pPr>
        <w:jc w:val="center"/>
        <w:rPr>
          <w:rFonts w:ascii="Calibri" w:hAnsi="Calibri" w:cs="Calibri"/>
          <w:szCs w:val="24"/>
        </w:rPr>
      </w:pPr>
    </w:p>
    <w:p w:rsidR="00F20535" w:rsidRPr="00D26163" w:rsidRDefault="00F20535" w:rsidP="005F056D">
      <w:pPr>
        <w:jc w:val="center"/>
        <w:rPr>
          <w:rFonts w:ascii="Calibri" w:hAnsi="Calibri" w:cs="Calibri"/>
          <w:szCs w:val="24"/>
        </w:rPr>
      </w:pPr>
      <w:r w:rsidRPr="00D26163">
        <w:rPr>
          <w:rFonts w:ascii="Calibri" w:hAnsi="Calibri" w:cs="Calibri"/>
          <w:noProof/>
          <w:lang w:eastAsia="en-AU"/>
        </w:rPr>
        <w:drawing>
          <wp:inline distT="0" distB="0" distL="0" distR="0" wp14:anchorId="467E5C05" wp14:editId="789D0CB2">
            <wp:extent cx="940435" cy="11474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0435" cy="1147445"/>
                    </a:xfrm>
                    <a:prstGeom prst="rect">
                      <a:avLst/>
                    </a:prstGeom>
                    <a:noFill/>
                    <a:ln>
                      <a:noFill/>
                    </a:ln>
                  </pic:spPr>
                </pic:pic>
              </a:graphicData>
            </a:graphic>
          </wp:inline>
        </w:drawing>
      </w:r>
    </w:p>
    <w:p w:rsidR="00F20535" w:rsidRPr="00D26163" w:rsidRDefault="00F20535" w:rsidP="005F056D">
      <w:pPr>
        <w:jc w:val="center"/>
        <w:rPr>
          <w:rFonts w:ascii="Calibri" w:hAnsi="Calibri" w:cs="Calibri"/>
          <w:szCs w:val="24"/>
        </w:rPr>
      </w:pPr>
    </w:p>
    <w:p w:rsidR="00F20535" w:rsidRPr="00D26163" w:rsidRDefault="00F20535" w:rsidP="005F056D">
      <w:pPr>
        <w:jc w:val="center"/>
        <w:rPr>
          <w:rFonts w:ascii="Calibri" w:hAnsi="Calibri" w:cs="Calibri"/>
          <w:szCs w:val="24"/>
        </w:rPr>
      </w:pPr>
    </w:p>
    <w:p w:rsidR="00F20535" w:rsidRPr="00D26163" w:rsidRDefault="00F20535" w:rsidP="005F056D">
      <w:pPr>
        <w:jc w:val="center"/>
        <w:rPr>
          <w:rFonts w:ascii="Calibri" w:hAnsi="Calibri" w:cs="Calibri"/>
          <w:b/>
          <w:sz w:val="36"/>
          <w:szCs w:val="36"/>
        </w:rPr>
      </w:pPr>
      <w:r>
        <w:rPr>
          <w:rFonts w:ascii="Calibri" w:hAnsi="Calibri" w:cs="Calibri"/>
          <w:b/>
          <w:sz w:val="36"/>
          <w:szCs w:val="36"/>
        </w:rPr>
        <w:t>March 2018</w:t>
      </w:r>
    </w:p>
    <w:p w:rsidR="00F20535" w:rsidRPr="00D26163" w:rsidRDefault="00F20535" w:rsidP="005F056D">
      <w:pPr>
        <w:jc w:val="center"/>
        <w:rPr>
          <w:rFonts w:ascii="Calibri" w:hAnsi="Calibri" w:cs="Calibri"/>
          <w:szCs w:val="24"/>
        </w:rPr>
      </w:pPr>
    </w:p>
    <w:p w:rsidR="00F20535" w:rsidRPr="00D26163" w:rsidRDefault="00F20535" w:rsidP="005F056D">
      <w:pPr>
        <w:jc w:val="center"/>
        <w:rPr>
          <w:rFonts w:ascii="Calibri" w:hAnsi="Calibri" w:cs="Calibri"/>
          <w:sz w:val="28"/>
          <w:szCs w:val="28"/>
        </w:rPr>
      </w:pPr>
    </w:p>
    <w:p w:rsidR="00F20535" w:rsidRPr="00D26163" w:rsidRDefault="00F20535" w:rsidP="005F056D">
      <w:pPr>
        <w:jc w:val="center"/>
        <w:rPr>
          <w:rFonts w:ascii="Calibri" w:hAnsi="Calibri" w:cs="Calibri"/>
          <w:sz w:val="28"/>
          <w:szCs w:val="28"/>
        </w:rPr>
      </w:pPr>
    </w:p>
    <w:p w:rsidR="00F20535" w:rsidRPr="00D26163" w:rsidRDefault="00F20535" w:rsidP="005F056D">
      <w:pPr>
        <w:jc w:val="center"/>
        <w:rPr>
          <w:rFonts w:ascii="Calibri" w:hAnsi="Calibri" w:cs="Calibri"/>
          <w:sz w:val="28"/>
          <w:szCs w:val="28"/>
        </w:rPr>
      </w:pPr>
    </w:p>
    <w:p w:rsidR="00F20535" w:rsidRPr="00D26163" w:rsidRDefault="00F20535" w:rsidP="005F056D">
      <w:pPr>
        <w:jc w:val="center"/>
        <w:rPr>
          <w:rFonts w:ascii="Calibri" w:hAnsi="Calibri" w:cs="Calibri"/>
          <w:sz w:val="28"/>
          <w:szCs w:val="28"/>
        </w:rPr>
      </w:pPr>
      <w:r w:rsidRPr="00D26163">
        <w:rPr>
          <w:rFonts w:ascii="Calibri" w:hAnsi="Calibri" w:cs="Calibri"/>
          <w:sz w:val="28"/>
          <w:szCs w:val="28"/>
        </w:rPr>
        <w:t>Presented by</w:t>
      </w:r>
    </w:p>
    <w:p w:rsidR="00F20535" w:rsidRPr="00D26163" w:rsidRDefault="00F20535" w:rsidP="005F056D">
      <w:pPr>
        <w:jc w:val="center"/>
        <w:rPr>
          <w:rFonts w:ascii="Calibri" w:hAnsi="Calibri" w:cs="Calibri"/>
          <w:b/>
          <w:sz w:val="36"/>
          <w:szCs w:val="36"/>
        </w:rPr>
      </w:pPr>
      <w:r w:rsidRPr="00D26163">
        <w:rPr>
          <w:rFonts w:ascii="Calibri" w:hAnsi="Calibri" w:cs="Calibri"/>
          <w:b/>
          <w:sz w:val="36"/>
          <w:szCs w:val="36"/>
        </w:rPr>
        <w:t>Tim Pallas MP</w:t>
      </w:r>
    </w:p>
    <w:p w:rsidR="00F20535" w:rsidRPr="00D26163" w:rsidRDefault="00F20535" w:rsidP="005F056D">
      <w:pPr>
        <w:jc w:val="center"/>
        <w:rPr>
          <w:rFonts w:ascii="Calibri" w:hAnsi="Calibri" w:cs="Calibri"/>
          <w:sz w:val="28"/>
          <w:szCs w:val="28"/>
        </w:rPr>
      </w:pPr>
      <w:r w:rsidRPr="00D26163">
        <w:rPr>
          <w:rFonts w:ascii="Calibri" w:hAnsi="Calibri" w:cs="Calibri"/>
          <w:sz w:val="28"/>
          <w:szCs w:val="28"/>
        </w:rPr>
        <w:t>Treasurer of the State of Victoria</w:t>
      </w:r>
    </w:p>
    <w:p w:rsidR="00F20535" w:rsidRDefault="00F20535" w:rsidP="005F056D">
      <w:pPr>
        <w:rPr>
          <w:rFonts w:ascii="Calibri" w:hAnsi="Calibri"/>
        </w:rPr>
        <w:sectPr w:rsidR="00F20535" w:rsidSect="00D9744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624" w:footer="567" w:gutter="0"/>
          <w:cols w:sep="1" w:space="567"/>
          <w:docGrid w:linePitch="360"/>
        </w:sectPr>
      </w:pPr>
    </w:p>
    <w:p w:rsidR="00F20535" w:rsidRPr="00493DE3" w:rsidRDefault="00F20535" w:rsidP="00BB4492">
      <w:pPr>
        <w:rPr>
          <w:rFonts w:eastAsiaTheme="minorHAnsi"/>
        </w:rPr>
      </w:pPr>
    </w:p>
    <w:p w:rsidR="00F20535" w:rsidRPr="00493DE3" w:rsidRDefault="00F20535" w:rsidP="00BB4492">
      <w:pPr>
        <w:rPr>
          <w:rFonts w:eastAsiaTheme="minorHAnsi"/>
        </w:rPr>
      </w:pPr>
    </w:p>
    <w:p w:rsidR="00F20535" w:rsidRPr="00493DE3" w:rsidRDefault="00F20535" w:rsidP="00BB4492"/>
    <w:p w:rsidR="00F20535" w:rsidRDefault="00F20535" w:rsidP="00BB4492">
      <w:pPr>
        <w:sectPr w:rsidR="00F20535" w:rsidSect="00BB4492">
          <w:headerReference w:type="even" r:id="rId16"/>
          <w:footerReference w:type="even" r:id="rId17"/>
          <w:type w:val="continuous"/>
          <w:pgSz w:w="11906" w:h="16838" w:code="9"/>
          <w:pgMar w:top="1134" w:right="1134" w:bottom="1134" w:left="1134" w:header="624" w:footer="567" w:gutter="0"/>
          <w:cols w:num="2" w:space="706"/>
          <w:vAlign w:val="bottom"/>
          <w:docGrid w:linePitch="360"/>
        </w:sectPr>
      </w:pPr>
    </w:p>
    <w:p w:rsidR="00FF6398" w:rsidRDefault="00FF6398" w:rsidP="00FF6398">
      <w:pPr>
        <w:sectPr w:rsidR="00FF6398" w:rsidSect="00FF6398">
          <w:headerReference w:type="default" r:id="rId18"/>
          <w:footerReference w:type="even" r:id="rId19"/>
          <w:footerReference w:type="default" r:id="rId20"/>
          <w:pgSz w:w="11906" w:h="16838" w:code="9"/>
          <w:pgMar w:top="1134" w:right="1134" w:bottom="1134" w:left="1134" w:header="624" w:footer="567" w:gutter="0"/>
          <w:cols w:sep="1" w:space="567"/>
          <w:vAlign w:val="bottom"/>
          <w:docGrid w:linePitch="360"/>
        </w:sectPr>
      </w:pPr>
      <w:bookmarkStart w:id="0" w:name="_Toc475959979"/>
      <w:bookmarkStart w:id="1" w:name="_Toc508192226"/>
      <w:r w:rsidRPr="001351F1">
        <w:rPr>
          <w:noProof/>
          <w:lang w:eastAsia="en-AU"/>
        </w:rPr>
        <w:lastRenderedPageBreak/>
        <w:drawing>
          <wp:inline distT="0" distB="0" distL="0" distR="0" wp14:anchorId="3BFD038C" wp14:editId="747DE780">
            <wp:extent cx="2835910" cy="47704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5910" cy="4770462"/>
                    </a:xfrm>
                    <a:prstGeom prst="rect">
                      <a:avLst/>
                    </a:prstGeom>
                    <a:noFill/>
                    <a:ln>
                      <a:noFill/>
                    </a:ln>
                  </pic:spPr>
                </pic:pic>
              </a:graphicData>
            </a:graphic>
          </wp:inline>
        </w:drawing>
      </w:r>
    </w:p>
    <w:p w:rsidR="00F20535" w:rsidRPr="00837B8C" w:rsidRDefault="00F20535" w:rsidP="00563282">
      <w:pPr>
        <w:pStyle w:val="TOCHeading"/>
      </w:pPr>
      <w:r w:rsidRPr="00837B8C">
        <w:lastRenderedPageBreak/>
        <w:t>CONTENTS</w:t>
      </w:r>
      <w:bookmarkEnd w:id="0"/>
      <w:bookmarkEnd w:id="1"/>
    </w:p>
    <w:p w:rsidR="007F4ECD" w:rsidRDefault="00F20535">
      <w:pPr>
        <w:pStyle w:val="TOC1"/>
        <w:rPr>
          <w:rFonts w:asciiTheme="minorHAnsi" w:eastAsiaTheme="minorEastAsia" w:hAnsiTheme="minorHAnsi"/>
          <w:b w:val="0"/>
          <w:noProof/>
          <w:spacing w:val="0"/>
          <w:szCs w:val="22"/>
          <w:lang w:eastAsia="en-AU"/>
        </w:rPr>
      </w:pPr>
      <w:r>
        <w:fldChar w:fldCharType="begin" w:fldLock="1"/>
      </w:r>
      <w:r>
        <w:instrText xml:space="preserve"> TOC \h \z \t "Chapter Heading,1,Heading 1,2,Heading 1 (#),2 " \* MERGEFORMAT </w:instrText>
      </w:r>
      <w:r>
        <w:fldChar w:fldCharType="separate"/>
      </w:r>
      <w:hyperlink w:anchor="_Toc508201385" w:history="1">
        <w:r w:rsidR="007F4ECD" w:rsidRPr="00755C8A">
          <w:rPr>
            <w:rStyle w:val="Hyperlink"/>
            <w:noProof/>
          </w:rPr>
          <w:t>Chapter 1 – Mid-year results for the State of Victoria, including the general government sector</w:t>
        </w:r>
        <w:r w:rsidR="007F4ECD">
          <w:rPr>
            <w:noProof/>
            <w:webHidden/>
          </w:rPr>
          <w:tab/>
        </w:r>
        <w:r w:rsidR="007F4ECD">
          <w:rPr>
            <w:noProof/>
            <w:webHidden/>
          </w:rPr>
          <w:fldChar w:fldCharType="begin" w:fldLock="1"/>
        </w:r>
        <w:r w:rsidR="007F4ECD">
          <w:rPr>
            <w:noProof/>
            <w:webHidden/>
          </w:rPr>
          <w:instrText xml:space="preserve"> PAGEREF _Toc508201385 \h </w:instrText>
        </w:r>
        <w:r w:rsidR="007F4ECD">
          <w:rPr>
            <w:noProof/>
            <w:webHidden/>
          </w:rPr>
        </w:r>
        <w:r w:rsidR="007F4ECD">
          <w:rPr>
            <w:noProof/>
            <w:webHidden/>
          </w:rPr>
          <w:fldChar w:fldCharType="separate"/>
        </w:r>
        <w:r w:rsidR="00FF6398">
          <w:rPr>
            <w:noProof/>
            <w:webHidden/>
          </w:rPr>
          <w:t>1</w:t>
        </w:r>
        <w:r w:rsidR="007F4ECD">
          <w:rPr>
            <w:noProof/>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86" w:history="1">
        <w:r w:rsidR="007F4ECD" w:rsidRPr="00755C8A">
          <w:rPr>
            <w:rStyle w:val="Hyperlink"/>
          </w:rPr>
          <w:t>Overview</w:t>
        </w:r>
        <w:r w:rsidR="007F4ECD">
          <w:rPr>
            <w:webHidden/>
          </w:rPr>
          <w:tab/>
        </w:r>
        <w:r w:rsidR="007F4ECD">
          <w:rPr>
            <w:webHidden/>
          </w:rPr>
          <w:fldChar w:fldCharType="begin" w:fldLock="1"/>
        </w:r>
        <w:r w:rsidR="007F4ECD">
          <w:rPr>
            <w:webHidden/>
          </w:rPr>
          <w:instrText xml:space="preserve"> PAGEREF _Toc508201386 \h </w:instrText>
        </w:r>
        <w:r w:rsidR="007F4ECD">
          <w:rPr>
            <w:webHidden/>
          </w:rPr>
        </w:r>
        <w:r w:rsidR="007F4ECD">
          <w:rPr>
            <w:webHidden/>
          </w:rPr>
          <w:fldChar w:fldCharType="separate"/>
        </w:r>
        <w:r w:rsidR="00FF6398">
          <w:rPr>
            <w:webHidden/>
          </w:rPr>
          <w:t>1</w:t>
        </w:r>
        <w:r w:rsidR="007F4ECD">
          <w:rPr>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87" w:history="1">
        <w:r w:rsidR="007F4ECD" w:rsidRPr="00755C8A">
          <w:rPr>
            <w:rStyle w:val="Hyperlink"/>
          </w:rPr>
          <w:t>Financial performance</w:t>
        </w:r>
        <w:r w:rsidR="007F4ECD">
          <w:rPr>
            <w:webHidden/>
          </w:rPr>
          <w:tab/>
        </w:r>
        <w:r w:rsidR="007F4ECD">
          <w:rPr>
            <w:webHidden/>
          </w:rPr>
          <w:fldChar w:fldCharType="begin" w:fldLock="1"/>
        </w:r>
        <w:r w:rsidR="007F4ECD">
          <w:rPr>
            <w:webHidden/>
          </w:rPr>
          <w:instrText xml:space="preserve"> PAGEREF _Toc508201387 \h </w:instrText>
        </w:r>
        <w:r w:rsidR="007F4ECD">
          <w:rPr>
            <w:webHidden/>
          </w:rPr>
        </w:r>
        <w:r w:rsidR="007F4ECD">
          <w:rPr>
            <w:webHidden/>
          </w:rPr>
          <w:fldChar w:fldCharType="separate"/>
        </w:r>
        <w:r w:rsidR="00FF6398">
          <w:rPr>
            <w:webHidden/>
          </w:rPr>
          <w:t>2</w:t>
        </w:r>
        <w:r w:rsidR="007F4ECD">
          <w:rPr>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88" w:history="1">
        <w:r w:rsidR="007F4ECD" w:rsidRPr="00755C8A">
          <w:rPr>
            <w:rStyle w:val="Hyperlink"/>
          </w:rPr>
          <w:t>General government sector</w:t>
        </w:r>
        <w:r w:rsidR="007F4ECD">
          <w:rPr>
            <w:webHidden/>
          </w:rPr>
          <w:tab/>
        </w:r>
        <w:r w:rsidR="007F4ECD">
          <w:rPr>
            <w:webHidden/>
          </w:rPr>
          <w:fldChar w:fldCharType="begin" w:fldLock="1"/>
        </w:r>
        <w:r w:rsidR="007F4ECD">
          <w:rPr>
            <w:webHidden/>
          </w:rPr>
          <w:instrText xml:space="preserve"> PAGEREF _Toc508201388 \h </w:instrText>
        </w:r>
        <w:r w:rsidR="007F4ECD">
          <w:rPr>
            <w:webHidden/>
          </w:rPr>
        </w:r>
        <w:r w:rsidR="007F4ECD">
          <w:rPr>
            <w:webHidden/>
          </w:rPr>
          <w:fldChar w:fldCharType="separate"/>
        </w:r>
        <w:r w:rsidR="00FF6398">
          <w:rPr>
            <w:webHidden/>
          </w:rPr>
          <w:t>3</w:t>
        </w:r>
        <w:r w:rsidR="007F4ECD">
          <w:rPr>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89" w:history="1">
        <w:r w:rsidR="007F4ECD" w:rsidRPr="00755C8A">
          <w:rPr>
            <w:rStyle w:val="Hyperlink"/>
          </w:rPr>
          <w:t>State of Victoria</w:t>
        </w:r>
        <w:r w:rsidR="007F4ECD">
          <w:rPr>
            <w:webHidden/>
          </w:rPr>
          <w:tab/>
        </w:r>
        <w:r w:rsidR="007F4ECD">
          <w:rPr>
            <w:webHidden/>
          </w:rPr>
          <w:fldChar w:fldCharType="begin" w:fldLock="1"/>
        </w:r>
        <w:r w:rsidR="007F4ECD">
          <w:rPr>
            <w:webHidden/>
          </w:rPr>
          <w:instrText xml:space="preserve"> PAGEREF _Toc508201389 \h </w:instrText>
        </w:r>
        <w:r w:rsidR="007F4ECD">
          <w:rPr>
            <w:webHidden/>
          </w:rPr>
        </w:r>
        <w:r w:rsidR="007F4ECD">
          <w:rPr>
            <w:webHidden/>
          </w:rPr>
          <w:fldChar w:fldCharType="separate"/>
        </w:r>
        <w:r w:rsidR="00FF6398">
          <w:rPr>
            <w:webHidden/>
          </w:rPr>
          <w:t>4</w:t>
        </w:r>
        <w:r w:rsidR="007F4ECD">
          <w:rPr>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90" w:history="1">
        <w:r w:rsidR="007F4ECD" w:rsidRPr="00755C8A">
          <w:rPr>
            <w:rStyle w:val="Hyperlink"/>
          </w:rPr>
          <w:t>Financial position</w:t>
        </w:r>
        <w:r w:rsidR="007F4ECD">
          <w:rPr>
            <w:webHidden/>
          </w:rPr>
          <w:tab/>
        </w:r>
        <w:r w:rsidR="007F4ECD">
          <w:rPr>
            <w:webHidden/>
          </w:rPr>
          <w:fldChar w:fldCharType="begin" w:fldLock="1"/>
        </w:r>
        <w:r w:rsidR="007F4ECD">
          <w:rPr>
            <w:webHidden/>
          </w:rPr>
          <w:instrText xml:space="preserve"> PAGEREF _Toc508201390 \h </w:instrText>
        </w:r>
        <w:r w:rsidR="007F4ECD">
          <w:rPr>
            <w:webHidden/>
          </w:rPr>
        </w:r>
        <w:r w:rsidR="007F4ECD">
          <w:rPr>
            <w:webHidden/>
          </w:rPr>
          <w:fldChar w:fldCharType="separate"/>
        </w:r>
        <w:r w:rsidR="00FF6398">
          <w:rPr>
            <w:webHidden/>
          </w:rPr>
          <w:t>4</w:t>
        </w:r>
        <w:r w:rsidR="007F4ECD">
          <w:rPr>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91" w:history="1">
        <w:r w:rsidR="007F4ECD" w:rsidRPr="00755C8A">
          <w:rPr>
            <w:rStyle w:val="Hyperlink"/>
          </w:rPr>
          <w:t>Cash flow</w:t>
        </w:r>
        <w:r w:rsidR="007F4ECD">
          <w:rPr>
            <w:webHidden/>
          </w:rPr>
          <w:tab/>
        </w:r>
        <w:r w:rsidR="007F4ECD">
          <w:rPr>
            <w:webHidden/>
          </w:rPr>
          <w:fldChar w:fldCharType="begin" w:fldLock="1"/>
        </w:r>
        <w:r w:rsidR="007F4ECD">
          <w:rPr>
            <w:webHidden/>
          </w:rPr>
          <w:instrText xml:space="preserve"> PAGEREF _Toc508201391 \h </w:instrText>
        </w:r>
        <w:r w:rsidR="007F4ECD">
          <w:rPr>
            <w:webHidden/>
          </w:rPr>
        </w:r>
        <w:r w:rsidR="007F4ECD">
          <w:rPr>
            <w:webHidden/>
          </w:rPr>
          <w:fldChar w:fldCharType="separate"/>
        </w:r>
        <w:r w:rsidR="00FF6398">
          <w:rPr>
            <w:webHidden/>
          </w:rPr>
          <w:t>5</w:t>
        </w:r>
        <w:r w:rsidR="007F4ECD">
          <w:rPr>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92" w:history="1">
        <w:r w:rsidR="007F4ECD" w:rsidRPr="00755C8A">
          <w:rPr>
            <w:rStyle w:val="Hyperlink"/>
          </w:rPr>
          <w:t>Financial sustainability</w:t>
        </w:r>
        <w:r w:rsidR="007F4ECD">
          <w:rPr>
            <w:webHidden/>
          </w:rPr>
          <w:tab/>
        </w:r>
        <w:r w:rsidR="007F4ECD">
          <w:rPr>
            <w:webHidden/>
          </w:rPr>
          <w:fldChar w:fldCharType="begin" w:fldLock="1"/>
        </w:r>
        <w:r w:rsidR="007F4ECD">
          <w:rPr>
            <w:webHidden/>
          </w:rPr>
          <w:instrText xml:space="preserve"> PAGEREF _Toc508201392 \h </w:instrText>
        </w:r>
        <w:r w:rsidR="007F4ECD">
          <w:rPr>
            <w:webHidden/>
          </w:rPr>
        </w:r>
        <w:r w:rsidR="007F4ECD">
          <w:rPr>
            <w:webHidden/>
          </w:rPr>
          <w:fldChar w:fldCharType="separate"/>
        </w:r>
        <w:r w:rsidR="00FF6398">
          <w:rPr>
            <w:webHidden/>
          </w:rPr>
          <w:t>7</w:t>
        </w:r>
        <w:r w:rsidR="007F4ECD">
          <w:rPr>
            <w:webHidden/>
          </w:rPr>
          <w:fldChar w:fldCharType="end"/>
        </w:r>
      </w:hyperlink>
    </w:p>
    <w:p w:rsidR="007F4ECD" w:rsidRDefault="00C0501E">
      <w:pPr>
        <w:pStyle w:val="TOC1"/>
        <w:rPr>
          <w:rFonts w:asciiTheme="minorHAnsi" w:eastAsiaTheme="minorEastAsia" w:hAnsiTheme="minorHAnsi"/>
          <w:b w:val="0"/>
          <w:noProof/>
          <w:spacing w:val="0"/>
          <w:szCs w:val="22"/>
          <w:lang w:eastAsia="en-AU"/>
        </w:rPr>
      </w:pPr>
      <w:hyperlink w:anchor="_Toc508201393" w:history="1">
        <w:r w:rsidR="007F4ECD" w:rsidRPr="00755C8A">
          <w:rPr>
            <w:rStyle w:val="Hyperlink"/>
            <w:noProof/>
          </w:rPr>
          <w:t>Chapter 2 – Mid-year financial report</w:t>
        </w:r>
        <w:r w:rsidR="007F4ECD">
          <w:rPr>
            <w:noProof/>
            <w:webHidden/>
          </w:rPr>
          <w:tab/>
        </w:r>
        <w:r w:rsidR="007F4ECD">
          <w:rPr>
            <w:noProof/>
            <w:webHidden/>
          </w:rPr>
          <w:fldChar w:fldCharType="begin" w:fldLock="1"/>
        </w:r>
        <w:r w:rsidR="007F4ECD">
          <w:rPr>
            <w:noProof/>
            <w:webHidden/>
          </w:rPr>
          <w:instrText xml:space="preserve"> PAGEREF _Toc508201393 \h </w:instrText>
        </w:r>
        <w:r w:rsidR="007F4ECD">
          <w:rPr>
            <w:noProof/>
            <w:webHidden/>
          </w:rPr>
        </w:r>
        <w:r w:rsidR="007F4ECD">
          <w:rPr>
            <w:noProof/>
            <w:webHidden/>
          </w:rPr>
          <w:fldChar w:fldCharType="separate"/>
        </w:r>
        <w:r w:rsidR="00FF6398">
          <w:rPr>
            <w:noProof/>
            <w:webHidden/>
          </w:rPr>
          <w:t>9</w:t>
        </w:r>
        <w:r w:rsidR="007F4ECD">
          <w:rPr>
            <w:noProof/>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94" w:history="1">
        <w:r w:rsidR="007F4ECD" w:rsidRPr="00755C8A">
          <w:rPr>
            <w:rStyle w:val="Hyperlink"/>
          </w:rPr>
          <w:t>Consolidated compre</w:t>
        </w:r>
        <w:bookmarkStart w:id="2" w:name="_GoBack"/>
        <w:bookmarkEnd w:id="2"/>
        <w:r w:rsidR="007F4ECD" w:rsidRPr="00755C8A">
          <w:rPr>
            <w:rStyle w:val="Hyperlink"/>
          </w:rPr>
          <w:t>hensive operating statement</w:t>
        </w:r>
        <w:r w:rsidR="007F4ECD">
          <w:rPr>
            <w:webHidden/>
          </w:rPr>
          <w:tab/>
        </w:r>
        <w:r w:rsidR="007F4ECD">
          <w:rPr>
            <w:webHidden/>
          </w:rPr>
          <w:fldChar w:fldCharType="begin" w:fldLock="1"/>
        </w:r>
        <w:r w:rsidR="007F4ECD">
          <w:rPr>
            <w:webHidden/>
          </w:rPr>
          <w:instrText xml:space="preserve"> PAGEREF _Toc508201394 \h </w:instrText>
        </w:r>
        <w:r w:rsidR="007F4ECD">
          <w:rPr>
            <w:webHidden/>
          </w:rPr>
        </w:r>
        <w:r w:rsidR="007F4ECD">
          <w:rPr>
            <w:webHidden/>
          </w:rPr>
          <w:fldChar w:fldCharType="separate"/>
        </w:r>
        <w:r w:rsidR="00FF6398">
          <w:rPr>
            <w:webHidden/>
          </w:rPr>
          <w:t>9</w:t>
        </w:r>
        <w:r w:rsidR="007F4ECD">
          <w:rPr>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95" w:history="1">
        <w:r w:rsidR="007F4ECD" w:rsidRPr="00755C8A">
          <w:rPr>
            <w:rStyle w:val="Hyperlink"/>
          </w:rPr>
          <w:t>Consolidated balance sheet</w:t>
        </w:r>
        <w:r w:rsidR="007F4ECD">
          <w:rPr>
            <w:webHidden/>
          </w:rPr>
          <w:tab/>
        </w:r>
        <w:r w:rsidR="007F4ECD">
          <w:rPr>
            <w:webHidden/>
          </w:rPr>
          <w:fldChar w:fldCharType="begin" w:fldLock="1"/>
        </w:r>
        <w:r w:rsidR="007F4ECD">
          <w:rPr>
            <w:webHidden/>
          </w:rPr>
          <w:instrText xml:space="preserve"> PAGEREF _Toc508201395 \h </w:instrText>
        </w:r>
        <w:r w:rsidR="007F4ECD">
          <w:rPr>
            <w:webHidden/>
          </w:rPr>
        </w:r>
        <w:r w:rsidR="007F4ECD">
          <w:rPr>
            <w:webHidden/>
          </w:rPr>
          <w:fldChar w:fldCharType="separate"/>
        </w:r>
        <w:r w:rsidR="00FF6398">
          <w:rPr>
            <w:webHidden/>
          </w:rPr>
          <w:t>10</w:t>
        </w:r>
        <w:r w:rsidR="007F4ECD">
          <w:rPr>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96" w:history="1">
        <w:r w:rsidR="007F4ECD" w:rsidRPr="00755C8A">
          <w:rPr>
            <w:rStyle w:val="Hyperlink"/>
          </w:rPr>
          <w:t>Consolidated cash flow statement</w:t>
        </w:r>
        <w:r w:rsidR="007F4ECD">
          <w:rPr>
            <w:webHidden/>
          </w:rPr>
          <w:tab/>
        </w:r>
        <w:r w:rsidR="007F4ECD">
          <w:rPr>
            <w:webHidden/>
          </w:rPr>
          <w:fldChar w:fldCharType="begin" w:fldLock="1"/>
        </w:r>
        <w:r w:rsidR="007F4ECD">
          <w:rPr>
            <w:webHidden/>
          </w:rPr>
          <w:instrText xml:space="preserve"> PAGEREF _Toc508201396 \h </w:instrText>
        </w:r>
        <w:r w:rsidR="007F4ECD">
          <w:rPr>
            <w:webHidden/>
          </w:rPr>
        </w:r>
        <w:r w:rsidR="007F4ECD">
          <w:rPr>
            <w:webHidden/>
          </w:rPr>
          <w:fldChar w:fldCharType="separate"/>
        </w:r>
        <w:r w:rsidR="00FF6398">
          <w:rPr>
            <w:webHidden/>
          </w:rPr>
          <w:t>11</w:t>
        </w:r>
        <w:r w:rsidR="007F4ECD">
          <w:rPr>
            <w:webHidden/>
          </w:rPr>
          <w:fldChar w:fldCharType="end"/>
        </w:r>
      </w:hyperlink>
    </w:p>
    <w:p w:rsidR="007F4ECD" w:rsidRDefault="00C0501E">
      <w:pPr>
        <w:pStyle w:val="TOC2"/>
        <w:rPr>
          <w:rFonts w:asciiTheme="minorHAnsi" w:eastAsiaTheme="minorEastAsia" w:hAnsiTheme="minorHAnsi"/>
          <w:spacing w:val="0"/>
          <w:szCs w:val="22"/>
          <w:lang w:eastAsia="en-AU"/>
        </w:rPr>
      </w:pPr>
      <w:hyperlink w:anchor="_Toc508201397" w:history="1">
        <w:r w:rsidR="007F4ECD" w:rsidRPr="00755C8A">
          <w:rPr>
            <w:rStyle w:val="Hyperlink"/>
          </w:rPr>
          <w:t>Consolidated statement of changes in equity</w:t>
        </w:r>
        <w:r w:rsidR="007F4ECD">
          <w:rPr>
            <w:webHidden/>
          </w:rPr>
          <w:tab/>
        </w:r>
        <w:r w:rsidR="007F4ECD">
          <w:rPr>
            <w:webHidden/>
          </w:rPr>
          <w:fldChar w:fldCharType="begin" w:fldLock="1"/>
        </w:r>
        <w:r w:rsidR="007F4ECD">
          <w:rPr>
            <w:webHidden/>
          </w:rPr>
          <w:instrText xml:space="preserve"> PAGEREF _Toc508201397 \h </w:instrText>
        </w:r>
        <w:r w:rsidR="007F4ECD">
          <w:rPr>
            <w:webHidden/>
          </w:rPr>
        </w:r>
        <w:r w:rsidR="007F4ECD">
          <w:rPr>
            <w:webHidden/>
          </w:rPr>
          <w:fldChar w:fldCharType="separate"/>
        </w:r>
        <w:r w:rsidR="00FF6398">
          <w:rPr>
            <w:webHidden/>
          </w:rPr>
          <w:t>12</w:t>
        </w:r>
        <w:r w:rsidR="007F4ECD">
          <w:rPr>
            <w:webHidden/>
          </w:rPr>
          <w:fldChar w:fldCharType="end"/>
        </w:r>
      </w:hyperlink>
    </w:p>
    <w:p w:rsidR="007F4ECD" w:rsidRDefault="00C0501E">
      <w:pPr>
        <w:pStyle w:val="TOC2"/>
        <w:tabs>
          <w:tab w:val="left" w:pos="880"/>
        </w:tabs>
        <w:rPr>
          <w:rFonts w:asciiTheme="minorHAnsi" w:eastAsiaTheme="minorEastAsia" w:hAnsiTheme="minorHAnsi"/>
          <w:spacing w:val="0"/>
          <w:szCs w:val="22"/>
          <w:lang w:eastAsia="en-AU"/>
        </w:rPr>
      </w:pPr>
      <w:hyperlink w:anchor="_Toc508201398" w:history="1">
        <w:r w:rsidR="007F4ECD" w:rsidRPr="00755C8A">
          <w:rPr>
            <w:rStyle w:val="Hyperlink"/>
          </w:rPr>
          <w:t>1.</w:t>
        </w:r>
        <w:r w:rsidR="007F4ECD">
          <w:rPr>
            <w:rFonts w:asciiTheme="minorHAnsi" w:eastAsiaTheme="minorEastAsia" w:hAnsiTheme="minorHAnsi"/>
            <w:spacing w:val="0"/>
            <w:szCs w:val="22"/>
            <w:lang w:eastAsia="en-AU"/>
          </w:rPr>
          <w:tab/>
        </w:r>
        <w:r w:rsidR="007F4ECD" w:rsidRPr="00755C8A">
          <w:rPr>
            <w:rStyle w:val="Hyperlink"/>
          </w:rPr>
          <w:t>About this report</w:t>
        </w:r>
        <w:r w:rsidR="007F4ECD">
          <w:rPr>
            <w:webHidden/>
          </w:rPr>
          <w:tab/>
        </w:r>
        <w:r w:rsidR="007F4ECD">
          <w:rPr>
            <w:webHidden/>
          </w:rPr>
          <w:fldChar w:fldCharType="begin" w:fldLock="1"/>
        </w:r>
        <w:r w:rsidR="007F4ECD">
          <w:rPr>
            <w:webHidden/>
          </w:rPr>
          <w:instrText xml:space="preserve"> PAGEREF _Toc508201398 \h </w:instrText>
        </w:r>
        <w:r w:rsidR="007F4ECD">
          <w:rPr>
            <w:webHidden/>
          </w:rPr>
        </w:r>
        <w:r w:rsidR="007F4ECD">
          <w:rPr>
            <w:webHidden/>
          </w:rPr>
          <w:fldChar w:fldCharType="separate"/>
        </w:r>
        <w:r w:rsidR="00FF6398">
          <w:rPr>
            <w:webHidden/>
          </w:rPr>
          <w:t>14</w:t>
        </w:r>
        <w:r w:rsidR="007F4ECD">
          <w:rPr>
            <w:webHidden/>
          </w:rPr>
          <w:fldChar w:fldCharType="end"/>
        </w:r>
      </w:hyperlink>
    </w:p>
    <w:p w:rsidR="007F4ECD" w:rsidRDefault="00C0501E">
      <w:pPr>
        <w:pStyle w:val="TOC2"/>
        <w:tabs>
          <w:tab w:val="left" w:pos="880"/>
        </w:tabs>
        <w:rPr>
          <w:rFonts w:asciiTheme="minorHAnsi" w:eastAsiaTheme="minorEastAsia" w:hAnsiTheme="minorHAnsi"/>
          <w:spacing w:val="0"/>
          <w:szCs w:val="22"/>
          <w:lang w:eastAsia="en-AU"/>
        </w:rPr>
      </w:pPr>
      <w:hyperlink w:anchor="_Toc508201399" w:history="1">
        <w:r w:rsidR="007F4ECD" w:rsidRPr="00755C8A">
          <w:rPr>
            <w:rStyle w:val="Hyperlink"/>
          </w:rPr>
          <w:t>2.</w:t>
        </w:r>
        <w:r w:rsidR="007F4ECD">
          <w:rPr>
            <w:rFonts w:asciiTheme="minorHAnsi" w:eastAsiaTheme="minorEastAsia" w:hAnsiTheme="minorHAnsi"/>
            <w:spacing w:val="0"/>
            <w:szCs w:val="22"/>
            <w:lang w:eastAsia="en-AU"/>
          </w:rPr>
          <w:tab/>
        </w:r>
        <w:r w:rsidR="007F4ECD" w:rsidRPr="00755C8A">
          <w:rPr>
            <w:rStyle w:val="Hyperlink"/>
          </w:rPr>
          <w:t>How funds are raised</w:t>
        </w:r>
        <w:r w:rsidR="007F4ECD">
          <w:rPr>
            <w:webHidden/>
          </w:rPr>
          <w:tab/>
        </w:r>
        <w:r w:rsidR="007F4ECD">
          <w:rPr>
            <w:webHidden/>
          </w:rPr>
          <w:fldChar w:fldCharType="begin" w:fldLock="1"/>
        </w:r>
        <w:r w:rsidR="007F4ECD">
          <w:rPr>
            <w:webHidden/>
          </w:rPr>
          <w:instrText xml:space="preserve"> PAGEREF _Toc508201399 \h </w:instrText>
        </w:r>
        <w:r w:rsidR="007F4ECD">
          <w:rPr>
            <w:webHidden/>
          </w:rPr>
        </w:r>
        <w:r w:rsidR="007F4ECD">
          <w:rPr>
            <w:webHidden/>
          </w:rPr>
          <w:fldChar w:fldCharType="separate"/>
        </w:r>
        <w:r w:rsidR="00FF6398">
          <w:rPr>
            <w:webHidden/>
          </w:rPr>
          <w:t>17</w:t>
        </w:r>
        <w:r w:rsidR="007F4ECD">
          <w:rPr>
            <w:webHidden/>
          </w:rPr>
          <w:fldChar w:fldCharType="end"/>
        </w:r>
      </w:hyperlink>
    </w:p>
    <w:p w:rsidR="007F4ECD" w:rsidRDefault="00C0501E">
      <w:pPr>
        <w:pStyle w:val="TOC2"/>
        <w:tabs>
          <w:tab w:val="left" w:pos="880"/>
        </w:tabs>
        <w:rPr>
          <w:rFonts w:asciiTheme="minorHAnsi" w:eastAsiaTheme="minorEastAsia" w:hAnsiTheme="minorHAnsi"/>
          <w:spacing w:val="0"/>
          <w:szCs w:val="22"/>
          <w:lang w:eastAsia="en-AU"/>
        </w:rPr>
      </w:pPr>
      <w:hyperlink w:anchor="_Toc508201400" w:history="1">
        <w:r w:rsidR="007F4ECD" w:rsidRPr="00755C8A">
          <w:rPr>
            <w:rStyle w:val="Hyperlink"/>
          </w:rPr>
          <w:t>3.</w:t>
        </w:r>
        <w:r w:rsidR="007F4ECD">
          <w:rPr>
            <w:rFonts w:asciiTheme="minorHAnsi" w:eastAsiaTheme="minorEastAsia" w:hAnsiTheme="minorHAnsi"/>
            <w:spacing w:val="0"/>
            <w:szCs w:val="22"/>
            <w:lang w:eastAsia="en-AU"/>
          </w:rPr>
          <w:tab/>
        </w:r>
        <w:r w:rsidR="007F4ECD" w:rsidRPr="00755C8A">
          <w:rPr>
            <w:rStyle w:val="Hyperlink"/>
          </w:rPr>
          <w:t>How funds are spent</w:t>
        </w:r>
        <w:r w:rsidR="007F4ECD">
          <w:rPr>
            <w:webHidden/>
          </w:rPr>
          <w:tab/>
        </w:r>
        <w:r w:rsidR="007F4ECD">
          <w:rPr>
            <w:webHidden/>
          </w:rPr>
          <w:fldChar w:fldCharType="begin" w:fldLock="1"/>
        </w:r>
        <w:r w:rsidR="007F4ECD">
          <w:rPr>
            <w:webHidden/>
          </w:rPr>
          <w:instrText xml:space="preserve"> PAGEREF _Toc508201400 \h </w:instrText>
        </w:r>
        <w:r w:rsidR="007F4ECD">
          <w:rPr>
            <w:webHidden/>
          </w:rPr>
        </w:r>
        <w:r w:rsidR="007F4ECD">
          <w:rPr>
            <w:webHidden/>
          </w:rPr>
          <w:fldChar w:fldCharType="separate"/>
        </w:r>
        <w:r w:rsidR="00FF6398">
          <w:rPr>
            <w:webHidden/>
          </w:rPr>
          <w:t>20</w:t>
        </w:r>
        <w:r w:rsidR="007F4ECD">
          <w:rPr>
            <w:webHidden/>
          </w:rPr>
          <w:fldChar w:fldCharType="end"/>
        </w:r>
      </w:hyperlink>
    </w:p>
    <w:p w:rsidR="007F4ECD" w:rsidRDefault="00C0501E">
      <w:pPr>
        <w:pStyle w:val="TOC2"/>
        <w:tabs>
          <w:tab w:val="left" w:pos="880"/>
        </w:tabs>
        <w:rPr>
          <w:rFonts w:asciiTheme="minorHAnsi" w:eastAsiaTheme="minorEastAsia" w:hAnsiTheme="minorHAnsi"/>
          <w:spacing w:val="0"/>
          <w:szCs w:val="22"/>
          <w:lang w:eastAsia="en-AU"/>
        </w:rPr>
      </w:pPr>
      <w:hyperlink w:anchor="_Toc508201401" w:history="1">
        <w:r w:rsidR="007F4ECD" w:rsidRPr="00755C8A">
          <w:rPr>
            <w:rStyle w:val="Hyperlink"/>
          </w:rPr>
          <w:t>4.</w:t>
        </w:r>
        <w:r w:rsidR="007F4ECD">
          <w:rPr>
            <w:rFonts w:asciiTheme="minorHAnsi" w:eastAsiaTheme="minorEastAsia" w:hAnsiTheme="minorHAnsi"/>
            <w:spacing w:val="0"/>
            <w:szCs w:val="22"/>
            <w:lang w:eastAsia="en-AU"/>
          </w:rPr>
          <w:tab/>
        </w:r>
        <w:r w:rsidR="007F4ECD" w:rsidRPr="00755C8A">
          <w:rPr>
            <w:rStyle w:val="Hyperlink"/>
          </w:rPr>
          <w:t>Major assets and investments</w:t>
        </w:r>
        <w:r w:rsidR="007F4ECD">
          <w:rPr>
            <w:webHidden/>
          </w:rPr>
          <w:tab/>
        </w:r>
        <w:r w:rsidR="007F4ECD">
          <w:rPr>
            <w:webHidden/>
          </w:rPr>
          <w:fldChar w:fldCharType="begin" w:fldLock="1"/>
        </w:r>
        <w:r w:rsidR="007F4ECD">
          <w:rPr>
            <w:webHidden/>
          </w:rPr>
          <w:instrText xml:space="preserve"> PAGEREF _Toc508201401 \h </w:instrText>
        </w:r>
        <w:r w:rsidR="007F4ECD">
          <w:rPr>
            <w:webHidden/>
          </w:rPr>
        </w:r>
        <w:r w:rsidR="007F4ECD">
          <w:rPr>
            <w:webHidden/>
          </w:rPr>
          <w:fldChar w:fldCharType="separate"/>
        </w:r>
        <w:r w:rsidR="00FF6398">
          <w:rPr>
            <w:webHidden/>
          </w:rPr>
          <w:t>25</w:t>
        </w:r>
        <w:r w:rsidR="007F4ECD">
          <w:rPr>
            <w:webHidden/>
          </w:rPr>
          <w:fldChar w:fldCharType="end"/>
        </w:r>
      </w:hyperlink>
    </w:p>
    <w:p w:rsidR="007F4ECD" w:rsidRDefault="00C0501E">
      <w:pPr>
        <w:pStyle w:val="TOC2"/>
        <w:tabs>
          <w:tab w:val="left" w:pos="880"/>
        </w:tabs>
        <w:rPr>
          <w:rFonts w:asciiTheme="minorHAnsi" w:eastAsiaTheme="minorEastAsia" w:hAnsiTheme="minorHAnsi"/>
          <w:spacing w:val="0"/>
          <w:szCs w:val="22"/>
          <w:lang w:eastAsia="en-AU"/>
        </w:rPr>
      </w:pPr>
      <w:hyperlink w:anchor="_Toc508201402" w:history="1">
        <w:r w:rsidR="007F4ECD" w:rsidRPr="00755C8A">
          <w:rPr>
            <w:rStyle w:val="Hyperlink"/>
          </w:rPr>
          <w:t>5.</w:t>
        </w:r>
        <w:r w:rsidR="007F4ECD">
          <w:rPr>
            <w:rFonts w:asciiTheme="minorHAnsi" w:eastAsiaTheme="minorEastAsia" w:hAnsiTheme="minorHAnsi"/>
            <w:spacing w:val="0"/>
            <w:szCs w:val="22"/>
            <w:lang w:eastAsia="en-AU"/>
          </w:rPr>
          <w:tab/>
        </w:r>
        <w:r w:rsidR="007F4ECD" w:rsidRPr="00755C8A">
          <w:rPr>
            <w:rStyle w:val="Hyperlink"/>
          </w:rPr>
          <w:t>Financing state operations</w:t>
        </w:r>
        <w:r w:rsidR="007F4ECD">
          <w:rPr>
            <w:webHidden/>
          </w:rPr>
          <w:tab/>
        </w:r>
        <w:r w:rsidR="007F4ECD">
          <w:rPr>
            <w:webHidden/>
          </w:rPr>
          <w:fldChar w:fldCharType="begin" w:fldLock="1"/>
        </w:r>
        <w:r w:rsidR="007F4ECD">
          <w:rPr>
            <w:webHidden/>
          </w:rPr>
          <w:instrText xml:space="preserve"> PAGEREF _Toc508201402 \h </w:instrText>
        </w:r>
        <w:r w:rsidR="007F4ECD">
          <w:rPr>
            <w:webHidden/>
          </w:rPr>
        </w:r>
        <w:r w:rsidR="007F4ECD">
          <w:rPr>
            <w:webHidden/>
          </w:rPr>
          <w:fldChar w:fldCharType="separate"/>
        </w:r>
        <w:r w:rsidR="00FF6398">
          <w:rPr>
            <w:webHidden/>
          </w:rPr>
          <w:t>30</w:t>
        </w:r>
        <w:r w:rsidR="007F4ECD">
          <w:rPr>
            <w:webHidden/>
          </w:rPr>
          <w:fldChar w:fldCharType="end"/>
        </w:r>
      </w:hyperlink>
    </w:p>
    <w:p w:rsidR="007F4ECD" w:rsidRDefault="00C0501E">
      <w:pPr>
        <w:pStyle w:val="TOC2"/>
        <w:tabs>
          <w:tab w:val="left" w:pos="880"/>
        </w:tabs>
        <w:rPr>
          <w:rFonts w:asciiTheme="minorHAnsi" w:eastAsiaTheme="minorEastAsia" w:hAnsiTheme="minorHAnsi"/>
          <w:spacing w:val="0"/>
          <w:szCs w:val="22"/>
          <w:lang w:eastAsia="en-AU"/>
        </w:rPr>
      </w:pPr>
      <w:hyperlink w:anchor="_Toc508201403" w:history="1">
        <w:r w:rsidR="007F4ECD" w:rsidRPr="00755C8A">
          <w:rPr>
            <w:rStyle w:val="Hyperlink"/>
          </w:rPr>
          <w:t>6.</w:t>
        </w:r>
        <w:r w:rsidR="007F4ECD">
          <w:rPr>
            <w:rFonts w:asciiTheme="minorHAnsi" w:eastAsiaTheme="minorEastAsia" w:hAnsiTheme="minorHAnsi"/>
            <w:spacing w:val="0"/>
            <w:szCs w:val="22"/>
            <w:lang w:eastAsia="en-AU"/>
          </w:rPr>
          <w:tab/>
        </w:r>
        <w:r w:rsidR="007F4ECD" w:rsidRPr="00755C8A">
          <w:rPr>
            <w:rStyle w:val="Hyperlink"/>
          </w:rPr>
          <w:t>Other assets and liabilities</w:t>
        </w:r>
        <w:r w:rsidR="007F4ECD">
          <w:rPr>
            <w:webHidden/>
          </w:rPr>
          <w:tab/>
        </w:r>
        <w:r w:rsidR="007F4ECD">
          <w:rPr>
            <w:webHidden/>
          </w:rPr>
          <w:fldChar w:fldCharType="begin" w:fldLock="1"/>
        </w:r>
        <w:r w:rsidR="007F4ECD">
          <w:rPr>
            <w:webHidden/>
          </w:rPr>
          <w:instrText xml:space="preserve"> PAGEREF _Toc508201403 \h </w:instrText>
        </w:r>
        <w:r w:rsidR="007F4ECD">
          <w:rPr>
            <w:webHidden/>
          </w:rPr>
        </w:r>
        <w:r w:rsidR="007F4ECD">
          <w:rPr>
            <w:webHidden/>
          </w:rPr>
          <w:fldChar w:fldCharType="separate"/>
        </w:r>
        <w:r w:rsidR="00FF6398">
          <w:rPr>
            <w:webHidden/>
          </w:rPr>
          <w:t>35</w:t>
        </w:r>
        <w:r w:rsidR="007F4ECD">
          <w:rPr>
            <w:webHidden/>
          </w:rPr>
          <w:fldChar w:fldCharType="end"/>
        </w:r>
      </w:hyperlink>
    </w:p>
    <w:p w:rsidR="007F4ECD" w:rsidRDefault="00C0501E">
      <w:pPr>
        <w:pStyle w:val="TOC2"/>
        <w:tabs>
          <w:tab w:val="left" w:pos="880"/>
        </w:tabs>
        <w:rPr>
          <w:rFonts w:asciiTheme="minorHAnsi" w:eastAsiaTheme="minorEastAsia" w:hAnsiTheme="minorHAnsi"/>
          <w:spacing w:val="0"/>
          <w:szCs w:val="22"/>
          <w:lang w:eastAsia="en-AU"/>
        </w:rPr>
      </w:pPr>
      <w:hyperlink w:anchor="_Toc508201404" w:history="1">
        <w:r w:rsidR="007F4ECD" w:rsidRPr="00755C8A">
          <w:rPr>
            <w:rStyle w:val="Hyperlink"/>
          </w:rPr>
          <w:t>7.</w:t>
        </w:r>
        <w:r w:rsidR="007F4ECD">
          <w:rPr>
            <w:rFonts w:asciiTheme="minorHAnsi" w:eastAsiaTheme="minorEastAsia" w:hAnsiTheme="minorHAnsi"/>
            <w:spacing w:val="0"/>
            <w:szCs w:val="22"/>
            <w:lang w:eastAsia="en-AU"/>
          </w:rPr>
          <w:tab/>
        </w:r>
        <w:r w:rsidR="007F4ECD" w:rsidRPr="00755C8A">
          <w:rPr>
            <w:rStyle w:val="Hyperlink"/>
          </w:rPr>
          <w:t>Risks and contingencies</w:t>
        </w:r>
        <w:r w:rsidR="007F4ECD">
          <w:rPr>
            <w:webHidden/>
          </w:rPr>
          <w:tab/>
        </w:r>
        <w:r w:rsidR="007F4ECD">
          <w:rPr>
            <w:webHidden/>
          </w:rPr>
          <w:fldChar w:fldCharType="begin" w:fldLock="1"/>
        </w:r>
        <w:r w:rsidR="007F4ECD">
          <w:rPr>
            <w:webHidden/>
          </w:rPr>
          <w:instrText xml:space="preserve"> PAGEREF _Toc508201404 \h </w:instrText>
        </w:r>
        <w:r w:rsidR="007F4ECD">
          <w:rPr>
            <w:webHidden/>
          </w:rPr>
        </w:r>
        <w:r w:rsidR="007F4ECD">
          <w:rPr>
            <w:webHidden/>
          </w:rPr>
          <w:fldChar w:fldCharType="separate"/>
        </w:r>
        <w:r w:rsidR="00FF6398">
          <w:rPr>
            <w:webHidden/>
          </w:rPr>
          <w:t>37</w:t>
        </w:r>
        <w:r w:rsidR="007F4ECD">
          <w:rPr>
            <w:webHidden/>
          </w:rPr>
          <w:fldChar w:fldCharType="end"/>
        </w:r>
      </w:hyperlink>
    </w:p>
    <w:p w:rsidR="007F4ECD" w:rsidRDefault="00C0501E">
      <w:pPr>
        <w:pStyle w:val="TOC2"/>
        <w:tabs>
          <w:tab w:val="left" w:pos="880"/>
        </w:tabs>
        <w:rPr>
          <w:rFonts w:asciiTheme="minorHAnsi" w:eastAsiaTheme="minorEastAsia" w:hAnsiTheme="minorHAnsi"/>
          <w:spacing w:val="0"/>
          <w:szCs w:val="22"/>
          <w:lang w:eastAsia="en-AU"/>
        </w:rPr>
      </w:pPr>
      <w:hyperlink w:anchor="_Toc508201405" w:history="1">
        <w:r w:rsidR="007F4ECD" w:rsidRPr="00755C8A">
          <w:rPr>
            <w:rStyle w:val="Hyperlink"/>
          </w:rPr>
          <w:t>8.</w:t>
        </w:r>
        <w:r w:rsidR="007F4ECD">
          <w:rPr>
            <w:rFonts w:asciiTheme="minorHAnsi" w:eastAsiaTheme="minorEastAsia" w:hAnsiTheme="minorHAnsi"/>
            <w:spacing w:val="0"/>
            <w:szCs w:val="22"/>
            <w:lang w:eastAsia="en-AU"/>
          </w:rPr>
          <w:tab/>
        </w:r>
        <w:r w:rsidR="007F4ECD" w:rsidRPr="00755C8A">
          <w:rPr>
            <w:rStyle w:val="Hyperlink"/>
          </w:rPr>
          <w:t>Public account</w:t>
        </w:r>
        <w:r w:rsidR="007F4ECD">
          <w:rPr>
            <w:webHidden/>
          </w:rPr>
          <w:tab/>
        </w:r>
        <w:r w:rsidR="007F4ECD">
          <w:rPr>
            <w:webHidden/>
          </w:rPr>
          <w:fldChar w:fldCharType="begin" w:fldLock="1"/>
        </w:r>
        <w:r w:rsidR="007F4ECD">
          <w:rPr>
            <w:webHidden/>
          </w:rPr>
          <w:instrText xml:space="preserve"> PAGEREF _Toc508201405 \h </w:instrText>
        </w:r>
        <w:r w:rsidR="007F4ECD">
          <w:rPr>
            <w:webHidden/>
          </w:rPr>
        </w:r>
        <w:r w:rsidR="007F4ECD">
          <w:rPr>
            <w:webHidden/>
          </w:rPr>
          <w:fldChar w:fldCharType="separate"/>
        </w:r>
        <w:r w:rsidR="00FF6398">
          <w:rPr>
            <w:webHidden/>
          </w:rPr>
          <w:t>38</w:t>
        </w:r>
        <w:r w:rsidR="007F4ECD">
          <w:rPr>
            <w:webHidden/>
          </w:rPr>
          <w:fldChar w:fldCharType="end"/>
        </w:r>
      </w:hyperlink>
    </w:p>
    <w:p w:rsidR="007F4ECD" w:rsidRDefault="00C0501E">
      <w:pPr>
        <w:pStyle w:val="TOC2"/>
        <w:tabs>
          <w:tab w:val="left" w:pos="880"/>
        </w:tabs>
        <w:rPr>
          <w:rFonts w:asciiTheme="minorHAnsi" w:eastAsiaTheme="minorEastAsia" w:hAnsiTheme="minorHAnsi"/>
          <w:spacing w:val="0"/>
          <w:szCs w:val="22"/>
          <w:lang w:eastAsia="en-AU"/>
        </w:rPr>
      </w:pPr>
      <w:hyperlink w:anchor="_Toc508201406" w:history="1">
        <w:r w:rsidR="007F4ECD" w:rsidRPr="00755C8A">
          <w:rPr>
            <w:rStyle w:val="Hyperlink"/>
          </w:rPr>
          <w:t>9.</w:t>
        </w:r>
        <w:r w:rsidR="007F4ECD">
          <w:rPr>
            <w:rFonts w:asciiTheme="minorHAnsi" w:eastAsiaTheme="minorEastAsia" w:hAnsiTheme="minorHAnsi"/>
            <w:spacing w:val="0"/>
            <w:szCs w:val="22"/>
            <w:lang w:eastAsia="en-AU"/>
          </w:rPr>
          <w:tab/>
        </w:r>
        <w:r w:rsidR="007F4ECD" w:rsidRPr="00755C8A">
          <w:rPr>
            <w:rStyle w:val="Hyperlink"/>
          </w:rPr>
          <w:t>Other disclosures</w:t>
        </w:r>
        <w:r w:rsidR="007F4ECD">
          <w:rPr>
            <w:webHidden/>
          </w:rPr>
          <w:tab/>
        </w:r>
        <w:r w:rsidR="007F4ECD">
          <w:rPr>
            <w:webHidden/>
          </w:rPr>
          <w:fldChar w:fldCharType="begin" w:fldLock="1"/>
        </w:r>
        <w:r w:rsidR="007F4ECD">
          <w:rPr>
            <w:webHidden/>
          </w:rPr>
          <w:instrText xml:space="preserve"> PAGEREF _Toc508201406 \h </w:instrText>
        </w:r>
        <w:r w:rsidR="007F4ECD">
          <w:rPr>
            <w:webHidden/>
          </w:rPr>
        </w:r>
        <w:r w:rsidR="007F4ECD">
          <w:rPr>
            <w:webHidden/>
          </w:rPr>
          <w:fldChar w:fldCharType="separate"/>
        </w:r>
        <w:r w:rsidR="00FF6398">
          <w:rPr>
            <w:webHidden/>
          </w:rPr>
          <w:t>41</w:t>
        </w:r>
        <w:r w:rsidR="007F4ECD">
          <w:rPr>
            <w:webHidden/>
          </w:rPr>
          <w:fldChar w:fldCharType="end"/>
        </w:r>
      </w:hyperlink>
    </w:p>
    <w:p w:rsidR="007F4ECD" w:rsidRDefault="00C0501E">
      <w:pPr>
        <w:pStyle w:val="TOC1"/>
        <w:rPr>
          <w:rFonts w:asciiTheme="minorHAnsi" w:eastAsiaTheme="minorEastAsia" w:hAnsiTheme="minorHAnsi"/>
          <w:b w:val="0"/>
          <w:noProof/>
          <w:spacing w:val="0"/>
          <w:szCs w:val="22"/>
          <w:lang w:eastAsia="en-AU"/>
        </w:rPr>
      </w:pPr>
      <w:hyperlink w:anchor="_Toc508201407" w:history="1">
        <w:r w:rsidR="007F4ECD" w:rsidRPr="00755C8A">
          <w:rPr>
            <w:rStyle w:val="Hyperlink"/>
            <w:noProof/>
          </w:rPr>
          <w:t>Appendix A – General government sector quarterly financial report</w:t>
        </w:r>
        <w:r w:rsidR="007F4ECD">
          <w:rPr>
            <w:noProof/>
            <w:webHidden/>
          </w:rPr>
          <w:tab/>
        </w:r>
        <w:r w:rsidR="007F4ECD">
          <w:rPr>
            <w:noProof/>
            <w:webHidden/>
          </w:rPr>
          <w:fldChar w:fldCharType="begin" w:fldLock="1"/>
        </w:r>
        <w:r w:rsidR="007F4ECD">
          <w:rPr>
            <w:noProof/>
            <w:webHidden/>
          </w:rPr>
          <w:instrText xml:space="preserve"> PAGEREF _Toc508201407 \h </w:instrText>
        </w:r>
        <w:r w:rsidR="007F4ECD">
          <w:rPr>
            <w:noProof/>
            <w:webHidden/>
          </w:rPr>
        </w:r>
        <w:r w:rsidR="007F4ECD">
          <w:rPr>
            <w:noProof/>
            <w:webHidden/>
          </w:rPr>
          <w:fldChar w:fldCharType="separate"/>
        </w:r>
        <w:r w:rsidR="00FF6398">
          <w:rPr>
            <w:noProof/>
            <w:webHidden/>
          </w:rPr>
          <w:t>51</w:t>
        </w:r>
        <w:r w:rsidR="007F4ECD">
          <w:rPr>
            <w:noProof/>
            <w:webHidden/>
          </w:rPr>
          <w:fldChar w:fldCharType="end"/>
        </w:r>
      </w:hyperlink>
    </w:p>
    <w:p w:rsidR="007F4ECD" w:rsidRDefault="00C0501E">
      <w:pPr>
        <w:pStyle w:val="TOC1"/>
        <w:rPr>
          <w:rFonts w:asciiTheme="minorHAnsi" w:eastAsiaTheme="minorEastAsia" w:hAnsiTheme="minorHAnsi"/>
          <w:b w:val="0"/>
          <w:noProof/>
          <w:spacing w:val="0"/>
          <w:szCs w:val="22"/>
          <w:lang w:eastAsia="en-AU"/>
        </w:rPr>
      </w:pPr>
      <w:hyperlink w:anchor="_Toc508201408" w:history="1">
        <w:r w:rsidR="007F4ECD" w:rsidRPr="00755C8A">
          <w:rPr>
            <w:rStyle w:val="Hyperlink"/>
            <w:noProof/>
          </w:rPr>
          <w:t xml:space="preserve">Appendix B – </w:t>
        </w:r>
        <w:r w:rsidR="007F4ECD" w:rsidRPr="00755C8A">
          <w:rPr>
            <w:rStyle w:val="Hyperlink"/>
            <w:i/>
            <w:noProof/>
          </w:rPr>
          <w:t>Financial Management Act 1994</w:t>
        </w:r>
        <w:r w:rsidR="007F4ECD" w:rsidRPr="00755C8A">
          <w:rPr>
            <w:rStyle w:val="Hyperlink"/>
            <w:noProof/>
          </w:rPr>
          <w:t xml:space="preserve"> compliance index</w:t>
        </w:r>
        <w:r w:rsidR="007F4ECD">
          <w:rPr>
            <w:noProof/>
            <w:webHidden/>
          </w:rPr>
          <w:tab/>
        </w:r>
        <w:r w:rsidR="007F4ECD">
          <w:rPr>
            <w:noProof/>
            <w:webHidden/>
          </w:rPr>
          <w:fldChar w:fldCharType="begin" w:fldLock="1"/>
        </w:r>
        <w:r w:rsidR="007F4ECD">
          <w:rPr>
            <w:noProof/>
            <w:webHidden/>
          </w:rPr>
          <w:instrText xml:space="preserve"> PAGEREF _Toc508201408 \h </w:instrText>
        </w:r>
        <w:r w:rsidR="007F4ECD">
          <w:rPr>
            <w:noProof/>
            <w:webHidden/>
          </w:rPr>
        </w:r>
        <w:r w:rsidR="007F4ECD">
          <w:rPr>
            <w:noProof/>
            <w:webHidden/>
          </w:rPr>
          <w:fldChar w:fldCharType="separate"/>
        </w:r>
        <w:r w:rsidR="00FF6398">
          <w:rPr>
            <w:noProof/>
            <w:webHidden/>
          </w:rPr>
          <w:t>55</w:t>
        </w:r>
        <w:r w:rsidR="007F4ECD">
          <w:rPr>
            <w:noProof/>
            <w:webHidden/>
          </w:rPr>
          <w:fldChar w:fldCharType="end"/>
        </w:r>
      </w:hyperlink>
    </w:p>
    <w:p w:rsidR="007F4ECD" w:rsidRDefault="00C0501E">
      <w:pPr>
        <w:pStyle w:val="TOC1"/>
        <w:rPr>
          <w:rFonts w:asciiTheme="minorHAnsi" w:eastAsiaTheme="minorEastAsia" w:hAnsiTheme="minorHAnsi"/>
          <w:b w:val="0"/>
          <w:noProof/>
          <w:spacing w:val="0"/>
          <w:szCs w:val="22"/>
          <w:lang w:eastAsia="en-AU"/>
        </w:rPr>
      </w:pPr>
      <w:hyperlink w:anchor="_Toc508201409" w:history="1">
        <w:r w:rsidR="007F4ECD" w:rsidRPr="00755C8A">
          <w:rPr>
            <w:rStyle w:val="Hyperlink"/>
            <w:noProof/>
          </w:rPr>
          <w:t>Style conventions</w:t>
        </w:r>
        <w:r w:rsidR="007F4ECD">
          <w:rPr>
            <w:noProof/>
            <w:webHidden/>
          </w:rPr>
          <w:tab/>
        </w:r>
        <w:r w:rsidR="007F4ECD">
          <w:rPr>
            <w:noProof/>
            <w:webHidden/>
          </w:rPr>
          <w:fldChar w:fldCharType="begin" w:fldLock="1"/>
        </w:r>
        <w:r w:rsidR="007F4ECD">
          <w:rPr>
            <w:noProof/>
            <w:webHidden/>
          </w:rPr>
          <w:instrText xml:space="preserve"> PAGEREF _Toc508201409 \h </w:instrText>
        </w:r>
        <w:r w:rsidR="007F4ECD">
          <w:rPr>
            <w:noProof/>
            <w:webHidden/>
          </w:rPr>
        </w:r>
        <w:r w:rsidR="007F4ECD">
          <w:rPr>
            <w:noProof/>
            <w:webHidden/>
          </w:rPr>
          <w:fldChar w:fldCharType="separate"/>
        </w:r>
        <w:r w:rsidR="00FF6398">
          <w:rPr>
            <w:noProof/>
            <w:webHidden/>
          </w:rPr>
          <w:t>57</w:t>
        </w:r>
        <w:r w:rsidR="007F4ECD">
          <w:rPr>
            <w:noProof/>
            <w:webHidden/>
          </w:rPr>
          <w:fldChar w:fldCharType="end"/>
        </w:r>
      </w:hyperlink>
    </w:p>
    <w:p w:rsidR="00F20535" w:rsidRDefault="00F20535" w:rsidP="005F056D">
      <w:r>
        <w:fldChar w:fldCharType="end"/>
      </w:r>
    </w:p>
    <w:p w:rsidR="00F20535" w:rsidRDefault="00F20535" w:rsidP="005F056D"/>
    <w:p w:rsidR="00F20535" w:rsidRDefault="00F20535" w:rsidP="00F83173"/>
    <w:p w:rsidR="00F20535" w:rsidRDefault="00F20535" w:rsidP="00F71032">
      <w:pPr>
        <w:sectPr w:rsidR="00F20535" w:rsidSect="00FF6398">
          <w:pgSz w:w="11906" w:h="16838" w:code="9"/>
          <w:pgMar w:top="1134" w:right="1134" w:bottom="1134" w:left="1134" w:header="624" w:footer="567" w:gutter="0"/>
          <w:cols w:sep="1" w:space="567"/>
          <w:docGrid w:linePitch="360"/>
        </w:sectPr>
      </w:pPr>
    </w:p>
    <w:p w:rsidR="00F20535" w:rsidRDefault="00F20535" w:rsidP="00A13F11">
      <w:pPr>
        <w:pStyle w:val="ChapterHeading"/>
      </w:pPr>
      <w:bookmarkStart w:id="3" w:name="_Toc472072539"/>
      <w:bookmarkStart w:id="4" w:name="_Toc508201385"/>
      <w:r>
        <w:lastRenderedPageBreak/>
        <w:t>Chapter 1 – Mid-year results for the State of Victoria, including the general government sector</w:t>
      </w:r>
      <w:bookmarkEnd w:id="3"/>
      <w:bookmarkEnd w:id="4"/>
    </w:p>
    <w:p w:rsidR="00F20535" w:rsidRDefault="00F20535">
      <w:pPr>
        <w:sectPr w:rsidR="00F20535" w:rsidSect="00837B8C">
          <w:footerReference w:type="even" r:id="rId22"/>
          <w:footerReference w:type="default" r:id="rId23"/>
          <w:type w:val="oddPage"/>
          <w:pgSz w:w="11907" w:h="16839" w:code="9"/>
          <w:pgMar w:top="1134" w:right="1134" w:bottom="1134" w:left="1134" w:header="624" w:footer="567" w:gutter="0"/>
          <w:pgNumType w:start="1"/>
          <w:cols w:sep="1" w:space="567"/>
          <w:docGrid w:linePitch="360"/>
        </w:sectPr>
      </w:pPr>
    </w:p>
    <w:p w:rsidR="00F20535" w:rsidRDefault="00F20535" w:rsidP="000C30FB">
      <w:r w:rsidRPr="00360D68">
        <w:lastRenderedPageBreak/>
        <w:t xml:space="preserve">The </w:t>
      </w:r>
      <w:r>
        <w:rPr>
          <w:i/>
        </w:rPr>
        <w:t xml:space="preserve">2017-18 Mid-Year Financial Report </w:t>
      </w:r>
      <w:r w:rsidRPr="00360D68">
        <w:t>presents the financial results for the State of Victoria, including the general government s</w:t>
      </w:r>
      <w:r>
        <w:t>ector, for the six months to 31 </w:t>
      </w:r>
      <w:r w:rsidRPr="00360D68">
        <w:t xml:space="preserve">December </w:t>
      </w:r>
      <w:r>
        <w:t>2017</w:t>
      </w:r>
      <w:r w:rsidRPr="00360D68">
        <w:t xml:space="preserve">. The report has been prepared in accordance with the </w:t>
      </w:r>
      <w:r w:rsidRPr="00360D68">
        <w:rPr>
          <w:i/>
        </w:rPr>
        <w:t>Financial Management Act 1994</w:t>
      </w:r>
      <w:r w:rsidRPr="00360D68">
        <w:t xml:space="preserve"> and applicable accounting standards.</w:t>
      </w:r>
    </w:p>
    <w:p w:rsidR="00F20535" w:rsidRDefault="00F20535" w:rsidP="000C30FB">
      <w:r>
        <w:t xml:space="preserve">The actual results in this report are compared with the revised budget estimates in the </w:t>
      </w:r>
      <w:r>
        <w:rPr>
          <w:i/>
        </w:rPr>
        <w:t xml:space="preserve">2017-18 </w:t>
      </w:r>
      <w:r w:rsidRPr="00462BD8">
        <w:rPr>
          <w:i/>
        </w:rPr>
        <w:t>Budget Update</w:t>
      </w:r>
      <w:r>
        <w:t>. The likely 2017-18</w:t>
      </w:r>
      <w:r w:rsidRPr="008111AA">
        <w:t xml:space="preserve"> full year results cannot be</w:t>
      </w:r>
      <w:r>
        <w:t xml:space="preserve"> extrapolated from the half-</w:t>
      </w:r>
      <w:r w:rsidRPr="008111AA">
        <w:t>year results due to seasonal and other factors impacting on the timing of activity and transactions. In part</w:t>
      </w:r>
      <w:r>
        <w:t xml:space="preserve">icular, they do not include </w:t>
      </w:r>
      <w:r w:rsidRPr="008111AA">
        <w:t xml:space="preserve">significant revenue items </w:t>
      </w:r>
      <w:r>
        <w:t xml:space="preserve">that are expected to be </w:t>
      </w:r>
      <w:r w:rsidRPr="008111AA">
        <w:t>recognised in the seco</w:t>
      </w:r>
      <w:r>
        <w:t>nd half of the financial year. For example, l</w:t>
      </w:r>
      <w:r w:rsidRPr="008111AA">
        <w:t>and tax revenue is mainly recognised in the March quarter, and certain grant revenue from the Commonwealth Government is expe</w:t>
      </w:r>
      <w:r>
        <w:t>cted to be received later in the financial</w:t>
      </w:r>
      <w:r w:rsidRPr="008111AA">
        <w:t xml:space="preserve"> year.</w:t>
      </w:r>
    </w:p>
    <w:p w:rsidR="00F20535" w:rsidRDefault="00F20535" w:rsidP="000C30FB">
      <w:r>
        <w:t>The State comprises the general government sector, the public non-financial corporations (PNFC) sector and the public financial corporations (PFC) sector.</w:t>
      </w:r>
    </w:p>
    <w:p w:rsidR="00F20535" w:rsidRDefault="00F20535" w:rsidP="000C30FB">
      <w:pPr>
        <w:rPr>
          <w:rFonts w:ascii="Garamond" w:hAnsi="Garamond"/>
        </w:rPr>
      </w:pPr>
      <w:r>
        <w:rPr>
          <w:rFonts w:ascii="Garamond" w:hAnsi="Garamond"/>
        </w:rPr>
        <w:t>The general government sector consists of all government departments and other controlled public sector agencies that are largely financed by State taxes and Commonwealth grants. The general government sector is primarily responsible for delivering government policy as set out in the annual budget.</w:t>
      </w:r>
    </w:p>
    <w:p w:rsidR="00F20535" w:rsidRDefault="00F20535" w:rsidP="000C30FB">
      <w:pPr>
        <w:rPr>
          <w:rFonts w:ascii="Garamond" w:hAnsi="Garamond"/>
        </w:rPr>
      </w:pPr>
      <w:r>
        <w:rPr>
          <w:rFonts w:ascii="Garamond" w:hAnsi="Garamond"/>
        </w:rPr>
        <w:t>The PNFC and PFC sectors comprise a wide range of entities that provide goods and services through commercial cost recovery principles via user charges and fees. The largest Victorian PNFCs provide water, housing and transport services. Victorian PFCs can be categorised into two broad types: those that service the general public and businesses (such as the statutory insurers), and those that provide financial services to other areas of government including investing and borrowing functions.</w:t>
      </w:r>
    </w:p>
    <w:p w:rsidR="00F20535" w:rsidRDefault="00F20535" w:rsidP="000C30FB">
      <w:pPr>
        <w:rPr>
          <w:rFonts w:ascii="Garamond" w:hAnsi="Garamond"/>
        </w:rPr>
      </w:pPr>
      <w:r>
        <w:rPr>
          <w:rFonts w:ascii="Garamond" w:hAnsi="Garamond"/>
        </w:rPr>
        <w:t>Due to transactions between the different sectors, not all transactions in each sector affect the overall State of Victoria outcome.</w:t>
      </w:r>
    </w:p>
    <w:p w:rsidR="00F20535" w:rsidRDefault="00F20535" w:rsidP="000C30FB">
      <w:pPr>
        <w:rPr>
          <w:rFonts w:ascii="Garamond" w:hAnsi="Garamond"/>
        </w:rPr>
      </w:pPr>
      <w:r>
        <w:rPr>
          <w:rFonts w:ascii="Garamond" w:hAnsi="Garamond"/>
        </w:rPr>
        <w:br w:type="column"/>
      </w:r>
      <w:r>
        <w:rPr>
          <w:rFonts w:ascii="Garamond" w:hAnsi="Garamond"/>
        </w:rPr>
        <w:lastRenderedPageBreak/>
        <w:t xml:space="preserve">For the period to 31 December 2017, the general government sector recorded a positive net result from </w:t>
      </w:r>
      <w:r w:rsidRPr="00880745">
        <w:rPr>
          <w:rFonts w:ascii="Garamond" w:hAnsi="Garamond"/>
        </w:rPr>
        <w:t>transactions of $950 m</w:t>
      </w:r>
      <w:r>
        <w:rPr>
          <w:rFonts w:ascii="Garamond" w:hAnsi="Garamond"/>
        </w:rPr>
        <w:t>illion.</w:t>
      </w:r>
    </w:p>
    <w:p w:rsidR="00F20535" w:rsidRDefault="00F20535" w:rsidP="00CA6CEE">
      <w:pPr>
        <w:pStyle w:val="Heading10"/>
      </w:pPr>
      <w:bookmarkStart w:id="5" w:name="_Toc508201386"/>
      <w:r>
        <w:t>Overview</w:t>
      </w:r>
      <w:bookmarkEnd w:id="5"/>
    </w:p>
    <w:p w:rsidR="00F20535" w:rsidRDefault="00F20535" w:rsidP="000C30FB">
      <w:r>
        <w:t>Victoria</w:t>
      </w:r>
      <w:r w:rsidR="007F4ECD">
        <w:t>’</w:t>
      </w:r>
      <w:r>
        <w:t>s</w:t>
      </w:r>
      <w:r w:rsidRPr="00104A54">
        <w:t xml:space="preserve"> state final demand grew by 4.7 per cent over the year to the September quarter, the highest annual growth rate among the states. Growth was supported by household consumption, business investment and public investment</w:t>
      </w:r>
      <w:r>
        <w:t>. In 2017, annual average employment in Victoria</w:t>
      </w:r>
      <w:r w:rsidRPr="00104A54">
        <w:t xml:space="preserve"> </w:t>
      </w:r>
      <w:r>
        <w:t>increased by 3.4 per cent.</w:t>
      </w:r>
      <w:r w:rsidRPr="00104A54">
        <w:t xml:space="preserve"> </w:t>
      </w:r>
      <w:r>
        <w:t>P</w:t>
      </w:r>
      <w:r w:rsidRPr="00104A54">
        <w:t>opulation growth of 2.3 per cent over the year to June was the highest of all the states. Victoria</w:t>
      </w:r>
      <w:r w:rsidR="007F4ECD">
        <w:t>’</w:t>
      </w:r>
      <w:r w:rsidRPr="00104A54">
        <w:t xml:space="preserve">s economic outlook remains positive, </w:t>
      </w:r>
      <w:r>
        <w:t>underpinned</w:t>
      </w:r>
      <w:r w:rsidRPr="00104A54">
        <w:t xml:space="preserve"> by solid population and employment growth. The risks to the outlook are balanced. The potential for further strength in population growth and the labour market broadly offsets the downside risks from high household debt and weak income growth. Nevertheless, Victoria</w:t>
      </w:r>
      <w:r w:rsidR="007F4ECD">
        <w:t>’</w:t>
      </w:r>
      <w:r>
        <w:t>s balanced economy and the G</w:t>
      </w:r>
      <w:r w:rsidRPr="00104A54">
        <w:t>overnment</w:t>
      </w:r>
      <w:r w:rsidR="007F4ECD">
        <w:t>’</w:t>
      </w:r>
      <w:r w:rsidRPr="00104A54">
        <w:t>s strong financial position leaves the Sta</w:t>
      </w:r>
      <w:r>
        <w:t xml:space="preserve">te well placed to deal with </w:t>
      </w:r>
      <w:r w:rsidRPr="00104A54">
        <w:t>unforeseen developments.</w:t>
      </w:r>
    </w:p>
    <w:p w:rsidR="00F20535" w:rsidRDefault="00F20535" w:rsidP="000C30FB">
      <w:pPr>
        <w:rPr>
          <w:rFonts w:ascii="Garamond" w:hAnsi="Garamond"/>
        </w:rPr>
      </w:pPr>
      <w:r>
        <w:rPr>
          <w:rFonts w:ascii="Garamond" w:hAnsi="Garamond"/>
        </w:rPr>
        <w:t>The State</w:t>
      </w:r>
      <w:r w:rsidR="007F4ECD">
        <w:rPr>
          <w:rFonts w:ascii="Garamond" w:hAnsi="Garamond"/>
        </w:rPr>
        <w:t>’</w:t>
      </w:r>
      <w:r>
        <w:rPr>
          <w:rFonts w:ascii="Garamond" w:hAnsi="Garamond"/>
        </w:rPr>
        <w:t xml:space="preserve">s net infrastructure investment for the period to 31 December 2017 was $5.5 billion, mainly in the general government and the PNFC sectors. This investment in funded by cash flows from operating activities and borrowings. Net cash flows from operating activities for the State for the period to 31 December 2017 were $3.5 billion. This is lower than the previous half year, which included the </w:t>
      </w:r>
      <w:r>
        <w:t>proceeds from the lease of the Port of Melbourne.</w:t>
      </w:r>
    </w:p>
    <w:p w:rsidR="00F20535" w:rsidRDefault="00F20535" w:rsidP="000C30FB">
      <w:pPr>
        <w:rPr>
          <w:rFonts w:ascii="Garamond" w:hAnsi="Garamond"/>
        </w:rPr>
      </w:pPr>
      <w:r>
        <w:rPr>
          <w:rFonts w:ascii="Garamond" w:hAnsi="Garamond"/>
        </w:rPr>
        <w:t xml:space="preserve">The non-financial public sector (NFPS) represents the general government sector and the PNFC sector after eliminating transactions between the two sectors. </w:t>
      </w:r>
    </w:p>
    <w:p w:rsidR="00F20535" w:rsidRDefault="00F20535" w:rsidP="000C30FB">
      <w:pPr>
        <w:rPr>
          <w:rFonts w:ascii="Garamond" w:hAnsi="Garamond"/>
        </w:rPr>
      </w:pPr>
      <w:r>
        <w:rPr>
          <w:rFonts w:ascii="Garamond" w:hAnsi="Garamond"/>
        </w:rPr>
        <w:t>Net debt for the NFPS was $33.4 billion, or 7.8 per cent of gross state product (GSP), at 31 December 2017 (7.3 per cent as at 30 June 2017) reflecting an increase in borrowings to fund the NFPS capital program.</w:t>
      </w:r>
    </w:p>
    <w:p w:rsidR="00F20535" w:rsidRDefault="00F20535" w:rsidP="000C30FB">
      <w:pPr>
        <w:rPr>
          <w:rFonts w:ascii="Garamond" w:hAnsi="Garamond"/>
        </w:rPr>
      </w:pPr>
    </w:p>
    <w:p w:rsidR="00F20535" w:rsidRPr="00A63743" w:rsidRDefault="00F20535" w:rsidP="000C30FB">
      <w:pPr>
        <w:rPr>
          <w:rFonts w:ascii="Garamond" w:hAnsi="Garamond"/>
        </w:rPr>
        <w:sectPr w:rsidR="00F20535" w:rsidRPr="00A63743" w:rsidSect="000C30FB">
          <w:footerReference w:type="even" r:id="rId24"/>
          <w:type w:val="continuous"/>
          <w:pgSz w:w="11907" w:h="16839" w:code="9"/>
          <w:pgMar w:top="1134" w:right="1134" w:bottom="1134" w:left="1134" w:header="624" w:footer="567" w:gutter="0"/>
          <w:cols w:num="2" w:space="567"/>
          <w:docGrid w:linePitch="360"/>
        </w:sectPr>
      </w:pPr>
    </w:p>
    <w:p w:rsidR="00F20535" w:rsidRDefault="00F20535" w:rsidP="00CA6CEE">
      <w:pPr>
        <w:pStyle w:val="Heading10"/>
      </w:pPr>
      <w:bookmarkStart w:id="6" w:name="_Toc508201387"/>
      <w:r>
        <w:lastRenderedPageBreak/>
        <w:t>Financial performance</w:t>
      </w:r>
      <w:bookmarkEnd w:id="6"/>
    </w:p>
    <w:p w:rsidR="00F20535" w:rsidRDefault="00F20535" w:rsidP="000C30FB">
      <w:pPr>
        <w:sectPr w:rsidR="00F20535" w:rsidSect="000C30FB">
          <w:headerReference w:type="even" r:id="rId25"/>
          <w:footerReference w:type="even" r:id="rId26"/>
          <w:type w:val="continuous"/>
          <w:pgSz w:w="11907" w:h="16839" w:code="9"/>
          <w:pgMar w:top="1134" w:right="1134" w:bottom="1134" w:left="1134" w:header="624" w:footer="567" w:gutter="0"/>
          <w:cols w:sep="1" w:space="567"/>
          <w:docGrid w:linePitch="360"/>
        </w:sectPr>
      </w:pPr>
    </w:p>
    <w:p w:rsidR="00F20535" w:rsidRDefault="00F20535" w:rsidP="000C30FB">
      <w:r>
        <w:lastRenderedPageBreak/>
        <w:t xml:space="preserve">For the six months to 31 December 2017, the general government sector recorded a positive net result from </w:t>
      </w:r>
      <w:r w:rsidRPr="00880745">
        <w:t>transactions of $950 million. This is lower than the $1.4 billion net result from transactions for the same period</w:t>
      </w:r>
      <w:r>
        <w:t xml:space="preserve"> last year, primarily due to the</w:t>
      </w:r>
      <w:r w:rsidRPr="00DE5874">
        <w:t xml:space="preserve"> </w:t>
      </w:r>
      <w:r>
        <w:t>one-off prepayment of port licence fees received in 2016 as part of the lease of the Port of Melbourne.</w:t>
      </w:r>
    </w:p>
    <w:p w:rsidR="00F20535" w:rsidRDefault="00F20535" w:rsidP="000C30FB">
      <w:r w:rsidRPr="00437564">
        <w:lastRenderedPageBreak/>
        <w:t>The net result for the State was a surplus of $2.1 billion</w:t>
      </w:r>
      <w:r>
        <w:t xml:space="preserve">. This was </w:t>
      </w:r>
      <w:r w:rsidRPr="00437564">
        <w:t>lower than the $5.6 billion net result for the</w:t>
      </w:r>
      <w:r>
        <w:t xml:space="preserve"> same period last year, </w:t>
      </w:r>
      <w:r w:rsidRPr="00437564">
        <w:t xml:space="preserve">primarily due to </w:t>
      </w:r>
      <w:r>
        <w:t xml:space="preserve">lower </w:t>
      </w:r>
      <w:r w:rsidRPr="00437564">
        <w:t>valuation gains on insurance claims liabilities and relatively modest gains in the valuation of T</w:t>
      </w:r>
      <w:r>
        <w:t xml:space="preserve">reasury </w:t>
      </w:r>
      <w:r w:rsidRPr="00437564">
        <w:t>C</w:t>
      </w:r>
      <w:r>
        <w:t xml:space="preserve">orporation of </w:t>
      </w:r>
      <w:r w:rsidRPr="00437564">
        <w:t>V</w:t>
      </w:r>
      <w:r>
        <w:t xml:space="preserve">ictoria </w:t>
      </w:r>
      <w:r w:rsidRPr="00437564">
        <w:t>borrowings</w:t>
      </w:r>
      <w:r>
        <w:t xml:space="preserve">, </w:t>
      </w:r>
      <w:r w:rsidRPr="00437564">
        <w:t>compared to the previous half year.</w:t>
      </w:r>
      <w:r>
        <w:t xml:space="preserve"> </w:t>
      </w:r>
    </w:p>
    <w:p w:rsidR="00F20535" w:rsidRDefault="00F20535" w:rsidP="000C30FB"/>
    <w:p w:rsidR="00F20535" w:rsidRDefault="00F20535" w:rsidP="000C30FB">
      <w:pPr>
        <w:sectPr w:rsidR="00F20535" w:rsidSect="000C30FB">
          <w:type w:val="continuous"/>
          <w:pgSz w:w="11907" w:h="16839" w:code="9"/>
          <w:pgMar w:top="1134" w:right="1134" w:bottom="1134" w:left="1134" w:header="624" w:footer="567" w:gutter="0"/>
          <w:cols w:num="2" w:space="567"/>
          <w:docGrid w:linePitch="360"/>
        </w:sectPr>
      </w:pPr>
    </w:p>
    <w:p w:rsidR="00F20535" w:rsidRPr="00430382" w:rsidRDefault="00F20535" w:rsidP="007A2EDF">
      <w:pPr>
        <w:pStyle w:val="TableHeading"/>
        <w:rPr>
          <w:rFonts w:eastAsia="Times New Roman" w:cs="Times New Roman"/>
          <w:b w:val="0"/>
          <w:bCs/>
          <w:lang w:val="en-US"/>
        </w:rPr>
      </w:pPr>
      <w:r w:rsidRPr="00360D68">
        <w:lastRenderedPageBreak/>
        <w:t xml:space="preserve">Table 1.1: </w:t>
      </w:r>
      <w:r>
        <w:tab/>
      </w:r>
      <w:r w:rsidRPr="00A13F11">
        <w:t>Summary</w:t>
      </w:r>
      <w:r w:rsidRPr="00360D68">
        <w:t xml:space="preserve"> </w:t>
      </w:r>
      <w:r w:rsidRPr="007852B6">
        <w:t>comprehensive</w:t>
      </w:r>
      <w:r w:rsidRPr="00360D68">
        <w:t xml:space="preserve"> operating statement for the period ended 31 December</w:t>
      </w:r>
      <w:r>
        <w:t xml:space="preserve"> </w:t>
      </w:r>
      <w:r w:rsidRPr="00F11274">
        <w:rPr>
          <w:vertAlign w:val="superscript"/>
        </w:rPr>
        <w:t>(a)</w:t>
      </w:r>
      <w:r w:rsidRPr="00360D68">
        <w:tab/>
        <w:t>($</w:t>
      </w:r>
      <w:r>
        <w:t> million</w:t>
      </w:r>
      <w:r w:rsidRPr="00360D68">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2976"/>
        <w:gridCol w:w="850"/>
        <w:gridCol w:w="850"/>
        <w:gridCol w:w="850"/>
        <w:gridCol w:w="568"/>
        <w:gridCol w:w="1276"/>
        <w:gridCol w:w="850"/>
        <w:gridCol w:w="850"/>
        <w:gridCol w:w="567"/>
      </w:tblGrid>
      <w:tr w:rsidR="00F20535" w:rsidRPr="00430382"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shd w:val="solid" w:color="000000" w:fill="auto"/>
          </w:tcPr>
          <w:p w:rsidR="00F20535" w:rsidRPr="00430382" w:rsidRDefault="00F20535" w:rsidP="007A2EDF">
            <w:pPr>
              <w:autoSpaceDE w:val="0"/>
              <w:autoSpaceDN w:val="0"/>
              <w:adjustRightInd w:val="0"/>
              <w:rPr>
                <w:rFonts w:eastAsiaTheme="minorEastAsia" w:cs="Calibri"/>
                <w:iCs/>
                <w:color w:val="FFFFFF"/>
                <w:szCs w:val="22"/>
                <w:lang w:eastAsia="en-AU"/>
              </w:rPr>
            </w:pPr>
            <w:r w:rsidRPr="00430382">
              <w:rPr>
                <w:rFonts w:eastAsiaTheme="minorEastAsia" w:cs="Calibri"/>
                <w:iCs/>
                <w:color w:val="FFFFFF"/>
                <w:szCs w:val="22"/>
                <w:lang w:eastAsia="en-AU"/>
              </w:rPr>
              <w:t xml:space="preserve"> </w:t>
            </w:r>
          </w:p>
        </w:tc>
        <w:tc>
          <w:tcPr>
            <w:tcW w:w="3118" w:type="dxa"/>
            <w:gridSpan w:val="4"/>
            <w:tcBorders>
              <w:top w:val="nil"/>
              <w:left w:val="nil"/>
              <w:bottom w:val="nil"/>
              <w:right w:val="nil"/>
            </w:tcBorders>
            <w:shd w:val="solid" w:color="000000" w:fill="auto"/>
          </w:tcPr>
          <w:p w:rsidR="00F20535" w:rsidRPr="00430382"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430382">
              <w:rPr>
                <w:rFonts w:eastAsiaTheme="minorEastAsia" w:cs="Calibri"/>
                <w:iCs/>
                <w:color w:val="FFFFFF"/>
                <w:szCs w:val="18"/>
                <w:lang w:eastAsia="en-AU"/>
              </w:rPr>
              <w:t>State of Victoria</w:t>
            </w:r>
          </w:p>
        </w:tc>
        <w:tc>
          <w:tcPr>
            <w:tcW w:w="3543" w:type="dxa"/>
            <w:gridSpan w:val="4"/>
            <w:tcBorders>
              <w:top w:val="nil"/>
              <w:left w:val="nil"/>
              <w:bottom w:val="nil"/>
              <w:right w:val="nil"/>
            </w:tcBorders>
            <w:shd w:val="solid" w:color="000000" w:fill="auto"/>
          </w:tcPr>
          <w:p w:rsidR="00F20535" w:rsidRPr="00430382"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430382">
              <w:rPr>
                <w:rFonts w:eastAsiaTheme="minorEastAsia" w:cs="Calibri"/>
                <w:iCs/>
                <w:color w:val="FFFFFF"/>
                <w:szCs w:val="18"/>
                <w:lang w:eastAsia="en-AU"/>
              </w:rPr>
              <w:t>General government sector</w:t>
            </w:r>
          </w:p>
        </w:tc>
      </w:tr>
      <w:tr w:rsidR="00FD1166" w:rsidRPr="00430382" w:rsidTr="007F4ECD">
        <w:trPr>
          <w:cnfStyle w:val="100000000000" w:firstRow="1" w:lastRow="0" w:firstColumn="0" w:lastColumn="0" w:oddVBand="0" w:evenVBand="0" w:oddHBand="0" w:evenHBand="0" w:firstRowFirstColumn="0" w:firstRowLastColumn="0" w:lastRowFirstColumn="0" w:lastRowLastColumn="0"/>
          <w:trHeight w:val="486"/>
          <w:tblHeader/>
        </w:trPr>
        <w:tc>
          <w:tcPr>
            <w:cnfStyle w:val="001000000000" w:firstRow="0" w:lastRow="0" w:firstColumn="1" w:lastColumn="0" w:oddVBand="0" w:evenVBand="0" w:oddHBand="0" w:evenHBand="0" w:firstRowFirstColumn="0" w:firstRowLastColumn="0" w:lastRowFirstColumn="0" w:lastRowLastColumn="0"/>
            <w:tcW w:w="2976" w:type="dxa"/>
            <w:tcBorders>
              <w:top w:val="nil"/>
              <w:left w:val="nil"/>
              <w:right w:val="nil"/>
            </w:tcBorders>
            <w:shd w:val="solid" w:color="000000" w:fill="auto"/>
          </w:tcPr>
          <w:p w:rsidR="00FD1166" w:rsidRPr="00FD1166" w:rsidRDefault="00FD1166" w:rsidP="00FD1166">
            <w:pPr>
              <w:autoSpaceDE w:val="0"/>
              <w:autoSpaceDN w:val="0"/>
              <w:adjustRightInd w:val="0"/>
              <w:spacing w:before="0" w:after="0"/>
              <w:rPr>
                <w:rFonts w:eastAsiaTheme="minorEastAsia" w:cs="Calibri"/>
                <w:i w:val="0"/>
                <w:iCs/>
                <w:color w:val="FFFFFF"/>
                <w:szCs w:val="22"/>
                <w:lang w:eastAsia="en-AU"/>
              </w:rPr>
            </w:pPr>
            <w:r w:rsidRPr="00430382">
              <w:rPr>
                <w:rFonts w:eastAsiaTheme="minorEastAsia" w:cs="Calibri"/>
                <w:iCs/>
                <w:color w:val="FFFFFF"/>
                <w:szCs w:val="22"/>
                <w:lang w:eastAsia="en-AU"/>
              </w:rPr>
              <w:t xml:space="preserve"> </w:t>
            </w:r>
          </w:p>
        </w:tc>
        <w:tc>
          <w:tcPr>
            <w:tcW w:w="850" w:type="dxa"/>
            <w:tcBorders>
              <w:top w:val="nil"/>
              <w:left w:val="nil"/>
              <w:right w:val="nil"/>
            </w:tcBorders>
            <w:shd w:val="solid" w:color="000000" w:fill="auto"/>
          </w:tcPr>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2016-17</w:t>
            </w:r>
            <w:r>
              <w:rPr>
                <w:rFonts w:eastAsiaTheme="minorEastAsia" w:cs="Calibri"/>
                <w:iCs/>
                <w:color w:val="FFFFFF"/>
                <w:szCs w:val="16"/>
                <w:lang w:eastAsia="en-AU"/>
              </w:rPr>
              <w:br/>
            </w:r>
            <w:r w:rsidRPr="00430382">
              <w:rPr>
                <w:rFonts w:eastAsiaTheme="minorEastAsia" w:cs="Calibri"/>
                <w:iCs/>
                <w:color w:val="FFFFFF"/>
                <w:szCs w:val="16"/>
                <w:lang w:eastAsia="en-AU"/>
              </w:rPr>
              <w:t>actual</w:t>
            </w:r>
            <w:r>
              <w:rPr>
                <w:rFonts w:eastAsiaTheme="minorEastAsia" w:cs="Calibri"/>
                <w:iCs/>
                <w:color w:val="FFFFFF"/>
                <w:szCs w:val="16"/>
                <w:lang w:eastAsia="en-AU"/>
              </w:rPr>
              <w:br/>
            </w:r>
            <w:r w:rsidRPr="00430382">
              <w:rPr>
                <w:rFonts w:eastAsiaTheme="minorEastAsia" w:cs="Calibri"/>
                <w:iCs/>
                <w:color w:val="FFFFFF"/>
                <w:szCs w:val="16"/>
                <w:lang w:eastAsia="en-AU"/>
              </w:rPr>
              <w:t>to Dec</w:t>
            </w:r>
          </w:p>
        </w:tc>
        <w:tc>
          <w:tcPr>
            <w:tcW w:w="850" w:type="dxa"/>
            <w:tcBorders>
              <w:top w:val="nil"/>
              <w:left w:val="nil"/>
              <w:right w:val="nil"/>
            </w:tcBorders>
            <w:shd w:val="solid" w:color="000000" w:fill="auto"/>
          </w:tcPr>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2017-18</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actual</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to Dec</w:t>
            </w:r>
          </w:p>
        </w:tc>
        <w:tc>
          <w:tcPr>
            <w:tcW w:w="850" w:type="dxa"/>
            <w:tcBorders>
              <w:top w:val="nil"/>
              <w:left w:val="nil"/>
              <w:right w:val="nil"/>
            </w:tcBorders>
            <w:shd w:val="solid" w:color="000000" w:fill="auto"/>
          </w:tcPr>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2017-18</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revised</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estimate</w:t>
            </w:r>
          </w:p>
        </w:tc>
        <w:tc>
          <w:tcPr>
            <w:tcW w:w="568" w:type="dxa"/>
            <w:tcBorders>
              <w:top w:val="nil"/>
              <w:left w:val="nil"/>
              <w:right w:val="nil"/>
            </w:tcBorders>
            <w:shd w:val="solid" w:color="000000" w:fill="auto"/>
          </w:tcPr>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 xml:space="preserve">% </w:t>
            </w:r>
            <w:r w:rsidRPr="00430382">
              <w:rPr>
                <w:rFonts w:eastAsiaTheme="minorEastAsia" w:cs="Calibri"/>
                <w:iCs/>
                <w:color w:val="FFFFFF"/>
                <w:szCs w:val="16"/>
                <w:vertAlign w:val="superscript"/>
                <w:lang w:eastAsia="en-AU"/>
              </w:rPr>
              <w:t>(b)</w:t>
            </w:r>
            <w:r w:rsidRPr="00430382">
              <w:rPr>
                <w:rFonts w:eastAsiaTheme="minorEastAsia" w:cs="Calibri"/>
                <w:iCs/>
                <w:color w:val="FFFFFF"/>
                <w:szCs w:val="16"/>
                <w:lang w:eastAsia="en-AU"/>
              </w:rPr>
              <w:t xml:space="preserve"> </w:t>
            </w:r>
          </w:p>
        </w:tc>
        <w:tc>
          <w:tcPr>
            <w:tcW w:w="1276" w:type="dxa"/>
            <w:tcBorders>
              <w:top w:val="nil"/>
              <w:left w:val="nil"/>
              <w:right w:val="nil"/>
            </w:tcBorders>
            <w:shd w:val="solid" w:color="000000" w:fill="auto"/>
          </w:tcPr>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2016-17</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actual</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to Dec</w:t>
            </w:r>
          </w:p>
        </w:tc>
        <w:tc>
          <w:tcPr>
            <w:tcW w:w="850" w:type="dxa"/>
            <w:tcBorders>
              <w:top w:val="nil"/>
              <w:left w:val="nil"/>
              <w:right w:val="nil"/>
            </w:tcBorders>
            <w:shd w:val="solid" w:color="000000" w:fill="auto"/>
          </w:tcPr>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2017-18</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actual</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to Dec</w:t>
            </w:r>
          </w:p>
        </w:tc>
        <w:tc>
          <w:tcPr>
            <w:tcW w:w="850" w:type="dxa"/>
            <w:tcBorders>
              <w:top w:val="nil"/>
              <w:left w:val="nil"/>
              <w:right w:val="nil"/>
            </w:tcBorders>
            <w:shd w:val="solid" w:color="000000" w:fill="auto"/>
          </w:tcPr>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2017-18</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revised</w:t>
            </w:r>
          </w:p>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estimate</w:t>
            </w:r>
          </w:p>
        </w:tc>
        <w:tc>
          <w:tcPr>
            <w:tcW w:w="567" w:type="dxa"/>
            <w:tcBorders>
              <w:top w:val="nil"/>
              <w:left w:val="nil"/>
              <w:right w:val="nil"/>
            </w:tcBorders>
            <w:shd w:val="solid" w:color="000000" w:fill="auto"/>
          </w:tcPr>
          <w:p w:rsidR="00FD1166" w:rsidRPr="00430382" w:rsidRDefault="00FD1166" w:rsidP="00FD1166">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 xml:space="preserve">% </w:t>
            </w:r>
            <w:r w:rsidRPr="00430382">
              <w:rPr>
                <w:rFonts w:eastAsiaTheme="minorEastAsia" w:cs="Calibri"/>
                <w:iCs/>
                <w:color w:val="FFFFFF"/>
                <w:szCs w:val="16"/>
                <w:vertAlign w:val="superscript"/>
                <w:lang w:eastAsia="en-AU"/>
              </w:rPr>
              <w:t>(b)</w:t>
            </w:r>
            <w:r w:rsidRPr="00430382">
              <w:rPr>
                <w:rFonts w:eastAsiaTheme="minorEastAsia" w:cs="Calibri"/>
                <w:iCs/>
                <w:color w:val="FFFFFF"/>
                <w:szCs w:val="16"/>
                <w:lang w:eastAsia="en-AU"/>
              </w:rPr>
              <w:t xml:space="preserve"> </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b/>
                <w:bCs/>
                <w:color w:val="000000"/>
                <w:szCs w:val="18"/>
                <w:lang w:eastAsia="en-AU"/>
              </w:rPr>
            </w:pPr>
            <w:r w:rsidRPr="00430382">
              <w:rPr>
                <w:rFonts w:eastAsiaTheme="minorEastAsia" w:cs="Calibri"/>
                <w:b/>
                <w:bCs/>
                <w:color w:val="000000"/>
                <w:szCs w:val="18"/>
                <w:lang w:eastAsia="en-AU"/>
              </w:rPr>
              <w:t>Revenue from transactions</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Taxation revenue</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10 467</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10 524</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21 794</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10 662</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10 708</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22 175</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Interest revenue</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327</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337</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797</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375</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415</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906</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46</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Dividends and income tax equivalent and rate equivalent revenue</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536</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867</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1 217</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438</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433</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1 269</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Sales of goods and services</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7 063</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7 338</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15 151</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3 416</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3 637</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7 261</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Grant revenue</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13 285</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14 119</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29 429</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13 318</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14 227</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30 221</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single" w:sz="6" w:space="0" w:color="000000"/>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Other revenue</w:t>
            </w:r>
          </w:p>
        </w:tc>
        <w:tc>
          <w:tcPr>
            <w:tcW w:w="850"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1 646</w:t>
            </w:r>
          </w:p>
        </w:tc>
        <w:tc>
          <w:tcPr>
            <w:tcW w:w="850"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1 599</w:t>
            </w:r>
          </w:p>
        </w:tc>
        <w:tc>
          <w:tcPr>
            <w:tcW w:w="850"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3 206</w:t>
            </w:r>
          </w:p>
        </w:tc>
        <w:tc>
          <w:tcPr>
            <w:tcW w:w="568"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w:t>
            </w:r>
          </w:p>
        </w:tc>
        <w:tc>
          <w:tcPr>
            <w:tcW w:w="1276"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1 288</w:t>
            </w:r>
          </w:p>
        </w:tc>
        <w:tc>
          <w:tcPr>
            <w:tcW w:w="850"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1 170</w:t>
            </w:r>
          </w:p>
        </w:tc>
        <w:tc>
          <w:tcPr>
            <w:tcW w:w="850"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2 554</w:t>
            </w:r>
          </w:p>
        </w:tc>
        <w:tc>
          <w:tcPr>
            <w:tcW w:w="567"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46</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b/>
                <w:bCs/>
                <w:color w:val="000000"/>
                <w:szCs w:val="18"/>
                <w:lang w:eastAsia="en-AU"/>
              </w:rPr>
            </w:pPr>
            <w:r w:rsidRPr="00430382">
              <w:rPr>
                <w:rFonts w:eastAsiaTheme="minorEastAsia" w:cs="Calibri"/>
                <w:b/>
                <w:bCs/>
                <w:color w:val="000000"/>
                <w:szCs w:val="18"/>
                <w:lang w:eastAsia="en-AU"/>
              </w:rPr>
              <w:t>Total revenue from transactions</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33 325</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34 783</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71 594</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49</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29 498</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30 591</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64 386</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48</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b/>
                <w:bCs/>
                <w:color w:val="000000"/>
                <w:szCs w:val="18"/>
                <w:lang w:eastAsia="en-AU"/>
              </w:rPr>
            </w:pPr>
            <w:r w:rsidRPr="00430382">
              <w:rPr>
                <w:rFonts w:eastAsiaTheme="minorEastAsia" w:cs="Calibri"/>
                <w:b/>
                <w:bCs/>
                <w:color w:val="000000"/>
                <w:szCs w:val="18"/>
                <w:lang w:eastAsia="en-AU"/>
              </w:rPr>
              <w:t>Expenses from transactions</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 xml:space="preserve"> </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Employee expenses</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10 977</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11 875</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24 272</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10 436</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11 296</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23 094</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Net superannuation interest expense</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349</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714</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349</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714</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Other superannuation</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1 215</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1 328</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2 641</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1 148</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1 255</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2 495</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Depreciation</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2 406</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2 478</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5 056</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1 256</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1 312</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2 734</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Interest expense</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1 373</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1 346</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2 722</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1 012</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1 009</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2 286</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44</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Grant expense</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3 608</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3 446</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7 505</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46</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4 924</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5 064</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10 792</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Other operating expenses</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12 991</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13 905</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30 203</w:t>
            </w:r>
          </w:p>
        </w:tc>
        <w:tc>
          <w:tcPr>
            <w:tcW w:w="568"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46</w:t>
            </w:r>
          </w:p>
        </w:tc>
        <w:tc>
          <w:tcPr>
            <w:tcW w:w="127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8 987</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9 344</w:t>
            </w:r>
          </w:p>
        </w:tc>
        <w:tc>
          <w:tcPr>
            <w:tcW w:w="850"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20 558</w:t>
            </w:r>
          </w:p>
        </w:tc>
        <w:tc>
          <w:tcPr>
            <w:tcW w:w="56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single" w:sz="6" w:space="0" w:color="000000"/>
              <w:left w:val="nil"/>
              <w:bottom w:val="nil"/>
              <w:right w:val="nil"/>
            </w:tcBorders>
          </w:tcPr>
          <w:p w:rsidR="00F20535" w:rsidRPr="00430382" w:rsidRDefault="00F20535" w:rsidP="007A2EDF">
            <w:pPr>
              <w:autoSpaceDE w:val="0"/>
              <w:autoSpaceDN w:val="0"/>
              <w:adjustRightInd w:val="0"/>
              <w:rPr>
                <w:rFonts w:eastAsiaTheme="minorEastAsia" w:cs="Calibri"/>
                <w:b/>
                <w:bCs/>
                <w:color w:val="000000"/>
                <w:szCs w:val="18"/>
                <w:lang w:eastAsia="en-AU"/>
              </w:rPr>
            </w:pPr>
            <w:r w:rsidRPr="00430382">
              <w:rPr>
                <w:rFonts w:eastAsiaTheme="minorEastAsia" w:cs="Calibri"/>
                <w:b/>
                <w:bCs/>
                <w:color w:val="000000"/>
                <w:szCs w:val="18"/>
                <w:lang w:eastAsia="en-AU"/>
              </w:rPr>
              <w:t>Total expenses from transactions</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32 919</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34 739</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73 112</w:t>
            </w:r>
          </w:p>
        </w:tc>
        <w:tc>
          <w:tcPr>
            <w:tcW w:w="568"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48</w:t>
            </w:r>
          </w:p>
        </w:tc>
        <w:tc>
          <w:tcPr>
            <w:tcW w:w="1276"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28 111</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29 642</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62 673</w:t>
            </w:r>
          </w:p>
        </w:tc>
        <w:tc>
          <w:tcPr>
            <w:tcW w:w="567"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47</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single" w:sz="6" w:space="0" w:color="000000"/>
              <w:left w:val="nil"/>
              <w:bottom w:val="nil"/>
              <w:right w:val="nil"/>
            </w:tcBorders>
          </w:tcPr>
          <w:p w:rsidR="00F20535" w:rsidRPr="00430382" w:rsidRDefault="00F20535" w:rsidP="007A2EDF">
            <w:pPr>
              <w:autoSpaceDE w:val="0"/>
              <w:autoSpaceDN w:val="0"/>
              <w:adjustRightInd w:val="0"/>
              <w:rPr>
                <w:rFonts w:eastAsiaTheme="minorEastAsia" w:cs="Calibri"/>
                <w:b/>
                <w:bCs/>
                <w:color w:val="000000"/>
                <w:szCs w:val="18"/>
                <w:lang w:eastAsia="en-AU"/>
              </w:rPr>
            </w:pPr>
            <w:r w:rsidRPr="00430382">
              <w:rPr>
                <w:rFonts w:eastAsiaTheme="minorEastAsia" w:cs="Calibri"/>
                <w:b/>
                <w:bCs/>
                <w:color w:val="000000"/>
                <w:szCs w:val="18"/>
                <w:lang w:eastAsia="en-AU"/>
              </w:rPr>
              <w:t xml:space="preserve">Net result from transactions – </w:t>
            </w:r>
            <w:r>
              <w:rPr>
                <w:rFonts w:eastAsiaTheme="minorEastAsia" w:cs="Calibri"/>
                <w:b/>
                <w:bCs/>
                <w:color w:val="000000"/>
                <w:szCs w:val="18"/>
                <w:lang w:eastAsia="en-AU"/>
              </w:rPr>
              <w:br/>
            </w:r>
            <w:r w:rsidRPr="00430382">
              <w:rPr>
                <w:rFonts w:eastAsiaTheme="minorEastAsia" w:cs="Calibri"/>
                <w:b/>
                <w:bCs/>
                <w:color w:val="000000"/>
                <w:szCs w:val="18"/>
                <w:lang w:eastAsia="en-AU"/>
              </w:rPr>
              <w:t>net operating balance</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406</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44</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(1 518)</w:t>
            </w:r>
          </w:p>
        </w:tc>
        <w:tc>
          <w:tcPr>
            <w:tcW w:w="568"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(3)</w:t>
            </w:r>
          </w:p>
        </w:tc>
        <w:tc>
          <w:tcPr>
            <w:tcW w:w="1276"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1 387</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950</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1 713</w:t>
            </w:r>
          </w:p>
        </w:tc>
        <w:tc>
          <w:tcPr>
            <w:tcW w:w="567"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55</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single" w:sz="12" w:space="0" w:color="000000"/>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Total other economic flows included in net result</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5 190</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2 026</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2 373</w:t>
            </w:r>
          </w:p>
        </w:tc>
        <w:tc>
          <w:tcPr>
            <w:tcW w:w="568"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85</w:t>
            </w:r>
          </w:p>
        </w:tc>
        <w:tc>
          <w:tcPr>
            <w:tcW w:w="1276"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(161)</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(81)</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(253)</w:t>
            </w:r>
          </w:p>
        </w:tc>
        <w:tc>
          <w:tcPr>
            <w:tcW w:w="567"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single" w:sz="6" w:space="0" w:color="000000"/>
              <w:left w:val="nil"/>
              <w:bottom w:val="nil"/>
              <w:right w:val="nil"/>
            </w:tcBorders>
          </w:tcPr>
          <w:p w:rsidR="00F20535" w:rsidRPr="00430382" w:rsidRDefault="00F20535" w:rsidP="007A2EDF">
            <w:pPr>
              <w:autoSpaceDE w:val="0"/>
              <w:autoSpaceDN w:val="0"/>
              <w:adjustRightInd w:val="0"/>
              <w:rPr>
                <w:rFonts w:eastAsiaTheme="minorEastAsia" w:cs="Calibri"/>
                <w:b/>
                <w:bCs/>
                <w:color w:val="000000"/>
                <w:szCs w:val="18"/>
                <w:lang w:eastAsia="en-AU"/>
              </w:rPr>
            </w:pPr>
            <w:r w:rsidRPr="00430382">
              <w:rPr>
                <w:rFonts w:eastAsiaTheme="minorEastAsia" w:cs="Calibri"/>
                <w:b/>
                <w:bCs/>
                <w:color w:val="000000"/>
                <w:szCs w:val="18"/>
                <w:lang w:eastAsia="en-AU"/>
              </w:rPr>
              <w:t>Net result</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5 596</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2 070</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854</w:t>
            </w:r>
          </w:p>
        </w:tc>
        <w:tc>
          <w:tcPr>
            <w:tcW w:w="568"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242</w:t>
            </w:r>
          </w:p>
        </w:tc>
        <w:tc>
          <w:tcPr>
            <w:tcW w:w="1276"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1 226</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868</w:t>
            </w:r>
          </w:p>
        </w:tc>
        <w:tc>
          <w:tcPr>
            <w:tcW w:w="850"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1 460</w:t>
            </w:r>
          </w:p>
        </w:tc>
        <w:tc>
          <w:tcPr>
            <w:tcW w:w="567"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59</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single" w:sz="12" w:space="0" w:color="000000"/>
              <w:left w:val="nil"/>
              <w:bottom w:val="nil"/>
              <w:right w:val="nil"/>
            </w:tcBorders>
          </w:tcPr>
          <w:p w:rsidR="00F20535" w:rsidRPr="00430382" w:rsidRDefault="00F20535" w:rsidP="007A2EDF">
            <w:pPr>
              <w:autoSpaceDE w:val="0"/>
              <w:autoSpaceDN w:val="0"/>
              <w:adjustRightInd w:val="0"/>
              <w:rPr>
                <w:rFonts w:eastAsiaTheme="minorEastAsia" w:cs="Calibri"/>
                <w:color w:val="000000"/>
                <w:szCs w:val="18"/>
                <w:lang w:eastAsia="en-AU"/>
              </w:rPr>
            </w:pPr>
            <w:r w:rsidRPr="00430382">
              <w:rPr>
                <w:rFonts w:eastAsiaTheme="minorEastAsia" w:cs="Calibri"/>
                <w:color w:val="000000"/>
                <w:szCs w:val="18"/>
                <w:lang w:eastAsia="en-AU"/>
              </w:rPr>
              <w:t>Total other economic flows – other comprehensive income</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3 023</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679</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5 654</w:t>
            </w:r>
          </w:p>
        </w:tc>
        <w:tc>
          <w:tcPr>
            <w:tcW w:w="568"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c>
          <w:tcPr>
            <w:tcW w:w="1276"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3 640</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1 360</w:t>
            </w:r>
          </w:p>
        </w:tc>
        <w:tc>
          <w:tcPr>
            <w:tcW w:w="850"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430382">
              <w:rPr>
                <w:rFonts w:eastAsiaTheme="minorEastAsia" w:cs="Calibri"/>
                <w:color w:val="000000"/>
                <w:szCs w:val="18"/>
                <w:lang w:eastAsia="en-AU"/>
              </w:rPr>
              <w:t>5 027</w:t>
            </w:r>
          </w:p>
        </w:tc>
        <w:tc>
          <w:tcPr>
            <w:tcW w:w="567" w:type="dxa"/>
            <w:tcBorders>
              <w:top w:val="single" w:sz="12"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27</w:t>
            </w:r>
          </w:p>
        </w:tc>
      </w:tr>
      <w:tr w:rsidR="00F20535" w:rsidRPr="00430382" w:rsidTr="00FD1166">
        <w:tc>
          <w:tcPr>
            <w:cnfStyle w:val="001000000000" w:firstRow="0" w:lastRow="0" w:firstColumn="1" w:lastColumn="0" w:oddVBand="0" w:evenVBand="0" w:oddHBand="0" w:evenHBand="0" w:firstRowFirstColumn="0" w:firstRowLastColumn="0" w:lastRowFirstColumn="0" w:lastRowLastColumn="0"/>
            <w:tcW w:w="2976"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rPr>
                <w:rFonts w:eastAsiaTheme="minorEastAsia" w:cs="Calibri"/>
                <w:b/>
                <w:bCs/>
                <w:color w:val="000000"/>
                <w:szCs w:val="18"/>
                <w:lang w:eastAsia="en-AU"/>
              </w:rPr>
            </w:pPr>
            <w:r w:rsidRPr="00430382">
              <w:rPr>
                <w:rFonts w:eastAsiaTheme="minorEastAsia" w:cs="Calibri"/>
                <w:b/>
                <w:bCs/>
                <w:color w:val="000000"/>
                <w:szCs w:val="18"/>
                <w:lang w:eastAsia="en-AU"/>
              </w:rPr>
              <w:t xml:space="preserve">Comprehensive result – </w:t>
            </w:r>
            <w:r>
              <w:rPr>
                <w:rFonts w:eastAsiaTheme="minorEastAsia" w:cs="Calibri"/>
                <w:b/>
                <w:bCs/>
                <w:color w:val="000000"/>
                <w:szCs w:val="18"/>
                <w:lang w:eastAsia="en-AU"/>
              </w:rPr>
              <w:br/>
            </w:r>
            <w:r w:rsidRPr="00430382">
              <w:rPr>
                <w:rFonts w:eastAsiaTheme="minorEastAsia" w:cs="Calibri"/>
                <w:b/>
                <w:bCs/>
                <w:color w:val="000000"/>
                <w:szCs w:val="18"/>
                <w:lang w:eastAsia="en-AU"/>
              </w:rPr>
              <w:t>total change in net worth</w:t>
            </w:r>
          </w:p>
        </w:tc>
        <w:tc>
          <w:tcPr>
            <w:tcW w:w="850"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8 619</w:t>
            </w:r>
          </w:p>
        </w:tc>
        <w:tc>
          <w:tcPr>
            <w:tcW w:w="850"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2 749</w:t>
            </w:r>
          </w:p>
        </w:tc>
        <w:tc>
          <w:tcPr>
            <w:tcW w:w="850"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6 508</w:t>
            </w:r>
          </w:p>
        </w:tc>
        <w:tc>
          <w:tcPr>
            <w:tcW w:w="568"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42</w:t>
            </w:r>
          </w:p>
        </w:tc>
        <w:tc>
          <w:tcPr>
            <w:tcW w:w="1276"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4 866</w:t>
            </w:r>
          </w:p>
        </w:tc>
        <w:tc>
          <w:tcPr>
            <w:tcW w:w="850"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2 229</w:t>
            </w:r>
          </w:p>
        </w:tc>
        <w:tc>
          <w:tcPr>
            <w:tcW w:w="850"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430382">
              <w:rPr>
                <w:rFonts w:eastAsiaTheme="minorEastAsia" w:cs="Calibri"/>
                <w:b/>
                <w:bCs/>
                <w:color w:val="000000"/>
                <w:szCs w:val="18"/>
                <w:lang w:eastAsia="en-AU"/>
              </w:rPr>
              <w:t>6 488</w:t>
            </w:r>
          </w:p>
        </w:tc>
        <w:tc>
          <w:tcPr>
            <w:tcW w:w="567"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34</w:t>
            </w:r>
          </w:p>
        </w:tc>
      </w:tr>
    </w:tbl>
    <w:p w:rsidR="00F20535" w:rsidRDefault="00F20535" w:rsidP="007A2EDF">
      <w:pPr>
        <w:pStyle w:val="Note"/>
      </w:pPr>
      <w:r>
        <w:t>Notes:</w:t>
      </w:r>
    </w:p>
    <w:p w:rsidR="00F20535" w:rsidRDefault="00F20535" w:rsidP="001017D9">
      <w:pPr>
        <w:pStyle w:val="Note"/>
      </w:pPr>
      <w:r w:rsidRPr="00901D2D">
        <w:t>(a)</w:t>
      </w:r>
      <w:r>
        <w:tab/>
        <w:t>This is an abbreviated statement. The full consolidated and disaggregated operating statement is reported in Chapter 2.</w:t>
      </w:r>
    </w:p>
    <w:p w:rsidR="00F20535" w:rsidRDefault="00F20535" w:rsidP="007A2EDF">
      <w:pPr>
        <w:pStyle w:val="Note"/>
      </w:pPr>
      <w:r>
        <w:t>(b</w:t>
      </w:r>
      <w:r w:rsidRPr="001017D9">
        <w:t>)</w:t>
      </w:r>
      <w:r w:rsidRPr="001017D9">
        <w:tab/>
        <w:t xml:space="preserve">The percentage represents the </w:t>
      </w:r>
      <w:r>
        <w:t>2017-18</w:t>
      </w:r>
      <w:r w:rsidRPr="001017D9">
        <w:t xml:space="preserve"> actual to December as a percentage of the revised estimate presented in the </w:t>
      </w:r>
      <w:r w:rsidRPr="008E6101">
        <w:rPr>
          <w:i w:val="0"/>
        </w:rPr>
        <w:t>2017-18 Budget Update</w:t>
      </w:r>
      <w:r w:rsidRPr="00CF50A6">
        <w:rPr>
          <w:i w:val="0"/>
        </w:rPr>
        <w:t>.</w:t>
      </w:r>
    </w:p>
    <w:p w:rsidR="00F20535" w:rsidRDefault="00F20535">
      <w:pPr>
        <w:rPr>
          <w:rFonts w:asciiTheme="majorHAnsi" w:eastAsiaTheme="majorEastAsia" w:hAnsiTheme="majorHAnsi" w:cstheme="majorBidi"/>
          <w:b/>
          <w:bCs/>
          <w:caps/>
          <w:spacing w:val="-2"/>
          <w:sz w:val="26"/>
          <w:szCs w:val="28"/>
        </w:rPr>
      </w:pPr>
      <w:r>
        <w:br w:type="page"/>
      </w:r>
    </w:p>
    <w:p w:rsidR="00F20535" w:rsidRPr="00880745" w:rsidRDefault="00F20535" w:rsidP="00CA6CEE">
      <w:pPr>
        <w:pStyle w:val="Heading10"/>
      </w:pPr>
      <w:bookmarkStart w:id="7" w:name="_Toc508201388"/>
      <w:r w:rsidRPr="00880745">
        <w:lastRenderedPageBreak/>
        <w:t>General government sector</w:t>
      </w:r>
      <w:bookmarkEnd w:id="7"/>
    </w:p>
    <w:p w:rsidR="00F20535" w:rsidRPr="00880745" w:rsidRDefault="00F20535" w:rsidP="000C30FB">
      <w:pPr>
        <w:pStyle w:val="Heading20"/>
        <w:sectPr w:rsidR="00F20535" w:rsidRPr="00880745" w:rsidSect="000C30FB">
          <w:headerReference w:type="default" r:id="rId27"/>
          <w:footerReference w:type="default" r:id="rId28"/>
          <w:type w:val="continuous"/>
          <w:pgSz w:w="11907" w:h="16839" w:code="9"/>
          <w:pgMar w:top="1134" w:right="1134" w:bottom="1134" w:left="1134" w:header="624" w:footer="567" w:gutter="0"/>
          <w:cols w:sep="1" w:space="567"/>
          <w:docGrid w:linePitch="360"/>
        </w:sectPr>
      </w:pPr>
    </w:p>
    <w:p w:rsidR="00F20535" w:rsidRPr="00880745" w:rsidRDefault="00F20535" w:rsidP="000C30FB">
      <w:pPr>
        <w:pStyle w:val="Heading20"/>
      </w:pPr>
      <w:r w:rsidRPr="00880745">
        <w:lastRenderedPageBreak/>
        <w:t>Revenue</w:t>
      </w:r>
    </w:p>
    <w:p w:rsidR="00F20535" w:rsidRPr="00880745" w:rsidRDefault="00F20535" w:rsidP="000C30FB">
      <w:r w:rsidRPr="00880745">
        <w:t xml:space="preserve">Revenue for the six months ended 31 December 2017 was $30.6 billion. This is 48 per cent of the </w:t>
      </w:r>
      <w:r>
        <w:t xml:space="preserve">full year </w:t>
      </w:r>
      <w:r w:rsidRPr="00880745">
        <w:t>revised budget estimate and an increase of $1.1 billion from the same period last year.</w:t>
      </w:r>
    </w:p>
    <w:p w:rsidR="00F20535" w:rsidRDefault="00F20535" w:rsidP="000C30FB">
      <w:r w:rsidRPr="00880745">
        <w:t xml:space="preserve">Taxation revenue was $10.7 billion, or 48 per cent of the </w:t>
      </w:r>
      <w:r>
        <w:t>revised budget estimate</w:t>
      </w:r>
      <w:r w:rsidRPr="00880745">
        <w:t>. Taxation revenue</w:t>
      </w:r>
      <w:r>
        <w:t xml:space="preserve"> is influenced by seasonal factors, such as land tax revenue recognised in the March quarter and the Fire Services Property Levy recognised in the first quarter of the financial year. </w:t>
      </w:r>
    </w:p>
    <w:p w:rsidR="00F20535" w:rsidRPr="00880745" w:rsidRDefault="00F20535" w:rsidP="000C30FB">
      <w:r>
        <w:t xml:space="preserve">Aside from these timing factors, taxation revenue has slightly increased when compared to the same period last year. This was largely due to an increase in land transfer duty, reflecting higher than anticipated activity in the property market. This increase was partially offset by the one-off prepayment of port license fees associated with </w:t>
      </w:r>
      <w:r w:rsidRPr="00880745">
        <w:t>entering into a lease over the Port of Melbourne in the 2016-17 comparative period.</w:t>
      </w:r>
    </w:p>
    <w:p w:rsidR="00F20535" w:rsidRPr="00880745" w:rsidRDefault="00F20535" w:rsidP="000C30FB">
      <w:r w:rsidRPr="00880745">
        <w:t xml:space="preserve">Grant revenue was $14.2 billion, or 47 per cent of the revised </w:t>
      </w:r>
      <w:r>
        <w:t xml:space="preserve">full year </w:t>
      </w:r>
      <w:r w:rsidRPr="00880745">
        <w:t>budget estimate. This is slightly below pro rata, primarily due to the timing of grants from the Commonwealth. These are expected in the second half of the year as key milestones are met, including for road and rail projects under the Commonwealth Infrastructure Investment Program.</w:t>
      </w:r>
    </w:p>
    <w:p w:rsidR="00F20535" w:rsidRPr="00880745" w:rsidRDefault="00F20535" w:rsidP="007A2EDF">
      <w:pPr>
        <w:rPr>
          <w:rFonts w:ascii="Garamond" w:eastAsiaTheme="minorHAnsi" w:hAnsi="Garamond" w:cs="Garamond"/>
          <w:szCs w:val="22"/>
        </w:rPr>
      </w:pPr>
      <w:r w:rsidRPr="00880745">
        <w:t>Compared to the same period last year, grant revenue increased by $909 million. This was mainly due to growth in GST grants from the Commonwealth Government, resulting from Victoria</w:t>
      </w:r>
      <w:r w:rsidR="007F4ECD">
        <w:t>’</w:t>
      </w:r>
      <w:r w:rsidRPr="00880745">
        <w:t xml:space="preserve">s increased share of the population, </w:t>
      </w:r>
      <w:r w:rsidRPr="00880745">
        <w:rPr>
          <w:rFonts w:ascii="Garamond" w:eastAsiaTheme="minorHAnsi" w:hAnsi="Garamond" w:cs="Garamond"/>
          <w:szCs w:val="22"/>
        </w:rPr>
        <w:t>and an increase in grants relating to the National Health Reform Agreement.</w:t>
      </w:r>
    </w:p>
    <w:p w:rsidR="00F20535" w:rsidRPr="00880745" w:rsidRDefault="00F20535" w:rsidP="000C30FB">
      <w:r w:rsidRPr="00880745">
        <w:t xml:space="preserve">Dividends and income tax equivalent revenue for the half year was 34 per cent of the revised </w:t>
      </w:r>
      <w:r>
        <w:t xml:space="preserve">full year </w:t>
      </w:r>
      <w:r w:rsidRPr="00880745">
        <w:t xml:space="preserve">budget estimate, which primarily reflects the timing of dividends and income tax equivalent revenue from the PFC sector. </w:t>
      </w:r>
    </w:p>
    <w:p w:rsidR="00F20535" w:rsidRDefault="00F20535" w:rsidP="000C30FB">
      <w:r w:rsidRPr="00880745">
        <w:t>Revenue from the sale of goods and services for the half year was $3.6 billion, or 50 per cent of the</w:t>
      </w:r>
      <w:r>
        <w:t xml:space="preserve"> revised full year budget estimate, in line with expectations.</w:t>
      </w:r>
    </w:p>
    <w:p w:rsidR="00F20535" w:rsidRDefault="00F20535" w:rsidP="007A2EDF">
      <w:pPr>
        <w:spacing w:before="280"/>
      </w:pPr>
      <w:r>
        <w:br w:type="column"/>
      </w:r>
    </w:p>
    <w:p w:rsidR="00F20535" w:rsidRDefault="00F20535" w:rsidP="007A2EDF">
      <w:r>
        <w:t>The other sources of general government revenue represent a relatively small component of total revenue. The decrease from the same time last year is partially a result of the transfer of GMHBA Stadium (formerly Simonds Stadium) to the State from the Geelong City Council free of charge, which occurred in 2016-17.</w:t>
      </w:r>
    </w:p>
    <w:p w:rsidR="00F20535" w:rsidRDefault="00F20535" w:rsidP="007A2EDF">
      <w:pPr>
        <w:pStyle w:val="Heading20"/>
      </w:pPr>
      <w:r>
        <w:t>Expenses</w:t>
      </w:r>
    </w:p>
    <w:p w:rsidR="00F20535" w:rsidRPr="00880745" w:rsidRDefault="00F20535" w:rsidP="000C30FB">
      <w:r>
        <w:t xml:space="preserve">Total </w:t>
      </w:r>
      <w:r w:rsidRPr="00880745">
        <w:t xml:space="preserve">expenses were $29.6 billion, or 47 per cent of the revised </w:t>
      </w:r>
      <w:r>
        <w:t xml:space="preserve">full year </w:t>
      </w:r>
      <w:r w:rsidRPr="00880745">
        <w:t>budget estimate.</w:t>
      </w:r>
    </w:p>
    <w:p w:rsidR="00F20535" w:rsidRPr="00880745" w:rsidRDefault="00F20535" w:rsidP="000C30FB">
      <w:r w:rsidRPr="00880745">
        <w:t xml:space="preserve">Employee expenses were slightly under pro rata for the first half of the year at $11.3 billion, or 49 per cent of the revised </w:t>
      </w:r>
      <w:r>
        <w:t xml:space="preserve">full year </w:t>
      </w:r>
      <w:r w:rsidRPr="00880745">
        <w:t xml:space="preserve">budget estimate. </w:t>
      </w:r>
    </w:p>
    <w:p w:rsidR="00F20535" w:rsidRPr="00880745" w:rsidRDefault="00F20535" w:rsidP="000C30FB">
      <w:r w:rsidRPr="00880745">
        <w:t>Compared to the same period last year, employee expenses were $860 million higher, mainly due to increased service delivery in the health, education and community safety sectors, and salary growth in line with wages policy.</w:t>
      </w:r>
    </w:p>
    <w:p w:rsidR="00F20535" w:rsidRPr="00880745" w:rsidRDefault="00F20535" w:rsidP="000C30FB">
      <w:r>
        <w:t>Grant expense</w:t>
      </w:r>
      <w:r w:rsidRPr="00880745">
        <w:t xml:space="preserve"> for the first half of the year was $5.1 billion, or 47 per cent of the revised </w:t>
      </w:r>
      <w:r>
        <w:t xml:space="preserve">full year </w:t>
      </w:r>
      <w:r w:rsidRPr="00880745">
        <w:t xml:space="preserve">budget estimate. This is slightly under pro rata mainly due to the timing of certain grant payments. </w:t>
      </w:r>
    </w:p>
    <w:p w:rsidR="00F20535" w:rsidRPr="00880745" w:rsidRDefault="00F20535" w:rsidP="000C30FB">
      <w:r w:rsidRPr="00880745">
        <w:t>Compared to the same period last year, grant expe</w:t>
      </w:r>
      <w:r>
        <w:t>nse</w:t>
      </w:r>
      <w:r w:rsidRPr="00880745">
        <w:t xml:space="preserve"> increased by $140 million, primarily driven by the ongoing transition to the National Disability Insurance Scheme in 2017</w:t>
      </w:r>
      <w:r w:rsidRPr="00880745">
        <w:noBreakHyphen/>
        <w:t>18. This was partially offset by the transfer of the Australian Synchrotron to the Commonwealth Government free of charge in the first half of 2016-17.</w:t>
      </w:r>
    </w:p>
    <w:p w:rsidR="00F20535" w:rsidRPr="00A02237" w:rsidRDefault="00F20535" w:rsidP="000C30FB">
      <w:r w:rsidRPr="00880745">
        <w:t xml:space="preserve">Other operating expenses was $9.3 billion, or 45 per cent of the revised </w:t>
      </w:r>
      <w:r>
        <w:t xml:space="preserve">full year </w:t>
      </w:r>
      <w:r w:rsidRPr="00880745">
        <w:t>budget estimate. This is lower than pro rata due to the timing of the purchase of services and supplies and consumables, where the majority of these operating e</w:t>
      </w:r>
      <w:r>
        <w:t>xpenses are</w:t>
      </w:r>
      <w:r w:rsidRPr="00880745">
        <w:t xml:space="preserve"> expected in the second half of the year</w:t>
      </w:r>
      <w:r w:rsidRPr="00A02237">
        <w:t xml:space="preserve">. </w:t>
      </w:r>
    </w:p>
    <w:p w:rsidR="00F20535" w:rsidRDefault="00F20535" w:rsidP="000C30FB">
      <w:r w:rsidRPr="00A02237">
        <w:t xml:space="preserve">All other categories of general government operating expenses were generally in line with the pro rata revised </w:t>
      </w:r>
      <w:r>
        <w:t xml:space="preserve">full year </w:t>
      </w:r>
      <w:r w:rsidRPr="00A02237">
        <w:t>budget estimates.</w:t>
      </w:r>
    </w:p>
    <w:p w:rsidR="00F20535" w:rsidRDefault="00F20535" w:rsidP="000C30FB"/>
    <w:p w:rsidR="00F20535" w:rsidRDefault="00F20535" w:rsidP="000C30FB">
      <w:pPr>
        <w:sectPr w:rsidR="00F20535" w:rsidSect="000C30FB">
          <w:type w:val="continuous"/>
          <w:pgSz w:w="11907" w:h="16839" w:code="9"/>
          <w:pgMar w:top="1134" w:right="1134" w:bottom="1134" w:left="1134" w:header="624" w:footer="567" w:gutter="0"/>
          <w:cols w:num="2" w:space="567"/>
          <w:docGrid w:linePitch="360"/>
        </w:sectPr>
      </w:pPr>
    </w:p>
    <w:p w:rsidR="00F20535" w:rsidRDefault="00F20535" w:rsidP="000C30FB"/>
    <w:p w:rsidR="00F20535" w:rsidRDefault="00F20535">
      <w:pPr>
        <w:rPr>
          <w:rFonts w:asciiTheme="majorHAnsi" w:eastAsiaTheme="majorEastAsia" w:hAnsiTheme="majorHAnsi" w:cstheme="majorBidi"/>
          <w:b/>
          <w:bCs/>
          <w:caps/>
          <w:spacing w:val="-2"/>
          <w:sz w:val="26"/>
          <w:szCs w:val="28"/>
        </w:rPr>
      </w:pPr>
      <w:r>
        <w:br w:type="page"/>
      </w:r>
    </w:p>
    <w:p w:rsidR="00F20535" w:rsidRPr="0033219E" w:rsidRDefault="00F20535" w:rsidP="007A2EDF">
      <w:pPr>
        <w:pStyle w:val="Heading10"/>
      </w:pPr>
      <w:bookmarkStart w:id="8" w:name="_Toc508201389"/>
      <w:r>
        <w:lastRenderedPageBreak/>
        <w:t>State of Victoria</w:t>
      </w:r>
      <w:bookmarkEnd w:id="8"/>
    </w:p>
    <w:p w:rsidR="00F20535" w:rsidRDefault="00F20535" w:rsidP="000C30FB">
      <w:pPr>
        <w:pStyle w:val="Heading20"/>
        <w:sectPr w:rsidR="00F20535" w:rsidSect="000C30FB">
          <w:headerReference w:type="even" r:id="rId29"/>
          <w:footerReference w:type="even" r:id="rId30"/>
          <w:type w:val="continuous"/>
          <w:pgSz w:w="11907" w:h="16839" w:code="9"/>
          <w:pgMar w:top="1134" w:right="1134" w:bottom="1134" w:left="1134" w:header="624" w:footer="567" w:gutter="0"/>
          <w:cols w:sep="1" w:space="567"/>
          <w:docGrid w:linePitch="360"/>
        </w:sectPr>
      </w:pPr>
    </w:p>
    <w:p w:rsidR="00F20535" w:rsidRDefault="00F20535" w:rsidP="000C30FB">
      <w:pPr>
        <w:pStyle w:val="Heading20"/>
      </w:pPr>
      <w:r>
        <w:lastRenderedPageBreak/>
        <w:t>Revenue</w:t>
      </w:r>
    </w:p>
    <w:p w:rsidR="00F20535" w:rsidRPr="00FD72F4" w:rsidRDefault="00F20535" w:rsidP="000C30FB">
      <w:r w:rsidRPr="00FD72F4">
        <w:t>Total revenue for the State was $</w:t>
      </w:r>
      <w:r>
        <w:t>34.8</w:t>
      </w:r>
      <w:r w:rsidRPr="00FD72F4">
        <w:t> billion, of which $</w:t>
      </w:r>
      <w:r>
        <w:t>30.6</w:t>
      </w:r>
      <w:r w:rsidRPr="00FD72F4">
        <w:t> billion</w:t>
      </w:r>
      <w:r>
        <w:t xml:space="preserve"> was in the general government</w:t>
      </w:r>
      <w:r w:rsidRPr="00FD72F4">
        <w:t xml:space="preserve"> sector. The balance is explained below, noting that not all transactions in the PNFC and PFC sectors will affect the overall State outcome.</w:t>
      </w:r>
    </w:p>
    <w:p w:rsidR="00F20535" w:rsidRPr="00FD72F4" w:rsidRDefault="00F20535" w:rsidP="000C30FB">
      <w:r w:rsidRPr="00FD72F4">
        <w:t>Total revenue for the State was 4.</w:t>
      </w:r>
      <w:r>
        <w:t>4</w:t>
      </w:r>
      <w:r w:rsidRPr="00FD72F4">
        <w:t xml:space="preserve"> per cent higher </w:t>
      </w:r>
      <w:r>
        <w:t>compared to the same period in 2016-17</w:t>
      </w:r>
      <w:r w:rsidRPr="00FD72F4">
        <w:t xml:space="preserve">. PNFC sector revenue increased by </w:t>
      </w:r>
      <w:r>
        <w:t>6.8 per cent to $5.3</w:t>
      </w:r>
      <w:r w:rsidRPr="00FD72F4">
        <w:t> billion</w:t>
      </w:r>
      <w:r>
        <w:t>. This was</w:t>
      </w:r>
      <w:r w:rsidRPr="00FD72F4">
        <w:t xml:space="preserve"> mainly due to an increase in grants revenue</w:t>
      </w:r>
      <w:r>
        <w:t xml:space="preserve"> for </w:t>
      </w:r>
      <w:r w:rsidRPr="002D27BC">
        <w:rPr>
          <w:spacing w:val="-20"/>
        </w:rPr>
        <w:t>V/</w:t>
      </w:r>
      <w:r w:rsidRPr="002D27BC">
        <w:t>Line</w:t>
      </w:r>
      <w:r>
        <w:t xml:space="preserve"> for additional train services and an increase in revenue from the sale of goods and services, driven by higher income from water, sewerage and recycling services.</w:t>
      </w:r>
    </w:p>
    <w:p w:rsidR="00F20535" w:rsidRPr="00FD72F4" w:rsidRDefault="00F20535" w:rsidP="000C30FB">
      <w:r w:rsidRPr="00FD72F4">
        <w:t xml:space="preserve">The PFC sector </w:t>
      </w:r>
      <w:r>
        <w:t>revenue increased 6</w:t>
      </w:r>
      <w:r w:rsidRPr="00FD72F4">
        <w:t xml:space="preserve"> per cent or </w:t>
      </w:r>
      <w:r>
        <w:t>$233</w:t>
      </w:r>
      <w:r w:rsidRPr="00FD72F4">
        <w:t> million to $</w:t>
      </w:r>
      <w:r>
        <w:t>4.1</w:t>
      </w:r>
      <w:r w:rsidRPr="00FD72F4">
        <w:t> billion compared to</w:t>
      </w:r>
      <w:r>
        <w:t xml:space="preserve"> the same period in 2016-17, mainly due to an increase in investment revenue from higher dividends.</w:t>
      </w:r>
    </w:p>
    <w:p w:rsidR="00F20535" w:rsidRDefault="00F20535" w:rsidP="000C30FB">
      <w:pPr>
        <w:pStyle w:val="Heading20"/>
      </w:pPr>
      <w:r>
        <w:t>Expenses</w:t>
      </w:r>
    </w:p>
    <w:p w:rsidR="00F20535" w:rsidRDefault="00F20535" w:rsidP="000C30FB">
      <w:r>
        <w:t xml:space="preserve">Total expenses for the State increased by </w:t>
      </w:r>
      <w:r>
        <w:br/>
        <w:t>5.5 per cent to $34.7 billion compared to the same period last year. Of this, $29.6 billion was incurred by the general government sector as previously highlighted.</w:t>
      </w:r>
    </w:p>
    <w:p w:rsidR="00F20535" w:rsidRPr="008D6F96" w:rsidRDefault="00F20535" w:rsidP="007A2EDF">
      <w:pPr>
        <w:spacing w:before="60"/>
      </w:pPr>
      <w:r>
        <w:t xml:space="preserve">Compared to the same period in 2016-17, total expenses in the PNFC sector increased by 4 per cent to $5.5 billion. This was mainly due to an </w:t>
      </w:r>
      <w:r>
        <w:lastRenderedPageBreak/>
        <w:t>increase in other operating expenses including increased expenses at V/Line due to higher project, fuel and maintenance costs, an increase in the capital asset charge for VicTrack due to an increase in its asset base, and higher operating and maintenance costs of metropolitan and regional water entities.</w:t>
      </w:r>
    </w:p>
    <w:p w:rsidR="00F20535" w:rsidRDefault="00F20535" w:rsidP="000C30FB">
      <w:r>
        <w:t xml:space="preserve">Within the PFC sector, total expenses decreased by 5.3 per cent to $4.9 billion compared to the same period in 2016-17. </w:t>
      </w:r>
      <w:r w:rsidRPr="0098635C">
        <w:t xml:space="preserve">The decrease in expenses was mainly </w:t>
      </w:r>
      <w:r>
        <w:t>driven by</w:t>
      </w:r>
      <w:r w:rsidRPr="0098635C">
        <w:t xml:space="preserve"> a decrease </w:t>
      </w:r>
      <w:r>
        <w:t xml:space="preserve">in </w:t>
      </w:r>
      <w:r w:rsidRPr="0098635C">
        <w:t xml:space="preserve">taxes payable by the Transport Accident Commission due to lower profits compared to the same period last year. </w:t>
      </w:r>
    </w:p>
    <w:p w:rsidR="00F20535" w:rsidRDefault="00F20535" w:rsidP="000C30FB">
      <w:pPr>
        <w:pStyle w:val="Heading20"/>
      </w:pPr>
      <w:r>
        <w:t>Other economic flows and net result</w:t>
      </w:r>
    </w:p>
    <w:p w:rsidR="00F20535" w:rsidRDefault="00F20535" w:rsidP="000C30FB">
      <w:pPr>
        <w:rPr>
          <w:rFonts w:ascii="Garamond" w:hAnsi="Garamond"/>
        </w:rPr>
      </w:pPr>
      <w:r>
        <w:rPr>
          <w:rFonts w:ascii="Garamond" w:hAnsi="Garamond"/>
        </w:rPr>
        <w:t>In addition to the net result from transactions, there are a number of other economic flows included in the net result of the State, which comprise accounting and actuarial revaluations that impact the valuation of assets and liabilities, including:</w:t>
      </w:r>
    </w:p>
    <w:p w:rsidR="00F20535" w:rsidRDefault="00F20535" w:rsidP="004112E6">
      <w:pPr>
        <w:pStyle w:val="ListBullet"/>
        <w:keepLines w:val="0"/>
      </w:pPr>
      <w:r w:rsidRPr="00880745">
        <w:t>general government sector other economic flows (negative $81 million), primarily reflecting movements in provisions</w:t>
      </w:r>
      <w:r>
        <w:t xml:space="preserve"> for doubtful receivables; and</w:t>
      </w:r>
    </w:p>
    <w:p w:rsidR="00F20535" w:rsidRDefault="00F20535" w:rsidP="000C30FB">
      <w:pPr>
        <w:pStyle w:val="ListBullet"/>
        <w:keepLines w:val="0"/>
        <w:sectPr w:rsidR="00F20535" w:rsidSect="000C30FB">
          <w:type w:val="continuous"/>
          <w:pgSz w:w="11907" w:h="16839" w:code="9"/>
          <w:pgMar w:top="1134" w:right="1134" w:bottom="1134" w:left="1134" w:header="624" w:footer="567" w:gutter="0"/>
          <w:cols w:num="2" w:space="709"/>
          <w:docGrid w:linePitch="360"/>
        </w:sectPr>
      </w:pPr>
      <w:r>
        <w:t xml:space="preserve">whole of State other economic flows of $2 billion, primarily reflecting a decrease in the valuation of financial liabilities due to an increase in bond rates and strong investment performance in equity markets. </w:t>
      </w:r>
    </w:p>
    <w:p w:rsidR="00F20535" w:rsidRDefault="00F20535" w:rsidP="00CA6CEE">
      <w:pPr>
        <w:pStyle w:val="Heading10"/>
      </w:pPr>
      <w:bookmarkStart w:id="9" w:name="_Toc508201390"/>
      <w:r>
        <w:lastRenderedPageBreak/>
        <w:t>Financial position</w:t>
      </w:r>
      <w:bookmarkEnd w:id="9"/>
    </w:p>
    <w:p w:rsidR="00F20535" w:rsidRPr="00430382" w:rsidRDefault="00F20535" w:rsidP="007A2EDF">
      <w:pPr>
        <w:pStyle w:val="TableHeading"/>
        <w:rPr>
          <w:rFonts w:eastAsia="Times New Roman" w:cs="Times New Roman"/>
          <w:bCs/>
          <w:lang w:val="en-US"/>
        </w:rPr>
      </w:pPr>
      <w:r w:rsidRPr="00970606">
        <w:t xml:space="preserve">Table 1.2: </w:t>
      </w:r>
      <w:r>
        <w:tab/>
      </w:r>
      <w:r w:rsidRPr="00970606">
        <w:t>Summary balance sheet as at 31 December</w:t>
      </w:r>
      <w:r>
        <w:t xml:space="preserve"> </w:t>
      </w:r>
      <w:r w:rsidRPr="00690B31">
        <w:rPr>
          <w:vertAlign w:val="superscript"/>
        </w:rPr>
        <w:t>(a)</w:t>
      </w:r>
      <w:r w:rsidRPr="00970606">
        <w:tab/>
        <w:t>($</w:t>
      </w:r>
      <w:r>
        <w:t> million</w:t>
      </w:r>
      <w:r w:rsidRPr="00970606">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4195"/>
        <w:gridCol w:w="907"/>
        <w:gridCol w:w="907"/>
        <w:gridCol w:w="907"/>
        <w:gridCol w:w="907"/>
        <w:gridCol w:w="907"/>
        <w:gridCol w:w="907"/>
      </w:tblGrid>
      <w:tr w:rsidR="00F20535" w:rsidRPr="00430382"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shd w:val="solid" w:color="000000" w:fill="auto"/>
          </w:tcPr>
          <w:p w:rsidR="00F20535" w:rsidRPr="00430382" w:rsidRDefault="00F20535" w:rsidP="007A2EDF">
            <w:pPr>
              <w:autoSpaceDE w:val="0"/>
              <w:autoSpaceDN w:val="0"/>
              <w:adjustRightInd w:val="0"/>
              <w:rPr>
                <w:rFonts w:eastAsiaTheme="minorEastAsia" w:cs="Calibri"/>
                <w:iCs/>
                <w:color w:val="FFFFFF"/>
                <w:szCs w:val="22"/>
                <w:lang w:eastAsia="en-AU"/>
              </w:rPr>
            </w:pPr>
            <w:r w:rsidRPr="00430382">
              <w:rPr>
                <w:rFonts w:eastAsiaTheme="minorEastAsia" w:cs="Calibri"/>
                <w:iCs/>
                <w:color w:val="FFFFFF"/>
                <w:szCs w:val="22"/>
                <w:lang w:eastAsia="en-AU"/>
              </w:rPr>
              <w:t xml:space="preserve"> </w:t>
            </w:r>
          </w:p>
        </w:tc>
        <w:tc>
          <w:tcPr>
            <w:tcW w:w="2721" w:type="dxa"/>
            <w:gridSpan w:val="3"/>
            <w:tcBorders>
              <w:top w:val="nil"/>
              <w:left w:val="nil"/>
              <w:bottom w:val="nil"/>
              <w:right w:val="nil"/>
            </w:tcBorders>
            <w:shd w:val="solid" w:color="000000" w:fill="auto"/>
          </w:tcPr>
          <w:p w:rsidR="00F20535" w:rsidRPr="00430382"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State of Victoria</w:t>
            </w:r>
          </w:p>
        </w:tc>
        <w:tc>
          <w:tcPr>
            <w:tcW w:w="2721" w:type="dxa"/>
            <w:gridSpan w:val="3"/>
            <w:tcBorders>
              <w:top w:val="nil"/>
              <w:left w:val="nil"/>
              <w:bottom w:val="nil"/>
              <w:right w:val="nil"/>
            </w:tcBorders>
            <w:shd w:val="solid" w:color="000000" w:fill="auto"/>
          </w:tcPr>
          <w:p w:rsidR="00F20535" w:rsidRPr="00430382"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General government sector</w:t>
            </w:r>
          </w:p>
        </w:tc>
      </w:tr>
      <w:tr w:rsidR="002C2200" w:rsidRPr="00430382" w:rsidTr="002C2200">
        <w:trPr>
          <w:cnfStyle w:val="100000000000" w:firstRow="1" w:lastRow="0" w:firstColumn="0" w:lastColumn="0" w:oddVBand="0" w:evenVBand="0" w:oddHBand="0" w:evenHBand="0" w:firstRowFirstColumn="0" w:firstRowLastColumn="0" w:lastRowFirstColumn="0" w:lastRowLastColumn="0"/>
          <w:trHeight w:val="396"/>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right w:val="nil"/>
            </w:tcBorders>
            <w:shd w:val="solid" w:color="000000" w:fill="auto"/>
          </w:tcPr>
          <w:p w:rsidR="002C2200" w:rsidRPr="002C2200" w:rsidRDefault="002C2200" w:rsidP="007A2EDF">
            <w:pPr>
              <w:autoSpaceDE w:val="0"/>
              <w:autoSpaceDN w:val="0"/>
              <w:adjustRightInd w:val="0"/>
              <w:rPr>
                <w:rFonts w:eastAsiaTheme="minorEastAsia" w:cs="Calibri"/>
                <w:i w:val="0"/>
                <w:iCs/>
                <w:color w:val="FFFFFF"/>
                <w:szCs w:val="22"/>
                <w:lang w:eastAsia="en-AU"/>
              </w:rPr>
            </w:pPr>
            <w:r w:rsidRPr="00430382">
              <w:rPr>
                <w:rFonts w:eastAsiaTheme="minorEastAsia" w:cs="Calibri"/>
                <w:iCs/>
                <w:color w:val="FFFFFF"/>
                <w:szCs w:val="22"/>
                <w:lang w:eastAsia="en-AU"/>
              </w:rPr>
              <w:t xml:space="preserve"> </w:t>
            </w:r>
          </w:p>
        </w:tc>
        <w:tc>
          <w:tcPr>
            <w:tcW w:w="907" w:type="dxa"/>
            <w:tcBorders>
              <w:top w:val="nil"/>
              <w:left w:val="nil"/>
              <w:right w:val="nil"/>
            </w:tcBorders>
            <w:shd w:val="solid" w:color="000000" w:fill="auto"/>
          </w:tcPr>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Jun</w:t>
            </w:r>
          </w:p>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2017</w:t>
            </w:r>
          </w:p>
        </w:tc>
        <w:tc>
          <w:tcPr>
            <w:tcW w:w="907" w:type="dxa"/>
            <w:tcBorders>
              <w:top w:val="nil"/>
              <w:left w:val="nil"/>
              <w:right w:val="nil"/>
            </w:tcBorders>
            <w:shd w:val="solid" w:color="000000" w:fill="auto"/>
          </w:tcPr>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Dec</w:t>
            </w:r>
          </w:p>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2017</w:t>
            </w:r>
          </w:p>
        </w:tc>
        <w:tc>
          <w:tcPr>
            <w:tcW w:w="907" w:type="dxa"/>
            <w:tcBorders>
              <w:top w:val="nil"/>
              <w:left w:val="nil"/>
              <w:right w:val="nil"/>
            </w:tcBorders>
            <w:shd w:val="solid" w:color="000000" w:fill="auto"/>
          </w:tcPr>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Actual</w:t>
            </w:r>
            <w:r>
              <w:rPr>
                <w:rFonts w:eastAsiaTheme="minorEastAsia" w:cs="Calibri"/>
                <w:iCs/>
                <w:color w:val="FFFFFF"/>
                <w:szCs w:val="16"/>
                <w:lang w:eastAsia="en-AU"/>
              </w:rPr>
              <w:br/>
            </w:r>
            <w:r w:rsidRPr="00430382">
              <w:rPr>
                <w:rFonts w:eastAsiaTheme="minorEastAsia" w:cs="Calibri"/>
                <w:iCs/>
                <w:color w:val="FFFFFF"/>
                <w:szCs w:val="16"/>
                <w:lang w:eastAsia="en-AU"/>
              </w:rPr>
              <w:t>movement</w:t>
            </w:r>
          </w:p>
        </w:tc>
        <w:tc>
          <w:tcPr>
            <w:tcW w:w="907" w:type="dxa"/>
            <w:tcBorders>
              <w:top w:val="nil"/>
              <w:left w:val="nil"/>
              <w:right w:val="nil"/>
            </w:tcBorders>
            <w:shd w:val="solid" w:color="000000" w:fill="auto"/>
          </w:tcPr>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Jun</w:t>
            </w:r>
          </w:p>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2017</w:t>
            </w:r>
          </w:p>
        </w:tc>
        <w:tc>
          <w:tcPr>
            <w:tcW w:w="907" w:type="dxa"/>
            <w:tcBorders>
              <w:top w:val="nil"/>
              <w:left w:val="nil"/>
              <w:right w:val="nil"/>
            </w:tcBorders>
            <w:shd w:val="solid" w:color="000000" w:fill="auto"/>
          </w:tcPr>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Dec</w:t>
            </w:r>
          </w:p>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2017</w:t>
            </w:r>
          </w:p>
        </w:tc>
        <w:tc>
          <w:tcPr>
            <w:tcW w:w="907" w:type="dxa"/>
            <w:tcBorders>
              <w:top w:val="nil"/>
              <w:left w:val="nil"/>
              <w:right w:val="nil"/>
            </w:tcBorders>
            <w:shd w:val="solid" w:color="000000" w:fill="auto"/>
          </w:tcPr>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16"/>
                <w:lang w:eastAsia="en-AU"/>
              </w:rPr>
            </w:pPr>
            <w:r w:rsidRPr="00430382">
              <w:rPr>
                <w:rFonts w:eastAsiaTheme="minorEastAsia" w:cs="Calibri"/>
                <w:iCs/>
                <w:color w:val="FFFFFF"/>
                <w:szCs w:val="16"/>
                <w:lang w:eastAsia="en-AU"/>
              </w:rPr>
              <w:t>Actual</w:t>
            </w:r>
          </w:p>
          <w:p w:rsidR="002C2200" w:rsidRPr="00430382" w:rsidRDefault="002C2200" w:rsidP="002C22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430382">
              <w:rPr>
                <w:rFonts w:eastAsiaTheme="minorEastAsia" w:cs="Calibri"/>
                <w:iCs/>
                <w:color w:val="FFFFFF"/>
                <w:szCs w:val="16"/>
                <w:lang w:eastAsia="en-AU"/>
              </w:rPr>
              <w:t>movement</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430382" w:rsidRDefault="00F20535" w:rsidP="007A2EDF">
            <w:pPr>
              <w:autoSpaceDE w:val="0"/>
              <w:autoSpaceDN w:val="0"/>
              <w:adjustRightInd w:val="0"/>
              <w:rPr>
                <w:rFonts w:eastAsiaTheme="minorEastAsia" w:cs="Arial"/>
                <w:b/>
                <w:bCs/>
                <w:color w:val="000000"/>
                <w:szCs w:val="16"/>
                <w:lang w:eastAsia="en-AU"/>
              </w:rPr>
            </w:pPr>
            <w:r w:rsidRPr="00430382">
              <w:rPr>
                <w:rFonts w:eastAsiaTheme="minorEastAsia" w:cs="Arial"/>
                <w:b/>
                <w:bCs/>
                <w:color w:val="000000"/>
                <w:szCs w:val="16"/>
                <w:lang w:eastAsia="en-AU"/>
              </w:rPr>
              <w:t>Assets</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430382" w:rsidRDefault="00F20535" w:rsidP="007A2EDF">
            <w:pPr>
              <w:autoSpaceDE w:val="0"/>
              <w:autoSpaceDN w:val="0"/>
              <w:adjustRightInd w:val="0"/>
              <w:rPr>
                <w:rFonts w:eastAsiaTheme="minorEastAsia" w:cs="Arial"/>
                <w:color w:val="000000"/>
                <w:szCs w:val="16"/>
                <w:lang w:eastAsia="en-AU"/>
              </w:rPr>
            </w:pPr>
            <w:r w:rsidRPr="00430382">
              <w:rPr>
                <w:rFonts w:eastAsiaTheme="minorEastAsia" w:cs="Arial"/>
                <w:color w:val="000000"/>
                <w:szCs w:val="16"/>
                <w:lang w:eastAsia="en-AU"/>
              </w:rPr>
              <w:t>Non-financial assets</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242 637</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246 185</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3 547</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123 849</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125 700</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1 852</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single" w:sz="6" w:space="0" w:color="000000"/>
              <w:right w:val="nil"/>
            </w:tcBorders>
          </w:tcPr>
          <w:p w:rsidR="00F20535" w:rsidRPr="00430382" w:rsidRDefault="00F20535" w:rsidP="007A2EDF">
            <w:pPr>
              <w:autoSpaceDE w:val="0"/>
              <w:autoSpaceDN w:val="0"/>
              <w:adjustRightInd w:val="0"/>
              <w:rPr>
                <w:rFonts w:eastAsiaTheme="minorEastAsia" w:cs="Arial"/>
                <w:color w:val="000000"/>
                <w:szCs w:val="16"/>
                <w:lang w:eastAsia="en-AU"/>
              </w:rPr>
            </w:pPr>
            <w:r w:rsidRPr="00430382">
              <w:rPr>
                <w:rFonts w:eastAsiaTheme="minorEastAsia" w:cs="Arial"/>
                <w:color w:val="000000"/>
                <w:szCs w:val="16"/>
                <w:lang w:eastAsia="en-AU"/>
              </w:rPr>
              <w:t>Financial assets</w:t>
            </w:r>
          </w:p>
        </w:tc>
        <w:tc>
          <w:tcPr>
            <w:tcW w:w="907"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59 180</w:t>
            </w:r>
          </w:p>
        </w:tc>
        <w:tc>
          <w:tcPr>
            <w:tcW w:w="907"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58 139</w:t>
            </w:r>
          </w:p>
        </w:tc>
        <w:tc>
          <w:tcPr>
            <w:tcW w:w="907"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(1 042)</w:t>
            </w:r>
          </w:p>
        </w:tc>
        <w:tc>
          <w:tcPr>
            <w:tcW w:w="907"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120 630</w:t>
            </w:r>
          </w:p>
        </w:tc>
        <w:tc>
          <w:tcPr>
            <w:tcW w:w="907"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121 290</w:t>
            </w:r>
          </w:p>
        </w:tc>
        <w:tc>
          <w:tcPr>
            <w:tcW w:w="907"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660</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430382" w:rsidRDefault="00F20535" w:rsidP="007A2EDF">
            <w:pPr>
              <w:autoSpaceDE w:val="0"/>
              <w:autoSpaceDN w:val="0"/>
              <w:adjustRightInd w:val="0"/>
              <w:rPr>
                <w:rFonts w:eastAsiaTheme="minorEastAsia" w:cs="Arial"/>
                <w:b/>
                <w:bCs/>
                <w:color w:val="000000"/>
                <w:szCs w:val="16"/>
                <w:lang w:eastAsia="en-AU"/>
              </w:rPr>
            </w:pPr>
            <w:r w:rsidRPr="00430382">
              <w:rPr>
                <w:rFonts w:eastAsiaTheme="minorEastAsia" w:cs="Arial"/>
                <w:b/>
                <w:bCs/>
                <w:color w:val="000000"/>
                <w:szCs w:val="16"/>
                <w:lang w:eastAsia="en-AU"/>
              </w:rPr>
              <w:t>Total assets</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301 818</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304 323</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2 506</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244 478</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246 990</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2 512</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430382" w:rsidRDefault="00F20535" w:rsidP="007A2EDF">
            <w:pPr>
              <w:autoSpaceDE w:val="0"/>
              <w:autoSpaceDN w:val="0"/>
              <w:adjustRightInd w:val="0"/>
              <w:rPr>
                <w:rFonts w:eastAsiaTheme="minorEastAsia" w:cs="Arial"/>
                <w:b/>
                <w:bCs/>
                <w:color w:val="000000"/>
                <w:szCs w:val="16"/>
                <w:lang w:eastAsia="en-AU"/>
              </w:rPr>
            </w:pPr>
            <w:r w:rsidRPr="00430382">
              <w:rPr>
                <w:rFonts w:eastAsiaTheme="minorEastAsia" w:cs="Arial"/>
                <w:b/>
                <w:bCs/>
                <w:color w:val="000000"/>
                <w:szCs w:val="16"/>
                <w:lang w:eastAsia="en-AU"/>
              </w:rPr>
              <w:t>Liabilities</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 xml:space="preserve"> </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430382" w:rsidRDefault="00F20535" w:rsidP="007A2EDF">
            <w:pPr>
              <w:autoSpaceDE w:val="0"/>
              <w:autoSpaceDN w:val="0"/>
              <w:adjustRightInd w:val="0"/>
              <w:rPr>
                <w:rFonts w:eastAsiaTheme="minorEastAsia" w:cs="Arial"/>
                <w:color w:val="000000"/>
                <w:szCs w:val="16"/>
                <w:lang w:eastAsia="en-AU"/>
              </w:rPr>
            </w:pPr>
            <w:r w:rsidRPr="00430382">
              <w:rPr>
                <w:rFonts w:eastAsiaTheme="minorEastAsia" w:cs="Arial"/>
                <w:color w:val="000000"/>
                <w:szCs w:val="16"/>
                <w:lang w:eastAsia="en-AU"/>
              </w:rPr>
              <w:t>Superannuation</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24 938</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24 472</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(466)</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24 900</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24 438</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(462)</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430382" w:rsidRDefault="00F20535" w:rsidP="007A2EDF">
            <w:pPr>
              <w:autoSpaceDE w:val="0"/>
              <w:autoSpaceDN w:val="0"/>
              <w:adjustRightInd w:val="0"/>
              <w:rPr>
                <w:rFonts w:eastAsiaTheme="minorEastAsia" w:cs="Arial"/>
                <w:color w:val="000000"/>
                <w:szCs w:val="16"/>
                <w:lang w:eastAsia="en-AU"/>
              </w:rPr>
            </w:pPr>
            <w:r w:rsidRPr="00430382">
              <w:rPr>
                <w:rFonts w:eastAsiaTheme="minorEastAsia" w:cs="Arial"/>
                <w:color w:val="000000"/>
                <w:szCs w:val="16"/>
                <w:lang w:eastAsia="en-AU"/>
              </w:rPr>
              <w:t>Borrowings</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48 847</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48 453</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(394)</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28 816</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30 995</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2 179</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430382" w:rsidRDefault="00F20535" w:rsidP="007A2EDF">
            <w:pPr>
              <w:autoSpaceDE w:val="0"/>
              <w:autoSpaceDN w:val="0"/>
              <w:adjustRightInd w:val="0"/>
              <w:rPr>
                <w:rFonts w:eastAsiaTheme="minorEastAsia" w:cs="Arial"/>
                <w:color w:val="000000"/>
                <w:szCs w:val="16"/>
                <w:lang w:eastAsia="en-AU"/>
              </w:rPr>
            </w:pPr>
            <w:r w:rsidRPr="00430382">
              <w:rPr>
                <w:rFonts w:eastAsiaTheme="minorEastAsia" w:cs="Arial"/>
                <w:color w:val="000000"/>
                <w:szCs w:val="16"/>
                <w:lang w:eastAsia="en-AU"/>
              </w:rPr>
              <w:t>Other liabilities</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55 799</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56 416</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617</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22 735</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430382">
              <w:rPr>
                <w:rFonts w:eastAsiaTheme="minorEastAsia" w:cs="Arial"/>
                <w:color w:val="000000"/>
                <w:szCs w:val="16"/>
                <w:lang w:eastAsia="en-AU"/>
              </w:rPr>
              <w:t>21 301</w:t>
            </w:r>
          </w:p>
        </w:tc>
        <w:tc>
          <w:tcPr>
            <w:tcW w:w="907"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(1 433)</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single" w:sz="6" w:space="0" w:color="000000"/>
              <w:left w:val="nil"/>
              <w:bottom w:val="nil"/>
              <w:right w:val="nil"/>
            </w:tcBorders>
          </w:tcPr>
          <w:p w:rsidR="00F20535" w:rsidRPr="00430382" w:rsidRDefault="00F20535" w:rsidP="007A2EDF">
            <w:pPr>
              <w:autoSpaceDE w:val="0"/>
              <w:autoSpaceDN w:val="0"/>
              <w:adjustRightInd w:val="0"/>
              <w:rPr>
                <w:rFonts w:eastAsiaTheme="minorEastAsia" w:cs="Arial"/>
                <w:b/>
                <w:bCs/>
                <w:color w:val="000000"/>
                <w:szCs w:val="16"/>
                <w:lang w:eastAsia="en-AU"/>
              </w:rPr>
            </w:pPr>
            <w:r w:rsidRPr="00430382">
              <w:rPr>
                <w:rFonts w:eastAsiaTheme="minorEastAsia" w:cs="Arial"/>
                <w:b/>
                <w:bCs/>
                <w:color w:val="000000"/>
                <w:szCs w:val="16"/>
                <w:lang w:eastAsia="en-AU"/>
              </w:rPr>
              <w:t>Total liabilities</w:t>
            </w:r>
          </w:p>
        </w:tc>
        <w:tc>
          <w:tcPr>
            <w:tcW w:w="907"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129 584</w:t>
            </w:r>
          </w:p>
        </w:tc>
        <w:tc>
          <w:tcPr>
            <w:tcW w:w="907"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129 341</w:t>
            </w:r>
          </w:p>
        </w:tc>
        <w:tc>
          <w:tcPr>
            <w:tcW w:w="907"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Pr>
                <w:rFonts w:eastAsiaTheme="minorEastAsia" w:cs="Arial"/>
                <w:b/>
                <w:bCs/>
                <w:color w:val="000000"/>
                <w:szCs w:val="16"/>
                <w:lang w:eastAsia="en-AU"/>
              </w:rPr>
              <w:t>(243)</w:t>
            </w:r>
          </w:p>
        </w:tc>
        <w:tc>
          <w:tcPr>
            <w:tcW w:w="907"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76 451</w:t>
            </w:r>
          </w:p>
        </w:tc>
        <w:tc>
          <w:tcPr>
            <w:tcW w:w="907"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76 734</w:t>
            </w:r>
          </w:p>
        </w:tc>
        <w:tc>
          <w:tcPr>
            <w:tcW w:w="907" w:type="dxa"/>
            <w:tcBorders>
              <w:top w:val="single" w:sz="6" w:space="0" w:color="000000"/>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Pr>
                <w:rFonts w:eastAsiaTheme="minorEastAsia" w:cs="Arial"/>
                <w:b/>
                <w:bCs/>
                <w:color w:val="000000"/>
                <w:szCs w:val="16"/>
                <w:lang w:eastAsia="en-AU"/>
              </w:rPr>
              <w:t>283</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4195"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rPr>
                <w:rFonts w:eastAsiaTheme="minorEastAsia" w:cs="Arial"/>
                <w:b/>
                <w:bCs/>
                <w:color w:val="000000"/>
                <w:szCs w:val="16"/>
                <w:lang w:eastAsia="en-AU"/>
              </w:rPr>
            </w:pPr>
            <w:r w:rsidRPr="00430382">
              <w:rPr>
                <w:rFonts w:eastAsiaTheme="minorEastAsia" w:cs="Arial"/>
                <w:b/>
                <w:bCs/>
                <w:color w:val="000000"/>
                <w:szCs w:val="16"/>
                <w:lang w:eastAsia="en-AU"/>
              </w:rPr>
              <w:t>Net assets</w:t>
            </w:r>
          </w:p>
        </w:tc>
        <w:tc>
          <w:tcPr>
            <w:tcW w:w="907"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172 234</w:t>
            </w:r>
          </w:p>
        </w:tc>
        <w:tc>
          <w:tcPr>
            <w:tcW w:w="907"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174 983</w:t>
            </w:r>
          </w:p>
        </w:tc>
        <w:tc>
          <w:tcPr>
            <w:tcW w:w="907"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2 749</w:t>
            </w:r>
          </w:p>
        </w:tc>
        <w:tc>
          <w:tcPr>
            <w:tcW w:w="907"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168 027</w:t>
            </w:r>
          </w:p>
        </w:tc>
        <w:tc>
          <w:tcPr>
            <w:tcW w:w="907"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170 256</w:t>
            </w:r>
          </w:p>
        </w:tc>
        <w:tc>
          <w:tcPr>
            <w:tcW w:w="907" w:type="dxa"/>
            <w:tcBorders>
              <w:top w:val="single" w:sz="6" w:space="0" w:color="000000"/>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430382">
              <w:rPr>
                <w:rFonts w:eastAsiaTheme="minorEastAsia" w:cs="Arial"/>
                <w:b/>
                <w:bCs/>
                <w:color w:val="000000"/>
                <w:szCs w:val="16"/>
                <w:lang w:eastAsia="en-AU"/>
              </w:rPr>
              <w:t>2 229</w:t>
            </w:r>
          </w:p>
        </w:tc>
      </w:tr>
    </w:tbl>
    <w:p w:rsidR="00F20535" w:rsidRDefault="00F20535" w:rsidP="007A2EDF">
      <w:pPr>
        <w:pStyle w:val="Note"/>
      </w:pPr>
      <w:r>
        <w:t>Note:</w:t>
      </w:r>
    </w:p>
    <w:p w:rsidR="00F20535" w:rsidRPr="006752AD" w:rsidRDefault="00F20535" w:rsidP="007A2EDF">
      <w:pPr>
        <w:pStyle w:val="Note"/>
      </w:pPr>
      <w:r>
        <w:t>(a)</w:t>
      </w:r>
      <w:r>
        <w:tab/>
        <w:t>This is an abbreviated balance sheet. The full consolidated and disaggregated balance sheet is reported in Chapter 2.</w:t>
      </w:r>
    </w:p>
    <w:p w:rsidR="00F20535" w:rsidRDefault="00F20535" w:rsidP="000C30FB">
      <w:pPr>
        <w:pStyle w:val="Heading20"/>
      </w:pPr>
    </w:p>
    <w:p w:rsidR="00F20535" w:rsidRDefault="00F20535">
      <w:pPr>
        <w:rPr>
          <w:rFonts w:asciiTheme="majorHAnsi" w:eastAsiaTheme="majorEastAsia" w:hAnsiTheme="majorHAnsi" w:cstheme="majorBidi"/>
          <w:b/>
          <w:spacing w:val="-2"/>
          <w:sz w:val="26"/>
          <w:szCs w:val="26"/>
        </w:rPr>
      </w:pPr>
      <w:r>
        <w:br w:type="page"/>
      </w:r>
    </w:p>
    <w:p w:rsidR="00F20535" w:rsidRDefault="00F20535" w:rsidP="000C30FB">
      <w:pPr>
        <w:pStyle w:val="Heading20"/>
      </w:pPr>
      <w:r>
        <w:lastRenderedPageBreak/>
        <w:t>STATE OF VICTORIA</w:t>
      </w:r>
    </w:p>
    <w:p w:rsidR="00F20535" w:rsidRDefault="00F20535" w:rsidP="000C30FB">
      <w:pPr>
        <w:sectPr w:rsidR="00F20535" w:rsidSect="000C30FB">
          <w:headerReference w:type="default" r:id="rId31"/>
          <w:footerReference w:type="default" r:id="rId32"/>
          <w:type w:val="continuous"/>
          <w:pgSz w:w="11907" w:h="16839" w:code="9"/>
          <w:pgMar w:top="1134" w:right="1134" w:bottom="1134" w:left="1134" w:header="624" w:footer="567" w:gutter="0"/>
          <w:cols w:sep="1" w:space="567"/>
          <w:docGrid w:linePitch="360"/>
        </w:sectPr>
      </w:pPr>
    </w:p>
    <w:p w:rsidR="00F20535" w:rsidRDefault="00F20535" w:rsidP="000C30FB">
      <w:pPr>
        <w:rPr>
          <w:rFonts w:ascii="Garamond" w:hAnsi="Garamond"/>
        </w:rPr>
      </w:pPr>
      <w:r>
        <w:rPr>
          <w:rFonts w:ascii="Garamond" w:hAnsi="Garamond"/>
        </w:rPr>
        <w:t>During the period to 31 December 2017, the net assets for the State of Victoria increased by $2.7 billion. The total assets of the State increased by $2.5 billion mainly driven by the significant investment in the State</w:t>
      </w:r>
      <w:r w:rsidR="007F4ECD">
        <w:rPr>
          <w:rFonts w:ascii="Garamond" w:hAnsi="Garamond"/>
        </w:rPr>
        <w:t>’</w:t>
      </w:r>
      <w:r>
        <w:rPr>
          <w:rFonts w:ascii="Garamond" w:hAnsi="Garamond"/>
        </w:rPr>
        <w:t xml:space="preserve">s capital program, offset by a slight decline in financial assets in the PNFC sector. </w:t>
      </w:r>
    </w:p>
    <w:p w:rsidR="00F20535" w:rsidRDefault="00F20535" w:rsidP="000C30FB">
      <w:pPr>
        <w:rPr>
          <w:rFonts w:ascii="Garamond" w:hAnsi="Garamond"/>
        </w:rPr>
      </w:pPr>
      <w:r>
        <w:rPr>
          <w:rFonts w:ascii="Garamond" w:hAnsi="Garamond"/>
        </w:rPr>
        <w:t xml:space="preserve">Total liabilities for the State decreased by $243 million to $129.3 billion. This decline was mainly due to a decrease in superannuation liabilities and borrowings partially offset by an increase in other liabilities. </w:t>
      </w:r>
      <w:r w:rsidRPr="00AC00E5">
        <w:rPr>
          <w:rFonts w:ascii="Garamond" w:hAnsi="Garamond"/>
        </w:rPr>
        <w:t xml:space="preserve">The decrease in superannuation liabilities is </w:t>
      </w:r>
      <w:r>
        <w:rPr>
          <w:rFonts w:ascii="Garamond" w:hAnsi="Garamond"/>
        </w:rPr>
        <w:t xml:space="preserve">primarily </w:t>
      </w:r>
      <w:r w:rsidRPr="00AC00E5">
        <w:rPr>
          <w:rFonts w:ascii="Garamond" w:hAnsi="Garamond"/>
        </w:rPr>
        <w:t xml:space="preserve">attributable to higher than expected investment returns on superannuation </w:t>
      </w:r>
    </w:p>
    <w:p w:rsidR="00F20535" w:rsidRDefault="00F20535" w:rsidP="000C30FB">
      <w:r>
        <w:rPr>
          <w:rFonts w:ascii="Garamond" w:hAnsi="Garamond"/>
        </w:rPr>
        <w:br w:type="column"/>
      </w:r>
      <w:r w:rsidRPr="00AC00E5">
        <w:rPr>
          <w:rFonts w:ascii="Garamond" w:hAnsi="Garamond"/>
        </w:rPr>
        <w:t>assets</w:t>
      </w:r>
      <w:r>
        <w:rPr>
          <w:rFonts w:ascii="Garamond" w:hAnsi="Garamond"/>
        </w:rPr>
        <w:t>.</w:t>
      </w:r>
      <w:r>
        <w:t xml:space="preserve"> The increase in other liabilities is due to an increase in unearned premium income for the insurers.</w:t>
      </w:r>
    </w:p>
    <w:p w:rsidR="00F20535" w:rsidRDefault="00F20535" w:rsidP="00F875F5">
      <w:pPr>
        <w:pStyle w:val="Heading10"/>
        <w:rPr>
          <w:rFonts w:ascii="Garamond" w:hAnsi="Garamond"/>
        </w:rPr>
      </w:pPr>
      <w:bookmarkStart w:id="10" w:name="_Toc508201391"/>
      <w:r w:rsidRPr="00AC00E5">
        <w:t>Cash flow</w:t>
      </w:r>
      <w:bookmarkEnd w:id="10"/>
    </w:p>
    <w:p w:rsidR="00F20535" w:rsidRDefault="00F20535" w:rsidP="00F875F5">
      <w:r>
        <w:t>Table 1.3 outlines the use of cash resources. It summarises cash generated through the operations of government departments and other general government sector agencies, and how the cash has been invested in fixed assets.</w:t>
      </w:r>
    </w:p>
    <w:p w:rsidR="00F20535" w:rsidRDefault="00F20535" w:rsidP="000C30FB">
      <w:pPr>
        <w:rPr>
          <w:rFonts w:ascii="Garamond" w:hAnsi="Garamond"/>
        </w:rPr>
      </w:pPr>
      <w:r>
        <w:t xml:space="preserve">A detailed cash flow statement is provided in Chapter 2. </w:t>
      </w:r>
    </w:p>
    <w:p w:rsidR="00F20535" w:rsidRPr="00A63743" w:rsidRDefault="00F20535" w:rsidP="000C30FB">
      <w:pPr>
        <w:rPr>
          <w:rFonts w:ascii="Garamond" w:hAnsi="Garamond"/>
        </w:rPr>
        <w:sectPr w:rsidR="00F20535" w:rsidRPr="00A63743" w:rsidSect="000C30FB">
          <w:type w:val="continuous"/>
          <w:pgSz w:w="11907" w:h="16839" w:code="9"/>
          <w:pgMar w:top="1134" w:right="1134" w:bottom="1134" w:left="1134" w:header="624" w:footer="567" w:gutter="0"/>
          <w:cols w:num="2" w:space="567"/>
          <w:docGrid w:linePitch="360"/>
        </w:sectPr>
      </w:pPr>
    </w:p>
    <w:p w:rsidR="00F20535" w:rsidRPr="00430382" w:rsidRDefault="00F20535" w:rsidP="007A2EDF">
      <w:pPr>
        <w:pStyle w:val="TableHeading"/>
        <w:rPr>
          <w:rFonts w:eastAsia="Times New Roman" w:cs="Times New Roman"/>
          <w:bCs/>
          <w:lang w:val="en-US"/>
        </w:rPr>
      </w:pPr>
      <w:r>
        <w:t xml:space="preserve">Table 1.3: </w:t>
      </w:r>
      <w:r>
        <w:tab/>
        <w:t xml:space="preserve">Application of cash resources for the general government sector </w:t>
      </w:r>
      <w:r w:rsidRPr="00547840">
        <w:rPr>
          <w:vertAlign w:val="superscript"/>
        </w:rPr>
        <w:t>(a)</w:t>
      </w:r>
      <w:r>
        <w:tab/>
        <w:t>($ million)</w:t>
      </w:r>
    </w:p>
    <w:tbl>
      <w:tblPr>
        <w:tblStyle w:val="DTFTable"/>
        <w:tblW w:w="9638" w:type="dxa"/>
        <w:tblInd w:w="45" w:type="dxa"/>
        <w:tblLayout w:type="fixed"/>
        <w:tblCellMar>
          <w:left w:w="45" w:type="dxa"/>
          <w:right w:w="45" w:type="dxa"/>
        </w:tblCellMar>
        <w:tblLook w:val="06A0" w:firstRow="1" w:lastRow="0" w:firstColumn="1" w:lastColumn="0" w:noHBand="1" w:noVBand="1"/>
      </w:tblPr>
      <w:tblGrid>
        <w:gridCol w:w="6423"/>
        <w:gridCol w:w="1429"/>
        <w:gridCol w:w="1786"/>
      </w:tblGrid>
      <w:tr w:rsidR="00FD1166" w:rsidRPr="00430382" w:rsidTr="007A2ED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423" w:type="dxa"/>
            <w:tcBorders>
              <w:top w:val="nil"/>
              <w:left w:val="nil"/>
              <w:right w:val="nil"/>
            </w:tcBorders>
            <w:shd w:val="solid" w:color="000000" w:fill="auto"/>
          </w:tcPr>
          <w:p w:rsidR="00FD1166" w:rsidRPr="00430382" w:rsidRDefault="00FD1166" w:rsidP="00FD1166">
            <w:pPr>
              <w:autoSpaceDE w:val="0"/>
              <w:autoSpaceDN w:val="0"/>
              <w:adjustRightInd w:val="0"/>
              <w:rPr>
                <w:rFonts w:eastAsiaTheme="minorEastAsia" w:cs="Calibri"/>
                <w:iCs/>
                <w:color w:val="FFFFFF"/>
                <w:sz w:val="18"/>
                <w:szCs w:val="22"/>
                <w:lang w:eastAsia="en-AU"/>
              </w:rPr>
            </w:pPr>
            <w:r w:rsidRPr="00430382">
              <w:rPr>
                <w:rFonts w:eastAsiaTheme="minorEastAsia" w:cs="Calibri"/>
                <w:iCs/>
                <w:color w:val="FFFFFF"/>
                <w:sz w:val="18"/>
                <w:szCs w:val="22"/>
                <w:lang w:eastAsia="en-AU"/>
              </w:rPr>
              <w:t xml:space="preserve"> </w:t>
            </w:r>
          </w:p>
        </w:tc>
        <w:tc>
          <w:tcPr>
            <w:tcW w:w="1429" w:type="dxa"/>
            <w:tcBorders>
              <w:top w:val="nil"/>
              <w:left w:val="nil"/>
              <w:right w:val="nil"/>
            </w:tcBorders>
            <w:shd w:val="solid" w:color="000000" w:fill="auto"/>
          </w:tcPr>
          <w:p w:rsidR="00FD1166" w:rsidRPr="00430382"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Helvetica"/>
                <w:iCs/>
                <w:color w:val="FFFFFF"/>
                <w:sz w:val="18"/>
                <w:szCs w:val="18"/>
                <w:lang w:eastAsia="en-AU"/>
              </w:rPr>
            </w:pPr>
            <w:r w:rsidRPr="00430382">
              <w:rPr>
                <w:rFonts w:eastAsiaTheme="minorEastAsia" w:cs="Helvetica"/>
                <w:iCs/>
                <w:color w:val="FFFFFF"/>
                <w:sz w:val="18"/>
                <w:szCs w:val="18"/>
                <w:lang w:eastAsia="en-AU"/>
              </w:rPr>
              <w:t>2017-18</w:t>
            </w:r>
            <w:r>
              <w:rPr>
                <w:rFonts w:eastAsiaTheme="minorEastAsia" w:cs="Helvetica"/>
                <w:iCs/>
                <w:color w:val="FFFFFF"/>
                <w:sz w:val="18"/>
                <w:szCs w:val="18"/>
                <w:lang w:eastAsia="en-AU"/>
              </w:rPr>
              <w:br/>
            </w:r>
            <w:r w:rsidRPr="00430382">
              <w:rPr>
                <w:rFonts w:eastAsiaTheme="minorEastAsia" w:cs="Helvetica"/>
                <w:iCs/>
                <w:color w:val="FFFFFF"/>
                <w:sz w:val="18"/>
                <w:szCs w:val="18"/>
                <w:lang w:eastAsia="en-AU"/>
              </w:rPr>
              <w:t>actual</w:t>
            </w:r>
            <w:r>
              <w:rPr>
                <w:rFonts w:eastAsiaTheme="minorEastAsia" w:cs="Helvetica"/>
                <w:iCs/>
                <w:color w:val="FFFFFF"/>
                <w:sz w:val="18"/>
                <w:szCs w:val="18"/>
                <w:lang w:eastAsia="en-AU"/>
              </w:rPr>
              <w:br/>
            </w:r>
            <w:r w:rsidRPr="00430382">
              <w:rPr>
                <w:rFonts w:eastAsiaTheme="minorEastAsia" w:cs="Helvetica"/>
                <w:iCs/>
                <w:color w:val="FFFFFF"/>
                <w:sz w:val="18"/>
                <w:szCs w:val="18"/>
                <w:lang w:eastAsia="en-AU"/>
              </w:rPr>
              <w:t>to Dec</w:t>
            </w:r>
          </w:p>
        </w:tc>
        <w:tc>
          <w:tcPr>
            <w:tcW w:w="1786" w:type="dxa"/>
            <w:tcBorders>
              <w:top w:val="nil"/>
              <w:left w:val="nil"/>
              <w:right w:val="nil"/>
            </w:tcBorders>
            <w:shd w:val="solid" w:color="000000" w:fill="auto"/>
          </w:tcPr>
          <w:p w:rsidR="00FD1166" w:rsidRPr="00430382"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Helvetica"/>
                <w:iCs/>
                <w:color w:val="FFFFFF"/>
                <w:sz w:val="18"/>
                <w:szCs w:val="18"/>
                <w:lang w:eastAsia="en-AU"/>
              </w:rPr>
            </w:pPr>
            <w:r w:rsidRPr="00430382">
              <w:rPr>
                <w:rFonts w:eastAsiaTheme="minorEastAsia" w:cs="Helvetica"/>
                <w:iCs/>
                <w:color w:val="FFFFFF"/>
                <w:sz w:val="18"/>
                <w:szCs w:val="18"/>
                <w:lang w:eastAsia="en-AU"/>
              </w:rPr>
              <w:t>2017-18</w:t>
            </w:r>
            <w:r>
              <w:rPr>
                <w:rFonts w:eastAsiaTheme="minorEastAsia" w:cs="Helvetica"/>
                <w:iCs/>
                <w:color w:val="FFFFFF"/>
                <w:sz w:val="18"/>
                <w:szCs w:val="18"/>
                <w:lang w:eastAsia="en-AU"/>
              </w:rPr>
              <w:br/>
            </w:r>
            <w:r w:rsidRPr="00430382">
              <w:rPr>
                <w:rFonts w:eastAsiaTheme="minorEastAsia" w:cs="Helvetica"/>
                <w:iCs/>
                <w:color w:val="FFFFFF"/>
                <w:sz w:val="18"/>
                <w:szCs w:val="18"/>
                <w:lang w:eastAsia="en-AU"/>
              </w:rPr>
              <w:t>revised</w:t>
            </w:r>
            <w:r>
              <w:rPr>
                <w:rFonts w:eastAsiaTheme="minorEastAsia" w:cs="Helvetica"/>
                <w:iCs/>
                <w:color w:val="FFFFFF"/>
                <w:sz w:val="18"/>
                <w:szCs w:val="18"/>
                <w:lang w:eastAsia="en-AU"/>
              </w:rPr>
              <w:br/>
            </w:r>
            <w:r w:rsidRPr="00430382">
              <w:rPr>
                <w:rFonts w:eastAsiaTheme="minorEastAsia" w:cs="Helvetica"/>
                <w:iCs/>
                <w:color w:val="FFFFFF"/>
                <w:sz w:val="18"/>
                <w:szCs w:val="18"/>
                <w:lang w:eastAsia="en-AU"/>
              </w:rPr>
              <w:t>estimate</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nil"/>
              <w:right w:val="nil"/>
            </w:tcBorders>
          </w:tcPr>
          <w:p w:rsidR="00F20535" w:rsidRPr="00430382" w:rsidRDefault="00F20535" w:rsidP="007A2EDF">
            <w:pPr>
              <w:autoSpaceDE w:val="0"/>
              <w:autoSpaceDN w:val="0"/>
              <w:adjustRightInd w:val="0"/>
              <w:rPr>
                <w:rFonts w:eastAsiaTheme="minorEastAsia" w:cs="Helvetica"/>
                <w:color w:val="000000"/>
                <w:sz w:val="18"/>
                <w:szCs w:val="18"/>
                <w:lang w:eastAsia="en-AU"/>
              </w:rPr>
            </w:pPr>
            <w:r w:rsidRPr="00430382">
              <w:rPr>
                <w:rFonts w:eastAsiaTheme="minorEastAsia" w:cs="Helvetica"/>
                <w:color w:val="000000"/>
                <w:sz w:val="18"/>
                <w:szCs w:val="18"/>
                <w:lang w:eastAsia="en-AU"/>
              </w:rPr>
              <w:t>Net result from transactions – net operating balance</w:t>
            </w:r>
          </w:p>
        </w:tc>
        <w:tc>
          <w:tcPr>
            <w:tcW w:w="1429"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Pr>
                <w:rFonts w:eastAsiaTheme="minorEastAsia" w:cs="Helvetica"/>
                <w:color w:val="000000"/>
                <w:sz w:val="18"/>
                <w:szCs w:val="18"/>
                <w:lang w:eastAsia="en-AU"/>
              </w:rPr>
              <w:t>950</w:t>
            </w:r>
          </w:p>
        </w:tc>
        <w:tc>
          <w:tcPr>
            <w:tcW w:w="178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sidRPr="00430382">
              <w:rPr>
                <w:rFonts w:eastAsiaTheme="minorEastAsia" w:cs="Helvetica"/>
                <w:color w:val="000000"/>
                <w:sz w:val="18"/>
                <w:szCs w:val="18"/>
                <w:lang w:eastAsia="en-AU"/>
              </w:rPr>
              <w:t>1 713</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single" w:sz="6" w:space="0" w:color="000000"/>
              <w:right w:val="nil"/>
            </w:tcBorders>
          </w:tcPr>
          <w:p w:rsidR="00F20535" w:rsidRPr="00430382" w:rsidRDefault="00F20535" w:rsidP="007A2EDF">
            <w:pPr>
              <w:autoSpaceDE w:val="0"/>
              <w:autoSpaceDN w:val="0"/>
              <w:adjustRightInd w:val="0"/>
              <w:rPr>
                <w:rFonts w:eastAsiaTheme="minorEastAsia" w:cs="Helvetica"/>
                <w:color w:val="000000"/>
                <w:sz w:val="18"/>
                <w:szCs w:val="18"/>
                <w:lang w:eastAsia="en-AU"/>
              </w:rPr>
            </w:pPr>
            <w:r w:rsidRPr="00430382">
              <w:rPr>
                <w:rFonts w:eastAsiaTheme="minorEastAsia" w:cs="Helvetica"/>
                <w:color w:val="000000"/>
                <w:sz w:val="18"/>
                <w:szCs w:val="18"/>
                <w:lang w:eastAsia="en-AU"/>
              </w:rPr>
              <w:t xml:space="preserve">Add back: Non-cash revenues and expenses (net) </w:t>
            </w:r>
            <w:r w:rsidRPr="00430382">
              <w:rPr>
                <w:rFonts w:eastAsiaTheme="minorEastAsia" w:cs="Helvetica"/>
                <w:color w:val="000000"/>
                <w:sz w:val="18"/>
                <w:szCs w:val="18"/>
                <w:vertAlign w:val="superscript"/>
                <w:lang w:eastAsia="en-AU"/>
              </w:rPr>
              <w:t>(b)</w:t>
            </w:r>
          </w:p>
        </w:tc>
        <w:tc>
          <w:tcPr>
            <w:tcW w:w="1429"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Pr>
                <w:rFonts w:eastAsiaTheme="minorEastAsia" w:cs="Helvetica"/>
                <w:color w:val="000000"/>
                <w:sz w:val="18"/>
                <w:szCs w:val="18"/>
                <w:lang w:eastAsia="en-AU"/>
              </w:rPr>
              <w:t>786</w:t>
            </w:r>
          </w:p>
        </w:tc>
        <w:tc>
          <w:tcPr>
            <w:tcW w:w="1786"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sidRPr="00430382">
              <w:rPr>
                <w:rFonts w:eastAsiaTheme="minorEastAsia" w:cs="Helvetica"/>
                <w:color w:val="000000"/>
                <w:sz w:val="18"/>
                <w:szCs w:val="18"/>
                <w:lang w:eastAsia="en-AU"/>
              </w:rPr>
              <w:t>2 180</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nil"/>
              <w:right w:val="nil"/>
            </w:tcBorders>
          </w:tcPr>
          <w:p w:rsidR="00F20535" w:rsidRPr="00430382" w:rsidRDefault="00F20535" w:rsidP="007A2EDF">
            <w:pPr>
              <w:autoSpaceDE w:val="0"/>
              <w:autoSpaceDN w:val="0"/>
              <w:adjustRightInd w:val="0"/>
              <w:rPr>
                <w:rFonts w:eastAsiaTheme="minorEastAsia" w:cs="Helvetica"/>
                <w:b/>
                <w:bCs/>
                <w:color w:val="000000"/>
                <w:sz w:val="18"/>
                <w:szCs w:val="18"/>
                <w:lang w:eastAsia="en-AU"/>
              </w:rPr>
            </w:pPr>
            <w:r w:rsidRPr="00430382">
              <w:rPr>
                <w:rFonts w:eastAsiaTheme="minorEastAsia" w:cs="Helvetica"/>
                <w:b/>
                <w:bCs/>
                <w:color w:val="000000"/>
                <w:sz w:val="18"/>
                <w:szCs w:val="18"/>
                <w:lang w:eastAsia="en-AU"/>
              </w:rPr>
              <w:t>Net cash flows from operating activities</w:t>
            </w:r>
          </w:p>
        </w:tc>
        <w:tc>
          <w:tcPr>
            <w:tcW w:w="1429"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b/>
                <w:bCs/>
                <w:color w:val="000000"/>
                <w:sz w:val="18"/>
                <w:szCs w:val="18"/>
                <w:lang w:eastAsia="en-AU"/>
              </w:rPr>
            </w:pPr>
            <w:r w:rsidRPr="00430382">
              <w:rPr>
                <w:rFonts w:eastAsiaTheme="minorEastAsia" w:cs="Helvetica"/>
                <w:b/>
                <w:bCs/>
                <w:color w:val="000000"/>
                <w:sz w:val="18"/>
                <w:szCs w:val="18"/>
                <w:lang w:eastAsia="en-AU"/>
              </w:rPr>
              <w:t>1 736</w:t>
            </w:r>
          </w:p>
        </w:tc>
        <w:tc>
          <w:tcPr>
            <w:tcW w:w="178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b/>
                <w:bCs/>
                <w:color w:val="000000"/>
                <w:sz w:val="18"/>
                <w:szCs w:val="18"/>
                <w:lang w:eastAsia="en-AU"/>
              </w:rPr>
            </w:pPr>
            <w:r w:rsidRPr="00430382">
              <w:rPr>
                <w:rFonts w:eastAsiaTheme="minorEastAsia" w:cs="Helvetica"/>
                <w:b/>
                <w:bCs/>
                <w:color w:val="000000"/>
                <w:sz w:val="18"/>
                <w:szCs w:val="18"/>
                <w:lang w:eastAsia="en-AU"/>
              </w:rPr>
              <w:t>3 893</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nil"/>
              <w:right w:val="nil"/>
            </w:tcBorders>
          </w:tcPr>
          <w:p w:rsidR="00F20535" w:rsidRPr="00430382" w:rsidRDefault="00F20535" w:rsidP="007A2EDF">
            <w:pPr>
              <w:autoSpaceDE w:val="0"/>
              <w:autoSpaceDN w:val="0"/>
              <w:adjustRightInd w:val="0"/>
              <w:rPr>
                <w:rFonts w:eastAsiaTheme="minorEastAsia" w:cs="Helvetica"/>
                <w:color w:val="000000"/>
                <w:sz w:val="18"/>
                <w:szCs w:val="18"/>
                <w:lang w:eastAsia="en-AU"/>
              </w:rPr>
            </w:pPr>
            <w:r w:rsidRPr="00430382">
              <w:rPr>
                <w:rFonts w:eastAsiaTheme="minorEastAsia" w:cs="Helvetica"/>
                <w:color w:val="000000"/>
                <w:sz w:val="18"/>
                <w:szCs w:val="18"/>
                <w:lang w:eastAsia="en-AU"/>
              </w:rPr>
              <w:t>Less:</w:t>
            </w:r>
          </w:p>
        </w:tc>
        <w:tc>
          <w:tcPr>
            <w:tcW w:w="1429"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8"/>
                <w:szCs w:val="22"/>
                <w:lang w:eastAsia="en-AU"/>
              </w:rPr>
            </w:pPr>
            <w:r w:rsidRPr="00430382">
              <w:rPr>
                <w:rFonts w:eastAsiaTheme="minorEastAsia" w:cs="Calibri"/>
                <w:color w:val="000000"/>
                <w:sz w:val="18"/>
                <w:szCs w:val="22"/>
                <w:lang w:eastAsia="en-AU"/>
              </w:rPr>
              <w:t xml:space="preserve"> </w:t>
            </w:r>
          </w:p>
        </w:tc>
        <w:tc>
          <w:tcPr>
            <w:tcW w:w="178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8"/>
                <w:szCs w:val="22"/>
                <w:lang w:eastAsia="en-AU"/>
              </w:rPr>
            </w:pPr>
            <w:r w:rsidRPr="00430382">
              <w:rPr>
                <w:rFonts w:eastAsiaTheme="minorEastAsia" w:cs="Calibri"/>
                <w:color w:val="000000"/>
                <w:sz w:val="18"/>
                <w:szCs w:val="22"/>
                <w:lang w:eastAsia="en-AU"/>
              </w:rPr>
              <w:t xml:space="preserve"> </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nil"/>
              <w:right w:val="nil"/>
            </w:tcBorders>
          </w:tcPr>
          <w:p w:rsidR="00F20535" w:rsidRPr="00430382" w:rsidRDefault="00F20535" w:rsidP="007A2EDF">
            <w:pPr>
              <w:autoSpaceDE w:val="0"/>
              <w:autoSpaceDN w:val="0"/>
              <w:adjustRightInd w:val="0"/>
              <w:rPr>
                <w:rFonts w:eastAsiaTheme="minorEastAsia" w:cs="Helvetica"/>
                <w:b/>
                <w:bCs/>
                <w:color w:val="000000"/>
                <w:sz w:val="18"/>
                <w:szCs w:val="18"/>
                <w:lang w:eastAsia="en-AU"/>
              </w:rPr>
            </w:pPr>
            <w:r w:rsidRPr="00430382">
              <w:rPr>
                <w:rFonts w:eastAsiaTheme="minorEastAsia" w:cs="Helvetica"/>
                <w:b/>
                <w:bCs/>
                <w:color w:val="000000"/>
                <w:sz w:val="18"/>
                <w:szCs w:val="18"/>
                <w:lang w:eastAsia="en-AU"/>
              </w:rPr>
              <w:t>Net investment in fixed assets</w:t>
            </w:r>
          </w:p>
        </w:tc>
        <w:tc>
          <w:tcPr>
            <w:tcW w:w="1429"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8"/>
                <w:szCs w:val="22"/>
                <w:lang w:eastAsia="en-AU"/>
              </w:rPr>
            </w:pPr>
            <w:r w:rsidRPr="00430382">
              <w:rPr>
                <w:rFonts w:eastAsiaTheme="minorEastAsia" w:cs="Calibri"/>
                <w:b/>
                <w:bCs/>
                <w:color w:val="000000"/>
                <w:sz w:val="18"/>
                <w:szCs w:val="22"/>
                <w:lang w:eastAsia="en-AU"/>
              </w:rPr>
              <w:t xml:space="preserve"> </w:t>
            </w:r>
          </w:p>
        </w:tc>
        <w:tc>
          <w:tcPr>
            <w:tcW w:w="178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8"/>
                <w:szCs w:val="22"/>
                <w:lang w:eastAsia="en-AU"/>
              </w:rPr>
            </w:pPr>
            <w:r w:rsidRPr="00430382">
              <w:rPr>
                <w:rFonts w:eastAsiaTheme="minorEastAsia" w:cs="Calibri"/>
                <w:b/>
                <w:bCs/>
                <w:color w:val="000000"/>
                <w:sz w:val="18"/>
                <w:szCs w:val="22"/>
                <w:lang w:eastAsia="en-AU"/>
              </w:rPr>
              <w:t xml:space="preserve"> </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nil"/>
              <w:right w:val="nil"/>
            </w:tcBorders>
          </w:tcPr>
          <w:p w:rsidR="00F20535" w:rsidRPr="00430382" w:rsidRDefault="00F20535" w:rsidP="007A2EDF">
            <w:pPr>
              <w:autoSpaceDE w:val="0"/>
              <w:autoSpaceDN w:val="0"/>
              <w:adjustRightInd w:val="0"/>
              <w:rPr>
                <w:rFonts w:eastAsiaTheme="minorEastAsia" w:cs="Helvetica"/>
                <w:color w:val="000000"/>
                <w:sz w:val="18"/>
                <w:szCs w:val="18"/>
                <w:lang w:eastAsia="en-AU"/>
              </w:rPr>
            </w:pPr>
            <w:r w:rsidRPr="00430382">
              <w:rPr>
                <w:rFonts w:eastAsiaTheme="minorEastAsia" w:cs="Helvetica"/>
                <w:color w:val="000000"/>
                <w:sz w:val="18"/>
                <w:szCs w:val="18"/>
                <w:lang w:eastAsia="en-AU"/>
              </w:rPr>
              <w:t>Purchases of non-financial assets</w:t>
            </w:r>
          </w:p>
        </w:tc>
        <w:tc>
          <w:tcPr>
            <w:tcW w:w="1429"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sidRPr="00430382">
              <w:rPr>
                <w:rFonts w:eastAsiaTheme="minorEastAsia" w:cs="Helvetica"/>
                <w:color w:val="000000"/>
                <w:sz w:val="18"/>
                <w:szCs w:val="18"/>
                <w:lang w:eastAsia="en-AU"/>
              </w:rPr>
              <w:t>4 570</w:t>
            </w:r>
          </w:p>
        </w:tc>
        <w:tc>
          <w:tcPr>
            <w:tcW w:w="178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sidRPr="00430382">
              <w:rPr>
                <w:rFonts w:eastAsiaTheme="minorEastAsia" w:cs="Helvetica"/>
                <w:color w:val="000000"/>
                <w:sz w:val="18"/>
                <w:szCs w:val="18"/>
                <w:lang w:eastAsia="en-AU"/>
              </w:rPr>
              <w:t>9 289</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nil"/>
              <w:right w:val="nil"/>
            </w:tcBorders>
          </w:tcPr>
          <w:p w:rsidR="00F20535" w:rsidRPr="00430382" w:rsidRDefault="00F20535" w:rsidP="007A2EDF">
            <w:pPr>
              <w:autoSpaceDE w:val="0"/>
              <w:autoSpaceDN w:val="0"/>
              <w:adjustRightInd w:val="0"/>
              <w:rPr>
                <w:rFonts w:eastAsiaTheme="minorEastAsia" w:cs="Helvetica"/>
                <w:color w:val="000000"/>
                <w:sz w:val="18"/>
                <w:szCs w:val="18"/>
                <w:lang w:eastAsia="en-AU"/>
              </w:rPr>
            </w:pPr>
            <w:r w:rsidRPr="00430382">
              <w:rPr>
                <w:rFonts w:eastAsiaTheme="minorEastAsia" w:cs="Helvetica"/>
                <w:color w:val="000000"/>
                <w:sz w:val="18"/>
                <w:szCs w:val="18"/>
                <w:lang w:eastAsia="en-AU"/>
              </w:rPr>
              <w:t xml:space="preserve">Net cash flows from investments in financial assets for policy purposes </w:t>
            </w:r>
            <w:r w:rsidRPr="00430382">
              <w:rPr>
                <w:rFonts w:eastAsiaTheme="minorEastAsia" w:cs="Helvetica"/>
                <w:color w:val="000000"/>
                <w:sz w:val="18"/>
                <w:szCs w:val="18"/>
                <w:vertAlign w:val="superscript"/>
                <w:lang w:eastAsia="en-AU"/>
              </w:rPr>
              <w:t>(c)</w:t>
            </w:r>
          </w:p>
        </w:tc>
        <w:tc>
          <w:tcPr>
            <w:tcW w:w="1429"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Pr>
                <w:rFonts w:eastAsiaTheme="minorEastAsia" w:cs="Helvetica"/>
                <w:color w:val="000000"/>
                <w:sz w:val="18"/>
                <w:szCs w:val="18"/>
                <w:lang w:eastAsia="en-AU"/>
              </w:rPr>
              <w:t>(718)</w:t>
            </w:r>
          </w:p>
        </w:tc>
        <w:tc>
          <w:tcPr>
            <w:tcW w:w="178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Pr>
                <w:rFonts w:eastAsiaTheme="minorEastAsia" w:cs="Helvetica"/>
                <w:color w:val="000000"/>
                <w:sz w:val="18"/>
                <w:szCs w:val="18"/>
                <w:lang w:eastAsia="en-AU"/>
              </w:rPr>
              <w:t>(2 593)</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single" w:sz="6" w:space="0" w:color="000000"/>
              <w:right w:val="nil"/>
            </w:tcBorders>
          </w:tcPr>
          <w:p w:rsidR="00F20535" w:rsidRPr="00430382" w:rsidRDefault="00F20535" w:rsidP="007A2EDF">
            <w:pPr>
              <w:autoSpaceDE w:val="0"/>
              <w:autoSpaceDN w:val="0"/>
              <w:adjustRightInd w:val="0"/>
              <w:rPr>
                <w:rFonts w:eastAsiaTheme="minorEastAsia" w:cs="Helvetica"/>
                <w:color w:val="000000"/>
                <w:sz w:val="18"/>
                <w:szCs w:val="18"/>
                <w:lang w:eastAsia="en-AU"/>
              </w:rPr>
            </w:pPr>
            <w:r w:rsidRPr="00430382">
              <w:rPr>
                <w:rFonts w:eastAsiaTheme="minorEastAsia" w:cs="Helvetica"/>
                <w:color w:val="000000"/>
                <w:sz w:val="18"/>
                <w:szCs w:val="18"/>
                <w:lang w:eastAsia="en-AU"/>
              </w:rPr>
              <w:t>Sales of non-financial assets</w:t>
            </w:r>
          </w:p>
        </w:tc>
        <w:tc>
          <w:tcPr>
            <w:tcW w:w="1429"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Pr>
                <w:rFonts w:eastAsiaTheme="minorEastAsia" w:cs="Helvetica"/>
                <w:color w:val="000000"/>
                <w:sz w:val="18"/>
                <w:szCs w:val="18"/>
                <w:lang w:eastAsia="en-AU"/>
              </w:rPr>
              <w:t>(96)</w:t>
            </w:r>
          </w:p>
        </w:tc>
        <w:tc>
          <w:tcPr>
            <w:tcW w:w="1786"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Pr>
                <w:rFonts w:eastAsiaTheme="minorEastAsia" w:cs="Helvetica"/>
                <w:color w:val="000000"/>
                <w:sz w:val="18"/>
                <w:szCs w:val="18"/>
                <w:lang w:eastAsia="en-AU"/>
              </w:rPr>
              <w:t>(532)</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nil"/>
              <w:right w:val="nil"/>
            </w:tcBorders>
          </w:tcPr>
          <w:p w:rsidR="00F20535" w:rsidRPr="00430382" w:rsidRDefault="00F20535" w:rsidP="007A2EDF">
            <w:pPr>
              <w:autoSpaceDE w:val="0"/>
              <w:autoSpaceDN w:val="0"/>
              <w:adjustRightInd w:val="0"/>
              <w:rPr>
                <w:rFonts w:eastAsiaTheme="minorEastAsia" w:cs="Helvetica"/>
                <w:b/>
                <w:bCs/>
                <w:color w:val="000000"/>
                <w:sz w:val="18"/>
                <w:szCs w:val="18"/>
                <w:lang w:eastAsia="en-AU"/>
              </w:rPr>
            </w:pPr>
            <w:r w:rsidRPr="00430382">
              <w:rPr>
                <w:rFonts w:eastAsiaTheme="minorEastAsia" w:cs="Helvetica"/>
                <w:b/>
                <w:bCs/>
                <w:color w:val="000000"/>
                <w:sz w:val="18"/>
                <w:szCs w:val="18"/>
                <w:lang w:eastAsia="en-AU"/>
              </w:rPr>
              <w:t>Net investment in fixed assets</w:t>
            </w:r>
          </w:p>
        </w:tc>
        <w:tc>
          <w:tcPr>
            <w:tcW w:w="1429"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b/>
                <w:bCs/>
                <w:color w:val="000000"/>
                <w:sz w:val="18"/>
                <w:szCs w:val="18"/>
                <w:lang w:eastAsia="en-AU"/>
              </w:rPr>
            </w:pPr>
            <w:r w:rsidRPr="00430382">
              <w:rPr>
                <w:rFonts w:eastAsiaTheme="minorEastAsia" w:cs="Helvetica"/>
                <w:b/>
                <w:bCs/>
                <w:color w:val="000000"/>
                <w:sz w:val="18"/>
                <w:szCs w:val="18"/>
                <w:lang w:eastAsia="en-AU"/>
              </w:rPr>
              <w:t>3 756</w:t>
            </w:r>
          </w:p>
        </w:tc>
        <w:tc>
          <w:tcPr>
            <w:tcW w:w="178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b/>
                <w:bCs/>
                <w:color w:val="000000"/>
                <w:sz w:val="18"/>
                <w:szCs w:val="18"/>
                <w:lang w:eastAsia="en-AU"/>
              </w:rPr>
            </w:pPr>
            <w:r w:rsidRPr="00430382">
              <w:rPr>
                <w:rFonts w:eastAsiaTheme="minorEastAsia" w:cs="Helvetica"/>
                <w:b/>
                <w:bCs/>
                <w:color w:val="000000"/>
                <w:sz w:val="18"/>
                <w:szCs w:val="18"/>
                <w:lang w:eastAsia="en-AU"/>
              </w:rPr>
              <w:t>6 165</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single" w:sz="6" w:space="0" w:color="000000"/>
              <w:right w:val="nil"/>
            </w:tcBorders>
          </w:tcPr>
          <w:p w:rsidR="00F20535" w:rsidRPr="00430382" w:rsidRDefault="00F20535" w:rsidP="007A2EDF">
            <w:pPr>
              <w:autoSpaceDE w:val="0"/>
              <w:autoSpaceDN w:val="0"/>
              <w:adjustRightInd w:val="0"/>
              <w:rPr>
                <w:rFonts w:eastAsiaTheme="minorEastAsia" w:cs="Helvetica"/>
                <w:color w:val="000000"/>
                <w:sz w:val="18"/>
                <w:szCs w:val="18"/>
                <w:lang w:eastAsia="en-AU"/>
              </w:rPr>
            </w:pPr>
            <w:r w:rsidRPr="00430382">
              <w:rPr>
                <w:rFonts w:eastAsiaTheme="minorEastAsia" w:cs="Helvetica"/>
                <w:color w:val="000000"/>
                <w:sz w:val="18"/>
                <w:szCs w:val="18"/>
                <w:lang w:eastAsia="en-AU"/>
              </w:rPr>
              <w:t xml:space="preserve">Finance leases </w:t>
            </w:r>
            <w:r w:rsidRPr="00430382">
              <w:rPr>
                <w:rFonts w:eastAsiaTheme="minorEastAsia" w:cs="Helvetica"/>
                <w:color w:val="000000"/>
                <w:sz w:val="18"/>
                <w:szCs w:val="18"/>
                <w:vertAlign w:val="superscript"/>
                <w:lang w:eastAsia="en-AU"/>
              </w:rPr>
              <w:t>(d)</w:t>
            </w:r>
          </w:p>
        </w:tc>
        <w:tc>
          <w:tcPr>
            <w:tcW w:w="1429"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Pr>
                <w:rFonts w:eastAsiaTheme="minorEastAsia" w:cs="Helvetica"/>
                <w:color w:val="000000"/>
                <w:sz w:val="18"/>
                <w:szCs w:val="18"/>
                <w:lang w:eastAsia="en-AU"/>
              </w:rPr>
              <w:t>463</w:t>
            </w:r>
          </w:p>
        </w:tc>
        <w:tc>
          <w:tcPr>
            <w:tcW w:w="1786" w:type="dxa"/>
            <w:tcBorders>
              <w:top w:val="nil"/>
              <w:left w:val="nil"/>
              <w:bottom w:val="single" w:sz="6"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Pr>
                <w:rFonts w:eastAsiaTheme="minorEastAsia" w:cs="Helvetica"/>
                <w:color w:val="000000"/>
                <w:sz w:val="18"/>
                <w:szCs w:val="18"/>
                <w:lang w:eastAsia="en-AU"/>
              </w:rPr>
              <w:t>647</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nil"/>
              <w:right w:val="nil"/>
            </w:tcBorders>
          </w:tcPr>
          <w:p w:rsidR="00F20535" w:rsidRPr="00430382" w:rsidRDefault="00F20535" w:rsidP="007A2EDF">
            <w:pPr>
              <w:autoSpaceDE w:val="0"/>
              <w:autoSpaceDN w:val="0"/>
              <w:adjustRightInd w:val="0"/>
              <w:rPr>
                <w:rFonts w:eastAsiaTheme="minorEastAsia" w:cs="Helvetica"/>
                <w:color w:val="000000"/>
                <w:sz w:val="18"/>
                <w:szCs w:val="18"/>
                <w:lang w:eastAsia="en-AU"/>
              </w:rPr>
            </w:pPr>
            <w:r w:rsidRPr="00430382">
              <w:rPr>
                <w:rFonts w:eastAsiaTheme="minorEastAsia" w:cs="Helvetica"/>
                <w:color w:val="000000"/>
                <w:sz w:val="18"/>
                <w:szCs w:val="18"/>
                <w:lang w:eastAsia="en-AU"/>
              </w:rPr>
              <w:t>Other investment activities (net)</w:t>
            </w:r>
          </w:p>
        </w:tc>
        <w:tc>
          <w:tcPr>
            <w:tcW w:w="1429"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Pr>
                <w:rFonts w:eastAsiaTheme="minorEastAsia" w:cs="Helvetica"/>
                <w:color w:val="000000"/>
                <w:sz w:val="18"/>
                <w:szCs w:val="18"/>
                <w:lang w:eastAsia="en-AU"/>
              </w:rPr>
              <w:t>864</w:t>
            </w:r>
          </w:p>
        </w:tc>
        <w:tc>
          <w:tcPr>
            <w:tcW w:w="1786" w:type="dxa"/>
            <w:tcBorders>
              <w:top w:val="nil"/>
              <w:left w:val="nil"/>
              <w:bottom w:val="nil"/>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color w:val="000000"/>
                <w:sz w:val="18"/>
                <w:szCs w:val="18"/>
                <w:lang w:eastAsia="en-AU"/>
              </w:rPr>
            </w:pPr>
            <w:r w:rsidRPr="00430382">
              <w:rPr>
                <w:rFonts w:eastAsiaTheme="minorEastAsia" w:cs="Helvetica"/>
                <w:color w:val="000000"/>
                <w:sz w:val="18"/>
                <w:szCs w:val="18"/>
                <w:lang w:eastAsia="en-AU"/>
              </w:rPr>
              <w:t>2 954</w:t>
            </w:r>
          </w:p>
        </w:tc>
      </w:tr>
      <w:tr w:rsidR="00F20535" w:rsidRPr="00430382" w:rsidTr="007A2EDF">
        <w:tc>
          <w:tcPr>
            <w:cnfStyle w:val="001000000000" w:firstRow="0" w:lastRow="0" w:firstColumn="1" w:lastColumn="0" w:oddVBand="0" w:evenVBand="0" w:oddHBand="0" w:evenHBand="0" w:firstRowFirstColumn="0" w:firstRowLastColumn="0" w:lastRowFirstColumn="0" w:lastRowLastColumn="0"/>
            <w:tcW w:w="6423" w:type="dxa"/>
            <w:tcBorders>
              <w:top w:val="nil"/>
              <w:left w:val="nil"/>
              <w:bottom w:val="single" w:sz="12" w:space="0" w:color="000000"/>
              <w:right w:val="nil"/>
            </w:tcBorders>
          </w:tcPr>
          <w:p w:rsidR="00F20535" w:rsidRPr="00430382" w:rsidRDefault="00F20535" w:rsidP="007A2EDF">
            <w:pPr>
              <w:autoSpaceDE w:val="0"/>
              <w:autoSpaceDN w:val="0"/>
              <w:adjustRightInd w:val="0"/>
              <w:rPr>
                <w:rFonts w:eastAsiaTheme="minorEastAsia" w:cs="Helvetica"/>
                <w:b/>
                <w:bCs/>
                <w:color w:val="000000"/>
                <w:sz w:val="18"/>
                <w:szCs w:val="18"/>
                <w:lang w:eastAsia="en-AU"/>
              </w:rPr>
            </w:pPr>
            <w:r w:rsidRPr="00430382">
              <w:rPr>
                <w:rFonts w:eastAsiaTheme="minorEastAsia" w:cs="Helvetica"/>
                <w:b/>
                <w:bCs/>
                <w:color w:val="000000"/>
                <w:sz w:val="18"/>
                <w:szCs w:val="18"/>
                <w:lang w:eastAsia="en-AU"/>
              </w:rPr>
              <w:t>Decrease/(increase) in net debt</w:t>
            </w:r>
          </w:p>
        </w:tc>
        <w:tc>
          <w:tcPr>
            <w:tcW w:w="1429" w:type="dxa"/>
            <w:tcBorders>
              <w:top w:val="nil"/>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b/>
                <w:bCs/>
                <w:color w:val="000000"/>
                <w:sz w:val="18"/>
                <w:szCs w:val="18"/>
                <w:lang w:eastAsia="en-AU"/>
              </w:rPr>
            </w:pPr>
            <w:r>
              <w:rPr>
                <w:rFonts w:eastAsiaTheme="minorEastAsia" w:cs="Helvetica"/>
                <w:b/>
                <w:bCs/>
                <w:color w:val="000000"/>
                <w:sz w:val="18"/>
                <w:szCs w:val="18"/>
                <w:lang w:eastAsia="en-AU"/>
              </w:rPr>
              <w:t>(3 347)</w:t>
            </w:r>
          </w:p>
        </w:tc>
        <w:tc>
          <w:tcPr>
            <w:tcW w:w="1786" w:type="dxa"/>
            <w:tcBorders>
              <w:top w:val="nil"/>
              <w:left w:val="nil"/>
              <w:bottom w:val="single" w:sz="12" w:space="0" w:color="000000"/>
              <w:right w:val="nil"/>
            </w:tcBorders>
          </w:tcPr>
          <w:p w:rsidR="00F20535" w:rsidRPr="00430382"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Helvetica"/>
                <w:b/>
                <w:bCs/>
                <w:color w:val="000000"/>
                <w:sz w:val="18"/>
                <w:szCs w:val="18"/>
                <w:lang w:eastAsia="en-AU"/>
              </w:rPr>
            </w:pPr>
            <w:r>
              <w:rPr>
                <w:rFonts w:eastAsiaTheme="minorEastAsia" w:cs="Helvetica"/>
                <w:b/>
                <w:bCs/>
                <w:color w:val="000000"/>
                <w:sz w:val="18"/>
                <w:szCs w:val="18"/>
                <w:lang w:eastAsia="en-AU"/>
              </w:rPr>
              <w:t>(5 872)</w:t>
            </w:r>
          </w:p>
        </w:tc>
      </w:tr>
    </w:tbl>
    <w:p w:rsidR="00F20535" w:rsidRDefault="00F20535" w:rsidP="007A2EDF">
      <w:pPr>
        <w:pStyle w:val="Note"/>
      </w:pPr>
      <w:r>
        <w:t>Notes:</w:t>
      </w:r>
    </w:p>
    <w:p w:rsidR="00F20535" w:rsidRDefault="00F20535" w:rsidP="000C30FB">
      <w:pPr>
        <w:pStyle w:val="Note"/>
      </w:pPr>
      <w:r>
        <w:t>(a)</w:t>
      </w:r>
      <w:r>
        <w:tab/>
        <w:t>Figures in this table are subject to rounding to the nearest dollar and may not add up to totals.</w:t>
      </w:r>
    </w:p>
    <w:p w:rsidR="00F20535" w:rsidRPr="00880745" w:rsidRDefault="00F20535" w:rsidP="000C30FB">
      <w:pPr>
        <w:pStyle w:val="Note"/>
      </w:pPr>
      <w:r>
        <w:t>(b)</w:t>
      </w:r>
      <w:r>
        <w:tab/>
        <w:t xml:space="preserve">Includes depreciation, movements in the unfunded superannuation liability </w:t>
      </w:r>
      <w:r w:rsidRPr="00880745">
        <w:t>and liability of employee benefits.</w:t>
      </w:r>
    </w:p>
    <w:p w:rsidR="00F20535" w:rsidRDefault="00F20535" w:rsidP="000C30FB">
      <w:pPr>
        <w:pStyle w:val="Note"/>
      </w:pPr>
      <w:r w:rsidRPr="00880745">
        <w:t>(c)</w:t>
      </w:r>
      <w:r w:rsidRPr="00880745">
        <w:tab/>
        <w:t>Includes net advances to public non-financial corporations for policy purposes of $979 million for the six months</w:t>
      </w:r>
      <w:r>
        <w:t xml:space="preserve"> ended 31 December.</w:t>
      </w:r>
    </w:p>
    <w:p w:rsidR="00F20535" w:rsidRDefault="00F20535" w:rsidP="000C30FB">
      <w:pPr>
        <w:pStyle w:val="Note"/>
      </w:pPr>
      <w:r>
        <w:t>(d)</w:t>
      </w:r>
      <w:r>
        <w:tab/>
        <w:t>The 2017-18 estimate relates to the Ravenhall Prison project, the new Bendigo Hospital project (stage 2) and the New Schools PPP project (tranche 2).</w:t>
      </w:r>
    </w:p>
    <w:p w:rsidR="00F20535" w:rsidRDefault="00F20535" w:rsidP="000C30FB">
      <w:pPr>
        <w:pStyle w:val="Note"/>
      </w:pPr>
    </w:p>
    <w:p w:rsidR="00F20535" w:rsidRDefault="00F20535" w:rsidP="000C30FB">
      <w:pPr>
        <w:rPr>
          <w:szCs w:val="26"/>
        </w:rPr>
      </w:pPr>
      <w:r>
        <w:br w:type="page"/>
      </w:r>
    </w:p>
    <w:p w:rsidR="00720053" w:rsidRDefault="00F20535" w:rsidP="00720053">
      <w:pPr>
        <w:pStyle w:val="Heading20"/>
        <w:spacing w:after="120"/>
      </w:pPr>
      <w:r>
        <w:t>Infrastructure investment</w:t>
      </w:r>
    </w:p>
    <w:p w:rsidR="00F20535" w:rsidRDefault="00F20535" w:rsidP="00720053">
      <w:r>
        <w:t>The State</w:t>
      </w:r>
      <w:r w:rsidR="007F4ECD">
        <w:t>’</w:t>
      </w:r>
      <w:r>
        <w:t xml:space="preserve">s infrastructure program supports growing community needs and ongoing productivity improvement. For the six months to 31 December 2017, net investment in fixed assets by the State </w:t>
      </w:r>
      <w:r w:rsidRPr="00880745">
        <w:t>totalled $5.5 billion.</w:t>
      </w:r>
      <w:r>
        <w:t xml:space="preserve"> </w:t>
      </w:r>
    </w:p>
    <w:p w:rsidR="00F20535" w:rsidRDefault="00F20535" w:rsidP="000C30FB">
      <w:pPr>
        <w:pStyle w:val="HighlightBoxHeading"/>
      </w:pPr>
      <w:r>
        <w:t>The Government</w:t>
      </w:r>
      <w:r w:rsidR="007F4ECD">
        <w:t>’</w:t>
      </w:r>
      <w:r>
        <w:t>s infrastructure scorecard as at 31 December 2017</w:t>
      </w:r>
    </w:p>
    <w:p w:rsidR="00F20535" w:rsidRDefault="00F20535" w:rsidP="007A2EDF">
      <w:pPr>
        <w:pStyle w:val="HighlightBoxText"/>
        <w:spacing w:before="80"/>
      </w:pPr>
      <w:r>
        <w:t>Major projects in progress include:</w:t>
      </w:r>
    </w:p>
    <w:p w:rsidR="00F20535" w:rsidRDefault="00F20535" w:rsidP="007A2EDF">
      <w:pPr>
        <w:pStyle w:val="HighlightBoxBullet"/>
        <w:keepLines w:val="0"/>
        <w:spacing w:before="30"/>
      </w:pPr>
      <w:r>
        <w:t>Ballarat Line Upgrade;</w:t>
      </w:r>
    </w:p>
    <w:p w:rsidR="00F20535" w:rsidRDefault="00F20535" w:rsidP="007A2EDF">
      <w:pPr>
        <w:pStyle w:val="HighlightBoxBullet"/>
        <w:keepLines w:val="0"/>
        <w:spacing w:before="30"/>
      </w:pPr>
      <w:r>
        <w:t>Bendigo Hospital – Stage 2;</w:t>
      </w:r>
    </w:p>
    <w:p w:rsidR="00F20535" w:rsidRDefault="00F20535" w:rsidP="007A2EDF">
      <w:pPr>
        <w:pStyle w:val="HighlightBoxBullet"/>
        <w:keepLines w:val="0"/>
        <w:spacing w:before="30"/>
      </w:pPr>
      <w:r>
        <w:t>Casey Hospital Expansion;</w:t>
      </w:r>
    </w:p>
    <w:p w:rsidR="00F20535" w:rsidRDefault="00F20535" w:rsidP="007A2EDF">
      <w:pPr>
        <w:pStyle w:val="HighlightBoxBullet"/>
        <w:keepLines w:val="0"/>
        <w:spacing w:before="30"/>
      </w:pPr>
      <w:r>
        <w:t>CityLink–Tulla widening;</w:t>
      </w:r>
    </w:p>
    <w:p w:rsidR="00F20535" w:rsidRDefault="00F20535" w:rsidP="007A2EDF">
      <w:pPr>
        <w:pStyle w:val="HighlightBoxBullet"/>
        <w:keepLines w:val="0"/>
        <w:spacing w:before="30"/>
      </w:pPr>
      <w:r>
        <w:t>Chandler Highway Upgrade;</w:t>
      </w:r>
    </w:p>
    <w:p w:rsidR="00F20535" w:rsidRDefault="00F20535" w:rsidP="007A2EDF">
      <w:pPr>
        <w:pStyle w:val="HighlightBoxBullet"/>
        <w:keepLines w:val="0"/>
        <w:spacing w:before="30"/>
      </w:pPr>
      <w:r>
        <w:t>Drysdale Bypass and High Street upgrades;</w:t>
      </w:r>
    </w:p>
    <w:p w:rsidR="00F20535" w:rsidRDefault="00F20535" w:rsidP="007A2EDF">
      <w:pPr>
        <w:pStyle w:val="HighlightBoxBullet"/>
        <w:keepLines w:val="0"/>
        <w:spacing w:before="30"/>
      </w:pPr>
      <w:r>
        <w:t>Echuca-Moama Bridge;</w:t>
      </w:r>
    </w:p>
    <w:p w:rsidR="00F20535" w:rsidRDefault="00F20535" w:rsidP="007A2EDF">
      <w:pPr>
        <w:pStyle w:val="HighlightBoxBullet"/>
        <w:keepLines w:val="0"/>
        <w:spacing w:before="30"/>
      </w:pPr>
      <w:r>
        <w:t>Frankston line stabling;</w:t>
      </w:r>
    </w:p>
    <w:p w:rsidR="00F20535" w:rsidRDefault="00F20535" w:rsidP="007A2EDF">
      <w:pPr>
        <w:pStyle w:val="HighlightBoxBullet"/>
        <w:keepLines w:val="0"/>
        <w:spacing w:before="30"/>
      </w:pPr>
      <w:r>
        <w:t>Goulburn-Murray Water Connections Project (Northern Victoria Irrigation Renewal Project);</w:t>
      </w:r>
    </w:p>
    <w:p w:rsidR="00F20535" w:rsidRDefault="00F20535" w:rsidP="007A2EDF">
      <w:pPr>
        <w:pStyle w:val="HighlightBoxBullet"/>
        <w:keepLines w:val="0"/>
        <w:spacing w:before="30"/>
      </w:pPr>
      <w:r>
        <w:t>Goulburn Valley Health redevelopment;</w:t>
      </w:r>
    </w:p>
    <w:p w:rsidR="00F20535" w:rsidRDefault="00F20535" w:rsidP="007A2EDF">
      <w:pPr>
        <w:pStyle w:val="HighlightBoxBullet"/>
        <w:keepLines w:val="0"/>
        <w:spacing w:before="30"/>
      </w:pPr>
      <w:r>
        <w:t>Hurstbridge Corridor Upgrade – Stage 1;</w:t>
      </w:r>
    </w:p>
    <w:p w:rsidR="00F20535" w:rsidRDefault="00F20535" w:rsidP="007A2EDF">
      <w:pPr>
        <w:pStyle w:val="HighlightBoxBullet"/>
        <w:keepLines w:val="0"/>
        <w:spacing w:before="30"/>
      </w:pPr>
      <w:r>
        <w:t>Joan Kirner Women</w:t>
      </w:r>
      <w:r w:rsidR="007F4ECD">
        <w:t>’</w:t>
      </w:r>
      <w:r>
        <w:t>s and Children</w:t>
      </w:r>
      <w:r w:rsidR="007F4ECD">
        <w:t>’</w:t>
      </w:r>
      <w:r>
        <w:t>s Hospital;</w:t>
      </w:r>
    </w:p>
    <w:p w:rsidR="00F20535" w:rsidRDefault="00F20535" w:rsidP="007A2EDF">
      <w:pPr>
        <w:pStyle w:val="HighlightBoxBullet"/>
        <w:keepLines w:val="0"/>
        <w:spacing w:before="30"/>
      </w:pPr>
      <w:r>
        <w:t>Level Crossing Removal Program;</w:t>
      </w:r>
    </w:p>
    <w:p w:rsidR="00F20535" w:rsidRDefault="00F20535" w:rsidP="007A2EDF">
      <w:pPr>
        <w:pStyle w:val="HighlightBoxBullet"/>
        <w:keepLines w:val="0"/>
        <w:spacing w:before="30"/>
      </w:pPr>
      <w:r>
        <w:t>M80 Ring Road upgrade:</w:t>
      </w:r>
    </w:p>
    <w:p w:rsidR="00F20535" w:rsidRDefault="00F20535" w:rsidP="007A2EDF">
      <w:pPr>
        <w:pStyle w:val="HighlightBoxBullet"/>
        <w:keepLines w:val="0"/>
        <w:numPr>
          <w:ilvl w:val="0"/>
          <w:numId w:val="0"/>
        </w:numPr>
        <w:spacing w:before="20"/>
        <w:ind w:firstLine="284"/>
      </w:pPr>
      <w:r>
        <w:t>–</w:t>
      </w:r>
      <w:r>
        <w:tab/>
        <w:t>Sunshine Avenue to Calder Freeway;</w:t>
      </w:r>
    </w:p>
    <w:p w:rsidR="00F20535" w:rsidRDefault="00F20535" w:rsidP="007A2EDF">
      <w:pPr>
        <w:pStyle w:val="HighlightBoxBullet"/>
        <w:keepLines w:val="0"/>
        <w:numPr>
          <w:ilvl w:val="0"/>
          <w:numId w:val="0"/>
        </w:numPr>
        <w:spacing w:before="20"/>
        <w:ind w:firstLine="284"/>
      </w:pPr>
      <w:r>
        <w:t>–</w:t>
      </w:r>
      <w:r>
        <w:tab/>
        <w:t>Princes Freeway to Western Highway;</w:t>
      </w:r>
    </w:p>
    <w:p w:rsidR="00F20535" w:rsidRDefault="00F20535" w:rsidP="007A2EDF">
      <w:pPr>
        <w:pStyle w:val="HighlightBoxBullet"/>
        <w:keepLines w:val="0"/>
        <w:numPr>
          <w:ilvl w:val="0"/>
          <w:numId w:val="0"/>
        </w:numPr>
        <w:spacing w:before="20"/>
        <w:ind w:firstLine="284"/>
      </w:pPr>
      <w:r>
        <w:t>–</w:t>
      </w:r>
      <w:r>
        <w:tab/>
        <w:t>Sydney Road to Edgars Road; and</w:t>
      </w:r>
    </w:p>
    <w:p w:rsidR="00F20535" w:rsidRDefault="00F20535" w:rsidP="007A2EDF">
      <w:pPr>
        <w:pStyle w:val="HighlightBoxBullet"/>
        <w:keepLines w:val="0"/>
        <w:numPr>
          <w:ilvl w:val="0"/>
          <w:numId w:val="0"/>
        </w:numPr>
        <w:spacing w:before="20"/>
        <w:ind w:firstLine="284"/>
      </w:pPr>
      <w:r>
        <w:t>–</w:t>
      </w:r>
      <w:r>
        <w:tab/>
        <w:t>Plenty Road to Greensborough Highway.</w:t>
      </w:r>
    </w:p>
    <w:p w:rsidR="00F20535" w:rsidRDefault="00F20535" w:rsidP="007A2EDF">
      <w:pPr>
        <w:pStyle w:val="HighlightBoxBullet"/>
        <w:keepLines w:val="0"/>
        <w:spacing w:before="30"/>
      </w:pPr>
      <w:r>
        <w:t>Melbourne Convention and Exhibition Centre development – Stage 2;</w:t>
      </w:r>
    </w:p>
    <w:p w:rsidR="00F20535" w:rsidRDefault="00F20535" w:rsidP="007A2EDF">
      <w:pPr>
        <w:pStyle w:val="HighlightBoxBullet"/>
        <w:keepLines w:val="0"/>
        <w:spacing w:before="30"/>
      </w:pPr>
      <w:r>
        <w:t>Melbourne Park redevelopment – Stages 2 and 3;</w:t>
      </w:r>
    </w:p>
    <w:p w:rsidR="00F20535" w:rsidRDefault="00F20535" w:rsidP="007A2EDF">
      <w:pPr>
        <w:pStyle w:val="HighlightBoxBullet"/>
        <w:keepLines w:val="0"/>
        <w:spacing w:before="30"/>
      </w:pPr>
      <w:r>
        <w:t>Melbourne Underground Rail Loop – Fire and Safety Upgrade;</w:t>
      </w:r>
    </w:p>
    <w:p w:rsidR="00F20535" w:rsidRDefault="00F20535" w:rsidP="007A2EDF">
      <w:pPr>
        <w:pStyle w:val="HighlightBoxBullet"/>
        <w:keepLines w:val="0"/>
        <w:spacing w:before="30"/>
      </w:pPr>
      <w:r>
        <w:t>Mernda Rail Extension;</w:t>
      </w:r>
    </w:p>
    <w:p w:rsidR="00F20535" w:rsidRDefault="00F20535" w:rsidP="007A2EDF">
      <w:pPr>
        <w:pStyle w:val="HighlightBoxBullet"/>
        <w:keepLines w:val="0"/>
        <w:spacing w:before="30"/>
      </w:pPr>
      <w:r>
        <w:t>Metro Tunnel;</w:t>
      </w:r>
    </w:p>
    <w:p w:rsidR="00F20535" w:rsidRDefault="00F20535" w:rsidP="007A2EDF">
      <w:pPr>
        <w:pStyle w:val="HighlightBoxBullet"/>
        <w:keepLines w:val="0"/>
        <w:spacing w:before="30"/>
      </w:pPr>
      <w:r>
        <w:t>Monash Children</w:t>
      </w:r>
      <w:r w:rsidR="007F4ECD">
        <w:t>’</w:t>
      </w:r>
      <w:r>
        <w:t>s Hospital;</w:t>
      </w:r>
    </w:p>
    <w:p w:rsidR="00F20535" w:rsidRDefault="00F20535" w:rsidP="007A2EDF">
      <w:pPr>
        <w:pStyle w:val="HighlightBoxBullet"/>
        <w:keepLines w:val="0"/>
        <w:spacing w:before="30"/>
      </w:pPr>
      <w:r>
        <w:t>Mordialloc Bypass;</w:t>
      </w:r>
    </w:p>
    <w:p w:rsidR="00F20535" w:rsidRDefault="00F20535" w:rsidP="007A2EDF">
      <w:pPr>
        <w:pStyle w:val="HighlightBoxBullet"/>
        <w:keepLines w:val="0"/>
        <w:spacing w:before="30"/>
      </w:pPr>
      <w:r>
        <w:t>Murray Basin Rail Project;</w:t>
      </w:r>
    </w:p>
    <w:p w:rsidR="00F20535" w:rsidRDefault="00F20535" w:rsidP="007A2EDF">
      <w:pPr>
        <w:pStyle w:val="HighlightBoxBullet"/>
        <w:keepLines w:val="0"/>
        <w:spacing w:before="30"/>
      </w:pPr>
      <w:r>
        <w:t>New Schools PPP project – Tranche 2;</w:t>
      </w:r>
    </w:p>
    <w:p w:rsidR="00F20535" w:rsidRDefault="00F20535" w:rsidP="007A2EDF">
      <w:pPr>
        <w:pStyle w:val="HighlightBoxBullet"/>
        <w:keepLines w:val="0"/>
        <w:spacing w:before="30"/>
      </w:pPr>
      <w:r>
        <w:t>New trains, trams and associated infrastructure for Melbourne commuters;</w:t>
      </w:r>
    </w:p>
    <w:p w:rsidR="00F20535" w:rsidRDefault="00F20535" w:rsidP="007A2EDF">
      <w:pPr>
        <w:pStyle w:val="HighlightBoxBullet"/>
        <w:keepLines w:val="0"/>
        <w:spacing w:before="30"/>
      </w:pPr>
      <w:r>
        <w:t>New youth justice facility;</w:t>
      </w:r>
    </w:p>
    <w:p w:rsidR="00F20535" w:rsidRDefault="00F20535" w:rsidP="007A2EDF">
      <w:pPr>
        <w:pStyle w:val="HighlightBoxBullet"/>
        <w:keepLines w:val="0"/>
        <w:spacing w:before="30"/>
      </w:pPr>
      <w:r>
        <w:t>Northern Hospital inpatient expansion – Stage 2;</w:t>
      </w:r>
    </w:p>
    <w:p w:rsidR="00F20535" w:rsidRDefault="00F20535" w:rsidP="007A2EDF">
      <w:pPr>
        <w:pStyle w:val="HighlightBoxBullet"/>
        <w:keepLines w:val="0"/>
        <w:spacing w:before="30"/>
      </w:pPr>
      <w:r>
        <w:t>Princes Highway duplication project – Winchelsea to Colac;</w:t>
      </w:r>
    </w:p>
    <w:p w:rsidR="00F20535" w:rsidRDefault="00F20535" w:rsidP="007A2EDF">
      <w:pPr>
        <w:pStyle w:val="HighlightBoxBullet"/>
        <w:keepLines w:val="0"/>
        <w:spacing w:before="30"/>
      </w:pPr>
      <w:r>
        <w:t>Regional Rail Revival;</w:t>
      </w:r>
    </w:p>
    <w:p w:rsidR="00F20535" w:rsidRDefault="00F20535" w:rsidP="007A2EDF">
      <w:pPr>
        <w:pStyle w:val="HighlightBoxBullet"/>
        <w:keepLines w:val="0"/>
        <w:spacing w:before="30"/>
      </w:pPr>
      <w:r>
        <w:t>Royal Victorian Eye and Ear Hospital redevelopment;</w:t>
      </w:r>
    </w:p>
    <w:p w:rsidR="00F20535" w:rsidRDefault="00F20535" w:rsidP="007A2EDF">
      <w:pPr>
        <w:pStyle w:val="HighlightBoxBullet"/>
        <w:keepLines w:val="0"/>
        <w:spacing w:before="30"/>
      </w:pPr>
      <w:r>
        <w:t>Thompsons Road duplication;</w:t>
      </w:r>
    </w:p>
    <w:p w:rsidR="00F20535" w:rsidRDefault="00F20535" w:rsidP="007A2EDF">
      <w:pPr>
        <w:pStyle w:val="HighlightBoxBullet"/>
        <w:keepLines w:val="0"/>
        <w:spacing w:before="30"/>
      </w:pPr>
      <w:r>
        <w:t xml:space="preserve">West Gate Tunnel Project; </w:t>
      </w:r>
    </w:p>
    <w:p w:rsidR="00F20535" w:rsidRDefault="00F20535" w:rsidP="007A2EDF">
      <w:pPr>
        <w:pStyle w:val="HighlightBoxBullet"/>
        <w:keepLines w:val="0"/>
        <w:spacing w:before="30"/>
      </w:pPr>
      <w:r>
        <w:t>Western Highway duplication;</w:t>
      </w:r>
    </w:p>
    <w:p w:rsidR="00F20535" w:rsidRDefault="00F20535" w:rsidP="007A2EDF">
      <w:pPr>
        <w:pStyle w:val="HighlightBoxBullet"/>
        <w:keepLines w:val="0"/>
        <w:spacing w:before="30"/>
      </w:pPr>
      <w:r>
        <w:t>Western Roads Upgrade; and</w:t>
      </w:r>
    </w:p>
    <w:p w:rsidR="00F20535" w:rsidRPr="00802641" w:rsidRDefault="00F20535" w:rsidP="007A2EDF">
      <w:pPr>
        <w:pStyle w:val="HighlightBoxBullet"/>
        <w:keepLines w:val="0"/>
        <w:spacing w:before="30"/>
      </w:pPr>
      <w:r>
        <w:t>Yan Yean Road duplication.</w:t>
      </w:r>
    </w:p>
    <w:p w:rsidR="00F20535" w:rsidRDefault="00F20535">
      <w:pPr>
        <w:rPr>
          <w:rFonts w:asciiTheme="majorHAnsi" w:eastAsiaTheme="majorEastAsia" w:hAnsiTheme="majorHAnsi" w:cstheme="majorBidi"/>
          <w:b/>
          <w:bCs/>
          <w:caps/>
          <w:spacing w:val="-2"/>
          <w:sz w:val="26"/>
          <w:szCs w:val="28"/>
        </w:rPr>
      </w:pPr>
      <w:r>
        <w:br w:type="page"/>
      </w:r>
    </w:p>
    <w:p w:rsidR="00F20535" w:rsidRDefault="00F20535" w:rsidP="00CA6CEE">
      <w:pPr>
        <w:pStyle w:val="Heading10"/>
      </w:pPr>
      <w:bookmarkStart w:id="11" w:name="_Toc508201392"/>
      <w:r>
        <w:t>Financial sustainability</w:t>
      </w:r>
      <w:bookmarkEnd w:id="11"/>
    </w:p>
    <w:p w:rsidR="00F20535" w:rsidRDefault="00F20535" w:rsidP="000C30FB">
      <w:pPr>
        <w:pStyle w:val="Heading20"/>
        <w:sectPr w:rsidR="00F20535" w:rsidSect="000C30FB">
          <w:headerReference w:type="default" r:id="rId33"/>
          <w:footerReference w:type="default" r:id="rId34"/>
          <w:type w:val="continuous"/>
          <w:pgSz w:w="11907" w:h="16839" w:code="9"/>
          <w:pgMar w:top="1134" w:right="1134" w:bottom="1134" w:left="1134" w:header="624" w:footer="567" w:gutter="0"/>
          <w:cols w:sep="1" w:space="567"/>
          <w:docGrid w:linePitch="360"/>
        </w:sectPr>
      </w:pPr>
    </w:p>
    <w:p w:rsidR="00F20535" w:rsidRPr="00880745" w:rsidRDefault="00F20535" w:rsidP="000C30FB">
      <w:pPr>
        <w:pStyle w:val="Heading20"/>
      </w:pPr>
      <w:r w:rsidRPr="00880745">
        <w:t>General government sector</w:t>
      </w:r>
    </w:p>
    <w:p w:rsidR="00F20535" w:rsidRPr="00880745" w:rsidRDefault="00F20535" w:rsidP="000C30FB">
      <w:r w:rsidRPr="00880745">
        <w:t>Table 1.4 shows general government sector net debt increased by $</w:t>
      </w:r>
      <w:r>
        <w:t>3.3</w:t>
      </w:r>
      <w:r w:rsidRPr="00880745">
        <w:t> billion to $19.1 billion as at 31 December 2017. This is consistent with expectations, and reflects the Government</w:t>
      </w:r>
      <w:r w:rsidR="007F4ECD">
        <w:t>’</w:t>
      </w:r>
      <w:r w:rsidRPr="00880745">
        <w:t xml:space="preserve">s significant infrastructure program. Consequently, the ratio on net debt to GSP has increased from 3.9 per cent to 4.5 per cent. </w:t>
      </w:r>
    </w:p>
    <w:p w:rsidR="00F20535" w:rsidRDefault="00F20535" w:rsidP="000C30FB">
      <w:r w:rsidRPr="00880745">
        <w:t>Overall, net financial liabilities increased during the period due to the increase in net debt, partially offset by the $462 million reduction in the superannuation liability. The reduced superannuation liability is primarily due to higher than expected investment returns on superannuation assets for the period. The ratio of net financial liabilities t</w:t>
      </w:r>
      <w:r>
        <w:t>o GSP remained at 11.9 </w:t>
      </w:r>
      <w:r w:rsidRPr="00880745">
        <w:t>per cent at the end of the period</w:t>
      </w:r>
      <w:r w:rsidRPr="00E06D2E">
        <w:t>.</w:t>
      </w:r>
    </w:p>
    <w:p w:rsidR="00F20535" w:rsidRPr="00361266" w:rsidRDefault="00F20535" w:rsidP="000C30FB">
      <w:pPr>
        <w:sectPr w:rsidR="00F20535" w:rsidRPr="00361266" w:rsidSect="000C30FB">
          <w:type w:val="continuous"/>
          <w:pgSz w:w="11907" w:h="16839" w:code="9"/>
          <w:pgMar w:top="1134" w:right="1134" w:bottom="1134" w:left="1134" w:header="624" w:footer="567" w:gutter="0"/>
          <w:cols w:num="2" w:space="567"/>
          <w:docGrid w:linePitch="360"/>
        </w:sectPr>
      </w:pPr>
    </w:p>
    <w:p w:rsidR="00F20535" w:rsidRPr="00125F01" w:rsidRDefault="00F20535" w:rsidP="007A2EDF">
      <w:pPr>
        <w:pStyle w:val="TableHeading"/>
        <w:rPr>
          <w:rFonts w:eastAsia="Times New Roman" w:cs="Times New Roman"/>
          <w:bCs/>
          <w:lang w:val="en-US"/>
        </w:rPr>
      </w:pPr>
      <w:r>
        <w:t xml:space="preserve">Table 1.4: </w:t>
      </w:r>
      <w:r>
        <w:tab/>
        <w:t>General government sector net debt and net financial liabilities as at 31 December</w:t>
      </w:r>
      <w:r>
        <w:tab/>
        <w:t>($ million)</w:t>
      </w:r>
    </w:p>
    <w:tbl>
      <w:tblPr>
        <w:tblStyle w:val="DTFTable"/>
        <w:tblW w:w="9643" w:type="dxa"/>
        <w:tblInd w:w="45" w:type="dxa"/>
        <w:tblLayout w:type="fixed"/>
        <w:tblCellMar>
          <w:left w:w="45" w:type="dxa"/>
          <w:right w:w="45" w:type="dxa"/>
        </w:tblCellMar>
        <w:tblLook w:val="06A0" w:firstRow="1" w:lastRow="0" w:firstColumn="1" w:lastColumn="0" w:noHBand="1" w:noVBand="1"/>
      </w:tblPr>
      <w:tblGrid>
        <w:gridCol w:w="5092"/>
        <w:gridCol w:w="1134"/>
        <w:gridCol w:w="1417"/>
        <w:gridCol w:w="1077"/>
        <w:gridCol w:w="923"/>
      </w:tblGrid>
      <w:tr w:rsidR="00FD1166" w:rsidRPr="00125F01" w:rsidTr="007A2EDF">
        <w:trPr>
          <w:cnfStyle w:val="100000000000" w:firstRow="1" w:lastRow="0" w:firstColumn="0" w:lastColumn="0" w:oddVBand="0" w:evenVBand="0" w:oddHBand="0" w:evenHBand="0" w:firstRowFirstColumn="0" w:firstRowLastColumn="0" w:lastRowFirstColumn="0" w:lastRowLastColumn="0"/>
          <w:trHeight w:val="450"/>
          <w:tblHeader/>
        </w:trPr>
        <w:tc>
          <w:tcPr>
            <w:cnfStyle w:val="001000000000" w:firstRow="0" w:lastRow="0" w:firstColumn="1" w:lastColumn="0" w:oddVBand="0" w:evenVBand="0" w:oddHBand="0" w:evenHBand="0" w:firstRowFirstColumn="0" w:firstRowLastColumn="0" w:lastRowFirstColumn="0" w:lastRowLastColumn="0"/>
            <w:tcW w:w="5092" w:type="dxa"/>
            <w:tcBorders>
              <w:top w:val="nil"/>
              <w:left w:val="nil"/>
              <w:right w:val="nil"/>
            </w:tcBorders>
            <w:shd w:val="solid" w:color="000000" w:fill="auto"/>
          </w:tcPr>
          <w:p w:rsidR="00FD1166" w:rsidRPr="00125F01" w:rsidRDefault="007F4ECD" w:rsidP="00FD1166">
            <w:pPr>
              <w:autoSpaceDE w:val="0"/>
              <w:autoSpaceDN w:val="0"/>
              <w:adjustRightInd w:val="0"/>
              <w:rPr>
                <w:rFonts w:eastAsiaTheme="minorEastAsia" w:cs="Calibri"/>
                <w:iCs/>
                <w:color w:val="FFFFFF"/>
                <w:szCs w:val="22"/>
                <w:lang w:eastAsia="en-AU"/>
              </w:rPr>
            </w:pPr>
            <w:r>
              <w:rPr>
                <w:rFonts w:eastAsiaTheme="minorEastAsia" w:cs="Calibri"/>
                <w:iCs/>
                <w:color w:val="FFFFFF"/>
                <w:szCs w:val="22"/>
                <w:lang w:eastAsia="en-AU"/>
              </w:rPr>
              <w:t xml:space="preserve"> </w:t>
            </w:r>
          </w:p>
        </w:tc>
        <w:tc>
          <w:tcPr>
            <w:tcW w:w="1134" w:type="dxa"/>
            <w:tcBorders>
              <w:top w:val="nil"/>
              <w:left w:val="nil"/>
              <w:right w:val="nil"/>
            </w:tcBorders>
            <w:shd w:val="solid" w:color="000000" w:fill="auto"/>
          </w:tcPr>
          <w:p w:rsidR="00FD1166" w:rsidRPr="00125F0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125F01">
              <w:rPr>
                <w:rFonts w:eastAsiaTheme="minorEastAsia" w:cs="Calibri"/>
                <w:iCs/>
                <w:color w:val="FFFFFF"/>
                <w:szCs w:val="16"/>
                <w:lang w:eastAsia="en-AU"/>
              </w:rPr>
              <w:t>Opening</w:t>
            </w:r>
            <w:r>
              <w:rPr>
                <w:rFonts w:eastAsiaTheme="minorEastAsia" w:cs="Calibri"/>
                <w:iCs/>
                <w:color w:val="FFFFFF"/>
                <w:szCs w:val="16"/>
                <w:lang w:eastAsia="en-AU"/>
              </w:rPr>
              <w:br/>
            </w:r>
            <w:r w:rsidRPr="00125F01">
              <w:rPr>
                <w:rFonts w:eastAsiaTheme="minorEastAsia" w:cs="Calibri"/>
                <w:iCs/>
                <w:color w:val="FFFFFF"/>
                <w:szCs w:val="16"/>
                <w:lang w:eastAsia="en-AU"/>
              </w:rPr>
              <w:t>1 July 2017</w:t>
            </w:r>
          </w:p>
        </w:tc>
        <w:tc>
          <w:tcPr>
            <w:tcW w:w="1417" w:type="dxa"/>
            <w:tcBorders>
              <w:top w:val="nil"/>
              <w:left w:val="nil"/>
              <w:right w:val="nil"/>
            </w:tcBorders>
            <w:shd w:val="solid" w:color="000000" w:fill="auto"/>
          </w:tcPr>
          <w:p w:rsidR="00FD1166" w:rsidRPr="00125F0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125F01">
              <w:rPr>
                <w:rFonts w:eastAsiaTheme="minorEastAsia" w:cs="Calibri"/>
                <w:iCs/>
                <w:color w:val="FFFFFF"/>
                <w:szCs w:val="16"/>
                <w:lang w:eastAsia="en-AU"/>
              </w:rPr>
              <w:t>Closing</w:t>
            </w:r>
            <w:r>
              <w:rPr>
                <w:rFonts w:eastAsiaTheme="minorEastAsia" w:cs="Calibri"/>
                <w:iCs/>
                <w:color w:val="FFFFFF"/>
                <w:szCs w:val="16"/>
                <w:lang w:eastAsia="en-AU"/>
              </w:rPr>
              <w:br/>
            </w:r>
            <w:r w:rsidRPr="00125F01">
              <w:rPr>
                <w:rFonts w:eastAsiaTheme="minorEastAsia" w:cs="Calibri"/>
                <w:iCs/>
                <w:color w:val="FFFFFF"/>
                <w:szCs w:val="16"/>
                <w:lang w:eastAsia="en-AU"/>
              </w:rPr>
              <w:t>31 Dec 2017</w:t>
            </w:r>
          </w:p>
        </w:tc>
        <w:tc>
          <w:tcPr>
            <w:tcW w:w="1077" w:type="dxa"/>
            <w:tcBorders>
              <w:top w:val="nil"/>
              <w:left w:val="nil"/>
              <w:right w:val="nil"/>
            </w:tcBorders>
            <w:shd w:val="solid" w:color="000000" w:fill="auto"/>
          </w:tcPr>
          <w:p w:rsidR="00FD1166" w:rsidRPr="00125F0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125F01">
              <w:rPr>
                <w:rFonts w:eastAsiaTheme="minorEastAsia" w:cs="Calibri"/>
                <w:iCs/>
                <w:color w:val="FFFFFF"/>
                <w:szCs w:val="16"/>
                <w:lang w:eastAsia="en-AU"/>
              </w:rPr>
              <w:t>Actual</w:t>
            </w:r>
            <w:r>
              <w:rPr>
                <w:rFonts w:eastAsiaTheme="minorEastAsia" w:cs="Calibri"/>
                <w:iCs/>
                <w:color w:val="FFFFFF"/>
                <w:szCs w:val="16"/>
                <w:lang w:eastAsia="en-AU"/>
              </w:rPr>
              <w:br/>
            </w:r>
            <w:r w:rsidRPr="00125F01">
              <w:rPr>
                <w:rFonts w:eastAsiaTheme="minorEastAsia" w:cs="Calibri"/>
                <w:iCs/>
                <w:color w:val="FFFFFF"/>
                <w:szCs w:val="16"/>
                <w:lang w:eastAsia="en-AU"/>
              </w:rPr>
              <w:t>movement</w:t>
            </w:r>
          </w:p>
        </w:tc>
        <w:tc>
          <w:tcPr>
            <w:tcW w:w="923" w:type="dxa"/>
            <w:tcBorders>
              <w:top w:val="nil"/>
              <w:left w:val="nil"/>
              <w:right w:val="nil"/>
            </w:tcBorders>
            <w:shd w:val="solid" w:color="000000" w:fill="auto"/>
          </w:tcPr>
          <w:p w:rsidR="00FD1166" w:rsidRPr="00125F0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125F01">
              <w:rPr>
                <w:rFonts w:eastAsiaTheme="minorEastAsia" w:cs="Calibri"/>
                <w:iCs/>
                <w:color w:val="FFFFFF"/>
                <w:szCs w:val="16"/>
                <w:lang w:eastAsia="en-AU"/>
              </w:rPr>
              <w:t>%</w:t>
            </w:r>
            <w:r>
              <w:rPr>
                <w:rFonts w:eastAsiaTheme="minorEastAsia" w:cs="Calibri"/>
                <w:iCs/>
                <w:color w:val="FFFFFF"/>
                <w:szCs w:val="16"/>
                <w:lang w:eastAsia="en-AU"/>
              </w:rPr>
              <w:br/>
            </w:r>
            <w:r w:rsidRPr="00125F01">
              <w:rPr>
                <w:rFonts w:eastAsiaTheme="minorEastAsia" w:cs="Calibri"/>
                <w:iCs/>
                <w:color w:val="FFFFFF"/>
                <w:szCs w:val="16"/>
                <w:lang w:eastAsia="en-AU"/>
              </w:rPr>
              <w:t>change</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b/>
                <w:bCs/>
                <w:color w:val="000000"/>
                <w:szCs w:val="16"/>
                <w:lang w:eastAsia="en-AU"/>
              </w:rPr>
            </w:pPr>
            <w:r w:rsidRPr="00125F01">
              <w:rPr>
                <w:rFonts w:eastAsiaTheme="minorEastAsia" w:cs="Arial"/>
                <w:b/>
                <w:bCs/>
                <w:color w:val="000000"/>
                <w:szCs w:val="16"/>
                <w:lang w:eastAsia="en-AU"/>
              </w:rPr>
              <w:t>Assets</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color w:val="000000"/>
                <w:szCs w:val="16"/>
                <w:lang w:eastAsia="en-AU"/>
              </w:rPr>
            </w:pPr>
            <w:r w:rsidRPr="00125F01">
              <w:rPr>
                <w:rFonts w:eastAsiaTheme="minorEastAsia" w:cs="Arial"/>
                <w:color w:val="000000"/>
                <w:szCs w:val="16"/>
                <w:lang w:eastAsia="en-AU"/>
              </w:rPr>
              <w:t>Cash and deposits</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5 530</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3 992</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(1 537)</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(28)</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color w:val="000000"/>
                <w:szCs w:val="16"/>
                <w:lang w:eastAsia="en-AU"/>
              </w:rPr>
            </w:pPr>
            <w:r w:rsidRPr="00125F01">
              <w:rPr>
                <w:rFonts w:eastAsiaTheme="minorEastAsia" w:cs="Arial"/>
                <w:color w:val="000000"/>
                <w:szCs w:val="16"/>
                <w:lang w:eastAsia="en-AU"/>
              </w:rPr>
              <w:t>Advances paid</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12 939</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11 986</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(953)</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(7)</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single" w:sz="6" w:space="0" w:color="000000"/>
              <w:right w:val="nil"/>
            </w:tcBorders>
          </w:tcPr>
          <w:p w:rsidR="00F20535" w:rsidRPr="00125F01" w:rsidRDefault="00F20535" w:rsidP="007A2EDF">
            <w:pPr>
              <w:autoSpaceDE w:val="0"/>
              <w:autoSpaceDN w:val="0"/>
              <w:adjustRightInd w:val="0"/>
              <w:rPr>
                <w:rFonts w:eastAsiaTheme="minorEastAsia" w:cs="Arial"/>
                <w:color w:val="000000"/>
                <w:szCs w:val="16"/>
                <w:lang w:eastAsia="en-AU"/>
              </w:rPr>
            </w:pPr>
            <w:r w:rsidRPr="00125F01">
              <w:rPr>
                <w:rFonts w:eastAsiaTheme="minorEastAsia" w:cs="Arial"/>
                <w:color w:val="000000"/>
                <w:szCs w:val="16"/>
                <w:lang w:eastAsia="en-AU"/>
              </w:rPr>
              <w:t>Investment, loans and placements</w:t>
            </w:r>
          </w:p>
        </w:tc>
        <w:tc>
          <w:tcPr>
            <w:tcW w:w="1134" w:type="dxa"/>
            <w:tcBorders>
              <w:top w:val="nil"/>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3 673</w:t>
            </w:r>
          </w:p>
        </w:tc>
        <w:tc>
          <w:tcPr>
            <w:tcW w:w="1417" w:type="dxa"/>
            <w:tcBorders>
              <w:top w:val="nil"/>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4 159</w:t>
            </w:r>
          </w:p>
        </w:tc>
        <w:tc>
          <w:tcPr>
            <w:tcW w:w="1077" w:type="dxa"/>
            <w:tcBorders>
              <w:top w:val="nil"/>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487</w:t>
            </w:r>
          </w:p>
        </w:tc>
        <w:tc>
          <w:tcPr>
            <w:tcW w:w="923" w:type="dxa"/>
            <w:tcBorders>
              <w:top w:val="nil"/>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13</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b/>
                <w:bCs/>
                <w:color w:val="000000"/>
                <w:szCs w:val="16"/>
                <w:lang w:eastAsia="en-AU"/>
              </w:rPr>
            </w:pPr>
            <w:r w:rsidRPr="00125F01">
              <w:rPr>
                <w:rFonts w:eastAsiaTheme="minorEastAsia" w:cs="Arial"/>
                <w:b/>
                <w:bCs/>
                <w:color w:val="000000"/>
                <w:szCs w:val="16"/>
                <w:lang w:eastAsia="en-AU"/>
              </w:rPr>
              <w:t>Total</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22 141</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20 138</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(2 004)</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(9)</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b/>
                <w:bCs/>
                <w:color w:val="000000"/>
                <w:szCs w:val="16"/>
                <w:lang w:eastAsia="en-AU"/>
              </w:rPr>
            </w:pPr>
            <w:r w:rsidRPr="00125F01">
              <w:rPr>
                <w:rFonts w:eastAsiaTheme="minorEastAsia" w:cs="Arial"/>
                <w:b/>
                <w:bCs/>
                <w:color w:val="000000"/>
                <w:szCs w:val="16"/>
                <w:lang w:eastAsia="en-AU"/>
              </w:rPr>
              <w:t>Liabilities</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color w:val="000000"/>
                <w:szCs w:val="16"/>
                <w:lang w:eastAsia="en-AU"/>
              </w:rPr>
            </w:pPr>
            <w:r w:rsidRPr="00125F01">
              <w:rPr>
                <w:rFonts w:eastAsiaTheme="minorEastAsia" w:cs="Arial"/>
                <w:color w:val="000000"/>
                <w:szCs w:val="16"/>
                <w:lang w:eastAsia="en-AU"/>
              </w:rPr>
              <w:t>Deposits held and advances received</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9 088</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8 252</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(836)</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(9)</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color w:val="000000"/>
                <w:szCs w:val="16"/>
                <w:lang w:eastAsia="en-AU"/>
              </w:rPr>
            </w:pPr>
            <w:r w:rsidRPr="00125F01">
              <w:rPr>
                <w:rFonts w:eastAsiaTheme="minorEastAsia" w:cs="Arial"/>
                <w:color w:val="000000"/>
                <w:szCs w:val="16"/>
                <w:lang w:eastAsia="en-AU"/>
              </w:rPr>
              <w:t>Borrowings</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28 816</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30 995</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2 179</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8</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single" w:sz="6" w:space="0" w:color="000000"/>
              <w:left w:val="nil"/>
              <w:bottom w:val="single" w:sz="6" w:space="0" w:color="000000"/>
              <w:right w:val="nil"/>
            </w:tcBorders>
          </w:tcPr>
          <w:p w:rsidR="00F20535" w:rsidRPr="00125F01" w:rsidRDefault="00F20535" w:rsidP="007A2EDF">
            <w:pPr>
              <w:autoSpaceDE w:val="0"/>
              <w:autoSpaceDN w:val="0"/>
              <w:adjustRightInd w:val="0"/>
              <w:rPr>
                <w:rFonts w:eastAsiaTheme="minorEastAsia" w:cs="Arial"/>
                <w:b/>
                <w:bCs/>
                <w:color w:val="000000"/>
                <w:szCs w:val="16"/>
                <w:lang w:eastAsia="en-AU"/>
              </w:rPr>
            </w:pPr>
            <w:r w:rsidRPr="00125F01">
              <w:rPr>
                <w:rFonts w:eastAsiaTheme="minorEastAsia" w:cs="Arial"/>
                <w:b/>
                <w:bCs/>
                <w:color w:val="000000"/>
                <w:szCs w:val="16"/>
                <w:lang w:eastAsia="en-AU"/>
              </w:rPr>
              <w:t>Total</w:t>
            </w:r>
          </w:p>
        </w:tc>
        <w:tc>
          <w:tcPr>
            <w:tcW w:w="1134" w:type="dxa"/>
            <w:tcBorders>
              <w:top w:val="single" w:sz="6" w:space="0" w:color="000000"/>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37 904</w:t>
            </w:r>
          </w:p>
        </w:tc>
        <w:tc>
          <w:tcPr>
            <w:tcW w:w="1417" w:type="dxa"/>
            <w:tcBorders>
              <w:top w:val="single" w:sz="6" w:space="0" w:color="000000"/>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39 247</w:t>
            </w:r>
          </w:p>
        </w:tc>
        <w:tc>
          <w:tcPr>
            <w:tcW w:w="1077" w:type="dxa"/>
            <w:tcBorders>
              <w:top w:val="single" w:sz="6" w:space="0" w:color="000000"/>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1 343</w:t>
            </w:r>
          </w:p>
        </w:tc>
        <w:tc>
          <w:tcPr>
            <w:tcW w:w="923" w:type="dxa"/>
            <w:tcBorders>
              <w:top w:val="single" w:sz="6" w:space="0" w:color="000000"/>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4</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b/>
                <w:bCs/>
                <w:color w:val="000000"/>
                <w:szCs w:val="16"/>
                <w:lang w:eastAsia="en-AU"/>
              </w:rPr>
            </w:pPr>
            <w:r w:rsidRPr="00125F01">
              <w:rPr>
                <w:rFonts w:eastAsiaTheme="minorEastAsia" w:cs="Arial"/>
                <w:b/>
                <w:bCs/>
                <w:color w:val="000000"/>
                <w:szCs w:val="16"/>
                <w:lang w:eastAsia="en-AU"/>
              </w:rPr>
              <w:t xml:space="preserve">Net debt </w:t>
            </w:r>
            <w:r w:rsidRPr="00125F01">
              <w:rPr>
                <w:rFonts w:eastAsiaTheme="minorEastAsia" w:cs="Arial"/>
                <w:b/>
                <w:bCs/>
                <w:color w:val="000000"/>
                <w:szCs w:val="16"/>
                <w:vertAlign w:val="superscript"/>
                <w:lang w:eastAsia="en-AU"/>
              </w:rPr>
              <w:t>(a)</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15 762</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19 109</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3 347</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21</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single" w:sz="6" w:space="0" w:color="000000"/>
              <w:right w:val="nil"/>
            </w:tcBorders>
          </w:tcPr>
          <w:p w:rsidR="00F20535" w:rsidRPr="00125F01" w:rsidRDefault="00F20535" w:rsidP="007A2EDF">
            <w:pPr>
              <w:autoSpaceDE w:val="0"/>
              <w:autoSpaceDN w:val="0"/>
              <w:adjustRightInd w:val="0"/>
              <w:rPr>
                <w:rFonts w:eastAsiaTheme="minorEastAsia" w:cs="Arial"/>
                <w:color w:val="000000"/>
                <w:szCs w:val="16"/>
                <w:lang w:eastAsia="en-AU"/>
              </w:rPr>
            </w:pPr>
            <w:r w:rsidRPr="00125F01">
              <w:rPr>
                <w:rFonts w:eastAsiaTheme="minorEastAsia" w:cs="Arial"/>
                <w:color w:val="000000"/>
                <w:szCs w:val="16"/>
                <w:lang w:eastAsia="en-AU"/>
              </w:rPr>
              <w:t>Superannuation liability</w:t>
            </w:r>
          </w:p>
        </w:tc>
        <w:tc>
          <w:tcPr>
            <w:tcW w:w="1134" w:type="dxa"/>
            <w:tcBorders>
              <w:top w:val="nil"/>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24 900</w:t>
            </w:r>
          </w:p>
        </w:tc>
        <w:tc>
          <w:tcPr>
            <w:tcW w:w="1417" w:type="dxa"/>
            <w:tcBorders>
              <w:top w:val="nil"/>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24 438</w:t>
            </w:r>
          </w:p>
        </w:tc>
        <w:tc>
          <w:tcPr>
            <w:tcW w:w="1077" w:type="dxa"/>
            <w:tcBorders>
              <w:top w:val="nil"/>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(462)</w:t>
            </w:r>
          </w:p>
        </w:tc>
        <w:tc>
          <w:tcPr>
            <w:tcW w:w="923" w:type="dxa"/>
            <w:tcBorders>
              <w:top w:val="nil"/>
              <w:left w:val="nil"/>
              <w:bottom w:val="single" w:sz="6"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(2)</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b/>
                <w:bCs/>
                <w:color w:val="000000"/>
                <w:szCs w:val="16"/>
                <w:lang w:eastAsia="en-AU"/>
              </w:rPr>
            </w:pPr>
            <w:r w:rsidRPr="00125F01">
              <w:rPr>
                <w:rFonts w:eastAsiaTheme="minorEastAsia" w:cs="Arial"/>
                <w:b/>
                <w:bCs/>
                <w:color w:val="000000"/>
                <w:szCs w:val="16"/>
                <w:lang w:eastAsia="en-AU"/>
              </w:rPr>
              <w:t>Net debt plus superannuation liabilities</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40 663</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43 547</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2 885</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7</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Arial"/>
                <w:color w:val="000000"/>
                <w:szCs w:val="16"/>
                <w:lang w:eastAsia="en-AU"/>
              </w:rPr>
            </w:pPr>
            <w:r w:rsidRPr="00125F01">
              <w:rPr>
                <w:rFonts w:eastAsiaTheme="minorEastAsia" w:cs="Arial"/>
                <w:color w:val="000000"/>
                <w:szCs w:val="16"/>
                <w:lang w:eastAsia="en-AU"/>
              </w:rPr>
              <w:t xml:space="preserve">Other liabilities </w:t>
            </w:r>
            <w:r w:rsidRPr="00125F01">
              <w:rPr>
                <w:rFonts w:eastAsiaTheme="minorEastAsia" w:cs="Arial"/>
                <w:color w:val="000000"/>
                <w:szCs w:val="16"/>
                <w:vertAlign w:val="superscript"/>
                <w:lang w:eastAsia="en-AU"/>
              </w:rPr>
              <w:t>(b)</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7 668</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125F01">
              <w:rPr>
                <w:rFonts w:eastAsiaTheme="minorEastAsia" w:cs="Arial"/>
                <w:color w:val="000000"/>
                <w:szCs w:val="16"/>
                <w:lang w:eastAsia="en-AU"/>
              </w:rPr>
              <w:t>7 195</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(473)</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color w:val="000000"/>
                <w:szCs w:val="16"/>
                <w:lang w:eastAsia="en-AU"/>
              </w:rPr>
              <w:t>(6)</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rPr>
                <w:rFonts w:eastAsiaTheme="minorEastAsia" w:cs="Arial"/>
                <w:b/>
                <w:bCs/>
                <w:color w:val="000000"/>
                <w:szCs w:val="16"/>
                <w:lang w:eastAsia="en-AU"/>
              </w:rPr>
            </w:pPr>
            <w:r w:rsidRPr="00125F01">
              <w:rPr>
                <w:rFonts w:eastAsiaTheme="minorEastAsia" w:cs="Arial"/>
                <w:b/>
                <w:bCs/>
                <w:color w:val="000000"/>
                <w:szCs w:val="16"/>
                <w:lang w:eastAsia="en-AU"/>
              </w:rPr>
              <w:t xml:space="preserve">Net financial liabilities </w:t>
            </w:r>
            <w:r w:rsidRPr="00125F01">
              <w:rPr>
                <w:rFonts w:eastAsiaTheme="minorEastAsia" w:cs="Arial"/>
                <w:b/>
                <w:bCs/>
                <w:color w:val="000000"/>
                <w:szCs w:val="16"/>
                <w:vertAlign w:val="superscript"/>
                <w:lang w:eastAsia="en-AU"/>
              </w:rPr>
              <w:t>(c)</w:t>
            </w:r>
          </w:p>
        </w:tc>
        <w:tc>
          <w:tcPr>
            <w:tcW w:w="1134"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48 331</w:t>
            </w:r>
          </w:p>
        </w:tc>
        <w:tc>
          <w:tcPr>
            <w:tcW w:w="1417"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50 742</w:t>
            </w:r>
          </w:p>
        </w:tc>
        <w:tc>
          <w:tcPr>
            <w:tcW w:w="1077"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125F01">
              <w:rPr>
                <w:rFonts w:eastAsiaTheme="minorEastAsia" w:cs="Arial"/>
                <w:b/>
                <w:bCs/>
                <w:color w:val="000000"/>
                <w:szCs w:val="16"/>
                <w:lang w:eastAsia="en-AU"/>
              </w:rPr>
              <w:t>2 411</w:t>
            </w:r>
          </w:p>
        </w:tc>
        <w:tc>
          <w:tcPr>
            <w:tcW w:w="923"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5</w:t>
            </w:r>
          </w:p>
        </w:tc>
      </w:tr>
      <w:tr w:rsidR="00F20535" w:rsidRPr="00125F01"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Calibri"/>
                <w:color w:val="000000"/>
                <w:szCs w:val="22"/>
                <w:lang w:eastAsia="en-AU"/>
              </w:rPr>
            </w:pPr>
            <w:r w:rsidRPr="00125F01">
              <w:rPr>
                <w:rFonts w:eastAsiaTheme="minorEastAsia" w:cs="Calibri"/>
                <w:color w:val="000000"/>
                <w:szCs w:val="22"/>
                <w:lang w:eastAsia="en-AU"/>
              </w:rPr>
              <w:t xml:space="preserve"> </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125F01">
              <w:rPr>
                <w:rFonts w:eastAsiaTheme="minorEastAsia" w:cs="Calibri"/>
                <w:color w:val="000000"/>
                <w:szCs w:val="22"/>
                <w:lang w:eastAsia="en-AU"/>
              </w:rPr>
              <w:t xml:space="preserve"> </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125F01">
              <w:rPr>
                <w:rFonts w:eastAsiaTheme="minorEastAsia" w:cs="Calibri"/>
                <w:color w:val="000000"/>
                <w:szCs w:val="22"/>
                <w:lang w:eastAsia="en-AU"/>
              </w:rPr>
              <w:t xml:space="preserve"> </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125F01">
              <w:rPr>
                <w:rFonts w:eastAsiaTheme="minorEastAsia" w:cs="Calibri"/>
                <w:color w:val="000000"/>
                <w:szCs w:val="22"/>
                <w:lang w:eastAsia="en-AU"/>
              </w:rPr>
              <w:t xml:space="preserve"> </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125F01">
              <w:rPr>
                <w:rFonts w:eastAsiaTheme="minorEastAsia" w:cs="Calibri"/>
                <w:color w:val="000000"/>
                <w:szCs w:val="22"/>
                <w:lang w:eastAsia="en-AU"/>
              </w:rPr>
              <w:t xml:space="preserve"> </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9643" w:type="dxa"/>
            <w:gridSpan w:val="5"/>
            <w:tcBorders>
              <w:top w:val="nil"/>
              <w:left w:val="nil"/>
              <w:bottom w:val="nil"/>
            </w:tcBorders>
          </w:tcPr>
          <w:p w:rsidR="00F20535" w:rsidRPr="00125F01" w:rsidRDefault="00F20535" w:rsidP="007A2EDF">
            <w:pPr>
              <w:pStyle w:val="TableUnits"/>
            </w:pPr>
            <w:r w:rsidRPr="00125F01">
              <w:rPr>
                <w:lang w:eastAsia="en-AU"/>
              </w:rPr>
              <w:t>(per cent)</w:t>
            </w:r>
          </w:p>
        </w:tc>
      </w:tr>
      <w:tr w:rsidR="00F20535" w:rsidRPr="00125F01"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Calibri"/>
                <w:color w:val="000000"/>
                <w:szCs w:val="22"/>
                <w:lang w:eastAsia="en-AU"/>
              </w:rPr>
            </w:pPr>
            <w:r w:rsidRPr="00125F01">
              <w:rPr>
                <w:rFonts w:eastAsiaTheme="minorEastAsia" w:cs="Calibri"/>
                <w:color w:val="000000"/>
                <w:szCs w:val="22"/>
                <w:lang w:eastAsia="en-AU"/>
              </w:rPr>
              <w:t xml:space="preserve"> </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125F01">
              <w:rPr>
                <w:rFonts w:eastAsiaTheme="minorEastAsia" w:cs="Calibri"/>
                <w:color w:val="000000"/>
                <w:szCs w:val="22"/>
                <w:lang w:eastAsia="en-AU"/>
              </w:rPr>
              <w:t xml:space="preserve"> </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125F01">
              <w:rPr>
                <w:rFonts w:eastAsiaTheme="minorEastAsia" w:cs="Calibri"/>
                <w:color w:val="000000"/>
                <w:szCs w:val="22"/>
                <w:lang w:eastAsia="en-AU"/>
              </w:rPr>
              <w:t xml:space="preserve"> </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125F01">
              <w:rPr>
                <w:rFonts w:eastAsiaTheme="minorEastAsia" w:cs="Calibri"/>
                <w:color w:val="000000"/>
                <w:szCs w:val="22"/>
                <w:lang w:eastAsia="en-AU"/>
              </w:rPr>
              <w:t xml:space="preserve"> </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125F01">
              <w:rPr>
                <w:rFonts w:eastAsiaTheme="minorEastAsia" w:cs="Calibri"/>
                <w:color w:val="000000"/>
                <w:szCs w:val="22"/>
                <w:lang w:eastAsia="en-AU"/>
              </w:rPr>
              <w:t xml:space="preserve"> </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nil"/>
              <w:left w:val="nil"/>
              <w:bottom w:val="nil"/>
              <w:right w:val="nil"/>
            </w:tcBorders>
          </w:tcPr>
          <w:p w:rsidR="00F20535" w:rsidRPr="00125F01" w:rsidRDefault="00F20535" w:rsidP="007A2EDF">
            <w:pPr>
              <w:autoSpaceDE w:val="0"/>
              <w:autoSpaceDN w:val="0"/>
              <w:adjustRightInd w:val="0"/>
              <w:rPr>
                <w:rFonts w:eastAsiaTheme="minorEastAsia" w:cs="Calibri"/>
                <w:b/>
                <w:bCs/>
                <w:color w:val="000000"/>
                <w:szCs w:val="18"/>
                <w:lang w:eastAsia="en-AU"/>
              </w:rPr>
            </w:pPr>
            <w:r w:rsidRPr="00125F01">
              <w:rPr>
                <w:rFonts w:eastAsiaTheme="minorEastAsia" w:cs="Calibri"/>
                <w:b/>
                <w:bCs/>
                <w:color w:val="000000"/>
                <w:szCs w:val="18"/>
                <w:lang w:eastAsia="en-AU"/>
              </w:rPr>
              <w:t xml:space="preserve">Net debt to GSP </w:t>
            </w:r>
            <w:r w:rsidRPr="00125F01">
              <w:rPr>
                <w:rFonts w:eastAsiaTheme="minorEastAsia" w:cs="Calibri"/>
                <w:b/>
                <w:bCs/>
                <w:color w:val="000000"/>
                <w:szCs w:val="18"/>
                <w:vertAlign w:val="superscript"/>
                <w:lang w:eastAsia="en-AU"/>
              </w:rPr>
              <w:t>(d)</w:t>
            </w:r>
          </w:p>
        </w:tc>
        <w:tc>
          <w:tcPr>
            <w:tcW w:w="1134"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3.9</w:t>
            </w:r>
          </w:p>
        </w:tc>
        <w:tc>
          <w:tcPr>
            <w:tcW w:w="141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4.5</w:t>
            </w:r>
          </w:p>
        </w:tc>
        <w:tc>
          <w:tcPr>
            <w:tcW w:w="1077"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c>
          <w:tcPr>
            <w:tcW w:w="923" w:type="dxa"/>
            <w:tcBorders>
              <w:top w:val="nil"/>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single" w:sz="6" w:space="0" w:color="000000"/>
              <w:left w:val="nil"/>
              <w:bottom w:val="nil"/>
              <w:right w:val="nil"/>
            </w:tcBorders>
          </w:tcPr>
          <w:p w:rsidR="00F20535" w:rsidRPr="00125F01" w:rsidRDefault="00F20535" w:rsidP="007A2EDF">
            <w:pPr>
              <w:autoSpaceDE w:val="0"/>
              <w:autoSpaceDN w:val="0"/>
              <w:adjustRightInd w:val="0"/>
              <w:rPr>
                <w:rFonts w:eastAsiaTheme="minorEastAsia" w:cs="Calibri"/>
                <w:b/>
                <w:bCs/>
                <w:color w:val="000000"/>
                <w:szCs w:val="18"/>
                <w:lang w:eastAsia="en-AU"/>
              </w:rPr>
            </w:pPr>
            <w:r w:rsidRPr="00125F01">
              <w:rPr>
                <w:rFonts w:eastAsiaTheme="minorEastAsia" w:cs="Calibri"/>
                <w:b/>
                <w:bCs/>
                <w:color w:val="000000"/>
                <w:szCs w:val="18"/>
                <w:lang w:eastAsia="en-AU"/>
              </w:rPr>
              <w:t xml:space="preserve">Net debt plus superannuation liability to GSP </w:t>
            </w:r>
            <w:r w:rsidRPr="00125F01">
              <w:rPr>
                <w:rFonts w:eastAsiaTheme="minorEastAsia" w:cs="Calibri"/>
                <w:b/>
                <w:bCs/>
                <w:color w:val="000000"/>
                <w:szCs w:val="18"/>
                <w:vertAlign w:val="superscript"/>
                <w:lang w:eastAsia="en-AU"/>
              </w:rPr>
              <w:t>(d)</w:t>
            </w:r>
          </w:p>
        </w:tc>
        <w:tc>
          <w:tcPr>
            <w:tcW w:w="1134" w:type="dxa"/>
            <w:tcBorders>
              <w:top w:val="single" w:sz="6" w:space="0" w:color="000000"/>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10.0</w:t>
            </w:r>
          </w:p>
        </w:tc>
        <w:tc>
          <w:tcPr>
            <w:tcW w:w="1417" w:type="dxa"/>
            <w:tcBorders>
              <w:top w:val="single" w:sz="6" w:space="0" w:color="000000"/>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10.2</w:t>
            </w:r>
          </w:p>
        </w:tc>
        <w:tc>
          <w:tcPr>
            <w:tcW w:w="1077" w:type="dxa"/>
            <w:tcBorders>
              <w:top w:val="single" w:sz="6" w:space="0" w:color="000000"/>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c>
          <w:tcPr>
            <w:tcW w:w="923" w:type="dxa"/>
            <w:tcBorders>
              <w:top w:val="single" w:sz="6" w:space="0" w:color="000000"/>
              <w:left w:val="nil"/>
              <w:bottom w:val="nil"/>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r>
      <w:tr w:rsidR="00F20535" w:rsidRPr="00125F01" w:rsidTr="007A2EDF">
        <w:tc>
          <w:tcPr>
            <w:cnfStyle w:val="001000000000" w:firstRow="0" w:lastRow="0" w:firstColumn="1" w:lastColumn="0" w:oddVBand="0" w:evenVBand="0" w:oddHBand="0" w:evenHBand="0" w:firstRowFirstColumn="0" w:firstRowLastColumn="0" w:lastRowFirstColumn="0" w:lastRowLastColumn="0"/>
            <w:tcW w:w="5092"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rPr>
                <w:rFonts w:eastAsiaTheme="minorEastAsia" w:cs="Calibri"/>
                <w:b/>
                <w:bCs/>
                <w:color w:val="000000"/>
                <w:szCs w:val="18"/>
                <w:lang w:eastAsia="en-AU"/>
              </w:rPr>
            </w:pPr>
            <w:r w:rsidRPr="00125F01">
              <w:rPr>
                <w:rFonts w:eastAsiaTheme="minorEastAsia" w:cs="Calibri"/>
                <w:b/>
                <w:bCs/>
                <w:color w:val="000000"/>
                <w:szCs w:val="18"/>
                <w:lang w:eastAsia="en-AU"/>
              </w:rPr>
              <w:t xml:space="preserve">Net financial liabilities to GSP </w:t>
            </w:r>
            <w:r w:rsidRPr="00125F01">
              <w:rPr>
                <w:rFonts w:eastAsiaTheme="minorEastAsia" w:cs="Calibri"/>
                <w:b/>
                <w:bCs/>
                <w:color w:val="000000"/>
                <w:szCs w:val="18"/>
                <w:vertAlign w:val="superscript"/>
                <w:lang w:eastAsia="en-AU"/>
              </w:rPr>
              <w:t>(d)</w:t>
            </w:r>
          </w:p>
        </w:tc>
        <w:tc>
          <w:tcPr>
            <w:tcW w:w="1134"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11.9</w:t>
            </w:r>
          </w:p>
        </w:tc>
        <w:tc>
          <w:tcPr>
            <w:tcW w:w="1417"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s="Arial"/>
                <w:b/>
                <w:bCs/>
                <w:color w:val="000000"/>
                <w:szCs w:val="16"/>
                <w:lang w:eastAsia="en-AU"/>
              </w:rPr>
              <w:t>11.9</w:t>
            </w:r>
          </w:p>
        </w:tc>
        <w:tc>
          <w:tcPr>
            <w:tcW w:w="1077"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c>
          <w:tcPr>
            <w:tcW w:w="923" w:type="dxa"/>
            <w:tcBorders>
              <w:top w:val="single" w:sz="6" w:space="0" w:color="000000"/>
              <w:left w:val="nil"/>
              <w:bottom w:val="single" w:sz="12" w:space="0" w:color="000000"/>
              <w:right w:val="nil"/>
            </w:tcBorders>
          </w:tcPr>
          <w:p w:rsidR="00F20535" w:rsidRPr="00125F0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125F01">
              <w:rPr>
                <w:rFonts w:eastAsiaTheme="minorEastAsia" w:cs="Calibri"/>
                <w:b/>
                <w:bCs/>
                <w:color w:val="000000"/>
                <w:szCs w:val="22"/>
                <w:lang w:eastAsia="en-AU"/>
              </w:rPr>
              <w:t xml:space="preserve"> </w:t>
            </w:r>
          </w:p>
        </w:tc>
      </w:tr>
    </w:tbl>
    <w:p w:rsidR="00F20535" w:rsidRDefault="00F20535" w:rsidP="007A2EDF">
      <w:pPr>
        <w:pStyle w:val="Note"/>
      </w:pPr>
      <w:r>
        <w:t>Notes:</w:t>
      </w:r>
    </w:p>
    <w:p w:rsidR="00F20535" w:rsidRDefault="00F20535" w:rsidP="000C30FB">
      <w:pPr>
        <w:pStyle w:val="Note"/>
      </w:pPr>
      <w:r>
        <w:t>(a)</w:t>
      </w:r>
      <w:r>
        <w:tab/>
        <w:t>The sum of borrowings, deposits held and advances received less the sum of cash and deposits, advances paid, and investments, loans and placements.</w:t>
      </w:r>
    </w:p>
    <w:p w:rsidR="00F20535" w:rsidRDefault="00F20535" w:rsidP="000C30FB">
      <w:pPr>
        <w:pStyle w:val="Note"/>
      </w:pPr>
      <w:r>
        <w:t>(b)</w:t>
      </w:r>
      <w:r>
        <w:tab/>
        <w:t>Includes other employee entitlements, provisions and other liabilities, less receivables and investments accounted for using the equity method.</w:t>
      </w:r>
    </w:p>
    <w:p w:rsidR="00F20535" w:rsidRDefault="00F20535" w:rsidP="000C30FB">
      <w:pPr>
        <w:pStyle w:val="Note"/>
      </w:pPr>
      <w:r>
        <w:t>(c)</w:t>
      </w:r>
      <w:r>
        <w:tab/>
        <w:t>Total liabilities less financial assets (excluding investments in other sector entities).</w:t>
      </w:r>
    </w:p>
    <w:p w:rsidR="00F20535" w:rsidRDefault="00F20535" w:rsidP="000C30FB">
      <w:pPr>
        <w:pStyle w:val="Note"/>
      </w:pPr>
      <w:r>
        <w:t>(d)</w:t>
      </w:r>
      <w:r>
        <w:tab/>
        <w:t>Ratios to GSP may vary from publications year-to-year due to revisions to the ABS GSP data. The ratios as at 31 December 2017 reflect the 2017-18 GSP forecast growth rate for the full year.</w:t>
      </w:r>
    </w:p>
    <w:p w:rsidR="00F20535" w:rsidRPr="00C76F06" w:rsidRDefault="00F20535">
      <w:pPr>
        <w:rPr>
          <w:rFonts w:eastAsiaTheme="majorEastAsia"/>
        </w:rPr>
      </w:pPr>
      <w:r>
        <w:br w:type="page"/>
      </w:r>
    </w:p>
    <w:p w:rsidR="00F20535" w:rsidRDefault="00F20535" w:rsidP="000C30FB">
      <w:pPr>
        <w:pStyle w:val="Heading20"/>
      </w:pPr>
      <w:r>
        <w:t>Non-financial public sector</w:t>
      </w:r>
    </w:p>
    <w:p w:rsidR="00F20535" w:rsidRDefault="00F20535" w:rsidP="000C30FB">
      <w:pPr>
        <w:sectPr w:rsidR="00F20535" w:rsidSect="000C30FB">
          <w:headerReference w:type="even" r:id="rId35"/>
          <w:footerReference w:type="even" r:id="rId36"/>
          <w:type w:val="continuous"/>
          <w:pgSz w:w="11907" w:h="16839" w:code="9"/>
          <w:pgMar w:top="1134" w:right="1134" w:bottom="1134" w:left="1134" w:header="624" w:footer="567" w:gutter="0"/>
          <w:cols w:sep="1" w:space="567"/>
          <w:docGrid w:linePitch="360"/>
        </w:sectPr>
      </w:pPr>
    </w:p>
    <w:p w:rsidR="00F20535" w:rsidRDefault="00F20535" w:rsidP="000C30FB">
      <w:r>
        <w:t>Table 1.5</w:t>
      </w:r>
      <w:r w:rsidRPr="00A562AC">
        <w:t xml:space="preserve"> includes </w:t>
      </w:r>
      <w:r>
        <w:t xml:space="preserve">several key </w:t>
      </w:r>
      <w:r w:rsidRPr="00A562AC">
        <w:t>indicators to assess financial sustainability of the NFPS (comprising the general government and the PNFC sectors), which is significant to the State</w:t>
      </w:r>
      <w:r w:rsidR="007F4ECD">
        <w:t>’</w:t>
      </w:r>
      <w:r w:rsidRPr="00A562AC">
        <w:t>s credit rating.</w:t>
      </w:r>
    </w:p>
    <w:p w:rsidR="00F20535" w:rsidRDefault="00F20535" w:rsidP="000C30FB">
      <w:r>
        <w:br w:type="column"/>
      </w:r>
    </w:p>
    <w:p w:rsidR="00F20535" w:rsidRDefault="00F20535" w:rsidP="000C30FB">
      <w:pPr>
        <w:sectPr w:rsidR="00F20535" w:rsidSect="000C30FB">
          <w:type w:val="continuous"/>
          <w:pgSz w:w="11907" w:h="16839" w:code="9"/>
          <w:pgMar w:top="1134" w:right="1134" w:bottom="1134" w:left="1134" w:header="624" w:footer="567" w:gutter="0"/>
          <w:cols w:num="2" w:space="567"/>
          <w:docGrid w:linePitch="360"/>
        </w:sectPr>
      </w:pPr>
    </w:p>
    <w:p w:rsidR="00F20535" w:rsidRPr="00FB03D7" w:rsidRDefault="00F20535" w:rsidP="007A2EDF">
      <w:pPr>
        <w:pStyle w:val="TableHeading"/>
        <w:rPr>
          <w:rFonts w:eastAsia="Times New Roman" w:cs="Times New Roman"/>
          <w:bCs/>
          <w:lang w:val="en-US"/>
        </w:rPr>
      </w:pPr>
      <w:r>
        <w:t xml:space="preserve">Table 1.5: </w:t>
      </w:r>
      <w:r>
        <w:tab/>
        <w:t>Non-financial public sector net debt and net financial liabilities as at 31 December</w:t>
      </w:r>
      <w:r>
        <w:tab/>
        <w:t>($ million)</w:t>
      </w:r>
    </w:p>
    <w:tbl>
      <w:tblPr>
        <w:tblStyle w:val="DTFTable"/>
        <w:tblW w:w="9638" w:type="dxa"/>
        <w:tblInd w:w="45" w:type="dxa"/>
        <w:tblLayout w:type="fixed"/>
        <w:tblCellMar>
          <w:left w:w="45" w:type="dxa"/>
          <w:right w:w="45" w:type="dxa"/>
        </w:tblCellMar>
        <w:tblLook w:val="06A0" w:firstRow="1" w:lastRow="0" w:firstColumn="1" w:lastColumn="0" w:noHBand="1" w:noVBand="1"/>
      </w:tblPr>
      <w:tblGrid>
        <w:gridCol w:w="5142"/>
        <w:gridCol w:w="1196"/>
        <w:gridCol w:w="1298"/>
        <w:gridCol w:w="1145"/>
        <w:gridCol w:w="857"/>
      </w:tblGrid>
      <w:tr w:rsidR="00FD1166" w:rsidRPr="00FB03D7" w:rsidTr="007A2EDF">
        <w:trPr>
          <w:cnfStyle w:val="100000000000" w:firstRow="1" w:lastRow="0" w:firstColumn="0" w:lastColumn="0" w:oddVBand="0" w:evenVBand="0" w:oddHBand="0" w:evenHBand="0" w:firstRowFirstColumn="0" w:firstRowLastColumn="0" w:lastRowFirstColumn="0" w:lastRowLastColumn="0"/>
          <w:trHeight w:val="450"/>
          <w:tblHeader/>
        </w:trPr>
        <w:tc>
          <w:tcPr>
            <w:cnfStyle w:val="001000000000" w:firstRow="0" w:lastRow="0" w:firstColumn="1" w:lastColumn="0" w:oddVBand="0" w:evenVBand="0" w:oddHBand="0" w:evenHBand="0" w:firstRowFirstColumn="0" w:firstRowLastColumn="0" w:lastRowFirstColumn="0" w:lastRowLastColumn="0"/>
            <w:tcW w:w="5142" w:type="dxa"/>
            <w:tcBorders>
              <w:top w:val="nil"/>
              <w:left w:val="nil"/>
              <w:right w:val="nil"/>
            </w:tcBorders>
            <w:shd w:val="solid" w:color="000000" w:fill="auto"/>
          </w:tcPr>
          <w:p w:rsidR="00FD1166" w:rsidRPr="00FB03D7" w:rsidRDefault="007F4ECD" w:rsidP="00FD1166">
            <w:pPr>
              <w:autoSpaceDE w:val="0"/>
              <w:autoSpaceDN w:val="0"/>
              <w:adjustRightInd w:val="0"/>
              <w:rPr>
                <w:rFonts w:eastAsiaTheme="minorEastAsia" w:cs="Calibri"/>
                <w:iCs/>
                <w:color w:val="FFFFFF"/>
                <w:sz w:val="16"/>
                <w:szCs w:val="22"/>
                <w:lang w:eastAsia="en-AU"/>
              </w:rPr>
            </w:pPr>
            <w:r>
              <w:rPr>
                <w:rFonts w:eastAsiaTheme="minorEastAsia" w:cs="Calibri"/>
                <w:iCs/>
                <w:color w:val="FFFFFF"/>
                <w:sz w:val="16"/>
                <w:szCs w:val="22"/>
                <w:lang w:eastAsia="en-AU"/>
              </w:rPr>
              <w:t xml:space="preserve"> </w:t>
            </w:r>
          </w:p>
        </w:tc>
        <w:tc>
          <w:tcPr>
            <w:tcW w:w="1196" w:type="dxa"/>
            <w:tcBorders>
              <w:top w:val="nil"/>
              <w:left w:val="nil"/>
              <w:right w:val="nil"/>
            </w:tcBorders>
            <w:shd w:val="solid" w:color="000000" w:fill="auto"/>
          </w:tcPr>
          <w:p w:rsidR="00FD1166" w:rsidRPr="00FB03D7"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6"/>
                <w:lang w:eastAsia="en-AU"/>
              </w:rPr>
            </w:pPr>
            <w:r w:rsidRPr="00FB03D7">
              <w:rPr>
                <w:rFonts w:eastAsiaTheme="minorEastAsia" w:cs="Calibri"/>
                <w:iCs/>
                <w:color w:val="FFFFFF"/>
                <w:sz w:val="16"/>
                <w:szCs w:val="16"/>
                <w:lang w:eastAsia="en-AU"/>
              </w:rPr>
              <w:t>Opening</w:t>
            </w:r>
            <w:r>
              <w:rPr>
                <w:rFonts w:eastAsiaTheme="minorEastAsia" w:cs="Calibri"/>
                <w:iCs/>
                <w:color w:val="FFFFFF"/>
                <w:sz w:val="16"/>
                <w:szCs w:val="16"/>
                <w:lang w:eastAsia="en-AU"/>
              </w:rPr>
              <w:br/>
            </w:r>
            <w:r w:rsidRPr="00FB03D7">
              <w:rPr>
                <w:rFonts w:eastAsiaTheme="minorEastAsia" w:cs="Calibri"/>
                <w:iCs/>
                <w:color w:val="FFFFFF"/>
                <w:sz w:val="16"/>
                <w:szCs w:val="16"/>
                <w:lang w:eastAsia="en-AU"/>
              </w:rPr>
              <w:t>1 July 2017</w:t>
            </w:r>
          </w:p>
        </w:tc>
        <w:tc>
          <w:tcPr>
            <w:tcW w:w="1298" w:type="dxa"/>
            <w:tcBorders>
              <w:top w:val="nil"/>
              <w:left w:val="nil"/>
              <w:right w:val="nil"/>
            </w:tcBorders>
            <w:shd w:val="solid" w:color="000000" w:fill="auto"/>
          </w:tcPr>
          <w:p w:rsidR="00FD1166" w:rsidRPr="00FB03D7"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6"/>
                <w:lang w:eastAsia="en-AU"/>
              </w:rPr>
            </w:pPr>
            <w:r w:rsidRPr="00FB03D7">
              <w:rPr>
                <w:rFonts w:eastAsiaTheme="minorEastAsia" w:cs="Calibri"/>
                <w:iCs/>
                <w:color w:val="FFFFFF"/>
                <w:sz w:val="16"/>
                <w:szCs w:val="16"/>
                <w:lang w:eastAsia="en-AU"/>
              </w:rPr>
              <w:t>Closing</w:t>
            </w:r>
            <w:r>
              <w:rPr>
                <w:rFonts w:eastAsiaTheme="minorEastAsia" w:cs="Calibri"/>
                <w:iCs/>
                <w:color w:val="FFFFFF"/>
                <w:sz w:val="16"/>
                <w:szCs w:val="16"/>
                <w:lang w:eastAsia="en-AU"/>
              </w:rPr>
              <w:br/>
            </w:r>
            <w:r w:rsidRPr="00FB03D7">
              <w:rPr>
                <w:rFonts w:eastAsiaTheme="minorEastAsia" w:cs="Calibri"/>
                <w:iCs/>
                <w:color w:val="FFFFFF"/>
                <w:sz w:val="16"/>
                <w:szCs w:val="16"/>
                <w:lang w:eastAsia="en-AU"/>
              </w:rPr>
              <w:t>31 Dec 2017</w:t>
            </w:r>
          </w:p>
        </w:tc>
        <w:tc>
          <w:tcPr>
            <w:tcW w:w="1145" w:type="dxa"/>
            <w:tcBorders>
              <w:top w:val="nil"/>
              <w:left w:val="nil"/>
              <w:right w:val="nil"/>
            </w:tcBorders>
            <w:shd w:val="solid" w:color="000000" w:fill="auto"/>
          </w:tcPr>
          <w:p w:rsidR="00FD1166" w:rsidRPr="00FB03D7"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6"/>
                <w:lang w:eastAsia="en-AU"/>
              </w:rPr>
            </w:pPr>
            <w:r w:rsidRPr="00FB03D7">
              <w:rPr>
                <w:rFonts w:eastAsiaTheme="minorEastAsia" w:cs="Calibri"/>
                <w:iCs/>
                <w:color w:val="FFFFFF"/>
                <w:sz w:val="16"/>
                <w:szCs w:val="16"/>
                <w:lang w:eastAsia="en-AU"/>
              </w:rPr>
              <w:t>Actual</w:t>
            </w:r>
            <w:r>
              <w:rPr>
                <w:rFonts w:eastAsiaTheme="minorEastAsia" w:cs="Calibri"/>
                <w:iCs/>
                <w:color w:val="FFFFFF"/>
                <w:sz w:val="16"/>
                <w:szCs w:val="16"/>
                <w:lang w:eastAsia="en-AU"/>
              </w:rPr>
              <w:br/>
            </w:r>
            <w:r w:rsidRPr="00FB03D7">
              <w:rPr>
                <w:rFonts w:eastAsiaTheme="minorEastAsia" w:cs="Calibri"/>
                <w:iCs/>
                <w:color w:val="FFFFFF"/>
                <w:sz w:val="16"/>
                <w:szCs w:val="16"/>
                <w:lang w:eastAsia="en-AU"/>
              </w:rPr>
              <w:t>movement</w:t>
            </w:r>
          </w:p>
        </w:tc>
        <w:tc>
          <w:tcPr>
            <w:tcW w:w="857" w:type="dxa"/>
            <w:tcBorders>
              <w:top w:val="nil"/>
              <w:left w:val="nil"/>
              <w:right w:val="nil"/>
            </w:tcBorders>
            <w:shd w:val="solid" w:color="000000" w:fill="auto"/>
          </w:tcPr>
          <w:p w:rsidR="00FD1166" w:rsidRPr="00FB03D7"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6"/>
                <w:lang w:eastAsia="en-AU"/>
              </w:rPr>
            </w:pPr>
            <w:r w:rsidRPr="00FB03D7">
              <w:rPr>
                <w:rFonts w:eastAsiaTheme="minorEastAsia" w:cs="Calibri"/>
                <w:iCs/>
                <w:color w:val="FFFFFF"/>
                <w:sz w:val="16"/>
                <w:szCs w:val="16"/>
                <w:lang w:eastAsia="en-AU"/>
              </w:rPr>
              <w:t>%</w:t>
            </w:r>
            <w:r>
              <w:rPr>
                <w:rFonts w:eastAsiaTheme="minorEastAsia" w:cs="Calibri"/>
                <w:iCs/>
                <w:color w:val="FFFFFF"/>
                <w:sz w:val="16"/>
                <w:szCs w:val="16"/>
                <w:lang w:eastAsia="en-AU"/>
              </w:rPr>
              <w:br/>
            </w:r>
            <w:r w:rsidRPr="00FB03D7">
              <w:rPr>
                <w:rFonts w:eastAsiaTheme="minorEastAsia" w:cs="Calibri"/>
                <w:iCs/>
                <w:color w:val="FFFFFF"/>
                <w:sz w:val="16"/>
                <w:szCs w:val="16"/>
                <w:lang w:eastAsia="en-AU"/>
              </w:rPr>
              <w:t>change</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b/>
                <w:bCs/>
                <w:color w:val="000000"/>
                <w:sz w:val="16"/>
                <w:szCs w:val="16"/>
                <w:lang w:eastAsia="en-AU"/>
              </w:rPr>
            </w:pPr>
            <w:r w:rsidRPr="00FB03D7">
              <w:rPr>
                <w:rFonts w:eastAsiaTheme="minorEastAsia" w:cs="Arial"/>
                <w:b/>
                <w:bCs/>
                <w:color w:val="000000"/>
                <w:sz w:val="16"/>
                <w:szCs w:val="16"/>
                <w:lang w:eastAsia="en-AU"/>
              </w:rPr>
              <w:t>Assets</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color w:val="000000"/>
                <w:sz w:val="16"/>
                <w:szCs w:val="16"/>
                <w:lang w:eastAsia="en-AU"/>
              </w:rPr>
            </w:pPr>
            <w:r w:rsidRPr="00FB03D7">
              <w:rPr>
                <w:rFonts w:eastAsiaTheme="minorEastAsia" w:cs="Arial"/>
                <w:color w:val="000000"/>
                <w:sz w:val="16"/>
                <w:szCs w:val="16"/>
                <w:lang w:eastAsia="en-AU"/>
              </w:rPr>
              <w:t>Cash and deposits</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6 684</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5 254</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(1 430)</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(21)</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color w:val="000000"/>
                <w:sz w:val="16"/>
                <w:szCs w:val="16"/>
                <w:lang w:eastAsia="en-AU"/>
              </w:rPr>
            </w:pPr>
            <w:r w:rsidRPr="00FB03D7">
              <w:rPr>
                <w:rFonts w:eastAsiaTheme="minorEastAsia" w:cs="Arial"/>
                <w:color w:val="000000"/>
                <w:sz w:val="16"/>
                <w:szCs w:val="16"/>
                <w:lang w:eastAsia="en-AU"/>
              </w:rPr>
              <w:t>Advances paid</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280</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334</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54</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19</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single" w:sz="6" w:space="0" w:color="000000"/>
              <w:right w:val="nil"/>
            </w:tcBorders>
          </w:tcPr>
          <w:p w:rsidR="00F20535" w:rsidRPr="00FB03D7" w:rsidRDefault="00F20535" w:rsidP="007A2EDF">
            <w:pPr>
              <w:autoSpaceDE w:val="0"/>
              <w:autoSpaceDN w:val="0"/>
              <w:adjustRightInd w:val="0"/>
              <w:rPr>
                <w:rFonts w:eastAsiaTheme="minorEastAsia" w:cs="Arial"/>
                <w:color w:val="000000"/>
                <w:sz w:val="16"/>
                <w:szCs w:val="16"/>
                <w:lang w:eastAsia="en-AU"/>
              </w:rPr>
            </w:pPr>
            <w:r w:rsidRPr="00FB03D7">
              <w:rPr>
                <w:rFonts w:eastAsiaTheme="minorEastAsia" w:cs="Arial"/>
                <w:color w:val="000000"/>
                <w:sz w:val="16"/>
                <w:szCs w:val="16"/>
                <w:lang w:eastAsia="en-AU"/>
              </w:rPr>
              <w:t>Investment, loans and placements</w:t>
            </w:r>
          </w:p>
        </w:tc>
        <w:tc>
          <w:tcPr>
            <w:tcW w:w="1196" w:type="dxa"/>
            <w:tcBorders>
              <w:top w:val="nil"/>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4 791</w:t>
            </w:r>
          </w:p>
        </w:tc>
        <w:tc>
          <w:tcPr>
            <w:tcW w:w="1298" w:type="dxa"/>
            <w:tcBorders>
              <w:top w:val="nil"/>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5 417</w:t>
            </w:r>
          </w:p>
        </w:tc>
        <w:tc>
          <w:tcPr>
            <w:tcW w:w="1145" w:type="dxa"/>
            <w:tcBorders>
              <w:top w:val="nil"/>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625</w:t>
            </w:r>
          </w:p>
        </w:tc>
        <w:tc>
          <w:tcPr>
            <w:tcW w:w="857" w:type="dxa"/>
            <w:tcBorders>
              <w:top w:val="nil"/>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13</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b/>
                <w:bCs/>
                <w:color w:val="000000"/>
                <w:sz w:val="16"/>
                <w:szCs w:val="16"/>
                <w:lang w:eastAsia="en-AU"/>
              </w:rPr>
            </w:pPr>
            <w:r w:rsidRPr="00FB03D7">
              <w:rPr>
                <w:rFonts w:eastAsiaTheme="minorEastAsia" w:cs="Arial"/>
                <w:b/>
                <w:bCs/>
                <w:color w:val="000000"/>
                <w:sz w:val="16"/>
                <w:szCs w:val="16"/>
                <w:lang w:eastAsia="en-AU"/>
              </w:rPr>
              <w:t>Total</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11 755</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11 005</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(750)</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(6)</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b/>
                <w:bCs/>
                <w:color w:val="000000"/>
                <w:sz w:val="16"/>
                <w:szCs w:val="16"/>
                <w:lang w:eastAsia="en-AU"/>
              </w:rPr>
            </w:pPr>
            <w:r w:rsidRPr="00FB03D7">
              <w:rPr>
                <w:rFonts w:eastAsiaTheme="minorEastAsia" w:cs="Arial"/>
                <w:b/>
                <w:bCs/>
                <w:color w:val="000000"/>
                <w:sz w:val="16"/>
                <w:szCs w:val="16"/>
                <w:lang w:eastAsia="en-AU"/>
              </w:rPr>
              <w:t>Liabilities</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color w:val="000000"/>
                <w:sz w:val="16"/>
                <w:szCs w:val="16"/>
                <w:lang w:eastAsia="en-AU"/>
              </w:rPr>
            </w:pPr>
            <w:r w:rsidRPr="00FB03D7">
              <w:rPr>
                <w:rFonts w:eastAsiaTheme="minorEastAsia" w:cs="Arial"/>
                <w:color w:val="000000"/>
                <w:sz w:val="16"/>
                <w:szCs w:val="16"/>
                <w:lang w:eastAsia="en-AU"/>
              </w:rPr>
              <w:t>Deposits held and advances received</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997</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1 173</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177</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18</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color w:val="000000"/>
                <w:sz w:val="16"/>
                <w:szCs w:val="16"/>
                <w:lang w:eastAsia="en-AU"/>
              </w:rPr>
            </w:pPr>
            <w:r w:rsidRPr="00FB03D7">
              <w:rPr>
                <w:rFonts w:eastAsiaTheme="minorEastAsia" w:cs="Arial"/>
                <w:color w:val="000000"/>
                <w:sz w:val="16"/>
                <w:szCs w:val="16"/>
                <w:lang w:eastAsia="en-AU"/>
              </w:rPr>
              <w:t>Borrowings</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40 607</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43 232</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2 625</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6</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single" w:sz="6" w:space="0" w:color="000000"/>
              <w:left w:val="nil"/>
              <w:bottom w:val="single" w:sz="6" w:space="0" w:color="000000"/>
              <w:right w:val="nil"/>
            </w:tcBorders>
          </w:tcPr>
          <w:p w:rsidR="00F20535" w:rsidRPr="00FB03D7" w:rsidRDefault="00F20535" w:rsidP="007A2EDF">
            <w:pPr>
              <w:autoSpaceDE w:val="0"/>
              <w:autoSpaceDN w:val="0"/>
              <w:adjustRightInd w:val="0"/>
              <w:rPr>
                <w:rFonts w:eastAsiaTheme="minorEastAsia" w:cs="Arial"/>
                <w:b/>
                <w:bCs/>
                <w:color w:val="000000"/>
                <w:sz w:val="16"/>
                <w:szCs w:val="16"/>
                <w:lang w:eastAsia="en-AU"/>
              </w:rPr>
            </w:pPr>
            <w:r w:rsidRPr="00FB03D7">
              <w:rPr>
                <w:rFonts w:eastAsiaTheme="minorEastAsia" w:cs="Arial"/>
                <w:b/>
                <w:bCs/>
                <w:color w:val="000000"/>
                <w:sz w:val="16"/>
                <w:szCs w:val="16"/>
                <w:lang w:eastAsia="en-AU"/>
              </w:rPr>
              <w:t>Total</w:t>
            </w:r>
          </w:p>
        </w:tc>
        <w:tc>
          <w:tcPr>
            <w:tcW w:w="1196" w:type="dxa"/>
            <w:tcBorders>
              <w:top w:val="single" w:sz="6" w:space="0" w:color="000000"/>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41 604</w:t>
            </w:r>
          </w:p>
        </w:tc>
        <w:tc>
          <w:tcPr>
            <w:tcW w:w="1298" w:type="dxa"/>
            <w:tcBorders>
              <w:top w:val="single" w:sz="6" w:space="0" w:color="000000"/>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44 406</w:t>
            </w:r>
          </w:p>
        </w:tc>
        <w:tc>
          <w:tcPr>
            <w:tcW w:w="1145" w:type="dxa"/>
            <w:tcBorders>
              <w:top w:val="single" w:sz="6" w:space="0" w:color="000000"/>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2 802</w:t>
            </w:r>
          </w:p>
        </w:tc>
        <w:tc>
          <w:tcPr>
            <w:tcW w:w="857" w:type="dxa"/>
            <w:tcBorders>
              <w:top w:val="single" w:sz="6" w:space="0" w:color="000000"/>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7</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b/>
                <w:bCs/>
                <w:color w:val="000000"/>
                <w:sz w:val="16"/>
                <w:szCs w:val="16"/>
                <w:lang w:eastAsia="en-AU"/>
              </w:rPr>
            </w:pPr>
            <w:r w:rsidRPr="00FB03D7">
              <w:rPr>
                <w:rFonts w:eastAsiaTheme="minorEastAsia" w:cs="Arial"/>
                <w:b/>
                <w:bCs/>
                <w:color w:val="000000"/>
                <w:sz w:val="16"/>
                <w:szCs w:val="16"/>
                <w:lang w:eastAsia="en-AU"/>
              </w:rPr>
              <w:t xml:space="preserve">Net debt </w:t>
            </w:r>
            <w:r w:rsidRPr="00FB03D7">
              <w:rPr>
                <w:rFonts w:eastAsiaTheme="minorEastAsia" w:cs="Arial"/>
                <w:b/>
                <w:bCs/>
                <w:color w:val="000000"/>
                <w:sz w:val="16"/>
                <w:szCs w:val="16"/>
                <w:vertAlign w:val="superscript"/>
                <w:lang w:eastAsia="en-AU"/>
              </w:rPr>
              <w:t>(a)</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29 849</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33 401</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3 552</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12</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single" w:sz="6" w:space="0" w:color="000000"/>
              <w:right w:val="nil"/>
            </w:tcBorders>
          </w:tcPr>
          <w:p w:rsidR="00F20535" w:rsidRPr="00FB03D7" w:rsidRDefault="00F20535" w:rsidP="007A2EDF">
            <w:pPr>
              <w:autoSpaceDE w:val="0"/>
              <w:autoSpaceDN w:val="0"/>
              <w:adjustRightInd w:val="0"/>
              <w:rPr>
                <w:rFonts w:eastAsiaTheme="minorEastAsia" w:cs="Arial"/>
                <w:color w:val="000000"/>
                <w:sz w:val="16"/>
                <w:szCs w:val="16"/>
                <w:lang w:eastAsia="en-AU"/>
              </w:rPr>
            </w:pPr>
            <w:r w:rsidRPr="00FB03D7">
              <w:rPr>
                <w:rFonts w:eastAsiaTheme="minorEastAsia" w:cs="Arial"/>
                <w:color w:val="000000"/>
                <w:sz w:val="16"/>
                <w:szCs w:val="16"/>
                <w:lang w:eastAsia="en-AU"/>
              </w:rPr>
              <w:t>Superannuation liability</w:t>
            </w:r>
          </w:p>
        </w:tc>
        <w:tc>
          <w:tcPr>
            <w:tcW w:w="1196" w:type="dxa"/>
            <w:tcBorders>
              <w:top w:val="nil"/>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24 938</w:t>
            </w:r>
          </w:p>
        </w:tc>
        <w:tc>
          <w:tcPr>
            <w:tcW w:w="1298" w:type="dxa"/>
            <w:tcBorders>
              <w:top w:val="nil"/>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24 472</w:t>
            </w:r>
          </w:p>
        </w:tc>
        <w:tc>
          <w:tcPr>
            <w:tcW w:w="1145" w:type="dxa"/>
            <w:tcBorders>
              <w:top w:val="nil"/>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(466)</w:t>
            </w:r>
          </w:p>
        </w:tc>
        <w:tc>
          <w:tcPr>
            <w:tcW w:w="857" w:type="dxa"/>
            <w:tcBorders>
              <w:top w:val="nil"/>
              <w:left w:val="nil"/>
              <w:bottom w:val="single" w:sz="6"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(2)</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b/>
                <w:bCs/>
                <w:color w:val="000000"/>
                <w:sz w:val="16"/>
                <w:szCs w:val="16"/>
                <w:lang w:eastAsia="en-AU"/>
              </w:rPr>
            </w:pPr>
            <w:r w:rsidRPr="00FB03D7">
              <w:rPr>
                <w:rFonts w:eastAsiaTheme="minorEastAsia" w:cs="Arial"/>
                <w:b/>
                <w:bCs/>
                <w:color w:val="000000"/>
                <w:sz w:val="16"/>
                <w:szCs w:val="16"/>
                <w:lang w:eastAsia="en-AU"/>
              </w:rPr>
              <w:t>Net debt plus superannuation liabilities</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54 787</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57 873</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3 086</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6</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Arial"/>
                <w:color w:val="000000"/>
                <w:sz w:val="16"/>
                <w:szCs w:val="16"/>
                <w:lang w:eastAsia="en-AU"/>
              </w:rPr>
            </w:pPr>
            <w:r w:rsidRPr="00FB03D7">
              <w:rPr>
                <w:rFonts w:eastAsiaTheme="minorEastAsia" w:cs="Arial"/>
                <w:color w:val="000000"/>
                <w:sz w:val="16"/>
                <w:szCs w:val="16"/>
                <w:lang w:eastAsia="en-AU"/>
              </w:rPr>
              <w:t xml:space="preserve">Other liabilities </w:t>
            </w:r>
            <w:r w:rsidRPr="00FB03D7">
              <w:rPr>
                <w:rFonts w:eastAsiaTheme="minorEastAsia" w:cs="Arial"/>
                <w:color w:val="000000"/>
                <w:sz w:val="16"/>
                <w:szCs w:val="16"/>
                <w:vertAlign w:val="superscript"/>
                <w:lang w:eastAsia="en-AU"/>
              </w:rPr>
              <w:t>(b)</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14 994</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6"/>
                <w:lang w:eastAsia="en-AU"/>
              </w:rPr>
            </w:pPr>
            <w:r w:rsidRPr="00FB03D7">
              <w:rPr>
                <w:rFonts w:eastAsiaTheme="minorEastAsia" w:cs="Arial"/>
                <w:color w:val="000000"/>
                <w:sz w:val="16"/>
                <w:szCs w:val="16"/>
                <w:lang w:eastAsia="en-AU"/>
              </w:rPr>
              <w:t>14 241</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(753)</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color w:val="000000"/>
                <w:sz w:val="16"/>
                <w:szCs w:val="16"/>
                <w:lang w:eastAsia="en-AU"/>
              </w:rPr>
              <w:t>(5)</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rPr>
                <w:rFonts w:eastAsiaTheme="minorEastAsia" w:cs="Arial"/>
                <w:b/>
                <w:bCs/>
                <w:color w:val="000000"/>
                <w:sz w:val="16"/>
                <w:szCs w:val="16"/>
                <w:lang w:eastAsia="en-AU"/>
              </w:rPr>
            </w:pPr>
            <w:r w:rsidRPr="00FB03D7">
              <w:rPr>
                <w:rFonts w:eastAsiaTheme="minorEastAsia" w:cs="Arial"/>
                <w:b/>
                <w:bCs/>
                <w:color w:val="000000"/>
                <w:sz w:val="16"/>
                <w:szCs w:val="16"/>
                <w:lang w:eastAsia="en-AU"/>
              </w:rPr>
              <w:t xml:space="preserve">Net financial liabilities </w:t>
            </w:r>
            <w:r w:rsidRPr="00FB03D7">
              <w:rPr>
                <w:rFonts w:eastAsiaTheme="minorEastAsia" w:cs="Arial"/>
                <w:b/>
                <w:bCs/>
                <w:color w:val="000000"/>
                <w:sz w:val="16"/>
                <w:szCs w:val="16"/>
                <w:vertAlign w:val="superscript"/>
                <w:lang w:eastAsia="en-AU"/>
              </w:rPr>
              <w:t>(c)</w:t>
            </w:r>
          </w:p>
        </w:tc>
        <w:tc>
          <w:tcPr>
            <w:tcW w:w="1196"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69 781</w:t>
            </w:r>
          </w:p>
        </w:tc>
        <w:tc>
          <w:tcPr>
            <w:tcW w:w="1298"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72 114</w:t>
            </w:r>
          </w:p>
        </w:tc>
        <w:tc>
          <w:tcPr>
            <w:tcW w:w="1145"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6"/>
                <w:lang w:eastAsia="en-AU"/>
              </w:rPr>
            </w:pPr>
            <w:r w:rsidRPr="00FB03D7">
              <w:rPr>
                <w:rFonts w:eastAsiaTheme="minorEastAsia" w:cs="Arial"/>
                <w:b/>
                <w:bCs/>
                <w:color w:val="000000"/>
                <w:sz w:val="16"/>
                <w:szCs w:val="16"/>
                <w:lang w:eastAsia="en-AU"/>
              </w:rPr>
              <w:t>2 333</w:t>
            </w:r>
          </w:p>
        </w:tc>
        <w:tc>
          <w:tcPr>
            <w:tcW w:w="857"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3</w:t>
            </w:r>
          </w:p>
        </w:tc>
      </w:tr>
      <w:tr w:rsidR="00F20535" w:rsidRPr="00FB03D7"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9638" w:type="dxa"/>
            <w:gridSpan w:val="5"/>
            <w:tcBorders>
              <w:top w:val="nil"/>
              <w:left w:val="nil"/>
              <w:bottom w:val="nil"/>
            </w:tcBorders>
          </w:tcPr>
          <w:p w:rsidR="00F20535" w:rsidRPr="00FB03D7" w:rsidRDefault="00F20535" w:rsidP="007A2EDF">
            <w:pPr>
              <w:pStyle w:val="TableUnits"/>
            </w:pPr>
            <w:r w:rsidRPr="00FB03D7">
              <w:rPr>
                <w:lang w:eastAsia="en-AU"/>
              </w:rPr>
              <w:t>(per cent)</w:t>
            </w:r>
          </w:p>
        </w:tc>
      </w:tr>
      <w:tr w:rsidR="00F20535" w:rsidRPr="00FB03D7"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22"/>
                <w:lang w:eastAsia="en-AU"/>
              </w:rPr>
            </w:pPr>
            <w:r w:rsidRPr="00FB03D7">
              <w:rPr>
                <w:rFonts w:eastAsiaTheme="minorEastAsia" w:cs="Calibri"/>
                <w:color w:val="000000"/>
                <w:sz w:val="16"/>
                <w:szCs w:val="22"/>
                <w:lang w:eastAsia="en-AU"/>
              </w:rPr>
              <w:t xml:space="preserve"> </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nil"/>
              <w:right w:val="nil"/>
            </w:tcBorders>
          </w:tcPr>
          <w:p w:rsidR="00F20535" w:rsidRPr="00FB03D7" w:rsidRDefault="00F20535" w:rsidP="007A2EDF">
            <w:pPr>
              <w:autoSpaceDE w:val="0"/>
              <w:autoSpaceDN w:val="0"/>
              <w:adjustRightInd w:val="0"/>
              <w:rPr>
                <w:rFonts w:eastAsiaTheme="minorEastAsia" w:cs="Calibri"/>
                <w:b/>
                <w:bCs/>
                <w:color w:val="000000"/>
                <w:sz w:val="16"/>
                <w:szCs w:val="18"/>
                <w:lang w:eastAsia="en-AU"/>
              </w:rPr>
            </w:pPr>
            <w:r w:rsidRPr="00FB03D7">
              <w:rPr>
                <w:rFonts w:eastAsiaTheme="minorEastAsia" w:cs="Calibri"/>
                <w:b/>
                <w:bCs/>
                <w:color w:val="000000"/>
                <w:sz w:val="16"/>
                <w:szCs w:val="18"/>
                <w:lang w:eastAsia="en-AU"/>
              </w:rPr>
              <w:t xml:space="preserve">Net debt to GSP </w:t>
            </w:r>
            <w:r w:rsidRPr="00FB03D7">
              <w:rPr>
                <w:rFonts w:eastAsiaTheme="minorEastAsia" w:cs="Calibri"/>
                <w:b/>
                <w:bCs/>
                <w:color w:val="000000"/>
                <w:sz w:val="16"/>
                <w:szCs w:val="18"/>
                <w:vertAlign w:val="superscript"/>
                <w:lang w:eastAsia="en-AU"/>
              </w:rPr>
              <w:t>(d)</w:t>
            </w:r>
          </w:p>
        </w:tc>
        <w:tc>
          <w:tcPr>
            <w:tcW w:w="1196"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7.3</w:t>
            </w:r>
          </w:p>
        </w:tc>
        <w:tc>
          <w:tcPr>
            <w:tcW w:w="1298"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7.8</w:t>
            </w:r>
          </w:p>
        </w:tc>
        <w:tc>
          <w:tcPr>
            <w:tcW w:w="1145"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c>
          <w:tcPr>
            <w:tcW w:w="857" w:type="dxa"/>
            <w:tcBorders>
              <w:top w:val="nil"/>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single" w:sz="6" w:space="0" w:color="000000"/>
              <w:left w:val="nil"/>
              <w:bottom w:val="nil"/>
              <w:right w:val="nil"/>
            </w:tcBorders>
          </w:tcPr>
          <w:p w:rsidR="00F20535" w:rsidRPr="00FB03D7" w:rsidRDefault="00F20535" w:rsidP="007A2EDF">
            <w:pPr>
              <w:autoSpaceDE w:val="0"/>
              <w:autoSpaceDN w:val="0"/>
              <w:adjustRightInd w:val="0"/>
              <w:rPr>
                <w:rFonts w:eastAsiaTheme="minorEastAsia" w:cs="Calibri"/>
                <w:b/>
                <w:bCs/>
                <w:color w:val="000000"/>
                <w:sz w:val="16"/>
                <w:szCs w:val="18"/>
                <w:lang w:eastAsia="en-AU"/>
              </w:rPr>
            </w:pPr>
            <w:r w:rsidRPr="00FB03D7">
              <w:rPr>
                <w:rFonts w:eastAsiaTheme="minorEastAsia" w:cs="Calibri"/>
                <w:b/>
                <w:bCs/>
                <w:color w:val="000000"/>
                <w:sz w:val="16"/>
                <w:szCs w:val="18"/>
                <w:lang w:eastAsia="en-AU"/>
              </w:rPr>
              <w:t xml:space="preserve">Net debt plus superannuation liability to GSP </w:t>
            </w:r>
            <w:r w:rsidRPr="00FB03D7">
              <w:rPr>
                <w:rFonts w:eastAsiaTheme="minorEastAsia" w:cs="Calibri"/>
                <w:b/>
                <w:bCs/>
                <w:color w:val="000000"/>
                <w:sz w:val="16"/>
                <w:szCs w:val="18"/>
                <w:vertAlign w:val="superscript"/>
                <w:lang w:eastAsia="en-AU"/>
              </w:rPr>
              <w:t>(d)</w:t>
            </w:r>
          </w:p>
        </w:tc>
        <w:tc>
          <w:tcPr>
            <w:tcW w:w="1196" w:type="dxa"/>
            <w:tcBorders>
              <w:top w:val="single" w:sz="6" w:space="0" w:color="000000"/>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13.5</w:t>
            </w:r>
          </w:p>
        </w:tc>
        <w:tc>
          <w:tcPr>
            <w:tcW w:w="1298" w:type="dxa"/>
            <w:tcBorders>
              <w:top w:val="single" w:sz="6" w:space="0" w:color="000000"/>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13.5</w:t>
            </w:r>
          </w:p>
        </w:tc>
        <w:tc>
          <w:tcPr>
            <w:tcW w:w="1145" w:type="dxa"/>
            <w:tcBorders>
              <w:top w:val="single" w:sz="6" w:space="0" w:color="000000"/>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c>
          <w:tcPr>
            <w:tcW w:w="857" w:type="dxa"/>
            <w:tcBorders>
              <w:top w:val="single" w:sz="6" w:space="0" w:color="000000"/>
              <w:left w:val="nil"/>
              <w:bottom w:val="nil"/>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r>
      <w:tr w:rsidR="00F20535" w:rsidRPr="00FB03D7" w:rsidTr="007A2EDF">
        <w:tc>
          <w:tcPr>
            <w:cnfStyle w:val="001000000000" w:firstRow="0" w:lastRow="0" w:firstColumn="1" w:lastColumn="0" w:oddVBand="0" w:evenVBand="0" w:oddHBand="0" w:evenHBand="0" w:firstRowFirstColumn="0" w:firstRowLastColumn="0" w:lastRowFirstColumn="0" w:lastRowLastColumn="0"/>
            <w:tcW w:w="5142"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rPr>
                <w:rFonts w:eastAsiaTheme="minorEastAsia" w:cs="Calibri"/>
                <w:b/>
                <w:bCs/>
                <w:color w:val="000000"/>
                <w:sz w:val="16"/>
                <w:szCs w:val="18"/>
                <w:lang w:eastAsia="en-AU"/>
              </w:rPr>
            </w:pPr>
            <w:r w:rsidRPr="00FB03D7">
              <w:rPr>
                <w:rFonts w:eastAsiaTheme="minorEastAsia" w:cs="Calibri"/>
                <w:b/>
                <w:bCs/>
                <w:color w:val="000000"/>
                <w:sz w:val="16"/>
                <w:szCs w:val="18"/>
                <w:lang w:eastAsia="en-AU"/>
              </w:rPr>
              <w:t xml:space="preserve">Net financial liabilities to GSP </w:t>
            </w:r>
            <w:r w:rsidRPr="00FB03D7">
              <w:rPr>
                <w:rFonts w:eastAsiaTheme="minorEastAsia" w:cs="Calibri"/>
                <w:b/>
                <w:bCs/>
                <w:color w:val="000000"/>
                <w:sz w:val="16"/>
                <w:szCs w:val="18"/>
                <w:vertAlign w:val="superscript"/>
                <w:lang w:eastAsia="en-AU"/>
              </w:rPr>
              <w:t>(d)</w:t>
            </w:r>
          </w:p>
        </w:tc>
        <w:tc>
          <w:tcPr>
            <w:tcW w:w="1196"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17.2</w:t>
            </w:r>
          </w:p>
        </w:tc>
        <w:tc>
          <w:tcPr>
            <w:tcW w:w="1298"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sz w:val="16"/>
              </w:rPr>
            </w:pPr>
            <w:r>
              <w:rPr>
                <w:rFonts w:eastAsiaTheme="minorEastAsia" w:cs="Arial"/>
                <w:b/>
                <w:bCs/>
                <w:color w:val="000000"/>
                <w:sz w:val="16"/>
                <w:szCs w:val="16"/>
                <w:lang w:eastAsia="en-AU"/>
              </w:rPr>
              <w:t>16.9</w:t>
            </w:r>
          </w:p>
        </w:tc>
        <w:tc>
          <w:tcPr>
            <w:tcW w:w="1145"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c>
          <w:tcPr>
            <w:tcW w:w="857" w:type="dxa"/>
            <w:tcBorders>
              <w:top w:val="single" w:sz="6" w:space="0" w:color="000000"/>
              <w:left w:val="nil"/>
              <w:bottom w:val="single" w:sz="12" w:space="0" w:color="000000"/>
              <w:right w:val="nil"/>
            </w:tcBorders>
          </w:tcPr>
          <w:p w:rsidR="00F20535" w:rsidRPr="00FB03D7"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22"/>
                <w:lang w:eastAsia="en-AU"/>
              </w:rPr>
            </w:pPr>
            <w:r w:rsidRPr="00FB03D7">
              <w:rPr>
                <w:rFonts w:eastAsiaTheme="minorEastAsia" w:cs="Calibri"/>
                <w:b/>
                <w:bCs/>
                <w:color w:val="000000"/>
                <w:sz w:val="16"/>
                <w:szCs w:val="22"/>
                <w:lang w:eastAsia="en-AU"/>
              </w:rPr>
              <w:t xml:space="preserve"> </w:t>
            </w:r>
          </w:p>
        </w:tc>
      </w:tr>
    </w:tbl>
    <w:p w:rsidR="00F20535" w:rsidRDefault="00F20535" w:rsidP="007A2EDF">
      <w:pPr>
        <w:pStyle w:val="Note"/>
      </w:pPr>
      <w:r>
        <w:t>Notes:</w:t>
      </w:r>
    </w:p>
    <w:p w:rsidR="00F20535" w:rsidRDefault="00F20535" w:rsidP="000C30FB">
      <w:pPr>
        <w:pStyle w:val="Note"/>
      </w:pPr>
      <w:r>
        <w:t>(a)</w:t>
      </w:r>
      <w:r>
        <w:tab/>
        <w:t>The sum of borrowings, deposits held and advances received less the sum of cash and deposits, advances paid, and investments, loans and placements.</w:t>
      </w:r>
    </w:p>
    <w:p w:rsidR="00F20535" w:rsidRDefault="00F20535" w:rsidP="000C30FB">
      <w:pPr>
        <w:pStyle w:val="Note"/>
      </w:pPr>
      <w:r>
        <w:t>(b)</w:t>
      </w:r>
      <w:r>
        <w:tab/>
        <w:t>Includes other employee entitlements, provisions and other liabilities, less receivables and investments accounted for using the equity method.</w:t>
      </w:r>
    </w:p>
    <w:p w:rsidR="00F20535" w:rsidRDefault="00F20535" w:rsidP="000C30FB">
      <w:pPr>
        <w:pStyle w:val="Note"/>
      </w:pPr>
      <w:r>
        <w:t>(c)</w:t>
      </w:r>
      <w:r>
        <w:tab/>
        <w:t>Total liabilities less financial assets (excluding investments in other sector entities).</w:t>
      </w:r>
    </w:p>
    <w:p w:rsidR="00F20535" w:rsidRDefault="00F20535" w:rsidP="000C30FB">
      <w:pPr>
        <w:pStyle w:val="Note"/>
      </w:pPr>
      <w:r>
        <w:t>(d)</w:t>
      </w:r>
      <w:r>
        <w:tab/>
        <w:t>Ratios to GSP may vary from publications year-to-year due to revisions to the ABS GSP data. The ratios as at 31 December 2017 reflect the 2017-18 GSP forecast growth rate for the full year.</w:t>
      </w:r>
    </w:p>
    <w:p w:rsidR="00F20535" w:rsidRDefault="00F20535" w:rsidP="000C30FB">
      <w:pPr>
        <w:sectPr w:rsidR="00F20535" w:rsidSect="000C30FB">
          <w:type w:val="continuous"/>
          <w:pgSz w:w="11907" w:h="16839" w:code="9"/>
          <w:pgMar w:top="1134" w:right="1134" w:bottom="1134" w:left="1134" w:header="624" w:footer="567" w:gutter="0"/>
          <w:cols w:sep="1" w:space="567"/>
          <w:docGrid w:linePitch="360"/>
        </w:sectPr>
      </w:pPr>
    </w:p>
    <w:p w:rsidR="00F20535" w:rsidRDefault="00F20535" w:rsidP="007A2EDF"/>
    <w:p w:rsidR="00F20535" w:rsidRDefault="00F20535" w:rsidP="007A2EDF">
      <w:pPr>
        <w:sectPr w:rsidR="00F20535" w:rsidSect="007A2EDF">
          <w:footerReference w:type="even" r:id="rId37"/>
          <w:footerReference w:type="default" r:id="rId38"/>
          <w:type w:val="continuous"/>
          <w:pgSz w:w="11907" w:h="16839" w:code="9"/>
          <w:pgMar w:top="1134" w:right="1134" w:bottom="1134" w:left="1134" w:header="624" w:footer="567" w:gutter="0"/>
          <w:cols w:num="2" w:space="567"/>
          <w:docGrid w:linePitch="360"/>
        </w:sectPr>
      </w:pPr>
    </w:p>
    <w:p w:rsidR="00F20535" w:rsidRDefault="00F20535" w:rsidP="007A2EDF">
      <w:r>
        <w:t>For the six months to 31 December 2017, net debt increased by $3.6</w:t>
      </w:r>
      <w:r w:rsidRPr="00C76F06">
        <w:t> billion</w:t>
      </w:r>
      <w:r>
        <w:t>. This increase was mainly due to an increase in borrowings to fund the State</w:t>
      </w:r>
      <w:r w:rsidR="007F4ECD">
        <w:t>’</w:t>
      </w:r>
      <w:r>
        <w:t>s capital program and was offset by decreases in the value of superannuation and other liabilities.</w:t>
      </w:r>
    </w:p>
    <w:p w:rsidR="00F20535" w:rsidRDefault="00F20535" w:rsidP="007A2EDF">
      <w:r>
        <w:br w:type="column"/>
        <w:t>The ratio of net financial liabilities to GSP has decreased from 17.2 percent to 16.9</w:t>
      </w:r>
      <w:r w:rsidRPr="00C76F06">
        <w:t> per cent</w:t>
      </w:r>
      <w:r>
        <w:t xml:space="preserve"> at the end of the period. The ratio of net debt to GSP has increased from 7.3</w:t>
      </w:r>
      <w:r w:rsidRPr="00C76F06">
        <w:t> per cent</w:t>
      </w:r>
      <w:r>
        <w:t xml:space="preserve"> to 7.8</w:t>
      </w:r>
      <w:r w:rsidRPr="00C76F06">
        <w:t> per cent</w:t>
      </w:r>
      <w:r>
        <w:t>.</w:t>
      </w:r>
    </w:p>
    <w:p w:rsidR="00F20535" w:rsidRDefault="00F20535" w:rsidP="007A2EDF">
      <w:pPr>
        <w:sectPr w:rsidR="00F20535" w:rsidSect="007A2EDF">
          <w:type w:val="continuous"/>
          <w:pgSz w:w="11907" w:h="16839" w:code="9"/>
          <w:pgMar w:top="1134" w:right="1134" w:bottom="1134" w:left="1134" w:header="624" w:footer="567" w:gutter="0"/>
          <w:cols w:num="2" w:space="567"/>
          <w:docGrid w:linePitch="360"/>
        </w:sectPr>
      </w:pPr>
    </w:p>
    <w:p w:rsidR="00F20535" w:rsidRDefault="00F20535" w:rsidP="004112E6"/>
    <w:p w:rsidR="00F20535" w:rsidRDefault="00F20535" w:rsidP="004112E6">
      <w:pPr>
        <w:sectPr w:rsidR="00F20535" w:rsidSect="002C2200">
          <w:headerReference w:type="even" r:id="rId39"/>
          <w:footerReference w:type="even" r:id="rId40"/>
          <w:footerReference w:type="default" r:id="rId41"/>
          <w:type w:val="continuous"/>
          <w:pgSz w:w="11907" w:h="16839" w:code="9"/>
          <w:pgMar w:top="1138" w:right="1138" w:bottom="1138" w:left="1138" w:header="619" w:footer="562" w:gutter="0"/>
          <w:cols w:sep="1" w:space="567"/>
          <w:docGrid w:linePitch="360"/>
        </w:sectPr>
      </w:pPr>
    </w:p>
    <w:p w:rsidR="00F20535" w:rsidRDefault="00F20535" w:rsidP="000C30FB">
      <w:pPr>
        <w:pStyle w:val="ChapterHeading"/>
        <w:pageBreakBefore/>
      </w:pPr>
      <w:bookmarkStart w:id="12" w:name="_Toc473541451"/>
      <w:bookmarkStart w:id="13" w:name="_Toc508201393"/>
      <w:r>
        <w:t>Chapter 2 – Mid-year financial report</w:t>
      </w:r>
      <w:bookmarkEnd w:id="12"/>
      <w:bookmarkEnd w:id="13"/>
    </w:p>
    <w:p w:rsidR="00F20535" w:rsidRDefault="00F20535" w:rsidP="000C30FB">
      <w:pPr>
        <w:pStyle w:val="Heading10"/>
      </w:pPr>
      <w:bookmarkStart w:id="14" w:name="_Toc473541452"/>
      <w:bookmarkStart w:id="15" w:name="_Toc508201394"/>
      <w:r>
        <w:t>Consolidated comprehensive operating statement</w:t>
      </w:r>
      <w:bookmarkEnd w:id="14"/>
      <w:bookmarkEnd w:id="15"/>
    </w:p>
    <w:p w:rsidR="00F20535" w:rsidRPr="0051349C" w:rsidRDefault="00F20535" w:rsidP="007A2EDF">
      <w:pPr>
        <w:pStyle w:val="TableHeading"/>
        <w:rPr>
          <w:rFonts w:eastAsia="Times New Roman" w:cs="Times New Roman"/>
          <w:bCs/>
          <w:lang w:val="en-US"/>
        </w:rPr>
      </w:pPr>
      <w:r>
        <w:t>For the six months ended 31 December</w:t>
      </w:r>
      <w:r>
        <w:tab/>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5272"/>
        <w:gridCol w:w="737"/>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73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73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Notes</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Revenue from transactions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Taxation revenue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10 524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10 467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10 708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10 662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Interest revenue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337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Dividends, income tax equivalent and rate equivalent revenue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867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Sales of goods and services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7 338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7 063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3 637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Grant revenue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14 119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13 285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14 227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13 318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Other revenue</w:t>
            </w:r>
          </w:p>
        </w:tc>
        <w:tc>
          <w:tcPr>
            <w:tcW w:w="737"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2.5</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1 599</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1 646</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1 170</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1 288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Total revenue from transactions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34 783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33 325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30 591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29 498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Expenses from transactions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Employee expenses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11 875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10 977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11 296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10 436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Net superannuation interest expense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Other superannuation</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1 328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1 215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1 255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1 148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Depreciation</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2 478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2 406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1 312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1 256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Interest expense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1 346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1 373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1 009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1 012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Grant expense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3 446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3 608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5 064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4 924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Other operating expenses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13 905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12 991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9 344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8 987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Total expenses from transactions</w:t>
            </w:r>
          </w:p>
        </w:tc>
        <w:tc>
          <w:tcPr>
            <w:tcW w:w="73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3.5, 3.6</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34 739</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32 919</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29 642</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28 111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Net result from transactions – net operating balance</w:t>
            </w:r>
          </w:p>
        </w:tc>
        <w:tc>
          <w:tcPr>
            <w:tcW w:w="73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44</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406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950</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1 387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Other economic flows included in net result</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Net gain/(loss) on disposal of non-financial assets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Net gain/(loss) on financial assets or liabilities at fair value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1 583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2 782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Share of net profit/(loss) from associates/joint venture entities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Other gains/(losses) from other economic flows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2 380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Total other economic flows included in net result</w:t>
            </w:r>
          </w:p>
        </w:tc>
        <w:tc>
          <w:tcPr>
            <w:tcW w:w="73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2 026</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5 190</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(81)</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(161)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Net result</w:t>
            </w:r>
          </w:p>
        </w:tc>
        <w:tc>
          <w:tcPr>
            <w:tcW w:w="73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2 070</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5 596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868</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1 226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Other economic flows – other comprehensive income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Items that will not be reclassified to net result</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Changes in non-financial assets revaluation surplus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Remeasurement of superannuation defined benefits plans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763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2 979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759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2 984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Other movements in equity</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Items that may be reclassified subsequently to net result</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Net gain/(loss) on financial assets at fair value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Net gain/(loss) on equity investments in other sector entities at proportional share of the carrying amount of net assets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686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644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Total other economic flows – other comprehensive income</w:t>
            </w:r>
          </w:p>
        </w:tc>
        <w:tc>
          <w:tcPr>
            <w:tcW w:w="73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679</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3 023</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1 360</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3 640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Comprehensive result – total change in net worth</w:t>
            </w:r>
          </w:p>
        </w:tc>
        <w:tc>
          <w:tcPr>
            <w:tcW w:w="73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2 749</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8 619</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2 229</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4 866</w:t>
            </w:r>
          </w:p>
        </w:tc>
      </w:tr>
      <w:tr w:rsidR="00F20535" w:rsidRPr="0051349C"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KEY FISCAL AGGREGATES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Net operating balance</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44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406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950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1 387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Less: Net acquisition of non-financial assets from transactions</w:t>
            </w:r>
          </w:p>
        </w:tc>
        <w:tc>
          <w:tcPr>
            <w:tcW w:w="737" w:type="dxa"/>
            <w:tcBorders>
              <w:top w:val="nil"/>
              <w:left w:val="nil"/>
              <w:bottom w:val="nil"/>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3 484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1 254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1 751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171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Net lending/(borrowing)</w:t>
            </w:r>
          </w:p>
        </w:tc>
        <w:tc>
          <w:tcPr>
            <w:tcW w:w="73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(3 439)</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(848)</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(801)</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1 216</w:t>
            </w:r>
          </w:p>
        </w:tc>
      </w:tr>
    </w:tbl>
    <w:p w:rsidR="00F20535" w:rsidRDefault="00F20535" w:rsidP="007A2EDF">
      <w:pPr>
        <w:pStyle w:val="Source"/>
      </w:pPr>
      <w:r w:rsidRPr="00AF493B">
        <w:t>The accompanying notes form part of these financial statements.</w:t>
      </w:r>
    </w:p>
    <w:p w:rsidR="00F20535" w:rsidRDefault="00F20535" w:rsidP="00555EB0">
      <w:pPr>
        <w:pStyle w:val="Heading10"/>
        <w:tabs>
          <w:tab w:val="left" w:pos="3967"/>
        </w:tabs>
      </w:pPr>
      <w:bookmarkStart w:id="16" w:name="_Toc473541453"/>
      <w:bookmarkStart w:id="17" w:name="_Toc508201395"/>
      <w:r>
        <w:t>Consolidated balance sheet</w:t>
      </w:r>
      <w:bookmarkEnd w:id="16"/>
      <w:bookmarkEnd w:id="17"/>
    </w:p>
    <w:p w:rsidR="00F20535" w:rsidRPr="0051349C" w:rsidRDefault="00F20535" w:rsidP="007A2EDF">
      <w:pPr>
        <w:pStyle w:val="TableHeading"/>
        <w:rPr>
          <w:rFonts w:eastAsia="Times New Roman" w:cs="Times New Roman"/>
          <w:bCs/>
          <w:lang w:val="en-US"/>
        </w:rPr>
      </w:pPr>
      <w:r>
        <w:t>As at 31 December</w:t>
      </w:r>
      <w:r>
        <w:tab/>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5272"/>
        <w:gridCol w:w="737"/>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73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General </w:t>
            </w:r>
            <w:r>
              <w:rPr>
                <w:rFonts w:eastAsiaTheme="minorEastAsia" w:cs="Calibri"/>
                <w:iCs/>
                <w:color w:val="FFFFFF"/>
                <w:szCs w:val="16"/>
                <w:lang w:eastAsia="en-AU"/>
              </w:rPr>
              <w:br/>
            </w:r>
            <w:r w:rsidRPr="0051349C">
              <w:rPr>
                <w:rFonts w:eastAsiaTheme="minorEastAsia" w:cs="Calibri"/>
                <w:iCs/>
                <w:color w:val="FFFFFF"/>
                <w:szCs w:val="16"/>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73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73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Notes</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Assets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Financial assets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Cash and deposits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5 869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3 992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5 530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Advances paid</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309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280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11 986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12 939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Receivables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8 432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8 038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5 807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5 931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Investments, loans and placements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41 375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42 806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4 159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3 673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Investments accounted for using the equity method</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2 187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2 187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Investments in other sector entities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95 297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92 509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financial assets</w:t>
            </w:r>
          </w:p>
        </w:tc>
        <w:tc>
          <w:tcPr>
            <w:tcW w:w="73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58 139</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59 180</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121 290</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120 630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Non-financial assets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Inventories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817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176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173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Non-financial assets held for sale</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455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432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405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Land, buildings, infrastructure, plant and equipment</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241 994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238 886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123 323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121 776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non-financial assets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2 917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2 648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1 763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1 494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non-financial assets</w:t>
            </w:r>
          </w:p>
        </w:tc>
        <w:tc>
          <w:tcPr>
            <w:tcW w:w="73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246 185</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242 637</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125 700</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123 849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assets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51349C">
              <w:rPr>
                <w:rFonts w:eastAsiaTheme="minorEastAsia" w:cs="Calibri"/>
                <w:bCs/>
                <w:color w:val="000000"/>
                <w:szCs w:val="16"/>
                <w:lang w:eastAsia="en-AU"/>
              </w:rPr>
              <w:t>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304 323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301 818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246 990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244 478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Liabilities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 xml:space="preserve">Deposits held and advances received </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1 542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1 940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8 252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9 088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Payables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17 996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17 233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5 542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Borrowings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48 453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48 847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30 995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28 816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Employee benefits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7 076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7 034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6 555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6 506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Superannuation</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24 472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24 938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24 438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24 900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provisions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29 802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29 592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liabilities</w:t>
            </w:r>
          </w:p>
        </w:tc>
        <w:tc>
          <w:tcPr>
            <w:tcW w:w="737" w:type="dxa"/>
            <w:tcBorders>
              <w:top w:val="single" w:sz="6" w:space="0" w:color="000000"/>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129 341</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129 584</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76 734</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76 451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Net assets</w:t>
            </w:r>
          </w:p>
        </w:tc>
        <w:tc>
          <w:tcPr>
            <w:tcW w:w="73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174 983</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172 234</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170 256</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168 027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Accumulated surplus/(deficit)</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77 806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75 137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52 965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51 464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Reserves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97 176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97 096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117 290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116 563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Net worth</w:t>
            </w:r>
          </w:p>
        </w:tc>
        <w:tc>
          <w:tcPr>
            <w:tcW w:w="73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174 983</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172 234</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170 256</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168 027</w:t>
            </w:r>
          </w:p>
        </w:tc>
      </w:tr>
      <w:tr w:rsidR="00F20535" w:rsidRPr="0051349C"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FISCAL AGGREGATES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financial worth</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(71 202)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(70 404)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44 555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44 178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financial liabilities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71 202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70 404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50 742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48 331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debt</w:t>
            </w:r>
          </w:p>
        </w:tc>
        <w:tc>
          <w:tcPr>
            <w:tcW w:w="737" w:type="dxa"/>
            <w:tcBorders>
              <w:top w:val="nil"/>
              <w:left w:val="nil"/>
              <w:bottom w:val="single" w:sz="12"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2 475</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1 833</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19 109</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15 762</w:t>
            </w:r>
          </w:p>
        </w:tc>
      </w:tr>
    </w:tbl>
    <w:p w:rsidR="00F20535" w:rsidRPr="00C05333" w:rsidRDefault="00F20535" w:rsidP="007A2EDF">
      <w:pPr>
        <w:pStyle w:val="Source"/>
      </w:pPr>
      <w:r w:rsidRPr="00AF493B">
        <w:t>The accompanying notes form part of these financial statements.</w:t>
      </w:r>
    </w:p>
    <w:p w:rsidR="00F20535" w:rsidRDefault="00F20535">
      <w:pPr>
        <w:rPr>
          <w:rFonts w:asciiTheme="majorHAnsi" w:eastAsiaTheme="majorEastAsia" w:hAnsiTheme="majorHAnsi" w:cstheme="majorBidi"/>
          <w:b/>
          <w:bCs/>
          <w:caps/>
          <w:spacing w:val="-2"/>
          <w:sz w:val="26"/>
          <w:szCs w:val="28"/>
        </w:rPr>
      </w:pPr>
      <w:r>
        <w:br w:type="page"/>
      </w:r>
    </w:p>
    <w:p w:rsidR="00F20535" w:rsidRDefault="00F20535" w:rsidP="000C30FB">
      <w:pPr>
        <w:pStyle w:val="Heading10"/>
      </w:pPr>
      <w:bookmarkStart w:id="18" w:name="_Toc473541454"/>
      <w:bookmarkStart w:id="19" w:name="_Toc508201396"/>
      <w:r>
        <w:t>Consolidated cash flow statement</w:t>
      </w:r>
      <w:bookmarkEnd w:id="18"/>
      <w:bookmarkEnd w:id="19"/>
    </w:p>
    <w:p w:rsidR="00F20535" w:rsidRPr="0051349C" w:rsidRDefault="00F20535" w:rsidP="007A2EDF">
      <w:pPr>
        <w:pStyle w:val="TableHeading"/>
        <w:rPr>
          <w:rFonts w:eastAsia="Times New Roman" w:cs="Times New Roman"/>
          <w:bCs/>
          <w:lang w:val="en-US"/>
        </w:rPr>
      </w:pPr>
      <w:r>
        <w:t>For the six months ended 31 December</w:t>
      </w:r>
      <w:r>
        <w:tab/>
        <w:t>($ million)</w:t>
      </w:r>
    </w:p>
    <w:tbl>
      <w:tblPr>
        <w:tblStyle w:val="DTFTable"/>
        <w:tblW w:w="9637" w:type="dxa"/>
        <w:tblInd w:w="45" w:type="dxa"/>
        <w:tblLayout w:type="fixed"/>
        <w:tblCellMar>
          <w:left w:w="45" w:type="dxa"/>
          <w:right w:w="45" w:type="dxa"/>
        </w:tblCellMar>
        <w:tblLook w:val="06E0" w:firstRow="1" w:lastRow="1" w:firstColumn="1" w:lastColumn="0" w:noHBand="1" w:noVBand="1"/>
      </w:tblPr>
      <w:tblGrid>
        <w:gridCol w:w="5272"/>
        <w:gridCol w:w="737"/>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73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General </w:t>
            </w:r>
            <w:r>
              <w:rPr>
                <w:rFonts w:eastAsiaTheme="minorEastAsia" w:cs="Calibri"/>
                <w:iCs/>
                <w:color w:val="FFFFFF"/>
                <w:szCs w:val="16"/>
                <w:lang w:eastAsia="en-AU"/>
              </w:rPr>
              <w:br/>
            </w:r>
            <w:r w:rsidRPr="0051349C">
              <w:rPr>
                <w:rFonts w:eastAsiaTheme="minorEastAsia" w:cs="Calibri"/>
                <w:iCs/>
                <w:color w:val="FFFFFF"/>
                <w:szCs w:val="16"/>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73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Notes</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flows from operating activities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 xml:space="preserve">Receipts </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Taxes received</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10 815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10 688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10 999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10 883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Grants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14 118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13 288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14 226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13 320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vertAlign w:val="superscript"/>
                <w:lang w:eastAsia="en-AU"/>
              </w:rPr>
            </w:pPr>
            <w:r w:rsidRPr="0051349C">
              <w:rPr>
                <w:rFonts w:eastAsiaTheme="minorEastAsia" w:cs="Calibri"/>
                <w:color w:val="000000"/>
                <w:szCs w:val="18"/>
                <w:lang w:eastAsia="en-AU"/>
              </w:rPr>
              <w:t xml:space="preserve">Sales of goods and services </w:t>
            </w:r>
            <w:r w:rsidRPr="0051349C">
              <w:rPr>
                <w:rFonts w:eastAsiaTheme="minorEastAsia" w:cs="Calibri"/>
                <w:color w:val="000000"/>
                <w:szCs w:val="18"/>
                <w:vertAlign w:val="superscript"/>
                <w:lang w:eastAsia="en-AU"/>
              </w:rPr>
              <w:t>(a)</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9 058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17 833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4 077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3 781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Interest received </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240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Dividends, income tax equivalent and rate equivalent receipts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receipts</w:t>
            </w:r>
          </w:p>
        </w:tc>
        <w:tc>
          <w:tcPr>
            <w:tcW w:w="737" w:type="dxa"/>
            <w:tcBorders>
              <w:top w:val="nil"/>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1 225</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1 306</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909</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833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receipts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36 314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43 891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31 104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29 715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Payments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Payments for employees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(11 813)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(10 855)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(11 228)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(10 286)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Superannuation</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(1 237)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Interest paid</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(1 416)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(990)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(1 022)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Grants and subsidies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(3 712)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(3 243)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(5 455)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(5 087)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vertAlign w:val="superscript"/>
                <w:lang w:eastAsia="en-AU"/>
              </w:rPr>
            </w:pPr>
            <w:r w:rsidRPr="0051349C">
              <w:rPr>
                <w:rFonts w:eastAsiaTheme="minorEastAsia" w:cs="Calibri"/>
                <w:color w:val="000000"/>
                <w:szCs w:val="18"/>
                <w:lang w:eastAsia="en-AU"/>
              </w:rPr>
              <w:t xml:space="preserve">Goods and services </w:t>
            </w:r>
            <w:r w:rsidRPr="0051349C">
              <w:rPr>
                <w:rFonts w:eastAsiaTheme="minorEastAsia" w:cs="Calibri"/>
                <w:color w:val="000000"/>
                <w:szCs w:val="18"/>
                <w:vertAlign w:val="superscript"/>
                <w:lang w:eastAsia="en-AU"/>
              </w:rPr>
              <w:t>(a)</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(14 172)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(12 318)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(9 984)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(9 480)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payments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payments</w:t>
            </w:r>
          </w:p>
        </w:tc>
        <w:tc>
          <w:tcPr>
            <w:tcW w:w="73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(32 818)</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(29 549)</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(29 368)</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(27 485)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Net cash flows from operating activities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3 497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14 342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1 736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2 230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flows from investing activities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flows from investments in non-financial assets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Purchases of non-financial assets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3.5, 3.6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(5 625)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(3 938)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(4 570)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(3 121)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Sales of non-financial assets</w:t>
            </w:r>
          </w:p>
        </w:tc>
        <w:tc>
          <w:tcPr>
            <w:tcW w:w="737" w:type="dxa"/>
            <w:tcBorders>
              <w:top w:val="nil"/>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164</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116</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96</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Net cash flows from investments in non-financial assets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(5 462)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(3 821)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(4 473)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(3 056)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Net cash flows from investments in financial assets for policy purposes</w:t>
            </w:r>
            <w:r>
              <w:rPr>
                <w:rFonts w:eastAsiaTheme="minorEastAsia" w:cs="Calibri"/>
                <w:color w:val="000000"/>
                <w:szCs w:val="18"/>
                <w:lang w:eastAsia="en-AU"/>
              </w:rPr>
              <w:t xml:space="preserve"> </w:t>
            </w:r>
            <w:r w:rsidRPr="00BE3852">
              <w:rPr>
                <w:rFonts w:eastAsiaTheme="minorEastAsia" w:cs="Calibri"/>
                <w:color w:val="000000"/>
                <w:szCs w:val="18"/>
                <w:vertAlign w:val="superscript"/>
                <w:lang w:eastAsia="en-AU"/>
              </w:rPr>
              <w:t>(b)</w:t>
            </w:r>
          </w:p>
        </w:tc>
        <w:tc>
          <w:tcPr>
            <w:tcW w:w="737" w:type="dxa"/>
            <w:tcBorders>
              <w:top w:val="nil"/>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718</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(850)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Sub-total</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(5 478)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(3 826)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(3 756)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(3 906)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Net cash flows from investments in financial assets for liquidity management purposes</w:t>
            </w:r>
          </w:p>
        </w:tc>
        <w:tc>
          <w:tcPr>
            <w:tcW w:w="737" w:type="dxa"/>
            <w:tcBorders>
              <w:top w:val="nil"/>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2 772</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(5 624)</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(426)</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(2 638)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Net cash flows from investing activities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(2 707)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(9 450)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(4 181)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(6 544)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flows from financing activities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Advances received (net)</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9 579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Net borrowings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(4 092)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1 744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(5 827)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Deposits received (net)</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(932)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Net cash flows from financing activities</w:t>
            </w:r>
          </w:p>
        </w:tc>
        <w:tc>
          <w:tcPr>
            <w:tcW w:w="73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(823)</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(5 001)</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908</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3 860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 xml:space="preserve">Net increase/(decrease) in cash and cash equivalents </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(109)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(1 537)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(453)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Cash and cash equivalents at beginning of reporting period</w:t>
            </w:r>
            <w:r>
              <w:rPr>
                <w:rFonts w:eastAsiaTheme="minorEastAsia" w:cs="Calibri"/>
                <w:color w:val="000000"/>
                <w:szCs w:val="18"/>
                <w:lang w:eastAsia="en-AU"/>
              </w:rPr>
              <w:t xml:space="preserve"> </w:t>
            </w:r>
            <w:r w:rsidRPr="00856308">
              <w:rPr>
                <w:rFonts w:eastAsiaTheme="minorEastAsia" w:cs="Calibri"/>
                <w:color w:val="000000"/>
                <w:szCs w:val="18"/>
                <w:vertAlign w:val="superscript"/>
                <w:lang w:eastAsia="en-AU"/>
              </w:rPr>
              <w:t>(c)</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5 868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6 676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5 530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4 772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and cash equivalents at end of the reporting period</w:t>
            </w:r>
          </w:p>
        </w:tc>
        <w:tc>
          <w:tcPr>
            <w:tcW w:w="73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51349C">
              <w:rPr>
                <w:rFonts w:eastAsiaTheme="minorEastAsia" w:cs="Calibri"/>
                <w:bCs/>
                <w:color w:val="000000"/>
                <w:szCs w:val="16"/>
                <w:lang w:eastAsia="en-AU"/>
              </w:rPr>
              <w:t>5.2</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5 835</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6 567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3 992</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4 319</w:t>
            </w:r>
          </w:p>
        </w:tc>
      </w:tr>
      <w:tr w:rsidR="00F20535" w:rsidRPr="0051349C"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FISCAL AGGREGATES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cash flows from operating activities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3 497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14 342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2 230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272"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cash flows from investments in non-financial assets</w:t>
            </w:r>
          </w:p>
        </w:tc>
        <w:tc>
          <w:tcPr>
            <w:tcW w:w="737" w:type="dxa"/>
            <w:tcBorders>
              <w:top w:val="nil"/>
              <w:left w:val="nil"/>
              <w:bottom w:val="nil"/>
              <w:right w:val="nil"/>
            </w:tcBorders>
          </w:tcPr>
          <w:p w:rsidR="00F20535" w:rsidRPr="0051349C" w:rsidRDefault="00F20535" w:rsidP="007A2ED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(5 462)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(3 821)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(4 473)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(3 056)</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2" w:type="dxa"/>
            <w:tcBorders>
              <w:top w:val="single" w:sz="6" w:space="0" w:color="000000"/>
              <w:bottom w:val="single" w:sz="12" w:space="0" w:color="000000"/>
            </w:tcBorders>
          </w:tcPr>
          <w:p w:rsidR="00F20535" w:rsidRPr="0051349C" w:rsidRDefault="00F20535" w:rsidP="007A2EDF">
            <w:pPr>
              <w:autoSpaceDE w:val="0"/>
              <w:autoSpaceDN w:val="0"/>
              <w:adjustRightInd w:val="0"/>
              <w:rPr>
                <w:rFonts w:eastAsiaTheme="minorEastAsia" w:cs="Calibri"/>
                <w:bCs/>
                <w:color w:val="000000"/>
                <w:szCs w:val="16"/>
                <w:lang w:eastAsia="en-AU"/>
              </w:rPr>
            </w:pPr>
            <w:r w:rsidRPr="0051349C">
              <w:rPr>
                <w:rFonts w:eastAsiaTheme="minorEastAsia" w:cs="Calibri"/>
                <w:bCs/>
                <w:color w:val="000000"/>
                <w:szCs w:val="16"/>
                <w:lang w:eastAsia="en-AU"/>
              </w:rPr>
              <w:t>Cash surplus/(deficit)</w:t>
            </w:r>
          </w:p>
        </w:tc>
        <w:tc>
          <w:tcPr>
            <w:tcW w:w="737" w:type="dxa"/>
            <w:tcBorders>
              <w:top w:val="single" w:sz="6" w:space="0" w:color="000000"/>
              <w:bottom w:val="single" w:sz="12" w:space="0" w:color="000000"/>
            </w:tcBorders>
          </w:tcPr>
          <w:p w:rsidR="00F20535" w:rsidRPr="0051349C" w:rsidRDefault="00F20535" w:rsidP="007A2EDF">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eastAsiaTheme="minorEastAsia" w:cs="Calibri"/>
                <w:b w:val="0"/>
                <w:bCs/>
                <w:color w:val="000000"/>
                <w:szCs w:val="22"/>
                <w:lang w:eastAsia="en-AU"/>
              </w:rPr>
            </w:pPr>
            <w:r w:rsidRPr="0051349C">
              <w:rPr>
                <w:rFonts w:eastAsiaTheme="minorEastAsia" w:cs="Calibri"/>
                <w:b w:val="0"/>
                <w:bCs/>
                <w:color w:val="000000"/>
                <w:szCs w:val="22"/>
                <w:lang w:eastAsia="en-AU"/>
              </w:rPr>
              <w:t xml:space="preserve"> </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(1 965)</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10 521</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(2 738)</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(825)</w:t>
            </w:r>
          </w:p>
        </w:tc>
      </w:tr>
    </w:tbl>
    <w:p w:rsidR="00F20535" w:rsidRPr="00401C2B" w:rsidRDefault="00F20535" w:rsidP="007A2EDF">
      <w:pPr>
        <w:pStyle w:val="Source"/>
        <w:rPr>
          <w:bCs/>
          <w:lang w:val="en-US"/>
        </w:rPr>
      </w:pPr>
      <w:r>
        <w:t>The accompanying notes form part of these financial statements.</w:t>
      </w:r>
    </w:p>
    <w:p w:rsidR="00F20535" w:rsidRDefault="00F20535" w:rsidP="000C30FB">
      <w:pPr>
        <w:pStyle w:val="Note"/>
      </w:pPr>
      <w:r>
        <w:t>Notes:</w:t>
      </w:r>
    </w:p>
    <w:p w:rsidR="00F20535" w:rsidRPr="00AC7E08" w:rsidRDefault="00F20535" w:rsidP="007A2EDF">
      <w:pPr>
        <w:pStyle w:val="Note"/>
      </w:pPr>
      <w:r>
        <w:t>(a)</w:t>
      </w:r>
      <w:r>
        <w:tab/>
      </w:r>
      <w:r w:rsidRPr="00AC7E08">
        <w:t>These items are inclusive of goods and services tax.</w:t>
      </w:r>
    </w:p>
    <w:p w:rsidR="00F20535" w:rsidRDefault="00F20535" w:rsidP="007A2EDF">
      <w:pPr>
        <w:pStyle w:val="Note"/>
      </w:pPr>
      <w:r>
        <w:t>(b)</w:t>
      </w:r>
      <w:r>
        <w:tab/>
      </w:r>
      <w:r w:rsidRPr="00880745">
        <w:t>Includes net advances to public non-financial corporations for policy purposes of $979 million for the six months</w:t>
      </w:r>
      <w:r>
        <w:t xml:space="preserve"> ended 31 December.</w:t>
      </w:r>
    </w:p>
    <w:p w:rsidR="00F20535" w:rsidRDefault="00F20535" w:rsidP="007A2EDF">
      <w:pPr>
        <w:spacing w:before="0"/>
        <w:ind w:left="284" w:hanging="284"/>
        <w:rPr>
          <w:rFonts w:asciiTheme="majorHAnsi" w:eastAsiaTheme="minorHAnsi" w:hAnsiTheme="majorHAnsi" w:cstheme="minorBidi"/>
          <w:i/>
          <w:spacing w:val="-2"/>
          <w:sz w:val="14"/>
          <w:szCs w:val="22"/>
        </w:rPr>
      </w:pPr>
      <w:r w:rsidRPr="006C1ED2">
        <w:rPr>
          <w:rFonts w:asciiTheme="majorHAnsi" w:eastAsiaTheme="minorHAnsi" w:hAnsiTheme="majorHAnsi" w:cstheme="minorBidi"/>
          <w:i/>
          <w:spacing w:val="-2"/>
          <w:sz w:val="14"/>
          <w:szCs w:val="22"/>
        </w:rPr>
        <w:t>(c)</w:t>
      </w:r>
      <w:r>
        <w:rPr>
          <w:rFonts w:asciiTheme="majorHAnsi" w:eastAsiaTheme="minorHAnsi" w:hAnsiTheme="majorHAnsi" w:cstheme="minorBidi"/>
          <w:i/>
          <w:spacing w:val="-2"/>
          <w:sz w:val="14"/>
          <w:szCs w:val="22"/>
        </w:rPr>
        <w:tab/>
        <w:t>Cash and cash equivalents at the beginning of the reporting period does not equal cash and deposits on the balance sheet for the State of Victoria. This is due to overdrafts being included in the cash flow statement balances.</w:t>
      </w:r>
    </w:p>
    <w:p w:rsidR="00C0501E" w:rsidRPr="006C1ED2" w:rsidRDefault="00C0501E" w:rsidP="007A2EDF">
      <w:pPr>
        <w:spacing w:before="0"/>
        <w:ind w:left="284" w:hanging="284"/>
        <w:rPr>
          <w:rFonts w:asciiTheme="majorHAnsi" w:eastAsiaTheme="minorHAnsi" w:hAnsiTheme="majorHAnsi" w:cstheme="minorBidi"/>
          <w:i/>
          <w:spacing w:val="-2"/>
          <w:sz w:val="14"/>
          <w:szCs w:val="22"/>
        </w:rPr>
        <w:sectPr w:rsidR="00C0501E" w:rsidRPr="006C1ED2" w:rsidSect="000C30FB">
          <w:headerReference w:type="even" r:id="rId42"/>
          <w:headerReference w:type="default" r:id="rId43"/>
          <w:footerReference w:type="even" r:id="rId44"/>
          <w:footerReference w:type="default" r:id="rId45"/>
          <w:headerReference w:type="first" r:id="rId46"/>
          <w:footerReference w:type="first" r:id="rId47"/>
          <w:type w:val="continuous"/>
          <w:pgSz w:w="11907" w:h="16839" w:code="9"/>
          <w:pgMar w:top="1134" w:right="1134" w:bottom="1134" w:left="1134" w:header="624" w:footer="567" w:gutter="0"/>
          <w:cols w:sep="1" w:space="567"/>
          <w:docGrid w:linePitch="360"/>
        </w:sectPr>
      </w:pPr>
    </w:p>
    <w:p w:rsidR="00F20535" w:rsidRDefault="00F20535" w:rsidP="009144DF">
      <w:pPr>
        <w:pStyle w:val="Heading10"/>
        <w:spacing w:before="0"/>
      </w:pPr>
      <w:bookmarkStart w:id="20" w:name="_Toc473541455"/>
      <w:bookmarkStart w:id="21" w:name="_Toc508201397"/>
      <w:r>
        <w:t>Consolidated statement of changes in equity</w:t>
      </w:r>
      <w:bookmarkEnd w:id="20"/>
      <w:bookmarkEnd w:id="21"/>
    </w:p>
    <w:p w:rsidR="00F20535" w:rsidRPr="0051349C" w:rsidRDefault="00F20535" w:rsidP="007A2EDF">
      <w:pPr>
        <w:pStyle w:val="TableHeading"/>
        <w:rPr>
          <w:rFonts w:eastAsia="Times New Roman" w:cs="Times New Roman"/>
          <w:bCs/>
          <w:lang w:val="en-US"/>
        </w:rPr>
      </w:pPr>
      <w:r>
        <w:t>For the six months ended 31 December</w:t>
      </w:r>
      <w:r>
        <w:tab/>
      </w:r>
      <w:r>
        <w:tab/>
        <w:t>($ million)</w:t>
      </w:r>
    </w:p>
    <w:tbl>
      <w:tblPr>
        <w:tblStyle w:val="DTFTable"/>
        <w:tblW w:w="14556" w:type="dxa"/>
        <w:tblInd w:w="45" w:type="dxa"/>
        <w:tblLayout w:type="fixed"/>
        <w:tblCellMar>
          <w:left w:w="45" w:type="dxa"/>
          <w:right w:w="45" w:type="dxa"/>
        </w:tblCellMar>
        <w:tblLook w:val="06E0" w:firstRow="1" w:lastRow="1" w:firstColumn="1" w:lastColumn="0" w:noHBand="1" w:noVBand="1"/>
      </w:tblPr>
      <w:tblGrid>
        <w:gridCol w:w="6930"/>
        <w:gridCol w:w="1525"/>
        <w:gridCol w:w="1735"/>
        <w:gridCol w:w="1843"/>
        <w:gridCol w:w="1417"/>
        <w:gridCol w:w="1106"/>
      </w:tblGrid>
      <w:tr w:rsidR="00F20535" w:rsidRPr="0051349C" w:rsidTr="005632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State of Victoria</w:t>
            </w:r>
          </w:p>
        </w:tc>
        <w:tc>
          <w:tcPr>
            <w:tcW w:w="152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Accumulated surplus/(deficit) </w:t>
            </w:r>
          </w:p>
        </w:tc>
        <w:tc>
          <w:tcPr>
            <w:tcW w:w="173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Non-controlling </w:t>
            </w:r>
            <w:r>
              <w:rPr>
                <w:rFonts w:eastAsiaTheme="minorEastAsia" w:cs="Calibri"/>
                <w:iCs/>
                <w:color w:val="FFFFFF"/>
                <w:szCs w:val="22"/>
                <w:lang w:eastAsia="en-AU"/>
              </w:rPr>
              <w:br/>
            </w:r>
            <w:r w:rsidRPr="0051349C">
              <w:rPr>
                <w:rFonts w:eastAsiaTheme="minorEastAsia" w:cs="Calibri"/>
                <w:iCs/>
                <w:color w:val="FFFFFF"/>
                <w:szCs w:val="22"/>
                <w:lang w:eastAsia="en-AU"/>
              </w:rPr>
              <w:t>interest</w:t>
            </w:r>
          </w:p>
        </w:tc>
        <w:tc>
          <w:tcPr>
            <w:tcW w:w="1843"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Non-financial assets revaluation surplus</w:t>
            </w:r>
          </w:p>
        </w:tc>
        <w:tc>
          <w:tcPr>
            <w:tcW w:w="141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Other </w:t>
            </w:r>
            <w:r>
              <w:rPr>
                <w:rFonts w:eastAsiaTheme="minorEastAsia" w:cs="Calibri"/>
                <w:iCs/>
                <w:color w:val="FFFFFF"/>
                <w:szCs w:val="22"/>
                <w:lang w:eastAsia="en-AU"/>
              </w:rPr>
              <w:br/>
            </w:r>
            <w:r w:rsidRPr="0051349C">
              <w:rPr>
                <w:rFonts w:eastAsiaTheme="minorEastAsia" w:cs="Calibri"/>
                <w:iCs/>
                <w:color w:val="FFFFFF"/>
                <w:szCs w:val="22"/>
                <w:lang w:eastAsia="en-AU"/>
              </w:rPr>
              <w:t>reserves</w:t>
            </w:r>
          </w:p>
        </w:tc>
        <w:tc>
          <w:tcPr>
            <w:tcW w:w="1106"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Total</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2017</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Balance at 1 July 2017</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75 137</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95 897</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1 199</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172 234</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2 070</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2 070</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573</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27</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78</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679</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Transfer to/(from) accumulated surplus</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26</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(26)</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equity as at 31 December 2017</w:t>
            </w:r>
          </w:p>
        </w:tc>
        <w:tc>
          <w:tcPr>
            <w:tcW w:w="1525"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77 806</w:t>
            </w:r>
          </w:p>
        </w:tc>
        <w:tc>
          <w:tcPr>
            <w:tcW w:w="1735"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843"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95 899</w:t>
            </w:r>
          </w:p>
        </w:tc>
        <w:tc>
          <w:tcPr>
            <w:tcW w:w="141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1 277</w:t>
            </w:r>
          </w:p>
        </w:tc>
        <w:tc>
          <w:tcPr>
            <w:tcW w:w="1106"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174 983</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2016</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vertAlign w:val="superscript"/>
                <w:lang w:eastAsia="en-AU"/>
              </w:rPr>
            </w:pPr>
            <w:r w:rsidRPr="0051349C">
              <w:rPr>
                <w:rFonts w:eastAsiaTheme="minorEastAsia" w:cs="Calibri"/>
                <w:color w:val="000000"/>
                <w:szCs w:val="22"/>
                <w:lang w:eastAsia="en-AU"/>
              </w:rPr>
              <w:t xml:space="preserve">Balance at 1 July 2016 </w:t>
            </w:r>
            <w:r w:rsidRPr="0051349C">
              <w:rPr>
                <w:rFonts w:eastAsiaTheme="minorEastAsia" w:cs="Calibri"/>
                <w:color w:val="000000"/>
                <w:szCs w:val="22"/>
                <w:vertAlign w:val="superscript"/>
                <w:lang w:eastAsia="en-AU"/>
              </w:rPr>
              <w:t>(a)</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56 337</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94 965</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1 042</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152 395</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5 596</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5 596</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3 031</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(89)</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71</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3 014</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Transfer to/(from) accumulated surplus</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7 876</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(7 876)</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r>
      <w:tr w:rsidR="00F20535" w:rsidRPr="0051349C" w:rsidTr="00563282">
        <w:tc>
          <w:tcPr>
            <w:cnfStyle w:val="001000000000" w:firstRow="0" w:lastRow="0" w:firstColumn="1" w:lastColumn="0" w:oddVBand="0" w:evenVBand="0" w:oddHBand="0" w:evenHBand="0" w:firstRowFirstColumn="0" w:firstRowLastColumn="0" w:lastRowFirstColumn="0" w:lastRowLastColumn="0"/>
            <w:tcW w:w="693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Transactions with owners in their capacity as owners</w:t>
            </w:r>
          </w:p>
        </w:tc>
        <w:tc>
          <w:tcPr>
            <w:tcW w:w="152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3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c>
          <w:tcPr>
            <w:tcW w:w="184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r>
      <w:tr w:rsidR="00F20535" w:rsidRPr="0051349C" w:rsidTr="005632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Borders>
              <w:top w:val="single" w:sz="6" w:space="0" w:color="000000"/>
              <w:bottom w:val="single" w:sz="12" w:space="0" w:color="000000"/>
            </w:tcBorders>
          </w:tcPr>
          <w:p w:rsidR="00F20535" w:rsidRPr="0051349C" w:rsidRDefault="00F20535" w:rsidP="007A2EDF">
            <w:pPr>
              <w:autoSpaceDE w:val="0"/>
              <w:autoSpaceDN w:val="0"/>
              <w:adjustRightInd w:val="0"/>
              <w:rPr>
                <w:rFonts w:eastAsiaTheme="minorEastAsia" w:cs="Calibri"/>
                <w:bCs/>
                <w:color w:val="000000"/>
                <w:szCs w:val="22"/>
                <w:vertAlign w:val="superscript"/>
                <w:lang w:eastAsia="en-AU"/>
              </w:rPr>
            </w:pPr>
            <w:r w:rsidRPr="0051349C">
              <w:rPr>
                <w:rFonts w:eastAsiaTheme="minorEastAsia" w:cs="Calibri"/>
                <w:bCs/>
                <w:color w:val="000000"/>
                <w:szCs w:val="22"/>
                <w:lang w:eastAsia="en-AU"/>
              </w:rPr>
              <w:t xml:space="preserve">Total equity as at 31 December 2016 </w:t>
            </w:r>
            <w:r w:rsidRPr="0051349C">
              <w:rPr>
                <w:rFonts w:eastAsiaTheme="minorEastAsia" w:cs="Calibri"/>
                <w:bCs/>
                <w:color w:val="000000"/>
                <w:szCs w:val="22"/>
                <w:vertAlign w:val="superscript"/>
                <w:lang w:eastAsia="en-AU"/>
              </w:rPr>
              <w:t>(a)</w:t>
            </w:r>
          </w:p>
        </w:tc>
        <w:tc>
          <w:tcPr>
            <w:tcW w:w="1525"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72 840</w:t>
            </w:r>
          </w:p>
        </w:tc>
        <w:tc>
          <w:tcPr>
            <w:tcW w:w="1735"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w:t>
            </w:r>
          </w:p>
        </w:tc>
        <w:tc>
          <w:tcPr>
            <w:tcW w:w="1843"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87 001</w:t>
            </w:r>
          </w:p>
        </w:tc>
        <w:tc>
          <w:tcPr>
            <w:tcW w:w="141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1 114</w:t>
            </w:r>
          </w:p>
        </w:tc>
        <w:tc>
          <w:tcPr>
            <w:tcW w:w="1106"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160 955</w:t>
            </w:r>
          </w:p>
        </w:tc>
      </w:tr>
    </w:tbl>
    <w:p w:rsidR="00F20535" w:rsidRDefault="00F20535" w:rsidP="007A2EDF">
      <w:pPr>
        <w:pStyle w:val="Source"/>
      </w:pPr>
      <w:r w:rsidRPr="00AF493B">
        <w:t>The accompanying notes form part of these financial statements.</w:t>
      </w:r>
    </w:p>
    <w:p w:rsidR="00F20535" w:rsidRDefault="00F20535" w:rsidP="007A2EDF">
      <w:pPr>
        <w:pStyle w:val="Note"/>
      </w:pPr>
      <w:r>
        <w:t>Note:</w:t>
      </w:r>
    </w:p>
    <w:p w:rsidR="00F20535" w:rsidRDefault="00F20535" w:rsidP="007A2EDF">
      <w:pPr>
        <w:pStyle w:val="Note"/>
      </w:pPr>
      <w:r>
        <w:t>(a)</w:t>
      </w:r>
      <w:r>
        <w:tab/>
        <w:t>December</w:t>
      </w:r>
      <w:r w:rsidRPr="00C05333">
        <w:t xml:space="preserve"> 20</w:t>
      </w:r>
      <w:r>
        <w:t>16 comparative figures have been restated to reflect a subsequent adjustment to the Department of Environment, Land, Water and Planning</w:t>
      </w:r>
      <w:r w:rsidR="007F4ECD">
        <w:t>’</w:t>
      </w:r>
      <w:r>
        <w:t>s intangible produced assets and opening accumulated surplus/(deficit) balances due to the first-time recognition of Renewable Energy Certificates in 2016</w:t>
      </w:r>
      <w:r>
        <w:noBreakHyphen/>
        <w:t xml:space="preserve">17. </w:t>
      </w:r>
    </w:p>
    <w:p w:rsidR="00F20535" w:rsidRDefault="00F20535" w:rsidP="007A2EDF">
      <w:pPr>
        <w:pStyle w:val="Heading10"/>
        <w:rPr>
          <w:rFonts w:eastAsiaTheme="minorHAnsi" w:cstheme="minorBidi"/>
          <w:sz w:val="14"/>
          <w:szCs w:val="22"/>
        </w:rPr>
      </w:pPr>
      <w:r>
        <w:br w:type="page"/>
      </w:r>
    </w:p>
    <w:p w:rsidR="00F20535" w:rsidRPr="00CA6CEE" w:rsidRDefault="00F20535" w:rsidP="000C30FB">
      <w:pPr>
        <w:spacing w:before="360"/>
        <w:rPr>
          <w:rFonts w:asciiTheme="majorHAnsi" w:hAnsiTheme="majorHAnsi"/>
          <w:b/>
          <w:sz w:val="26"/>
          <w:szCs w:val="26"/>
        </w:rPr>
      </w:pPr>
      <w:r w:rsidRPr="00CA6CEE">
        <w:rPr>
          <w:rFonts w:asciiTheme="majorHAnsi" w:hAnsiTheme="majorHAnsi"/>
          <w:b/>
          <w:sz w:val="26"/>
          <w:szCs w:val="26"/>
        </w:rPr>
        <w:t xml:space="preserve">CONSOLIDATED STATEMENT OF CHANGES IN EQUITY </w:t>
      </w:r>
      <w:r w:rsidRPr="00CA6CEE">
        <w:rPr>
          <w:rFonts w:asciiTheme="majorHAnsi" w:hAnsiTheme="majorHAnsi"/>
          <w:b/>
          <w:i/>
          <w:sz w:val="26"/>
          <w:szCs w:val="26"/>
        </w:rPr>
        <w:t>(continued)</w:t>
      </w:r>
    </w:p>
    <w:p w:rsidR="00F20535" w:rsidRPr="0051349C" w:rsidRDefault="00F20535" w:rsidP="007A2EDF">
      <w:pPr>
        <w:pStyle w:val="TableHeading"/>
        <w:rPr>
          <w:rFonts w:eastAsia="Times New Roman" w:cs="Times New Roman"/>
          <w:bCs/>
          <w:lang w:val="en-US"/>
        </w:rPr>
      </w:pPr>
      <w:r w:rsidRPr="00AF493B">
        <w:t>For the six months ended 31 December</w:t>
      </w:r>
      <w:r w:rsidRPr="00AF493B">
        <w:tab/>
      </w:r>
      <w:r w:rsidRPr="00AF493B">
        <w:tab/>
        <w:t>($</w:t>
      </w:r>
      <w:r>
        <w:t> million</w:t>
      </w:r>
      <w:r w:rsidRPr="00AF493B">
        <w:t>)</w:t>
      </w:r>
    </w:p>
    <w:tbl>
      <w:tblPr>
        <w:tblStyle w:val="DTFTable"/>
        <w:tblW w:w="14572" w:type="dxa"/>
        <w:tblInd w:w="45" w:type="dxa"/>
        <w:tblLayout w:type="fixed"/>
        <w:tblCellMar>
          <w:left w:w="45" w:type="dxa"/>
          <w:right w:w="45" w:type="dxa"/>
        </w:tblCellMar>
        <w:tblLook w:val="06E0" w:firstRow="1" w:lastRow="1" w:firstColumn="1" w:lastColumn="0" w:noHBand="1" w:noVBand="1"/>
      </w:tblPr>
      <w:tblGrid>
        <w:gridCol w:w="5670"/>
        <w:gridCol w:w="1350"/>
        <w:gridCol w:w="1521"/>
        <w:gridCol w:w="1746"/>
        <w:gridCol w:w="1845"/>
        <w:gridCol w:w="1404"/>
        <w:gridCol w:w="1036"/>
      </w:tblGrid>
      <w:tr w:rsidR="00F20535" w:rsidRPr="0051349C" w:rsidTr="001617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General government sector</w:t>
            </w:r>
          </w:p>
        </w:tc>
        <w:tc>
          <w:tcPr>
            <w:tcW w:w="1350"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Accumulated surplus/(deficit)</w:t>
            </w:r>
          </w:p>
        </w:tc>
        <w:tc>
          <w:tcPr>
            <w:tcW w:w="1521"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Non-controlling Interest</w:t>
            </w:r>
          </w:p>
        </w:tc>
        <w:tc>
          <w:tcPr>
            <w:tcW w:w="1746"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Non-financial assets revaluation surplus</w:t>
            </w:r>
          </w:p>
        </w:tc>
        <w:tc>
          <w:tcPr>
            <w:tcW w:w="184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Investment in other sector entities revaluation surplus</w:t>
            </w:r>
          </w:p>
        </w:tc>
        <w:tc>
          <w:tcPr>
            <w:tcW w:w="14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Other </w:t>
            </w:r>
            <w:r>
              <w:rPr>
                <w:rFonts w:eastAsiaTheme="minorEastAsia" w:cs="Calibri"/>
                <w:iCs/>
                <w:color w:val="FFFFFF"/>
                <w:szCs w:val="22"/>
                <w:lang w:eastAsia="en-AU"/>
              </w:rPr>
              <w:br/>
            </w:r>
            <w:r w:rsidRPr="0051349C">
              <w:rPr>
                <w:rFonts w:eastAsiaTheme="minorEastAsia" w:cs="Calibri"/>
                <w:iCs/>
                <w:color w:val="FFFFFF"/>
                <w:szCs w:val="22"/>
                <w:lang w:eastAsia="en-AU"/>
              </w:rPr>
              <w:t>reserves</w:t>
            </w:r>
          </w:p>
        </w:tc>
        <w:tc>
          <w:tcPr>
            <w:tcW w:w="1036"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Total</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2017</w:t>
            </w:r>
          </w:p>
        </w:tc>
        <w:tc>
          <w:tcPr>
            <w:tcW w:w="135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52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74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8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4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03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Balance at 1 July 2017</w:t>
            </w:r>
          </w:p>
        </w:tc>
        <w:tc>
          <w:tcPr>
            <w:tcW w:w="135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51 464</w:t>
            </w:r>
          </w:p>
        </w:tc>
        <w:tc>
          <w:tcPr>
            <w:tcW w:w="152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74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55 745</w:t>
            </w:r>
          </w:p>
        </w:tc>
        <w:tc>
          <w:tcPr>
            <w:tcW w:w="18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60 149</w:t>
            </w:r>
          </w:p>
        </w:tc>
        <w:tc>
          <w:tcPr>
            <w:tcW w:w="14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669</w:t>
            </w:r>
          </w:p>
        </w:tc>
        <w:tc>
          <w:tcPr>
            <w:tcW w:w="103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168 027</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35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868</w:t>
            </w:r>
          </w:p>
        </w:tc>
        <w:tc>
          <w:tcPr>
            <w:tcW w:w="152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4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8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4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03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868</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35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633</w:t>
            </w:r>
          </w:p>
        </w:tc>
        <w:tc>
          <w:tcPr>
            <w:tcW w:w="152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4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w:t>
            </w:r>
          </w:p>
        </w:tc>
        <w:tc>
          <w:tcPr>
            <w:tcW w:w="18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686</w:t>
            </w:r>
          </w:p>
        </w:tc>
        <w:tc>
          <w:tcPr>
            <w:tcW w:w="14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44</w:t>
            </w:r>
          </w:p>
        </w:tc>
        <w:tc>
          <w:tcPr>
            <w:tcW w:w="103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1 360</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equity as at 31 December 2017</w:t>
            </w:r>
          </w:p>
        </w:tc>
        <w:tc>
          <w:tcPr>
            <w:tcW w:w="1350"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52 965</w:t>
            </w:r>
          </w:p>
        </w:tc>
        <w:tc>
          <w:tcPr>
            <w:tcW w:w="1521"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746"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55 743</w:t>
            </w:r>
          </w:p>
        </w:tc>
        <w:tc>
          <w:tcPr>
            <w:tcW w:w="1845"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60 835</w:t>
            </w:r>
          </w:p>
        </w:tc>
        <w:tc>
          <w:tcPr>
            <w:tcW w:w="14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712</w:t>
            </w:r>
          </w:p>
        </w:tc>
        <w:tc>
          <w:tcPr>
            <w:tcW w:w="1036"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170 256</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2016</w:t>
            </w:r>
          </w:p>
        </w:tc>
        <w:tc>
          <w:tcPr>
            <w:tcW w:w="135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52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74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8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4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03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vertAlign w:val="superscript"/>
                <w:lang w:eastAsia="en-AU"/>
              </w:rPr>
            </w:pPr>
            <w:r w:rsidRPr="0051349C">
              <w:rPr>
                <w:rFonts w:eastAsiaTheme="minorEastAsia" w:cs="Calibri"/>
                <w:color w:val="000000"/>
                <w:szCs w:val="22"/>
                <w:lang w:eastAsia="en-AU"/>
              </w:rPr>
              <w:t xml:space="preserve">Balance at 1 July 2016 </w:t>
            </w:r>
            <w:r w:rsidRPr="0051349C">
              <w:rPr>
                <w:rFonts w:eastAsiaTheme="minorEastAsia" w:cs="Calibri"/>
                <w:color w:val="000000"/>
                <w:szCs w:val="22"/>
                <w:vertAlign w:val="superscript"/>
                <w:lang w:eastAsia="en-AU"/>
              </w:rPr>
              <w:t>(a)</w:t>
            </w:r>
          </w:p>
        </w:tc>
        <w:tc>
          <w:tcPr>
            <w:tcW w:w="135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44 557</w:t>
            </w:r>
          </w:p>
        </w:tc>
        <w:tc>
          <w:tcPr>
            <w:tcW w:w="152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c>
          <w:tcPr>
            <w:tcW w:w="174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49 613</w:t>
            </w:r>
          </w:p>
        </w:tc>
        <w:tc>
          <w:tcPr>
            <w:tcW w:w="18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57 027</w:t>
            </w:r>
          </w:p>
        </w:tc>
        <w:tc>
          <w:tcPr>
            <w:tcW w:w="14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551</w:t>
            </w:r>
          </w:p>
        </w:tc>
        <w:tc>
          <w:tcPr>
            <w:tcW w:w="103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151 798</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35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1 226</w:t>
            </w:r>
          </w:p>
        </w:tc>
        <w:tc>
          <w:tcPr>
            <w:tcW w:w="152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4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8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4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03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1 226</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35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3 035</w:t>
            </w:r>
          </w:p>
        </w:tc>
        <w:tc>
          <w:tcPr>
            <w:tcW w:w="152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4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(89)</w:t>
            </w:r>
          </w:p>
        </w:tc>
        <w:tc>
          <w:tcPr>
            <w:tcW w:w="18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644</w:t>
            </w:r>
          </w:p>
        </w:tc>
        <w:tc>
          <w:tcPr>
            <w:tcW w:w="14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c>
          <w:tcPr>
            <w:tcW w:w="103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3 640</w:t>
            </w:r>
          </w:p>
        </w:tc>
      </w:tr>
      <w:tr w:rsidR="00F20535" w:rsidRPr="0051349C" w:rsidTr="00161713">
        <w:tc>
          <w:tcPr>
            <w:cnfStyle w:val="001000000000" w:firstRow="0" w:lastRow="0" w:firstColumn="1" w:lastColumn="0" w:oddVBand="0" w:evenVBand="0" w:oddHBand="0" w:evenHBand="0" w:firstRowFirstColumn="0" w:firstRowLastColumn="0" w:lastRowFirstColumn="0" w:lastRowLastColumn="0"/>
            <w:tcW w:w="5670"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Transactions with owners in their capacity as owners</w:t>
            </w:r>
          </w:p>
        </w:tc>
        <w:tc>
          <w:tcPr>
            <w:tcW w:w="135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52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c>
          <w:tcPr>
            <w:tcW w:w="174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8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4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03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r>
      <w:tr w:rsidR="00F20535" w:rsidRPr="0051349C" w:rsidTr="001617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top w:val="single" w:sz="6" w:space="0" w:color="000000"/>
              <w:bottom w:val="single" w:sz="12" w:space="0" w:color="000000"/>
            </w:tcBorders>
          </w:tcPr>
          <w:p w:rsidR="00F20535" w:rsidRPr="0051349C" w:rsidRDefault="00F20535" w:rsidP="007A2EDF">
            <w:pPr>
              <w:autoSpaceDE w:val="0"/>
              <w:autoSpaceDN w:val="0"/>
              <w:adjustRightInd w:val="0"/>
              <w:rPr>
                <w:rFonts w:eastAsiaTheme="minorEastAsia" w:cs="Calibri"/>
                <w:bCs/>
                <w:color w:val="000000"/>
                <w:szCs w:val="22"/>
                <w:vertAlign w:val="superscript"/>
                <w:lang w:eastAsia="en-AU"/>
              </w:rPr>
            </w:pPr>
            <w:r w:rsidRPr="0051349C">
              <w:rPr>
                <w:rFonts w:eastAsiaTheme="minorEastAsia" w:cs="Calibri"/>
                <w:bCs/>
                <w:color w:val="000000"/>
                <w:szCs w:val="22"/>
                <w:lang w:eastAsia="en-AU"/>
              </w:rPr>
              <w:t xml:space="preserve">Total equity as at 31 December 2016 </w:t>
            </w:r>
            <w:r w:rsidRPr="0051349C">
              <w:rPr>
                <w:rFonts w:eastAsiaTheme="minorEastAsia" w:cs="Calibri"/>
                <w:bCs/>
                <w:color w:val="000000"/>
                <w:szCs w:val="22"/>
                <w:vertAlign w:val="superscript"/>
                <w:lang w:eastAsia="en-AU"/>
              </w:rPr>
              <w:t>(a)</w:t>
            </w:r>
          </w:p>
        </w:tc>
        <w:tc>
          <w:tcPr>
            <w:tcW w:w="1350"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48 817</w:t>
            </w:r>
          </w:p>
        </w:tc>
        <w:tc>
          <w:tcPr>
            <w:tcW w:w="1521"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w:t>
            </w:r>
          </w:p>
        </w:tc>
        <w:tc>
          <w:tcPr>
            <w:tcW w:w="1746"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49 524</w:t>
            </w:r>
          </w:p>
        </w:tc>
        <w:tc>
          <w:tcPr>
            <w:tcW w:w="1845"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57 671</w:t>
            </w:r>
          </w:p>
        </w:tc>
        <w:tc>
          <w:tcPr>
            <w:tcW w:w="1404"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Pr>
                <w:rFonts w:eastAsiaTheme="minorEastAsia" w:cs="Calibri"/>
                <w:bCs/>
                <w:color w:val="000000"/>
                <w:szCs w:val="22"/>
                <w:lang w:eastAsia="en-AU"/>
              </w:rPr>
              <w:t>602</w:t>
            </w:r>
          </w:p>
        </w:tc>
        <w:tc>
          <w:tcPr>
            <w:tcW w:w="1036"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156 614</w:t>
            </w:r>
          </w:p>
        </w:tc>
      </w:tr>
    </w:tbl>
    <w:p w:rsidR="00F20535" w:rsidRDefault="00F20535" w:rsidP="007A2EDF">
      <w:pPr>
        <w:pStyle w:val="Source"/>
      </w:pPr>
      <w:r w:rsidRPr="00DE44EC">
        <w:t>The accompanying notes form part of these financial statements</w:t>
      </w:r>
      <w:r>
        <w:t>.</w:t>
      </w:r>
    </w:p>
    <w:p w:rsidR="00F20535" w:rsidRDefault="00F20535" w:rsidP="007A2EDF">
      <w:pPr>
        <w:pStyle w:val="Note"/>
      </w:pPr>
      <w:r>
        <w:t>Note:</w:t>
      </w:r>
    </w:p>
    <w:p w:rsidR="00F20535" w:rsidRDefault="00F20535" w:rsidP="007A2EDF">
      <w:pPr>
        <w:pStyle w:val="Note"/>
      </w:pPr>
      <w:r>
        <w:t>(a)</w:t>
      </w:r>
      <w:r>
        <w:tab/>
        <w:t>December</w:t>
      </w:r>
      <w:r w:rsidRPr="00C05333">
        <w:t xml:space="preserve"> 20</w:t>
      </w:r>
      <w:r>
        <w:t>16 comparative figures have been restated to reflect a subsequent adjustment to the Department of Environment, Land, Water and Planning</w:t>
      </w:r>
      <w:r w:rsidR="007F4ECD">
        <w:t>’</w:t>
      </w:r>
      <w:r>
        <w:t>s intangible produced assets and opening accumulated surplus/(deficit) balances due to the first-time recognition of Renewable Energy Certificates in 2016</w:t>
      </w:r>
      <w:r>
        <w:noBreakHyphen/>
        <w:t xml:space="preserve">17. </w:t>
      </w:r>
    </w:p>
    <w:p w:rsidR="00F20535" w:rsidRDefault="00F20535" w:rsidP="000C30FB"/>
    <w:p w:rsidR="00F20535" w:rsidRDefault="00F20535" w:rsidP="000C30FB">
      <w:pPr>
        <w:sectPr w:rsidR="00F20535" w:rsidSect="000C30FB">
          <w:headerReference w:type="even" r:id="rId48"/>
          <w:headerReference w:type="default" r:id="rId49"/>
          <w:footerReference w:type="even" r:id="rId50"/>
          <w:footerReference w:type="default" r:id="rId51"/>
          <w:pgSz w:w="16839" w:h="11907" w:orient="landscape" w:code="9"/>
          <w:pgMar w:top="1134" w:right="1134" w:bottom="1134" w:left="1134" w:header="624" w:footer="567" w:gutter="0"/>
          <w:cols w:sep="1" w:space="567"/>
          <w:docGrid w:linePitch="360"/>
        </w:sectPr>
      </w:pPr>
    </w:p>
    <w:p w:rsidR="00F20535" w:rsidRDefault="00F20535" w:rsidP="007A2EDF">
      <w:pPr>
        <w:pStyle w:val="Heading1"/>
        <w:numPr>
          <w:ilvl w:val="0"/>
          <w:numId w:val="22"/>
        </w:numPr>
      </w:pPr>
      <w:bookmarkStart w:id="22" w:name="_Toc473541456"/>
      <w:bookmarkStart w:id="23" w:name="_Toc508201398"/>
      <w:r>
        <w:t>About this report</w:t>
      </w:r>
      <w:bookmarkEnd w:id="22"/>
      <w:bookmarkEnd w:id="23"/>
    </w:p>
    <w:p w:rsidR="00F20535" w:rsidRDefault="00F20535" w:rsidP="000C30FB">
      <w:pPr>
        <w:pStyle w:val="Heading20"/>
        <w:sectPr w:rsidR="00F20535" w:rsidSect="000C30FB">
          <w:headerReference w:type="even" r:id="rId52"/>
          <w:headerReference w:type="default" r:id="rId53"/>
          <w:footerReference w:type="even" r:id="rId54"/>
          <w:footerReference w:type="default" r:id="rId55"/>
          <w:pgSz w:w="11907" w:h="16839" w:code="9"/>
          <w:pgMar w:top="1134" w:right="1134" w:bottom="1134" w:left="1134" w:header="624" w:footer="567" w:gutter="0"/>
          <w:cols w:sep="1" w:space="567"/>
          <w:docGrid w:linePitch="360"/>
        </w:sectPr>
      </w:pPr>
    </w:p>
    <w:p w:rsidR="00F20535" w:rsidRDefault="00F20535" w:rsidP="000C30FB">
      <w:pPr>
        <w:pStyle w:val="Heading20"/>
      </w:pPr>
      <w:bookmarkStart w:id="24" w:name="_Toc473541457"/>
      <w:r>
        <w:t>Basis of preparation</w:t>
      </w:r>
      <w:bookmarkEnd w:id="24"/>
    </w:p>
    <w:p w:rsidR="00F20535" w:rsidRDefault="00F20535" w:rsidP="000C30FB">
      <w:r>
        <w:t>This Mid-Year Financial Report presents the unaudited general purpose consolidated interim financial statements of the State of Victoria (the State) and the Victorian general government sector. The report also incorporates the quarterly financial report of the general government sector for the quarter ended 31 December 2017.</w:t>
      </w:r>
    </w:p>
    <w:p w:rsidR="00F20535" w:rsidRDefault="00F20535" w:rsidP="000C30FB">
      <w:r>
        <w:t xml:space="preserve">The accounting policies applied are consistent with those applied for the financial statements published in the </w:t>
      </w:r>
      <w:r>
        <w:rPr>
          <w:i/>
        </w:rPr>
        <w:t>2016-17</w:t>
      </w:r>
      <w:r w:rsidRPr="00DE44EC">
        <w:rPr>
          <w:i/>
        </w:rPr>
        <w:t xml:space="preserve"> Financial Report</w:t>
      </w:r>
      <w:r>
        <w:t xml:space="preserve"> for the State. As this interim financial report does not include all the notes normally included with the annual financial report, this report should be read in conjunction with the </w:t>
      </w:r>
      <w:r>
        <w:rPr>
          <w:i/>
        </w:rPr>
        <w:t>2016-17</w:t>
      </w:r>
      <w:r w:rsidRPr="00DE44EC">
        <w:rPr>
          <w:i/>
        </w:rPr>
        <w:t xml:space="preserve"> Financial Report</w:t>
      </w:r>
      <w:r>
        <w:t>.</w:t>
      </w:r>
    </w:p>
    <w:p w:rsidR="00F20535" w:rsidRDefault="00F20535" w:rsidP="000C30FB">
      <w:pPr>
        <w:pStyle w:val="Heading20"/>
      </w:pPr>
      <w:bookmarkStart w:id="25" w:name="_Toc473541458"/>
      <w:r>
        <w:t>Statement of compliance</w:t>
      </w:r>
      <w:bookmarkEnd w:id="25"/>
    </w:p>
    <w:p w:rsidR="00F20535" w:rsidRDefault="00F20535" w:rsidP="000C30FB">
      <w:r>
        <w:t xml:space="preserve">These financial statements have been prepared in the manner and form as determined by the Treasurer, in accordance with the </w:t>
      </w:r>
      <w:r w:rsidRPr="00DE44EC">
        <w:rPr>
          <w:i/>
        </w:rPr>
        <w:t>Financial Management Act 1994</w:t>
      </w:r>
      <w:r>
        <w:t xml:space="preserve"> and applicable Australian Accounting Standards (AASs) which include Interpretations issued by the Australian Accounting Standards Board (AASB). </w:t>
      </w:r>
      <w:r>
        <w:br/>
        <w:t xml:space="preserve">In particular, they are presented consistent with the requirements of AASB 1049 </w:t>
      </w:r>
      <w:r w:rsidRPr="00DE44EC">
        <w:rPr>
          <w:i/>
        </w:rPr>
        <w:t>Whole of Government and General Government Sector Financial Reporting</w:t>
      </w:r>
      <w:r>
        <w:t xml:space="preserve"> (AASB 1049) and AASB 134 </w:t>
      </w:r>
      <w:r w:rsidRPr="00DE44EC">
        <w:rPr>
          <w:i/>
        </w:rPr>
        <w:t>Interim Financial Reporting</w:t>
      </w:r>
      <w:r>
        <w:t xml:space="preserve"> (AASB 134).</w:t>
      </w:r>
    </w:p>
    <w:p w:rsidR="00F20535" w:rsidRDefault="00F20535" w:rsidP="000C30FB">
      <w:r>
        <w:t>Where appropriate, those AASs paragraphs applicable to not for profit entities have been applied.</w:t>
      </w:r>
    </w:p>
    <w:p w:rsidR="00F20535" w:rsidRDefault="00F20535" w:rsidP="000C30FB">
      <w:r>
        <w:t xml:space="preserve">The Government Finance Statistics (GFS) information included in this report is based on the GFS manual (the Australian Bureau of Statistics (ABS) publication </w:t>
      </w:r>
      <w:r w:rsidRPr="00DE44EC">
        <w:rPr>
          <w:i/>
        </w:rPr>
        <w:t>Australian System of Government Finance Statistics: Concepts, Sources and Methods 2005</w:t>
      </w:r>
      <w:r>
        <w:t xml:space="preserve"> as updated from time to time).</w:t>
      </w:r>
    </w:p>
    <w:p w:rsidR="00F20535" w:rsidRDefault="00F20535" w:rsidP="000C30FB">
      <w:r w:rsidRPr="0006143F">
        <w:t xml:space="preserve">The </w:t>
      </w:r>
      <w:r w:rsidRPr="0006143F">
        <w:rPr>
          <w:i/>
        </w:rPr>
        <w:t>2017-18 Mid-Year Financial Report</w:t>
      </w:r>
      <w:r w:rsidRPr="0006143F">
        <w:t xml:space="preserve"> was authorised for issue by the Treasurer on 15 March 2018.</w:t>
      </w:r>
    </w:p>
    <w:p w:rsidR="00F20535" w:rsidRDefault="00F20535" w:rsidP="000C30FB">
      <w:pPr>
        <w:pStyle w:val="Heading20"/>
      </w:pPr>
      <w:bookmarkStart w:id="26" w:name="_Toc473541459"/>
      <w:r>
        <w:br w:type="column"/>
        <w:t>Basis of accounting and measurement</w:t>
      </w:r>
      <w:bookmarkEnd w:id="26"/>
    </w:p>
    <w:p w:rsidR="00F20535" w:rsidRDefault="00F20535" w:rsidP="000C30FB">
      <w:r>
        <w:t>The accrual basis of accounting has been applied where assets, liabilities, equity, income and expenses are recognised in the reporting period to which they relate, regardless of when the cash is received or paid.</w:t>
      </w:r>
    </w:p>
    <w:p w:rsidR="00F20535" w:rsidRDefault="00F20535" w:rsidP="000C30FB">
      <w:r>
        <w:t>These financial statements are presented in Australian dollars and the historical cost convention is used except for:</w:t>
      </w:r>
    </w:p>
    <w:p w:rsidR="00F20535" w:rsidRDefault="00F20535" w:rsidP="000C30FB">
      <w:pPr>
        <w:pStyle w:val="ListBullet"/>
      </w:pPr>
      <w:r>
        <w:t>the general government sector investments in other sector entities, which are measured at net asset value;</w:t>
      </w:r>
    </w:p>
    <w:p w:rsidR="00F20535" w:rsidRDefault="00F20535" w:rsidP="000C30FB">
      <w:pPr>
        <w:pStyle w:val="ListBullet"/>
      </w:pPr>
      <w:r>
        <w:t>non-financial physical assets which, subsequent to acquisition, are measured at a revalued amount being their fair value at the date of revaluation less any subsequent accumulated depreciation and subsequent impairment losses. Revaluations are made with sufficient regularity to ensure the carrying amounts do not materially differ from their fair value;</w:t>
      </w:r>
    </w:p>
    <w:p w:rsidR="00F20535" w:rsidRDefault="00F20535" w:rsidP="000C30FB">
      <w:pPr>
        <w:pStyle w:val="ListBullet"/>
      </w:pPr>
      <w:r>
        <w:t>productive trees in commercial native forests, which are measured at their fair value less estimated costs to sell;</w:t>
      </w:r>
    </w:p>
    <w:p w:rsidR="00F20535" w:rsidRDefault="00F20535" w:rsidP="000C30FB">
      <w:pPr>
        <w:pStyle w:val="ListBullet"/>
      </w:pPr>
      <w:r>
        <w:t xml:space="preserve">derivative financial instruments, managed investment schemes, certain debt securities and investment properties, after initial recognition, which are measured at fair value with changes reflected in the consolidated comprehensive operating statement (fair value through profit and loss); </w:t>
      </w:r>
    </w:p>
    <w:p w:rsidR="00F20535" w:rsidRDefault="00F20535" w:rsidP="000C30FB">
      <w:pPr>
        <w:pStyle w:val="ListBullet"/>
      </w:pPr>
      <w:r>
        <w:t>certain liabilities, most notably unfunded superannuation and insurance claim provisions, which are subject to an actuarial assessment; and</w:t>
      </w:r>
    </w:p>
    <w:p w:rsidR="00F20535" w:rsidRDefault="00F20535" w:rsidP="000C30FB">
      <w:pPr>
        <w:pStyle w:val="ListBullet"/>
      </w:pPr>
      <w:r>
        <w:t xml:space="preserve">available for sale investments, which are measured at fair value with movements reflected in </w:t>
      </w:r>
      <w:r w:rsidR="007F4ECD">
        <w:t>‘</w:t>
      </w:r>
      <w:r>
        <w:t>Other economic flows – other comprehensive income</w:t>
      </w:r>
      <w:r w:rsidR="007F4ECD">
        <w:t>’</w:t>
      </w:r>
      <w:r>
        <w:t>.</w:t>
      </w:r>
    </w:p>
    <w:p w:rsidR="00F20535" w:rsidRDefault="00F20535">
      <w:pPr>
        <w:rPr>
          <w:rFonts w:asciiTheme="majorHAnsi" w:eastAsiaTheme="majorEastAsia" w:hAnsiTheme="majorHAnsi" w:cstheme="majorBidi"/>
          <w:b/>
          <w:spacing w:val="-2"/>
          <w:sz w:val="26"/>
          <w:szCs w:val="26"/>
        </w:rPr>
      </w:pPr>
      <w:bookmarkStart w:id="27" w:name="_Toc473541460"/>
      <w:r>
        <w:br w:type="page"/>
      </w:r>
    </w:p>
    <w:p w:rsidR="00F20535" w:rsidRDefault="00F20535" w:rsidP="000C30FB">
      <w:pPr>
        <w:pStyle w:val="Heading20"/>
      </w:pPr>
      <w:r>
        <w:t>Reporting entity</w:t>
      </w:r>
      <w:bookmarkEnd w:id="27"/>
    </w:p>
    <w:p w:rsidR="00F20535" w:rsidRDefault="00F20535" w:rsidP="000C30FB">
      <w:r>
        <w:t>The State of Victoria reporting entity includes government departments, public non-financial corporations (PNFCs), public financial corporations (PFCs) and other government controlled entities. The State and most of its subsidiary entities are not</w:t>
      </w:r>
      <w:r>
        <w:noBreakHyphen/>
        <w:t>for</w:t>
      </w:r>
      <w:r>
        <w:noBreakHyphen/>
        <w:t>profit entities. The State controlled entities are classified into various sectors according to the System of National Accounts as described below.</w:t>
      </w:r>
    </w:p>
    <w:p w:rsidR="00F20535" w:rsidRDefault="00F20535" w:rsidP="000C30FB">
      <w:pPr>
        <w:pStyle w:val="Heading30"/>
      </w:pPr>
      <w:bookmarkStart w:id="28" w:name="_Toc473541461"/>
      <w:r>
        <w:t>General government</w:t>
      </w:r>
      <w:bookmarkEnd w:id="28"/>
    </w:p>
    <w:p w:rsidR="00F20535" w:rsidRDefault="00F20535" w:rsidP="000C30FB">
      <w:r>
        <w:t>The Victorian general government sector includes all government departments, offices and other bodies engaged in providing services free of charge or at prices significantly below their cost of production.</w:t>
      </w:r>
    </w:p>
    <w:p w:rsidR="00F20535" w:rsidRDefault="00F20535" w:rsidP="000C30FB">
      <w:r>
        <w:t>The general government sector is not a separate reporting entity but represents a sector within the State of Victoria reporting entity and is reported in accordance with AASB 1049. The primary function of entities within the general government sector is to provide public services (outputs), which are mainly non-market in nature, for the collective consumption of the community, and involve the transfer or redistribution of revenue, which is financed mainly through taxes and other compulsory levies. Unless otherwise noted, accounting policies applied by the State of Victoria apply equally to the general government sector.</w:t>
      </w:r>
    </w:p>
    <w:p w:rsidR="00F20535" w:rsidRDefault="00F20535" w:rsidP="000C30FB">
      <w:pPr>
        <w:pStyle w:val="Heading30"/>
      </w:pPr>
      <w:bookmarkStart w:id="29" w:name="_Toc473541462"/>
      <w:r>
        <w:t>Public non-financial corporations</w:t>
      </w:r>
      <w:bookmarkEnd w:id="29"/>
    </w:p>
    <w:p w:rsidR="00F20535" w:rsidRDefault="00F20535" w:rsidP="000C30FB">
      <w:r>
        <w:t xml:space="preserve">The primary function of entities in the PNFC sector is to provide goods and services in a competitive market that is non-regulatory and non-financial in nature. Such entities are financed mainly through sales to the consumer of these goods and services. </w:t>
      </w:r>
    </w:p>
    <w:p w:rsidR="00F20535" w:rsidRDefault="00F20535" w:rsidP="000C30FB">
      <w:pPr>
        <w:pStyle w:val="Heading30"/>
      </w:pPr>
      <w:bookmarkStart w:id="30" w:name="_Toc473541463"/>
      <w:r>
        <w:t>Public financial corporations</w:t>
      </w:r>
      <w:bookmarkEnd w:id="30"/>
    </w:p>
    <w:p w:rsidR="00F20535" w:rsidRDefault="00F20535" w:rsidP="000C30FB">
      <w:r>
        <w:t>The PFC sector comprises entities engaged primarily in providing financial intermediation services or auxiliary financial services and which have one or more of the following characteristics:</w:t>
      </w:r>
    </w:p>
    <w:p w:rsidR="00F20535" w:rsidRDefault="00F20535" w:rsidP="000C30FB">
      <w:pPr>
        <w:pStyle w:val="ListBullet"/>
      </w:pPr>
      <w:r>
        <w:t>they perform a central borrowing function;</w:t>
      </w:r>
    </w:p>
    <w:p w:rsidR="00F20535" w:rsidRDefault="00F20535" w:rsidP="000C30FB">
      <w:pPr>
        <w:pStyle w:val="ListBullet"/>
      </w:pPr>
      <w:r>
        <w:t>they provide insurance services;</w:t>
      </w:r>
    </w:p>
    <w:p w:rsidR="00F20535" w:rsidRDefault="00F20535" w:rsidP="000C30FB">
      <w:pPr>
        <w:pStyle w:val="ListBullet"/>
      </w:pPr>
      <w:r>
        <w:t xml:space="preserve">they accept call, term or savings deposits; or </w:t>
      </w:r>
    </w:p>
    <w:p w:rsidR="00F20535" w:rsidRDefault="00F20535" w:rsidP="000C30FB">
      <w:pPr>
        <w:pStyle w:val="ListBullet"/>
      </w:pPr>
      <w:r>
        <w:t>they have the ability to incur liabilities and acquire financial assets in the market on their own account.</w:t>
      </w:r>
    </w:p>
    <w:p w:rsidR="00F20535" w:rsidRDefault="00F20535" w:rsidP="007A2EDF">
      <w:pPr>
        <w:pStyle w:val="Heading30"/>
      </w:pPr>
      <w:bookmarkStart w:id="31" w:name="_Toc473541464"/>
      <w:r>
        <w:br w:type="column"/>
        <w:t xml:space="preserve">Non-financial public sector </w:t>
      </w:r>
      <w:bookmarkEnd w:id="31"/>
    </w:p>
    <w:p w:rsidR="00F20535" w:rsidRDefault="00F20535" w:rsidP="000C30FB">
      <w:r>
        <w:t>The non-financial public sector (NFPS) consolidates the general government and PNFC sectors.</w:t>
      </w:r>
    </w:p>
    <w:p w:rsidR="00F20535" w:rsidRDefault="00F20535" w:rsidP="000C30FB">
      <w:r>
        <w:t>Note 9.1 disaggregates information about these sectors. Disclosing this information assists users of the financial statements to determine the effects of differing activities on the financial performance and position of the State. It also assists users to identify the resources used in a range of goods and services, and the extent to which the State has recovered the costs of these resources from revenues attributable to those activities.</w:t>
      </w:r>
    </w:p>
    <w:p w:rsidR="00F20535" w:rsidRDefault="00F20535" w:rsidP="000C30FB">
      <w:pPr>
        <w:pStyle w:val="Heading20"/>
      </w:pPr>
      <w:bookmarkStart w:id="32" w:name="_Toc473541465"/>
      <w:r>
        <w:t>Basis of consolidation</w:t>
      </w:r>
      <w:bookmarkEnd w:id="32"/>
    </w:p>
    <w:p w:rsidR="00F20535" w:rsidRDefault="00F20535" w:rsidP="000C30FB">
      <w:r>
        <w:t>The consolidated financial statements of the State incorporate assets and liabilities of all reporting entities it controlled as at 31 December 2017 and the revenue and expenses of controlled entities for the part of the reporting period in which control existed.</w:t>
      </w:r>
    </w:p>
    <w:p w:rsidR="00F20535" w:rsidRDefault="00F20535" w:rsidP="000C30FB">
      <w:r>
        <w:t>The consolidated financial statements of the Victorian general government sector incorporate assets and liabilities, revenue and expenses of entities classified as general government. Entities in the PNFC and PFC sectors are not consolidated into the financial statements of the general government sector, but are accounted for as equity investments measured at the Government</w:t>
      </w:r>
      <w:r w:rsidR="007F4ECD">
        <w:t>’</w:t>
      </w:r>
      <w:r>
        <w:t>s proportional share of the carrying amount of net assets of the PNFC sector and PFC sector entities before consolidation eliminations. Where the carrying amount of the entity</w:t>
      </w:r>
      <w:r w:rsidR="007F4ECD">
        <w:t>’</w:t>
      </w:r>
      <w:r>
        <w:t xml:space="preserve">s net assets before consolidation eliminations of an entity within the sector is less than zero, the amount is not included in the general government sector, but the net liabilities will be consolidated at the State level. Any change in the carrying amount of the investment from period to period is accounted for as if the change in carrying amount is a change in fair value, and accounted for in a manner consistent with AASB 139 </w:t>
      </w:r>
      <w:r w:rsidRPr="00DE44EC">
        <w:rPr>
          <w:i/>
        </w:rPr>
        <w:t>Financial Instruments: Recognition and Measurement</w:t>
      </w:r>
      <w:r>
        <w:t>.</w:t>
      </w:r>
    </w:p>
    <w:p w:rsidR="00F20535" w:rsidRDefault="00F20535" w:rsidP="000C30FB">
      <w:r>
        <w:t>Entities which are not controlled by the State, including local government authorities, universities and denominational hospitals, are not consolidated into the State</w:t>
      </w:r>
      <w:r w:rsidR="007F4ECD">
        <w:t>’</w:t>
      </w:r>
      <w:r>
        <w:t xml:space="preserve">s financial statements. </w:t>
      </w:r>
    </w:p>
    <w:p w:rsidR="00F20535" w:rsidRDefault="00F20535" w:rsidP="000C30FB">
      <w:r>
        <w:t xml:space="preserve">Where entities adopt dissimilar accounting policies and their effect is considered material, adjustments are made to ensure consistent policies are adopted in these financial statements. </w:t>
      </w:r>
    </w:p>
    <w:p w:rsidR="00F20535" w:rsidRDefault="00F20535">
      <w:r>
        <w:br w:type="page"/>
      </w:r>
    </w:p>
    <w:p w:rsidR="00F20535" w:rsidRDefault="00F20535" w:rsidP="000C30FB">
      <w:r>
        <w:t>In preparing the consolidated financial statements for reporting the State and Victorian general government sector, all material transactions and balances between consolidated government controlled entities are eliminated.</w:t>
      </w:r>
    </w:p>
    <w:p w:rsidR="00F20535" w:rsidRDefault="00F20535" w:rsidP="000C30FB">
      <w:r>
        <w:t xml:space="preserve">Consistent with the requirements of AASB 1004 </w:t>
      </w:r>
      <w:r w:rsidRPr="00B97839">
        <w:rPr>
          <w:i/>
        </w:rPr>
        <w:t>Contributions</w:t>
      </w:r>
      <w:r>
        <w:t>, contributions by owners (that is, contributed capital and its repayment) are treated as equity transactions and, therefore, do not form part of the revenue and expenses of the relevant sectors of government.</w:t>
      </w:r>
    </w:p>
    <w:p w:rsidR="00F20535" w:rsidRDefault="00F20535" w:rsidP="000C30FB">
      <w:r>
        <w:t>Details of significant changes to entities consolidated by the State are shown in Note 9.3.</w:t>
      </w:r>
    </w:p>
    <w:p w:rsidR="00F20535" w:rsidRDefault="00F20535" w:rsidP="000C30FB">
      <w:pPr>
        <w:pStyle w:val="Heading20"/>
      </w:pPr>
      <w:bookmarkStart w:id="33" w:name="_Toc473541466"/>
      <w:r>
        <w:t>Prospective accounting and reporting changes</w:t>
      </w:r>
      <w:bookmarkEnd w:id="33"/>
    </w:p>
    <w:p w:rsidR="00F20535" w:rsidRDefault="00F20535" w:rsidP="007A2EDF">
      <w:r>
        <w:t xml:space="preserve">Certain new and revised accounting standards have been issued but are not effective for the 2017-18 reporting period. There is no intention to early adopt these accounting standards and they have not been applied to the </w:t>
      </w:r>
      <w:r>
        <w:rPr>
          <w:i/>
        </w:rPr>
        <w:t>Mid-Year Financial Report</w:t>
      </w:r>
      <w:r>
        <w:t xml:space="preserve">. </w:t>
      </w:r>
    </w:p>
    <w:p w:rsidR="00F20535" w:rsidRDefault="00F20535" w:rsidP="000C30FB">
      <w:r>
        <w:t xml:space="preserve">The State is reviewing its existing policies and assessing the potential implications of these accounting standards which include: </w:t>
      </w:r>
    </w:p>
    <w:p w:rsidR="00F20535" w:rsidRDefault="00F20535" w:rsidP="000C30FB">
      <w:pPr>
        <w:pStyle w:val="ListBullet"/>
      </w:pPr>
      <w:r>
        <w:t xml:space="preserve">AASB 9 </w:t>
      </w:r>
      <w:r w:rsidRPr="00DE44EC">
        <w:rPr>
          <w:i/>
        </w:rPr>
        <w:t>Financial Instruments</w:t>
      </w:r>
      <w:r>
        <w:rPr>
          <w:i/>
        </w:rPr>
        <w:t xml:space="preserve"> </w:t>
      </w:r>
      <w:r>
        <w:t xml:space="preserve">as revised by AASB 2014-1 </w:t>
      </w:r>
      <w:r w:rsidRPr="00DE44EC">
        <w:rPr>
          <w:i/>
        </w:rPr>
        <w:t>Amendments to Australian Accounting Standards (Part E Financial Instruments)</w:t>
      </w:r>
      <w:r>
        <w:t xml:space="preserve">, operative for reporting periods commencing 1 January 2018. AASB 9 as amended simplifies requirements for the classification and measurement of financial assets, introduces a new hedging accounting model and also a revised impairment loss model to recognise impairment losses earlier, as opposed to the current requirement to recognise impairment only when incurred. </w:t>
      </w:r>
    </w:p>
    <w:p w:rsidR="00F20535" w:rsidRDefault="00F20535" w:rsidP="007A2EDF">
      <w:pPr>
        <w:pStyle w:val="ListBullet"/>
      </w:pPr>
      <w:r>
        <w:t xml:space="preserve">AASB 15 </w:t>
      </w:r>
      <w:r w:rsidRPr="00DE44EC">
        <w:rPr>
          <w:i/>
        </w:rPr>
        <w:t>Revenue from Contracts with Customers</w:t>
      </w:r>
      <w:r>
        <w:t>, operative for reporting periods commencing 1 January 2019 for not-for-profit entities. The core principle of AASB 15 is to require an entity to recognise revenue when the entity satisfies a performance obligation by transferring a promised good or service to a customer. The changes in revenue recognition will result in changes to the timing and amount of revenue recognised.</w:t>
      </w:r>
    </w:p>
    <w:p w:rsidR="00F20535" w:rsidRDefault="00F20535" w:rsidP="007A2EDF">
      <w:pPr>
        <w:pStyle w:val="ListBullet"/>
      </w:pPr>
      <w:r>
        <w:t xml:space="preserve">AASB 16 </w:t>
      </w:r>
      <w:r w:rsidRPr="00E023EB">
        <w:rPr>
          <w:i/>
        </w:rPr>
        <w:t>Leases</w:t>
      </w:r>
      <w:r>
        <w:t xml:space="preserve">, operative for reporting periods commencing 1 January 2019. The key changes introduced by AASB 16 include the requirement to recognise most operating leases on the balance sheet, which will result in an increase in net debt. </w:t>
      </w:r>
    </w:p>
    <w:p w:rsidR="00F20535" w:rsidRDefault="00F20535" w:rsidP="007A2EDF">
      <w:pPr>
        <w:pStyle w:val="ListBullet"/>
      </w:pPr>
      <w:r>
        <w:t xml:space="preserve">AASB 1058 </w:t>
      </w:r>
      <w:r w:rsidRPr="00DE44EC">
        <w:rPr>
          <w:i/>
        </w:rPr>
        <w:t>Income of Not-for-Profit Entities</w:t>
      </w:r>
      <w:r>
        <w:t xml:space="preserve">, operative for reporting periods commencing 1 January 2019. This standard will replace a part of AASB 1004 </w:t>
      </w:r>
      <w:r w:rsidRPr="0042641E">
        <w:rPr>
          <w:i/>
        </w:rPr>
        <w:t>Contributions</w:t>
      </w:r>
      <w:r>
        <w:t xml:space="preserve"> and establishes revenue recognition principles for transactions where the consideration to acquire an asset is significantly less than fair value to enable not-for-profit entities to further their objectives. Under AASB 1058, revenue from capital grants that are provided under an enforceable agreement that have sufficiently specific obligations, will be deferred and recognised as the performance obligations are satisfied. </w:t>
      </w:r>
    </w:p>
    <w:p w:rsidR="00F20535" w:rsidRDefault="00F20535" w:rsidP="007A2EDF">
      <w:pPr>
        <w:pStyle w:val="ListBullet"/>
      </w:pPr>
      <w:r w:rsidRPr="00F81B2F">
        <w:t xml:space="preserve">AASB 1059 </w:t>
      </w:r>
      <w:r w:rsidRPr="00F81B2F">
        <w:rPr>
          <w:i/>
        </w:rPr>
        <w:t>Service Concession Arrangements: Grantors</w:t>
      </w:r>
      <w:r w:rsidRPr="00F81B2F">
        <w:t>, operative for reporting periods commencing 1 January 2019. This standard prescribes the accounting treatment for public private partnership (PPP) arrangements involving a private sector operator providing public services related to a service concession asset on behalf of the State, for a specified period of time</w:t>
      </w:r>
      <w:r>
        <w:t>. Note </w:t>
      </w:r>
      <w:r w:rsidRPr="00F81B2F">
        <w:t xml:space="preserve">5.6 of the </w:t>
      </w:r>
      <w:r w:rsidRPr="00D14702">
        <w:rPr>
          <w:i/>
        </w:rPr>
        <w:t>2016-17 Financial Report</w:t>
      </w:r>
      <w:r w:rsidRPr="00F81B2F">
        <w:t xml:space="preserve"> for the State of Victoria defines the State</w:t>
      </w:r>
      <w:r w:rsidR="007F4ECD">
        <w:t>’</w:t>
      </w:r>
      <w:r w:rsidRPr="00F81B2F">
        <w:t>s two main forms of PPP arrangements.</w:t>
      </w:r>
      <w:r>
        <w:t xml:space="preserve"> For social infrastructure PPP arrangements, this will result in an earlier recognition of financial liabilities (increase in net debt), progressively over the construction period rather than at completion date. For economic infrastructure PPP arrangements that were previously not on the balance sheet, the standard will require recognition of these arrangements on-balance sheet, but will continue to have no impact to net debt consistent with the current accounting treatment.</w:t>
      </w:r>
    </w:p>
    <w:p w:rsidR="00F20535" w:rsidRDefault="00F20535" w:rsidP="007A2EDF">
      <w:r>
        <w:t>Several other amending standards and AASB interpretations have been issued that apply to future reporting periods, but are considered to have limited impact on public sector reporting.</w:t>
      </w:r>
    </w:p>
    <w:p w:rsidR="00F20535" w:rsidRDefault="00F20535" w:rsidP="007A2EDF">
      <w:r>
        <w:t xml:space="preserve">The ABS released a new manual, </w:t>
      </w:r>
      <w:r w:rsidRPr="00DE44EC">
        <w:rPr>
          <w:i/>
        </w:rPr>
        <w:t>Australian System of Government Finance Statistics: Concepts, Sources and Methods 2015</w:t>
      </w:r>
      <w:r>
        <w:t xml:space="preserve"> on 23 December 2015. For the purpose of financial reporting under AASB 1049, the new manual will apply for reporting periods beginning from 1 July 2018. The State will assess the potential reporting implications of the amendments.</w:t>
      </w:r>
    </w:p>
    <w:p w:rsidR="00F20535" w:rsidRDefault="00F20535" w:rsidP="000C30FB">
      <w:pPr>
        <w:pStyle w:val="Heading20"/>
      </w:pPr>
      <w:bookmarkStart w:id="34" w:name="_Toc473541467"/>
      <w:r>
        <w:t>Rounding</w:t>
      </w:r>
      <w:bookmarkEnd w:id="34"/>
    </w:p>
    <w:p w:rsidR="00F20535" w:rsidRDefault="00F20535" w:rsidP="000C30FB">
      <w:r>
        <w:t>All amounts in the financial report have been rounded to the nearest $1 million unless otherwise stated. Figures in this financial report may not add due to rounding.</w:t>
      </w:r>
    </w:p>
    <w:p w:rsidR="00F20535" w:rsidRDefault="00F20535" w:rsidP="007A2EDF">
      <w:pPr>
        <w:pStyle w:val="Heading1"/>
        <w:numPr>
          <w:ilvl w:val="0"/>
          <w:numId w:val="22"/>
        </w:numPr>
        <w:sectPr w:rsidR="00F20535" w:rsidSect="000C30FB">
          <w:headerReference w:type="even" r:id="rId56"/>
          <w:headerReference w:type="default" r:id="rId57"/>
          <w:footerReference w:type="even" r:id="rId58"/>
          <w:footerReference w:type="default" r:id="rId59"/>
          <w:type w:val="continuous"/>
          <w:pgSz w:w="11907" w:h="16839" w:code="9"/>
          <w:pgMar w:top="1134" w:right="1134" w:bottom="1134" w:left="1134" w:header="624" w:footer="567" w:gutter="0"/>
          <w:cols w:num="2" w:space="567"/>
          <w:docGrid w:linePitch="360"/>
        </w:sectPr>
      </w:pPr>
    </w:p>
    <w:p w:rsidR="00F20535" w:rsidRDefault="00F20535" w:rsidP="007A2EDF">
      <w:pPr>
        <w:pStyle w:val="Heading1"/>
        <w:numPr>
          <w:ilvl w:val="0"/>
          <w:numId w:val="22"/>
        </w:numPr>
      </w:pPr>
      <w:bookmarkStart w:id="35" w:name="_Toc473541468"/>
      <w:bookmarkStart w:id="36" w:name="_Toc508201399"/>
      <w:bookmarkStart w:id="37" w:name="Section2"/>
      <w:r>
        <w:t>How funds are raised</w:t>
      </w:r>
      <w:bookmarkEnd w:id="35"/>
      <w:bookmarkEnd w:id="36"/>
    </w:p>
    <w:p w:rsidR="00F20535" w:rsidRDefault="00F20535" w:rsidP="000C30FB">
      <w:pPr>
        <w:pStyle w:val="Heading20"/>
        <w:sectPr w:rsidR="00F20535" w:rsidSect="000C30FB">
          <w:headerReference w:type="even" r:id="rId60"/>
          <w:footerReference w:type="even" r:id="rId61"/>
          <w:pgSz w:w="11907" w:h="16839" w:code="9"/>
          <w:pgMar w:top="1134" w:right="1134" w:bottom="1134" w:left="1134" w:header="624" w:footer="567" w:gutter="0"/>
          <w:cols w:sep="1" w:space="567"/>
          <w:docGrid w:linePitch="360"/>
        </w:sectPr>
      </w:pPr>
    </w:p>
    <w:p w:rsidR="00F20535" w:rsidRDefault="00F20535" w:rsidP="000C30FB">
      <w:pPr>
        <w:pStyle w:val="Heading20"/>
      </w:pPr>
      <w:bookmarkStart w:id="38" w:name="_Toc473541469"/>
      <w:r>
        <w:t>Introduction</w:t>
      </w:r>
      <w:bookmarkEnd w:id="38"/>
    </w:p>
    <w:p w:rsidR="00F20535" w:rsidRDefault="00F20535" w:rsidP="007A2EDF">
      <w:r>
        <w:t>This section presents the sources and amounts of revenue raised by the State.</w:t>
      </w:r>
    </w:p>
    <w:p w:rsidR="00F20535" w:rsidRDefault="00F20535" w:rsidP="000C30FB">
      <w:r>
        <w:t>Revenue from transactions is recognised to the extent that it is probable that the economic benefits will flow to the entity and the revenue can be reliably measured at fair value.</w:t>
      </w:r>
    </w:p>
    <w:p w:rsidR="00F20535" w:rsidRDefault="00F20535" w:rsidP="000C30FB">
      <w:pPr>
        <w:pStyle w:val="Heading20"/>
      </w:pPr>
      <w:r>
        <w:br w:type="column"/>
      </w:r>
      <w:bookmarkStart w:id="39" w:name="_Toc473541470"/>
      <w:r>
        <w:t>Structure</w:t>
      </w:r>
      <w:bookmarkEnd w:id="39"/>
    </w:p>
    <w:p w:rsidR="007F4ECD" w:rsidRDefault="00F20535">
      <w:pPr>
        <w:pStyle w:val="TOC9"/>
        <w:rPr>
          <w:rFonts w:eastAsiaTheme="minorEastAsia"/>
          <w:noProof/>
          <w:spacing w:val="0"/>
          <w:lang w:eastAsia="en-AU"/>
        </w:rPr>
      </w:pPr>
      <w:r>
        <w:fldChar w:fldCharType="begin"/>
      </w:r>
      <w:r>
        <w:instrText xml:space="preserve"> TOC \h \z \t "Heading 2 (#),9" \b Section2 </w:instrText>
      </w:r>
      <w:r>
        <w:fldChar w:fldCharType="separate"/>
      </w:r>
      <w:hyperlink w:anchor="_Toc508201410" w:history="1">
        <w:r w:rsidR="007F4ECD" w:rsidRPr="00663FF8">
          <w:rPr>
            <w:rStyle w:val="Hyperlink"/>
            <w:noProof/>
          </w:rPr>
          <w:t>2.1</w:t>
        </w:r>
        <w:r w:rsidR="007F4ECD">
          <w:rPr>
            <w:rFonts w:eastAsiaTheme="minorEastAsia"/>
            <w:noProof/>
            <w:spacing w:val="0"/>
            <w:lang w:eastAsia="en-AU"/>
          </w:rPr>
          <w:tab/>
        </w:r>
        <w:r w:rsidR="007F4ECD" w:rsidRPr="00663FF8">
          <w:rPr>
            <w:rStyle w:val="Hyperlink"/>
            <w:noProof/>
          </w:rPr>
          <w:t>Taxation revenue</w:t>
        </w:r>
        <w:r w:rsidR="007F4ECD">
          <w:rPr>
            <w:noProof/>
            <w:webHidden/>
          </w:rPr>
          <w:tab/>
        </w:r>
        <w:r w:rsidR="007F4ECD">
          <w:rPr>
            <w:noProof/>
            <w:webHidden/>
          </w:rPr>
          <w:fldChar w:fldCharType="begin"/>
        </w:r>
        <w:r w:rsidR="007F4ECD">
          <w:rPr>
            <w:noProof/>
            <w:webHidden/>
          </w:rPr>
          <w:instrText xml:space="preserve"> PAGEREF _Toc508201410 \h </w:instrText>
        </w:r>
        <w:r w:rsidR="007F4ECD">
          <w:rPr>
            <w:noProof/>
            <w:webHidden/>
          </w:rPr>
        </w:r>
        <w:r w:rsidR="007F4ECD">
          <w:rPr>
            <w:noProof/>
            <w:webHidden/>
          </w:rPr>
          <w:fldChar w:fldCharType="separate"/>
        </w:r>
        <w:r w:rsidR="00FF6398">
          <w:rPr>
            <w:noProof/>
            <w:webHidden/>
          </w:rPr>
          <w:t>17</w:t>
        </w:r>
        <w:r w:rsidR="007F4ECD">
          <w:rPr>
            <w:noProof/>
            <w:webHidden/>
          </w:rPr>
          <w:fldChar w:fldCharType="end"/>
        </w:r>
      </w:hyperlink>
    </w:p>
    <w:p w:rsidR="007F4ECD" w:rsidRDefault="00C0501E">
      <w:pPr>
        <w:pStyle w:val="TOC9"/>
        <w:rPr>
          <w:rFonts w:eastAsiaTheme="minorEastAsia"/>
          <w:noProof/>
          <w:spacing w:val="0"/>
          <w:lang w:eastAsia="en-AU"/>
        </w:rPr>
      </w:pPr>
      <w:hyperlink w:anchor="_Toc508201411" w:history="1">
        <w:r w:rsidR="007F4ECD" w:rsidRPr="00663FF8">
          <w:rPr>
            <w:rStyle w:val="Hyperlink"/>
            <w:noProof/>
          </w:rPr>
          <w:t>2.2</w:t>
        </w:r>
        <w:r w:rsidR="007F4ECD">
          <w:rPr>
            <w:rFonts w:eastAsiaTheme="minorEastAsia"/>
            <w:noProof/>
            <w:spacing w:val="0"/>
            <w:lang w:eastAsia="en-AU"/>
          </w:rPr>
          <w:tab/>
        </w:r>
        <w:r w:rsidR="007F4ECD" w:rsidRPr="00663FF8">
          <w:rPr>
            <w:rStyle w:val="Hyperlink"/>
            <w:noProof/>
          </w:rPr>
          <w:t>Dividends, income tax equivalent and rate equivalent revenue</w:t>
        </w:r>
        <w:r w:rsidR="007F4ECD">
          <w:rPr>
            <w:noProof/>
            <w:webHidden/>
          </w:rPr>
          <w:tab/>
        </w:r>
        <w:r w:rsidR="007F4ECD">
          <w:rPr>
            <w:noProof/>
            <w:webHidden/>
          </w:rPr>
          <w:fldChar w:fldCharType="begin"/>
        </w:r>
        <w:r w:rsidR="007F4ECD">
          <w:rPr>
            <w:noProof/>
            <w:webHidden/>
          </w:rPr>
          <w:instrText xml:space="preserve"> PAGEREF _Toc508201411 \h </w:instrText>
        </w:r>
        <w:r w:rsidR="007F4ECD">
          <w:rPr>
            <w:noProof/>
            <w:webHidden/>
          </w:rPr>
        </w:r>
        <w:r w:rsidR="007F4ECD">
          <w:rPr>
            <w:noProof/>
            <w:webHidden/>
          </w:rPr>
          <w:fldChar w:fldCharType="separate"/>
        </w:r>
        <w:r w:rsidR="00FF6398">
          <w:rPr>
            <w:noProof/>
            <w:webHidden/>
          </w:rPr>
          <w:t>18</w:t>
        </w:r>
        <w:r w:rsidR="007F4ECD">
          <w:rPr>
            <w:noProof/>
            <w:webHidden/>
          </w:rPr>
          <w:fldChar w:fldCharType="end"/>
        </w:r>
      </w:hyperlink>
    </w:p>
    <w:p w:rsidR="007F4ECD" w:rsidRDefault="00C0501E">
      <w:pPr>
        <w:pStyle w:val="TOC9"/>
        <w:rPr>
          <w:rFonts w:eastAsiaTheme="minorEastAsia"/>
          <w:noProof/>
          <w:spacing w:val="0"/>
          <w:lang w:eastAsia="en-AU"/>
        </w:rPr>
      </w:pPr>
      <w:hyperlink w:anchor="_Toc508201412" w:history="1">
        <w:r w:rsidR="007F4ECD" w:rsidRPr="00663FF8">
          <w:rPr>
            <w:rStyle w:val="Hyperlink"/>
            <w:bCs/>
            <w:noProof/>
            <w:lang w:val="en-US"/>
          </w:rPr>
          <w:t>2.3</w:t>
        </w:r>
        <w:r w:rsidR="007F4ECD">
          <w:rPr>
            <w:rFonts w:eastAsiaTheme="minorEastAsia"/>
            <w:noProof/>
            <w:spacing w:val="0"/>
            <w:lang w:eastAsia="en-AU"/>
          </w:rPr>
          <w:tab/>
        </w:r>
        <w:r w:rsidR="007F4ECD" w:rsidRPr="00663FF8">
          <w:rPr>
            <w:rStyle w:val="Hyperlink"/>
            <w:noProof/>
          </w:rPr>
          <w:t>Sales of goods and services</w:t>
        </w:r>
        <w:r w:rsidR="007F4ECD">
          <w:rPr>
            <w:noProof/>
            <w:webHidden/>
          </w:rPr>
          <w:tab/>
        </w:r>
        <w:r w:rsidR="007F4ECD">
          <w:rPr>
            <w:noProof/>
            <w:webHidden/>
          </w:rPr>
          <w:fldChar w:fldCharType="begin"/>
        </w:r>
        <w:r w:rsidR="007F4ECD">
          <w:rPr>
            <w:noProof/>
            <w:webHidden/>
          </w:rPr>
          <w:instrText xml:space="preserve"> PAGEREF _Toc508201412 \h </w:instrText>
        </w:r>
        <w:r w:rsidR="007F4ECD">
          <w:rPr>
            <w:noProof/>
            <w:webHidden/>
          </w:rPr>
        </w:r>
        <w:r w:rsidR="007F4ECD">
          <w:rPr>
            <w:noProof/>
            <w:webHidden/>
          </w:rPr>
          <w:fldChar w:fldCharType="separate"/>
        </w:r>
        <w:r w:rsidR="00FF6398">
          <w:rPr>
            <w:noProof/>
            <w:webHidden/>
          </w:rPr>
          <w:t>18</w:t>
        </w:r>
        <w:r w:rsidR="007F4ECD">
          <w:rPr>
            <w:noProof/>
            <w:webHidden/>
          </w:rPr>
          <w:fldChar w:fldCharType="end"/>
        </w:r>
      </w:hyperlink>
    </w:p>
    <w:p w:rsidR="007F4ECD" w:rsidRDefault="00C0501E">
      <w:pPr>
        <w:pStyle w:val="TOC9"/>
        <w:rPr>
          <w:rFonts w:eastAsiaTheme="minorEastAsia"/>
          <w:noProof/>
          <w:spacing w:val="0"/>
          <w:lang w:eastAsia="en-AU"/>
        </w:rPr>
      </w:pPr>
      <w:hyperlink w:anchor="_Toc508201413" w:history="1">
        <w:r w:rsidR="007F4ECD" w:rsidRPr="00663FF8">
          <w:rPr>
            <w:rStyle w:val="Hyperlink"/>
            <w:bCs/>
            <w:noProof/>
            <w:lang w:val="en-US"/>
          </w:rPr>
          <w:t>2.4</w:t>
        </w:r>
        <w:r w:rsidR="007F4ECD">
          <w:rPr>
            <w:rFonts w:eastAsiaTheme="minorEastAsia"/>
            <w:noProof/>
            <w:spacing w:val="0"/>
            <w:lang w:eastAsia="en-AU"/>
          </w:rPr>
          <w:tab/>
        </w:r>
        <w:r w:rsidR="007F4ECD" w:rsidRPr="00663FF8">
          <w:rPr>
            <w:rStyle w:val="Hyperlink"/>
            <w:noProof/>
          </w:rPr>
          <w:t>Grant revenue</w:t>
        </w:r>
        <w:r w:rsidR="007F4ECD">
          <w:rPr>
            <w:noProof/>
            <w:webHidden/>
          </w:rPr>
          <w:tab/>
        </w:r>
        <w:r w:rsidR="007F4ECD">
          <w:rPr>
            <w:noProof/>
            <w:webHidden/>
          </w:rPr>
          <w:fldChar w:fldCharType="begin"/>
        </w:r>
        <w:r w:rsidR="007F4ECD">
          <w:rPr>
            <w:noProof/>
            <w:webHidden/>
          </w:rPr>
          <w:instrText xml:space="preserve"> PAGEREF _Toc508201413 \h </w:instrText>
        </w:r>
        <w:r w:rsidR="007F4ECD">
          <w:rPr>
            <w:noProof/>
            <w:webHidden/>
          </w:rPr>
        </w:r>
        <w:r w:rsidR="007F4ECD">
          <w:rPr>
            <w:noProof/>
            <w:webHidden/>
          </w:rPr>
          <w:fldChar w:fldCharType="separate"/>
        </w:r>
        <w:r w:rsidR="00FF6398">
          <w:rPr>
            <w:noProof/>
            <w:webHidden/>
          </w:rPr>
          <w:t>19</w:t>
        </w:r>
        <w:r w:rsidR="007F4ECD">
          <w:rPr>
            <w:noProof/>
            <w:webHidden/>
          </w:rPr>
          <w:fldChar w:fldCharType="end"/>
        </w:r>
      </w:hyperlink>
    </w:p>
    <w:p w:rsidR="007F4ECD" w:rsidRDefault="00C0501E">
      <w:pPr>
        <w:pStyle w:val="TOC9"/>
        <w:rPr>
          <w:rFonts w:eastAsiaTheme="minorEastAsia"/>
          <w:noProof/>
          <w:spacing w:val="0"/>
          <w:lang w:eastAsia="en-AU"/>
        </w:rPr>
      </w:pPr>
      <w:hyperlink w:anchor="_Toc508201414" w:history="1">
        <w:r w:rsidR="007F4ECD" w:rsidRPr="00663FF8">
          <w:rPr>
            <w:rStyle w:val="Hyperlink"/>
            <w:noProof/>
          </w:rPr>
          <w:t>2.5</w:t>
        </w:r>
        <w:r w:rsidR="007F4ECD">
          <w:rPr>
            <w:rFonts w:eastAsiaTheme="minorEastAsia"/>
            <w:noProof/>
            <w:spacing w:val="0"/>
            <w:lang w:eastAsia="en-AU"/>
          </w:rPr>
          <w:tab/>
        </w:r>
        <w:r w:rsidR="007F4ECD" w:rsidRPr="00663FF8">
          <w:rPr>
            <w:rStyle w:val="Hyperlink"/>
            <w:noProof/>
          </w:rPr>
          <w:t>Other revenue</w:t>
        </w:r>
        <w:r w:rsidR="007F4ECD">
          <w:rPr>
            <w:noProof/>
            <w:webHidden/>
          </w:rPr>
          <w:tab/>
        </w:r>
        <w:r w:rsidR="007F4ECD">
          <w:rPr>
            <w:noProof/>
            <w:webHidden/>
          </w:rPr>
          <w:fldChar w:fldCharType="begin"/>
        </w:r>
        <w:r w:rsidR="007F4ECD">
          <w:rPr>
            <w:noProof/>
            <w:webHidden/>
          </w:rPr>
          <w:instrText xml:space="preserve"> PAGEREF _Toc508201414 \h </w:instrText>
        </w:r>
        <w:r w:rsidR="007F4ECD">
          <w:rPr>
            <w:noProof/>
            <w:webHidden/>
          </w:rPr>
        </w:r>
        <w:r w:rsidR="007F4ECD">
          <w:rPr>
            <w:noProof/>
            <w:webHidden/>
          </w:rPr>
          <w:fldChar w:fldCharType="separate"/>
        </w:r>
        <w:r w:rsidR="00FF6398">
          <w:rPr>
            <w:noProof/>
            <w:webHidden/>
          </w:rPr>
          <w:t>19</w:t>
        </w:r>
        <w:r w:rsidR="007F4ECD">
          <w:rPr>
            <w:noProof/>
            <w:webHidden/>
          </w:rPr>
          <w:fldChar w:fldCharType="end"/>
        </w:r>
      </w:hyperlink>
    </w:p>
    <w:p w:rsidR="00F20535" w:rsidRPr="00956799" w:rsidRDefault="00F20535" w:rsidP="000C30FB">
      <w:pPr>
        <w:pStyle w:val="TOC9"/>
      </w:pPr>
      <w:r>
        <w:fldChar w:fldCharType="end"/>
      </w:r>
    </w:p>
    <w:p w:rsidR="00F20535" w:rsidRPr="00EA1106" w:rsidRDefault="00F20535" w:rsidP="000C30FB">
      <w:pPr>
        <w:sectPr w:rsidR="00F20535" w:rsidRPr="00EA1106" w:rsidSect="000C30FB">
          <w:type w:val="continuous"/>
          <w:pgSz w:w="11907" w:h="16839" w:code="9"/>
          <w:pgMar w:top="1134" w:right="1134" w:bottom="1134" w:left="1134" w:header="624" w:footer="567" w:gutter="0"/>
          <w:cols w:num="2" w:space="567"/>
          <w:docGrid w:linePitch="360"/>
        </w:sectPr>
      </w:pPr>
    </w:p>
    <w:p w:rsidR="00F20535" w:rsidRDefault="00F20535" w:rsidP="007A2EDF">
      <w:pPr>
        <w:pStyle w:val="Heading2"/>
        <w:numPr>
          <w:ilvl w:val="1"/>
          <w:numId w:val="22"/>
        </w:numPr>
      </w:pPr>
      <w:bookmarkStart w:id="40" w:name="_Toc508201410"/>
      <w:r>
        <w:t>Taxation revenue</w:t>
      </w:r>
      <w:bookmarkEnd w:id="40"/>
    </w:p>
    <w:p w:rsidR="00F20535" w:rsidRPr="0051349C" w:rsidRDefault="00F20535" w:rsidP="007A2EDF">
      <w:pPr>
        <w:pStyle w:val="TableUnits"/>
        <w:rPr>
          <w:rFonts w:eastAsia="Times New Roman" w:cs="Times New Roman"/>
          <w:bCs/>
          <w:lang w:val="en-US"/>
        </w:rPr>
      </w:pPr>
      <w:r w:rsidRPr="00700EC8">
        <w:t>($</w:t>
      </w:r>
      <w:r>
        <w:t> </w:t>
      </w:r>
      <w:r w:rsidRPr="00A13F11">
        <w:t>million</w:t>
      </w:r>
      <w:r w:rsidRPr="00700EC8">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Taxes on employers</w:t>
            </w:r>
            <w:r w:rsidR="007F4ECD">
              <w:rPr>
                <w:rFonts w:eastAsiaTheme="minorEastAsia" w:cs="Calibri"/>
                <w:b/>
                <w:bCs/>
                <w:color w:val="000000"/>
                <w:szCs w:val="18"/>
                <w:lang w:eastAsia="en-AU"/>
              </w:rPr>
              <w:t>’</w:t>
            </w:r>
            <w:r w:rsidRPr="0051349C">
              <w:rPr>
                <w:rFonts w:eastAsiaTheme="minorEastAsia" w:cs="Calibri"/>
                <w:b/>
                <w:bCs/>
                <w:color w:val="000000"/>
                <w:szCs w:val="18"/>
                <w:lang w:eastAsia="en-AU"/>
              </w:rPr>
              <w:t xml:space="preserve"> payroll and labour force</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2 980</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2 844</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3 018</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2 882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Taxes on immovable property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Land tax</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Fire Services Property Levy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668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668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Congestion levy</w:t>
            </w:r>
            <w:r>
              <w:rPr>
                <w:rFonts w:eastAsiaTheme="minorEastAsia" w:cs="Calibri"/>
                <w:color w:val="000000"/>
                <w:szCs w:val="18"/>
                <w:lang w:eastAsia="en-AU"/>
              </w:rPr>
              <w:t xml:space="preserve"> </w:t>
            </w:r>
            <w:r w:rsidRPr="001F61AF">
              <w:rPr>
                <w:rFonts w:eastAsiaTheme="minorEastAsia" w:cs="Calibri"/>
                <w:color w:val="000000"/>
                <w:szCs w:val="18"/>
                <w:vertAlign w:val="superscript"/>
                <w:lang w:eastAsia="en-AU"/>
              </w:rPr>
              <w:t>(a)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Metropolitan improvement levy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Financial and capital transactions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Land transfer duty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3 484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3 484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2 956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Metropolitan planning levy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Financial accommodation levy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Growth areas infrastructure contribution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taxes on property</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4 534</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3 952</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4 625</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4 028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Gambling taxes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Public lotteries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Electronic gaming machines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557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557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Casino</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Racing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Levies on statutory corporations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Taxes on insurance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683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683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636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taxes on the provision of goods and services</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1 622</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1 560</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1 674</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1 612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Motor vehicle taxes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Vehicle registration fees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792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770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771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Duty on vehicle registrations and transfers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Liquor licence fees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vertAlign w:val="superscript"/>
                <w:lang w:eastAsia="en-AU"/>
              </w:rPr>
            </w:pPr>
            <w:r w:rsidRPr="0051349C">
              <w:rPr>
                <w:rFonts w:eastAsiaTheme="minorEastAsia" w:cs="Calibri"/>
                <w:b/>
                <w:bCs/>
                <w:color w:val="000000"/>
                <w:szCs w:val="18"/>
                <w:lang w:eastAsia="en-AU"/>
              </w:rPr>
              <w:t xml:space="preserve">Other </w:t>
            </w:r>
            <w:r>
              <w:rPr>
                <w:rFonts w:eastAsiaTheme="minorEastAsia" w:cs="Calibri"/>
                <w:b/>
                <w:bCs/>
                <w:color w:val="000000"/>
                <w:szCs w:val="18"/>
                <w:vertAlign w:val="superscript"/>
                <w:lang w:eastAsia="en-AU"/>
              </w:rPr>
              <w:t>(b</w:t>
            </w:r>
            <w:r w:rsidRPr="0051349C">
              <w:rPr>
                <w:rFonts w:eastAsiaTheme="minorEastAsia" w:cs="Calibri"/>
                <w:b/>
                <w:bCs/>
                <w:color w:val="000000"/>
                <w:szCs w:val="18"/>
                <w:vertAlign w:val="superscript"/>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923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950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taxes on the use of goods and performance of activities</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1 389</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2 112</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1 390</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2 140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taxation revenue</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10 524</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10 467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10 708</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10 662</w:t>
            </w:r>
          </w:p>
        </w:tc>
      </w:tr>
    </w:tbl>
    <w:p w:rsidR="00F20535" w:rsidRDefault="00F20535" w:rsidP="007A2EDF">
      <w:pPr>
        <w:pStyle w:val="Note"/>
      </w:pPr>
      <w:r>
        <w:t>Notes:</w:t>
      </w:r>
    </w:p>
    <w:p w:rsidR="00F20535" w:rsidRPr="00400AAB" w:rsidRDefault="00F20535" w:rsidP="007A2EDF">
      <w:pPr>
        <w:pStyle w:val="Note"/>
      </w:pPr>
      <w:r>
        <w:t>(a)</w:t>
      </w:r>
      <w:r>
        <w:tab/>
      </w:r>
      <w:r w:rsidRPr="00400AAB">
        <w:t xml:space="preserve">The negative congestion levy revenue for 2017-18 to date represents a portion of congestion levy revenues accrued in 2016-17 that were written off in 2017-18 due to changes in car park ownership or circumstances of affected taxpayers. </w:t>
      </w:r>
    </w:p>
    <w:p w:rsidR="00F20535" w:rsidRDefault="00F20535" w:rsidP="007A2EDF">
      <w:pPr>
        <w:pStyle w:val="Note"/>
      </w:pPr>
      <w:r>
        <w:t>(b)</w:t>
      </w:r>
      <w:r>
        <w:tab/>
        <w:t xml:space="preserve">The 2016 balance includes prepaid port licence fees. </w:t>
      </w:r>
    </w:p>
    <w:p w:rsidR="00F20535" w:rsidRPr="003021A2" w:rsidRDefault="00F20535" w:rsidP="007A2EDF">
      <w:pPr>
        <w:pStyle w:val="Heading10"/>
        <w:rPr>
          <w:rFonts w:eastAsiaTheme="minorHAnsi" w:cstheme="minorBidi"/>
          <w:sz w:val="14"/>
          <w:szCs w:val="22"/>
        </w:rPr>
      </w:pPr>
      <w:r>
        <w:br w:type="page"/>
      </w:r>
    </w:p>
    <w:p w:rsidR="00F20535" w:rsidRDefault="00F20535" w:rsidP="007A2EDF">
      <w:pPr>
        <w:pStyle w:val="Heading2"/>
        <w:numPr>
          <w:ilvl w:val="1"/>
          <w:numId w:val="22"/>
        </w:numPr>
      </w:pPr>
      <w:bookmarkStart w:id="41" w:name="_Toc508201411"/>
      <w:r>
        <w:t>D</w:t>
      </w:r>
      <w:r w:rsidRPr="00700EC8">
        <w:t>ividends, income tax equival</w:t>
      </w:r>
      <w:r>
        <w:t>ent and rate equivalent revenue</w:t>
      </w:r>
      <w:bookmarkEnd w:id="41"/>
    </w:p>
    <w:p w:rsidR="00F20535" w:rsidRPr="0051349C" w:rsidRDefault="00F20535" w:rsidP="007A2EDF">
      <w:pPr>
        <w:pStyle w:val="TableUnits"/>
        <w:rPr>
          <w:rFonts w:eastAsia="Times New Roman" w:cs="Times New Roman"/>
          <w:bCs/>
          <w:lang w:val="en-US"/>
        </w:rPr>
      </w:pPr>
      <w:r w:rsidRPr="00700EC8">
        <w:t>($</w:t>
      </w:r>
      <w:r>
        <w:t> million</w:t>
      </w:r>
      <w:r w:rsidRPr="00700EC8">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Dividends from PFC sector</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Dividends from PNFC sector</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Dividends from non-public sector</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867</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536</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Dividends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341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303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Income tax equivalent revenue from PFC sector</w:t>
            </w:r>
            <w:r>
              <w:rPr>
                <w:rFonts w:eastAsiaTheme="minorEastAsia" w:cs="Calibri"/>
                <w:color w:val="000000"/>
                <w:szCs w:val="16"/>
                <w:lang w:eastAsia="en-AU"/>
              </w:rPr>
              <w:t xml:space="preserve"> </w:t>
            </w:r>
            <w:r w:rsidRPr="00553A4E">
              <w:rPr>
                <w:rFonts w:eastAsiaTheme="minorEastAsia" w:cs="Calibri"/>
                <w:color w:val="000000"/>
                <w:szCs w:val="16"/>
                <w:vertAlign w:val="superscript"/>
                <w:lang w:eastAsia="en-AU"/>
              </w:rPr>
              <w:t>(a)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Income tax equivalent revenue from PNFC sector</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94</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Income tax equivalent revenue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Local government rate equivalent revenue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dividends, income tax equivalent and rate equivalent revenue</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867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536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433</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438</w:t>
            </w:r>
          </w:p>
        </w:tc>
      </w:tr>
    </w:tbl>
    <w:p w:rsidR="00F20535" w:rsidRDefault="00F20535" w:rsidP="007A2EDF">
      <w:pPr>
        <w:pStyle w:val="Note"/>
      </w:pPr>
      <w:r>
        <w:t>Note:</w:t>
      </w:r>
    </w:p>
    <w:p w:rsidR="00F20535" w:rsidRDefault="00F20535" w:rsidP="007A2EDF">
      <w:pPr>
        <w:pStyle w:val="Note"/>
      </w:pPr>
      <w:r w:rsidRPr="00294598">
        <w:t>(a)</w:t>
      </w:r>
      <w:r w:rsidRPr="00294598">
        <w:tab/>
        <w:t>The negative revenue figure can be attributed to the finalisation of</w:t>
      </w:r>
      <w:r>
        <w:t xml:space="preserve"> </w:t>
      </w:r>
      <w:r w:rsidRPr="00294598">
        <w:t>income tax assessments by the Australian Taxation Office</w:t>
      </w:r>
      <w:r>
        <w:rPr>
          <w:rFonts w:ascii="Helv" w:hAnsi="Helv" w:cs="Helv"/>
          <w:color w:val="000000"/>
          <w:sz w:val="20"/>
        </w:rPr>
        <w:t xml:space="preserve">, </w:t>
      </w:r>
      <w:r w:rsidRPr="00294598">
        <w:t>resulting in some revenue that was accrued in 2016-17 being revised in 2017-18.</w:t>
      </w:r>
    </w:p>
    <w:p w:rsidR="00F20535" w:rsidRDefault="00F20535" w:rsidP="007A2EDF">
      <w:pPr>
        <w:pStyle w:val="Note"/>
      </w:pPr>
    </w:p>
    <w:p w:rsidR="00F20535" w:rsidRPr="00862CF5" w:rsidRDefault="00F20535" w:rsidP="007A2EDF">
      <w:pPr>
        <w:pStyle w:val="TableUnits"/>
        <w:rPr>
          <w:lang w:val="en-US"/>
        </w:rPr>
      </w:pPr>
    </w:p>
    <w:p w:rsidR="00F20535" w:rsidRPr="0051349C" w:rsidRDefault="00F20535" w:rsidP="007A2EDF">
      <w:pPr>
        <w:pStyle w:val="TableHeading"/>
        <w:rPr>
          <w:rFonts w:eastAsia="Times New Roman" w:cs="Times New Roman"/>
          <w:bCs/>
          <w:lang w:val="en-US"/>
        </w:rPr>
      </w:pPr>
      <w:r w:rsidRPr="00935EC9">
        <w:t>Dividends by entity</w:t>
      </w:r>
      <w:r>
        <w:tab/>
      </w:r>
      <w:r w:rsidRPr="00935EC9">
        <w:t>($</w:t>
      </w:r>
      <w:r>
        <w:t> million</w:t>
      </w:r>
      <w:r w:rsidRPr="00935EC9">
        <w:t>)</w:t>
      </w:r>
    </w:p>
    <w:tbl>
      <w:tblPr>
        <w:tblStyle w:val="DTFTable"/>
        <w:tblW w:w="9638" w:type="dxa"/>
        <w:tblInd w:w="45" w:type="dxa"/>
        <w:tblLayout w:type="fixed"/>
        <w:tblCellMar>
          <w:left w:w="45" w:type="dxa"/>
          <w:right w:w="45" w:type="dxa"/>
        </w:tblCellMar>
        <w:tblLook w:val="06A0" w:firstRow="1" w:lastRow="0" w:firstColumn="1" w:lastColumn="0" w:noHBand="1" w:noVBand="1"/>
      </w:tblPr>
      <w:tblGrid>
        <w:gridCol w:w="7824"/>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Public financial corporations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Victorian Managed Insurance Authority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Transport Accident Commission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r w:rsidRPr="0051349C">
              <w:rPr>
                <w:rFonts w:eastAsiaTheme="minorEastAsia" w:cs="Calibri"/>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r w:rsidRPr="0051349C">
              <w:rPr>
                <w:rFonts w:eastAsiaTheme="minorEastAsia" w:cs="Calibri"/>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Treasury Corporation of Victoria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State Trustees Ltd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Victorian Funds Management Corporation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Dividends from PFC sector</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94</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157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Public non-financial corporations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Melbourne Water Corporation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City West Water Corporation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South East Water Corporation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Yarra Valley Water Corporation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State Electricity Commission of Victoria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r w:rsidRPr="0051349C">
              <w:rPr>
                <w:rFonts w:eastAsiaTheme="minorEastAsia" w:cs="Calibri"/>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r w:rsidRPr="0051349C">
              <w:rPr>
                <w:rFonts w:eastAsiaTheme="minorEastAsia" w:cs="Calibri"/>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Development Victoria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Dividends from PNFC sector</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228</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122</w:t>
            </w:r>
          </w:p>
        </w:tc>
      </w:tr>
    </w:tbl>
    <w:p w:rsidR="00F20535" w:rsidRDefault="00F20535" w:rsidP="007A2EDF"/>
    <w:p w:rsidR="00F20535" w:rsidRDefault="00F20535" w:rsidP="000C30FB"/>
    <w:p w:rsidR="00F20535" w:rsidRPr="005F5DFF" w:rsidRDefault="00F20535" w:rsidP="007A2EDF">
      <w:pPr>
        <w:pStyle w:val="Heading2"/>
        <w:numPr>
          <w:ilvl w:val="1"/>
          <w:numId w:val="22"/>
        </w:numPr>
        <w:rPr>
          <w:bCs/>
          <w:lang w:val="en-US"/>
        </w:rPr>
      </w:pPr>
      <w:bookmarkStart w:id="42" w:name="_Toc508201412"/>
      <w:r>
        <w:t>Sales of goods and services</w:t>
      </w:r>
      <w:bookmarkEnd w:id="42"/>
    </w:p>
    <w:p w:rsidR="00F20535" w:rsidRPr="0051349C" w:rsidRDefault="00F20535" w:rsidP="007A2EDF">
      <w:pPr>
        <w:pStyle w:val="TableUnits"/>
        <w:rPr>
          <w:rFonts w:eastAsia="Times New Roman" w:cs="Times New Roman"/>
          <w:bCs/>
          <w:lang w:val="en-US"/>
        </w:rPr>
      </w:pPr>
      <w:r w:rsidRPr="00935EC9">
        <w:t>($</w:t>
      </w:r>
      <w:r>
        <w:t> million</w:t>
      </w:r>
      <w:r w:rsidRPr="00935EC9">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Motor vehicle regulatory fees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regulatory fees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297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Sale of goods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Provision of services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6 354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6 116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2 130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1 993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Rental</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Refunds and reimbursements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Inter-sector capital asset charge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1 022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sales of goods and services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7 338</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7 063</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3 637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3 416</w:t>
            </w:r>
          </w:p>
        </w:tc>
      </w:tr>
    </w:tbl>
    <w:p w:rsidR="00F20535" w:rsidRPr="005F5DFF" w:rsidRDefault="00F20535" w:rsidP="007A2EDF">
      <w:pPr>
        <w:pStyle w:val="Heading2"/>
        <w:numPr>
          <w:ilvl w:val="1"/>
          <w:numId w:val="22"/>
        </w:numPr>
        <w:rPr>
          <w:bCs/>
          <w:lang w:val="en-US"/>
        </w:rPr>
      </w:pPr>
      <w:bookmarkStart w:id="43" w:name="_Toc508201413"/>
      <w:r>
        <w:t>Grant revenue</w:t>
      </w:r>
      <w:bookmarkEnd w:id="43"/>
    </w:p>
    <w:p w:rsidR="00F20535" w:rsidRPr="0051349C" w:rsidRDefault="00F20535" w:rsidP="007A2EDF">
      <w:pPr>
        <w:pStyle w:val="TableUnits"/>
        <w:rPr>
          <w:rFonts w:eastAsia="Times New Roman" w:cs="Times New Roman"/>
          <w:bCs/>
          <w:lang w:val="en-US"/>
        </w:rPr>
      </w:pPr>
      <w:r w:rsidRPr="00935EC9">
        <w:t>($</w:t>
      </w:r>
      <w:r>
        <w:t> million</w:t>
      </w:r>
      <w:r w:rsidRPr="00935EC9">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General purpose grants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7 710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6 930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7 710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6 930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Specific purpose grants for on-passing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1 735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1 745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1 735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1 745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Specific purpose grants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4 672</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4 606</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4 671</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4 602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14 116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13 281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14 116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13 277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contributions and grants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grant revenue</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14 119</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13 285</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14 227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13 318</w:t>
            </w:r>
          </w:p>
        </w:tc>
      </w:tr>
    </w:tbl>
    <w:p w:rsidR="00F20535" w:rsidRDefault="00F20535" w:rsidP="007A2EDF"/>
    <w:p w:rsidR="00F20535" w:rsidRDefault="00F20535" w:rsidP="000C30FB"/>
    <w:p w:rsidR="00F20535" w:rsidRDefault="00F20535" w:rsidP="007A2EDF">
      <w:pPr>
        <w:pStyle w:val="Heading2"/>
        <w:numPr>
          <w:ilvl w:val="1"/>
          <w:numId w:val="22"/>
        </w:numPr>
      </w:pPr>
      <w:bookmarkStart w:id="44" w:name="_Toc508201414"/>
      <w:r>
        <w:t>Other r</w:t>
      </w:r>
      <w:r w:rsidRPr="00935EC9">
        <w:t>evenue</w:t>
      </w:r>
      <w:bookmarkEnd w:id="44"/>
    </w:p>
    <w:p w:rsidR="00F20535" w:rsidRPr="0051349C" w:rsidRDefault="00F20535" w:rsidP="007A2EDF">
      <w:pPr>
        <w:pStyle w:val="TableUnits"/>
        <w:rPr>
          <w:rFonts w:eastAsia="Times New Roman" w:cs="Times New Roman"/>
          <w:bCs/>
          <w:lang w:val="en-US"/>
        </w:rPr>
      </w:pPr>
      <w:r w:rsidRPr="00935EC9">
        <w:t>($</w:t>
      </w:r>
      <w:r>
        <w:t> million</w:t>
      </w:r>
      <w:r w:rsidRPr="00935EC9">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Fair value of assets received free of charge or for nominal consideration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Fines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389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Royalties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Donations and gifts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non-property rental</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revenue – Education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312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revenue – Health</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miscellaneous revenue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443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386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other revenue</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1 599</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1 646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1 170</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1 288</w:t>
            </w:r>
          </w:p>
        </w:tc>
      </w:tr>
    </w:tbl>
    <w:p w:rsidR="00F20535" w:rsidRPr="00F00E15" w:rsidRDefault="00F20535" w:rsidP="007A2EDF">
      <w:pPr>
        <w:pStyle w:val="TableUnits"/>
        <w:rPr>
          <w:lang w:val="en-US"/>
        </w:rPr>
      </w:pPr>
    </w:p>
    <w:p w:rsidR="00F20535" w:rsidRDefault="00F20535" w:rsidP="000C30FB"/>
    <w:p w:rsidR="00F20535" w:rsidRDefault="00F20535" w:rsidP="000C30FB"/>
    <w:p w:rsidR="00F20535" w:rsidRDefault="00F20535" w:rsidP="000C30FB"/>
    <w:p w:rsidR="00F20535" w:rsidRDefault="00F20535">
      <w:pPr>
        <w:rPr>
          <w:rFonts w:asciiTheme="majorHAnsi" w:eastAsiaTheme="majorEastAsia" w:hAnsiTheme="majorHAnsi" w:cstheme="majorBidi"/>
          <w:b/>
          <w:bCs/>
          <w:caps/>
          <w:spacing w:val="-2"/>
          <w:sz w:val="26"/>
          <w:szCs w:val="28"/>
        </w:rPr>
      </w:pPr>
      <w:bookmarkStart w:id="45" w:name="_Toc473541471"/>
      <w:bookmarkEnd w:id="37"/>
      <w:r>
        <w:br w:type="page"/>
      </w:r>
    </w:p>
    <w:p w:rsidR="00F20535" w:rsidRDefault="00F20535" w:rsidP="007A2EDF">
      <w:pPr>
        <w:pStyle w:val="Heading1"/>
        <w:numPr>
          <w:ilvl w:val="0"/>
          <w:numId w:val="22"/>
        </w:numPr>
      </w:pPr>
      <w:bookmarkStart w:id="46" w:name="_Toc508201400"/>
      <w:bookmarkStart w:id="47" w:name="Section3"/>
      <w:r>
        <w:t>How funds are spent</w:t>
      </w:r>
      <w:bookmarkEnd w:id="45"/>
      <w:bookmarkEnd w:id="46"/>
    </w:p>
    <w:p w:rsidR="00F20535" w:rsidRDefault="00F20535" w:rsidP="000C30FB">
      <w:pPr>
        <w:pStyle w:val="Heading20"/>
        <w:sectPr w:rsidR="00F20535" w:rsidSect="000C30FB">
          <w:headerReference w:type="even" r:id="rId62"/>
          <w:headerReference w:type="default" r:id="rId63"/>
          <w:footerReference w:type="even" r:id="rId64"/>
          <w:footerReference w:type="default" r:id="rId65"/>
          <w:type w:val="continuous"/>
          <w:pgSz w:w="11907" w:h="16839" w:code="9"/>
          <w:pgMar w:top="1134" w:right="1134" w:bottom="1134" w:left="1134" w:header="624" w:footer="567" w:gutter="0"/>
          <w:cols w:sep="1" w:space="567"/>
          <w:docGrid w:linePitch="360"/>
        </w:sectPr>
      </w:pPr>
    </w:p>
    <w:p w:rsidR="00F20535" w:rsidRDefault="00F20535" w:rsidP="000C30FB">
      <w:pPr>
        <w:pStyle w:val="Heading20"/>
      </w:pPr>
      <w:bookmarkStart w:id="48" w:name="_Toc473541472"/>
      <w:r>
        <w:t>Introduction</w:t>
      </w:r>
      <w:bookmarkEnd w:id="48"/>
    </w:p>
    <w:p w:rsidR="00F20535" w:rsidRDefault="00F20535" w:rsidP="000C30FB">
      <w:r>
        <w:t>This section accounts for the major components of expenditure incurred by the State towards the operating activities (expenses from transactions) and on capital or infrastructure projects during the year, as well as any related obligations outstanding as at 31 December 2017.</w:t>
      </w:r>
    </w:p>
    <w:p w:rsidR="00F20535" w:rsidRDefault="00F20535" w:rsidP="000C30FB">
      <w:pPr>
        <w:pStyle w:val="Heading20"/>
      </w:pPr>
      <w:r>
        <w:br w:type="column"/>
      </w:r>
      <w:bookmarkStart w:id="49" w:name="_Toc473541473"/>
      <w:r>
        <w:t>Structure</w:t>
      </w:r>
      <w:bookmarkEnd w:id="49"/>
    </w:p>
    <w:p w:rsidR="00F20535" w:rsidRDefault="00F20535">
      <w:pPr>
        <w:pStyle w:val="TOC9"/>
        <w:rPr>
          <w:rFonts w:eastAsiaTheme="minorEastAsia"/>
          <w:noProof/>
          <w:spacing w:val="0"/>
          <w:lang w:eastAsia="en-AU"/>
        </w:rPr>
      </w:pPr>
      <w:r>
        <w:fldChar w:fldCharType="begin"/>
      </w:r>
      <w:r>
        <w:instrText xml:space="preserve"> TOC \h \z \t "Heading 2 (#),9" \b Section3 </w:instrText>
      </w:r>
      <w:r>
        <w:fldChar w:fldCharType="separate"/>
      </w:r>
      <w:hyperlink w:anchor="_Toc475960033" w:history="1">
        <w:r w:rsidRPr="00FC42E3">
          <w:rPr>
            <w:rStyle w:val="Hyperlink"/>
            <w:noProof/>
          </w:rPr>
          <w:t>3.1</w:t>
        </w:r>
        <w:r>
          <w:rPr>
            <w:rFonts w:eastAsiaTheme="minorEastAsia"/>
            <w:noProof/>
            <w:spacing w:val="0"/>
            <w:lang w:eastAsia="en-AU"/>
          </w:rPr>
          <w:tab/>
        </w:r>
        <w:r w:rsidRPr="00FC42E3">
          <w:rPr>
            <w:rStyle w:val="Hyperlink"/>
            <w:noProof/>
          </w:rPr>
          <w:t>Employee expenses and provision for outstanding employee benefits</w:t>
        </w:r>
        <w:r>
          <w:rPr>
            <w:noProof/>
            <w:webHidden/>
          </w:rPr>
          <w:tab/>
        </w:r>
        <w:r>
          <w:rPr>
            <w:noProof/>
            <w:webHidden/>
          </w:rPr>
          <w:fldChar w:fldCharType="begin"/>
        </w:r>
        <w:r>
          <w:rPr>
            <w:noProof/>
            <w:webHidden/>
          </w:rPr>
          <w:instrText xml:space="preserve"> PAGEREF _Toc475960033 \h </w:instrText>
        </w:r>
        <w:r>
          <w:rPr>
            <w:noProof/>
            <w:webHidden/>
          </w:rPr>
        </w:r>
        <w:r>
          <w:rPr>
            <w:noProof/>
            <w:webHidden/>
          </w:rPr>
          <w:fldChar w:fldCharType="separate"/>
        </w:r>
        <w:r w:rsidR="00FF6398">
          <w:rPr>
            <w:noProof/>
            <w:webHidden/>
          </w:rPr>
          <w:t>20</w:t>
        </w:r>
        <w:r>
          <w:rPr>
            <w:noProof/>
            <w:webHidden/>
          </w:rPr>
          <w:fldChar w:fldCharType="end"/>
        </w:r>
      </w:hyperlink>
    </w:p>
    <w:p w:rsidR="00F20535" w:rsidRDefault="00C0501E">
      <w:pPr>
        <w:pStyle w:val="TOC9"/>
        <w:rPr>
          <w:rFonts w:eastAsiaTheme="minorEastAsia"/>
          <w:noProof/>
          <w:spacing w:val="0"/>
          <w:lang w:eastAsia="en-AU"/>
        </w:rPr>
      </w:pPr>
      <w:hyperlink w:anchor="_Toc475960034" w:history="1">
        <w:r w:rsidR="00F20535" w:rsidRPr="00FC42E3">
          <w:rPr>
            <w:rStyle w:val="Hyperlink"/>
            <w:bCs/>
            <w:noProof/>
            <w:lang w:val="en-US"/>
          </w:rPr>
          <w:t>3.2</w:t>
        </w:r>
        <w:r w:rsidR="00F20535">
          <w:rPr>
            <w:rFonts w:eastAsiaTheme="minorEastAsia"/>
            <w:noProof/>
            <w:spacing w:val="0"/>
            <w:lang w:eastAsia="en-AU"/>
          </w:rPr>
          <w:tab/>
        </w:r>
        <w:r w:rsidR="00F20535" w:rsidRPr="00FC42E3">
          <w:rPr>
            <w:rStyle w:val="Hyperlink"/>
            <w:noProof/>
          </w:rPr>
          <w:t>Superannuation expense recognised in the operating statement</w:t>
        </w:r>
        <w:r w:rsidR="00F20535">
          <w:rPr>
            <w:noProof/>
            <w:webHidden/>
          </w:rPr>
          <w:tab/>
        </w:r>
        <w:r w:rsidR="00F20535">
          <w:rPr>
            <w:noProof/>
            <w:webHidden/>
          </w:rPr>
          <w:fldChar w:fldCharType="begin"/>
        </w:r>
        <w:r w:rsidR="00F20535">
          <w:rPr>
            <w:noProof/>
            <w:webHidden/>
          </w:rPr>
          <w:instrText xml:space="preserve"> PAGEREF _Toc475960034 \h </w:instrText>
        </w:r>
        <w:r w:rsidR="00F20535">
          <w:rPr>
            <w:noProof/>
            <w:webHidden/>
          </w:rPr>
        </w:r>
        <w:r w:rsidR="00F20535">
          <w:rPr>
            <w:noProof/>
            <w:webHidden/>
          </w:rPr>
          <w:fldChar w:fldCharType="separate"/>
        </w:r>
        <w:r w:rsidR="00FF6398">
          <w:rPr>
            <w:noProof/>
            <w:webHidden/>
          </w:rPr>
          <w:t>21</w:t>
        </w:r>
        <w:r w:rsidR="00F20535">
          <w:rPr>
            <w:noProof/>
            <w:webHidden/>
          </w:rPr>
          <w:fldChar w:fldCharType="end"/>
        </w:r>
      </w:hyperlink>
    </w:p>
    <w:p w:rsidR="00F20535" w:rsidRDefault="00C0501E">
      <w:pPr>
        <w:pStyle w:val="TOC9"/>
        <w:rPr>
          <w:rFonts w:eastAsiaTheme="minorEastAsia"/>
          <w:noProof/>
          <w:spacing w:val="0"/>
          <w:lang w:eastAsia="en-AU"/>
        </w:rPr>
      </w:pPr>
      <w:hyperlink w:anchor="_Toc475960035" w:history="1">
        <w:r w:rsidR="00F20535" w:rsidRPr="00FC42E3">
          <w:rPr>
            <w:rStyle w:val="Hyperlink"/>
            <w:bCs/>
            <w:noProof/>
            <w:lang w:val="en-US"/>
          </w:rPr>
          <w:t>3.3</w:t>
        </w:r>
        <w:r w:rsidR="00F20535">
          <w:rPr>
            <w:rFonts w:eastAsiaTheme="minorEastAsia"/>
            <w:noProof/>
            <w:spacing w:val="0"/>
            <w:lang w:eastAsia="en-AU"/>
          </w:rPr>
          <w:tab/>
        </w:r>
        <w:r w:rsidR="00F20535" w:rsidRPr="00FC42E3">
          <w:rPr>
            <w:rStyle w:val="Hyperlink"/>
            <w:noProof/>
          </w:rPr>
          <w:t>Grant expense</w:t>
        </w:r>
        <w:r w:rsidR="00F20535">
          <w:rPr>
            <w:noProof/>
            <w:webHidden/>
          </w:rPr>
          <w:tab/>
        </w:r>
        <w:r w:rsidR="00F20535">
          <w:rPr>
            <w:noProof/>
            <w:webHidden/>
          </w:rPr>
          <w:fldChar w:fldCharType="begin"/>
        </w:r>
        <w:r w:rsidR="00F20535">
          <w:rPr>
            <w:noProof/>
            <w:webHidden/>
          </w:rPr>
          <w:instrText xml:space="preserve"> PAGEREF _Toc475960035 \h </w:instrText>
        </w:r>
        <w:r w:rsidR="00F20535">
          <w:rPr>
            <w:noProof/>
            <w:webHidden/>
          </w:rPr>
        </w:r>
        <w:r w:rsidR="00F20535">
          <w:rPr>
            <w:noProof/>
            <w:webHidden/>
          </w:rPr>
          <w:fldChar w:fldCharType="separate"/>
        </w:r>
        <w:r w:rsidR="00FF6398">
          <w:rPr>
            <w:noProof/>
            <w:webHidden/>
          </w:rPr>
          <w:t>21</w:t>
        </w:r>
        <w:r w:rsidR="00F20535">
          <w:rPr>
            <w:noProof/>
            <w:webHidden/>
          </w:rPr>
          <w:fldChar w:fldCharType="end"/>
        </w:r>
      </w:hyperlink>
    </w:p>
    <w:p w:rsidR="00F20535" w:rsidRDefault="00C0501E">
      <w:pPr>
        <w:pStyle w:val="TOC9"/>
        <w:rPr>
          <w:rFonts w:eastAsiaTheme="minorEastAsia"/>
          <w:noProof/>
          <w:spacing w:val="0"/>
          <w:lang w:eastAsia="en-AU"/>
        </w:rPr>
      </w:pPr>
      <w:hyperlink w:anchor="_Toc475960036" w:history="1">
        <w:r w:rsidR="00F20535" w:rsidRPr="00FC42E3">
          <w:rPr>
            <w:rStyle w:val="Hyperlink"/>
            <w:bCs/>
            <w:noProof/>
            <w:lang w:val="en-US"/>
          </w:rPr>
          <w:t>3.4</w:t>
        </w:r>
        <w:r w:rsidR="00F20535">
          <w:rPr>
            <w:rFonts w:eastAsiaTheme="minorEastAsia"/>
            <w:noProof/>
            <w:spacing w:val="0"/>
            <w:lang w:eastAsia="en-AU"/>
          </w:rPr>
          <w:tab/>
        </w:r>
        <w:r w:rsidR="00F20535" w:rsidRPr="00FC42E3">
          <w:rPr>
            <w:rStyle w:val="Hyperlink"/>
            <w:noProof/>
          </w:rPr>
          <w:t>Other operating expenses</w:t>
        </w:r>
        <w:r w:rsidR="00F20535">
          <w:rPr>
            <w:noProof/>
            <w:webHidden/>
          </w:rPr>
          <w:tab/>
        </w:r>
        <w:r w:rsidR="00F20535">
          <w:rPr>
            <w:noProof/>
            <w:webHidden/>
          </w:rPr>
          <w:fldChar w:fldCharType="begin"/>
        </w:r>
        <w:r w:rsidR="00F20535">
          <w:rPr>
            <w:noProof/>
            <w:webHidden/>
          </w:rPr>
          <w:instrText xml:space="preserve"> PAGEREF _Toc475960036 \h </w:instrText>
        </w:r>
        <w:r w:rsidR="00F20535">
          <w:rPr>
            <w:noProof/>
            <w:webHidden/>
          </w:rPr>
        </w:r>
        <w:r w:rsidR="00F20535">
          <w:rPr>
            <w:noProof/>
            <w:webHidden/>
          </w:rPr>
          <w:fldChar w:fldCharType="separate"/>
        </w:r>
        <w:r w:rsidR="00FF6398">
          <w:rPr>
            <w:noProof/>
            <w:webHidden/>
          </w:rPr>
          <w:t>22</w:t>
        </w:r>
        <w:r w:rsidR="00F20535">
          <w:rPr>
            <w:noProof/>
            <w:webHidden/>
          </w:rPr>
          <w:fldChar w:fldCharType="end"/>
        </w:r>
      </w:hyperlink>
    </w:p>
    <w:p w:rsidR="00F20535" w:rsidRDefault="00C0501E">
      <w:pPr>
        <w:pStyle w:val="TOC9"/>
        <w:rPr>
          <w:rFonts w:eastAsiaTheme="minorEastAsia"/>
          <w:noProof/>
          <w:spacing w:val="0"/>
          <w:lang w:eastAsia="en-AU"/>
        </w:rPr>
      </w:pPr>
      <w:hyperlink w:anchor="_Toc475960037" w:history="1">
        <w:r w:rsidR="00F20535" w:rsidRPr="00FC42E3">
          <w:rPr>
            <w:rStyle w:val="Hyperlink"/>
            <w:noProof/>
          </w:rPr>
          <w:t>3.5</w:t>
        </w:r>
        <w:r w:rsidR="00F20535">
          <w:rPr>
            <w:rFonts w:eastAsiaTheme="minorEastAsia"/>
            <w:noProof/>
            <w:spacing w:val="0"/>
            <w:lang w:eastAsia="en-AU"/>
          </w:rPr>
          <w:tab/>
        </w:r>
        <w:r w:rsidR="00F20535" w:rsidRPr="00FC42E3">
          <w:rPr>
            <w:rStyle w:val="Hyperlink"/>
            <w:noProof/>
          </w:rPr>
          <w:t>Total operating expenses and purchases of non-financial assets – by department</w:t>
        </w:r>
        <w:r w:rsidR="00F20535">
          <w:rPr>
            <w:noProof/>
            <w:webHidden/>
          </w:rPr>
          <w:tab/>
        </w:r>
        <w:r w:rsidR="00F20535">
          <w:rPr>
            <w:noProof/>
            <w:webHidden/>
          </w:rPr>
          <w:fldChar w:fldCharType="begin"/>
        </w:r>
        <w:r w:rsidR="00F20535">
          <w:rPr>
            <w:noProof/>
            <w:webHidden/>
          </w:rPr>
          <w:instrText xml:space="preserve"> PAGEREF _Toc475960037 \h </w:instrText>
        </w:r>
        <w:r w:rsidR="00F20535">
          <w:rPr>
            <w:noProof/>
            <w:webHidden/>
          </w:rPr>
        </w:r>
        <w:r w:rsidR="00F20535">
          <w:rPr>
            <w:noProof/>
            <w:webHidden/>
          </w:rPr>
          <w:fldChar w:fldCharType="separate"/>
        </w:r>
        <w:r w:rsidR="00FF6398">
          <w:rPr>
            <w:noProof/>
            <w:webHidden/>
          </w:rPr>
          <w:t>23</w:t>
        </w:r>
        <w:r w:rsidR="00F20535">
          <w:rPr>
            <w:noProof/>
            <w:webHidden/>
          </w:rPr>
          <w:fldChar w:fldCharType="end"/>
        </w:r>
      </w:hyperlink>
    </w:p>
    <w:p w:rsidR="00F20535" w:rsidRDefault="00C0501E">
      <w:pPr>
        <w:pStyle w:val="TOC9"/>
        <w:rPr>
          <w:rFonts w:eastAsiaTheme="minorEastAsia"/>
          <w:noProof/>
          <w:spacing w:val="0"/>
          <w:lang w:eastAsia="en-AU"/>
        </w:rPr>
      </w:pPr>
      <w:hyperlink w:anchor="_Toc475960038" w:history="1">
        <w:r w:rsidR="00F20535" w:rsidRPr="00FC42E3">
          <w:rPr>
            <w:rStyle w:val="Hyperlink"/>
            <w:noProof/>
          </w:rPr>
          <w:t>3.6</w:t>
        </w:r>
        <w:r w:rsidR="00F20535">
          <w:rPr>
            <w:rFonts w:eastAsiaTheme="minorEastAsia"/>
            <w:noProof/>
            <w:spacing w:val="0"/>
            <w:lang w:eastAsia="en-AU"/>
          </w:rPr>
          <w:tab/>
        </w:r>
        <w:r w:rsidR="00F20535" w:rsidRPr="00FC42E3">
          <w:rPr>
            <w:rStyle w:val="Hyperlink"/>
            <w:noProof/>
          </w:rPr>
          <w:t>Total operating expenses, purchases of non-financial assets and total assets – by go</w:t>
        </w:r>
        <w:r w:rsidR="00F20535">
          <w:rPr>
            <w:rStyle w:val="Hyperlink"/>
            <w:noProof/>
          </w:rPr>
          <w:t>vernment purpose classification</w:t>
        </w:r>
        <w:r w:rsidR="00F20535">
          <w:rPr>
            <w:noProof/>
            <w:webHidden/>
          </w:rPr>
          <w:tab/>
        </w:r>
        <w:r w:rsidR="00F20535">
          <w:rPr>
            <w:noProof/>
            <w:webHidden/>
          </w:rPr>
          <w:fldChar w:fldCharType="begin"/>
        </w:r>
        <w:r w:rsidR="00F20535">
          <w:rPr>
            <w:noProof/>
            <w:webHidden/>
          </w:rPr>
          <w:instrText xml:space="preserve"> PAGEREF _Toc475960038 \h </w:instrText>
        </w:r>
        <w:r w:rsidR="00F20535">
          <w:rPr>
            <w:noProof/>
            <w:webHidden/>
          </w:rPr>
        </w:r>
        <w:r w:rsidR="00F20535">
          <w:rPr>
            <w:noProof/>
            <w:webHidden/>
          </w:rPr>
          <w:fldChar w:fldCharType="separate"/>
        </w:r>
        <w:r w:rsidR="00FF6398">
          <w:rPr>
            <w:noProof/>
            <w:webHidden/>
          </w:rPr>
          <w:t>24</w:t>
        </w:r>
        <w:r w:rsidR="00F20535">
          <w:rPr>
            <w:noProof/>
            <w:webHidden/>
          </w:rPr>
          <w:fldChar w:fldCharType="end"/>
        </w:r>
      </w:hyperlink>
    </w:p>
    <w:p w:rsidR="00F20535" w:rsidRDefault="00F20535" w:rsidP="000C30FB">
      <w:pPr>
        <w:pStyle w:val="TOC9"/>
      </w:pPr>
      <w:r>
        <w:fldChar w:fldCharType="end"/>
      </w:r>
    </w:p>
    <w:p w:rsidR="00F20535" w:rsidRDefault="00F20535" w:rsidP="000C30FB">
      <w:pPr>
        <w:pStyle w:val="Heading20"/>
        <w:sectPr w:rsidR="00F20535" w:rsidSect="000C30FB">
          <w:type w:val="continuous"/>
          <w:pgSz w:w="11907" w:h="16839" w:code="9"/>
          <w:pgMar w:top="1134" w:right="1134" w:bottom="1134" w:left="1134" w:header="624" w:footer="567" w:gutter="0"/>
          <w:cols w:num="2" w:space="567"/>
          <w:docGrid w:linePitch="360"/>
        </w:sectPr>
      </w:pPr>
    </w:p>
    <w:p w:rsidR="00F20535" w:rsidRDefault="00F20535" w:rsidP="007A2EDF">
      <w:pPr>
        <w:pStyle w:val="Heading2"/>
        <w:numPr>
          <w:ilvl w:val="1"/>
          <w:numId w:val="22"/>
        </w:numPr>
      </w:pPr>
      <w:bookmarkStart w:id="50" w:name="_Toc473541474"/>
      <w:bookmarkStart w:id="51" w:name="_Toc475960033"/>
      <w:r>
        <w:t>Employee expenses and provision for outstanding employee benefits</w:t>
      </w:r>
      <w:bookmarkEnd w:id="50"/>
      <w:bookmarkEnd w:id="51"/>
    </w:p>
    <w:p w:rsidR="00F20535" w:rsidRDefault="00F20535" w:rsidP="000C30FB">
      <w:pPr>
        <w:pStyle w:val="Heading30"/>
        <w:sectPr w:rsidR="00F20535" w:rsidSect="000C30FB">
          <w:type w:val="continuous"/>
          <w:pgSz w:w="11907" w:h="16839" w:code="9"/>
          <w:pgMar w:top="1134" w:right="1134" w:bottom="1134" w:left="1134" w:header="624" w:footer="567" w:gutter="0"/>
          <w:cols w:space="567"/>
          <w:docGrid w:linePitch="360"/>
        </w:sectPr>
      </w:pPr>
    </w:p>
    <w:p w:rsidR="00F20535" w:rsidRDefault="00F20535" w:rsidP="000C30FB">
      <w:pPr>
        <w:pStyle w:val="Heading30"/>
      </w:pPr>
      <w:bookmarkStart w:id="52" w:name="_Toc473541475"/>
      <w:r>
        <w:t>Employee expenses (operating statement)</w:t>
      </w:r>
      <w:bookmarkEnd w:id="52"/>
    </w:p>
    <w:p w:rsidR="00F20535" w:rsidRPr="0004589E" w:rsidRDefault="00F20535" w:rsidP="007A2EDF">
      <w:bookmarkStart w:id="53" w:name="_Toc473541476"/>
      <w:r w:rsidRPr="0004589E">
        <w:t xml:space="preserve">Employee expenses in the operating statement are a major component of operating costs and include all costs related to employment, including wages and salaries, fringe benefits tax, leave entitlements and redundancy payments. The majority of employee expenses in the operating statement are wages and salaries. </w:t>
      </w:r>
      <w:r>
        <w:t>Increases in employee expenses are mainly attributable to increased service delivery in the health, education, and community safety sectors as well as salary growth in line with wages policy.</w:t>
      </w:r>
    </w:p>
    <w:p w:rsidR="00F20535" w:rsidRDefault="00F20535" w:rsidP="000C30FB">
      <w:pPr>
        <w:pStyle w:val="Heading30"/>
      </w:pPr>
      <w:r>
        <w:br w:type="column"/>
        <w:t>Employee expenses (balance sheet)</w:t>
      </w:r>
      <w:bookmarkEnd w:id="53"/>
    </w:p>
    <w:p w:rsidR="00F20535" w:rsidRDefault="00F20535" w:rsidP="007A2EDF">
      <w:pPr>
        <w:sectPr w:rsidR="00F20535" w:rsidSect="000C30FB">
          <w:type w:val="continuous"/>
          <w:pgSz w:w="11907" w:h="16839" w:code="9"/>
          <w:pgMar w:top="1134" w:right="1134" w:bottom="1134" w:left="1134" w:header="624" w:footer="567" w:gutter="0"/>
          <w:cols w:num="2" w:space="567"/>
          <w:docGrid w:linePitch="360"/>
        </w:sectPr>
      </w:pPr>
      <w:r w:rsidRPr="00D23FE2">
        <w:t>As part of annual operations, the State provides for benefits accruing to employees but payable in future periods in respect of wages and salaries, annual leave and long service leave, and related on-costs for services rendered to the reporting date. In measuring employee benefits, consideration is given to expected future wage and salary levels, experience of employee departures and periods of service. Expected future payments are discounted to reflect the estimated timing and amount of benefit payment. The table below shows the key components of this provision at 31 December and 30 June.</w:t>
      </w:r>
    </w:p>
    <w:p w:rsidR="00F20535" w:rsidRPr="00E43489" w:rsidRDefault="00F20535" w:rsidP="007A2EDF">
      <w:pPr>
        <w:pStyle w:val="TableHeading"/>
        <w:rPr>
          <w:rFonts w:eastAsia="Times New Roman" w:cs="Times New Roman"/>
          <w:bCs/>
          <w:lang w:val="en-US"/>
        </w:rPr>
      </w:pPr>
      <w:r>
        <w:t>Total provision for employee benefits and on-costs at 31 December</w:t>
      </w:r>
      <w:r>
        <w:tab/>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E43489"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E43489" w:rsidRDefault="00F20535" w:rsidP="007A2EDF">
            <w:pPr>
              <w:autoSpaceDE w:val="0"/>
              <w:autoSpaceDN w:val="0"/>
              <w:adjustRightInd w:val="0"/>
              <w:rPr>
                <w:rFonts w:eastAsiaTheme="minorEastAsia" w:cs="Calibri"/>
                <w:iCs/>
                <w:color w:val="FFFFFF"/>
                <w:szCs w:val="22"/>
                <w:lang w:eastAsia="en-AU"/>
              </w:rPr>
            </w:pPr>
            <w:r w:rsidRPr="00E43489">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E43489"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E43489">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E43489"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E43489">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E43489">
              <w:rPr>
                <w:rFonts w:eastAsiaTheme="minorEastAsia" w:cs="Calibri"/>
                <w:iCs/>
                <w:color w:val="FFFFFF"/>
                <w:szCs w:val="18"/>
                <w:lang w:eastAsia="en-AU"/>
              </w:rPr>
              <w:t>government sector</w:t>
            </w:r>
          </w:p>
        </w:tc>
      </w:tr>
      <w:tr w:rsidR="00F20535" w:rsidRPr="00E43489"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E43489" w:rsidRDefault="00F20535" w:rsidP="007A2EDF">
            <w:pPr>
              <w:autoSpaceDE w:val="0"/>
              <w:autoSpaceDN w:val="0"/>
              <w:adjustRightInd w:val="0"/>
              <w:rPr>
                <w:rFonts w:eastAsiaTheme="minorEastAsia" w:cs="Calibri"/>
                <w:iCs/>
                <w:color w:val="FFFFFF"/>
                <w:szCs w:val="22"/>
                <w:lang w:eastAsia="en-AU"/>
              </w:rPr>
            </w:pPr>
            <w:r w:rsidRPr="00E43489">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E4348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E43489">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E4348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E43489">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E4348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E43489">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E4348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E43489">
              <w:rPr>
                <w:rFonts w:eastAsiaTheme="minorEastAsia" w:cs="Calibri"/>
                <w:iCs/>
                <w:color w:val="FFFFFF"/>
                <w:szCs w:val="16"/>
                <w:lang w:eastAsia="en-AU"/>
              </w:rPr>
              <w:t>Jun</w:t>
            </w:r>
          </w:p>
        </w:tc>
      </w:tr>
      <w:tr w:rsidR="00F20535" w:rsidRPr="00E43489"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E43489" w:rsidRDefault="00F20535" w:rsidP="007A2EDF">
            <w:pPr>
              <w:autoSpaceDE w:val="0"/>
              <w:autoSpaceDN w:val="0"/>
              <w:adjustRightInd w:val="0"/>
              <w:rPr>
                <w:rFonts w:eastAsiaTheme="minorEastAsia" w:cs="Calibri"/>
                <w:iCs/>
                <w:color w:val="FFFFFF"/>
                <w:szCs w:val="22"/>
                <w:lang w:eastAsia="en-AU"/>
              </w:rPr>
            </w:pPr>
            <w:r w:rsidRPr="00E43489">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E4348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E43489">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E4348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E43489">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E4348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E43489">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E4348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E43489">
              <w:rPr>
                <w:rFonts w:eastAsiaTheme="minorEastAsia" w:cs="Calibri"/>
                <w:iCs/>
                <w:color w:val="FFFFFF"/>
                <w:szCs w:val="16"/>
                <w:lang w:eastAsia="en-AU"/>
              </w:rPr>
              <w:t>2017</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E43489" w:rsidRDefault="00F20535" w:rsidP="007A2EDF">
            <w:pPr>
              <w:autoSpaceDE w:val="0"/>
              <w:autoSpaceDN w:val="0"/>
              <w:adjustRightInd w:val="0"/>
              <w:rPr>
                <w:rFonts w:eastAsiaTheme="minorEastAsia" w:cs="Calibri"/>
                <w:b/>
                <w:bCs/>
                <w:color w:val="000000"/>
                <w:szCs w:val="16"/>
                <w:lang w:eastAsia="en-AU"/>
              </w:rPr>
            </w:pPr>
            <w:r w:rsidRPr="00E43489">
              <w:rPr>
                <w:rFonts w:eastAsiaTheme="minorEastAsia" w:cs="Calibri"/>
                <w:b/>
                <w:bCs/>
                <w:color w:val="000000"/>
                <w:szCs w:val="16"/>
                <w:lang w:eastAsia="en-AU"/>
              </w:rPr>
              <w:t>Current</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 xml:space="preserve"> </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E43489" w:rsidRDefault="00F20535" w:rsidP="007A2EDF">
            <w:pPr>
              <w:autoSpaceDE w:val="0"/>
              <w:autoSpaceDN w:val="0"/>
              <w:adjustRightInd w:val="0"/>
              <w:rPr>
                <w:rFonts w:eastAsiaTheme="minorEastAsia" w:cs="Calibri"/>
                <w:color w:val="000000"/>
                <w:szCs w:val="16"/>
                <w:lang w:eastAsia="en-AU"/>
              </w:rPr>
            </w:pPr>
            <w:r w:rsidRPr="00E43489">
              <w:rPr>
                <w:rFonts w:eastAsiaTheme="minorEastAsia" w:cs="Calibri"/>
                <w:color w:val="000000"/>
                <w:szCs w:val="16"/>
                <w:lang w:eastAsia="en-AU"/>
              </w:rPr>
              <w:t>Accrued salaries and wages</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558</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552</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514</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503</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E43489" w:rsidRDefault="00F20535" w:rsidP="007A2EDF">
            <w:pPr>
              <w:autoSpaceDE w:val="0"/>
              <w:autoSpaceDN w:val="0"/>
              <w:adjustRightInd w:val="0"/>
              <w:rPr>
                <w:rFonts w:eastAsiaTheme="minorEastAsia" w:cs="Calibri"/>
                <w:color w:val="000000"/>
                <w:szCs w:val="16"/>
                <w:lang w:eastAsia="en-AU"/>
              </w:rPr>
            </w:pPr>
            <w:r w:rsidRPr="00E43489">
              <w:rPr>
                <w:rFonts w:eastAsiaTheme="minorEastAsia" w:cs="Calibri"/>
                <w:color w:val="000000"/>
                <w:szCs w:val="16"/>
                <w:lang w:eastAsia="en-AU"/>
              </w:rPr>
              <w:t>Other employee benefits</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88</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82</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77</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66</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E43489" w:rsidRDefault="00F20535" w:rsidP="007A2EDF">
            <w:pPr>
              <w:autoSpaceDE w:val="0"/>
              <w:autoSpaceDN w:val="0"/>
              <w:adjustRightInd w:val="0"/>
              <w:rPr>
                <w:rFonts w:eastAsiaTheme="minorEastAsia" w:cs="Calibri"/>
                <w:color w:val="000000"/>
                <w:szCs w:val="16"/>
                <w:lang w:eastAsia="en-AU"/>
              </w:rPr>
            </w:pPr>
            <w:r w:rsidRPr="00E43489">
              <w:rPr>
                <w:rFonts w:eastAsiaTheme="minorEastAsia" w:cs="Calibri"/>
                <w:color w:val="000000"/>
                <w:szCs w:val="16"/>
                <w:lang w:eastAsia="en-AU"/>
              </w:rPr>
              <w:t>Annual leave</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E43489">
              <w:rPr>
                <w:rFonts w:eastAsiaTheme="minorEastAsia" w:cs="Calibri"/>
                <w:color w:val="000000"/>
                <w:szCs w:val="18"/>
                <w:lang w:eastAsia="en-AU"/>
              </w:rPr>
              <w:t>1 612</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E43489">
              <w:rPr>
                <w:rFonts w:eastAsiaTheme="minorEastAsia" w:cs="Calibri"/>
                <w:color w:val="000000"/>
                <w:szCs w:val="18"/>
                <w:lang w:eastAsia="en-AU"/>
              </w:rPr>
              <w:t>1 651</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E43489">
              <w:rPr>
                <w:rFonts w:eastAsiaTheme="minorEastAsia" w:cs="Calibri"/>
                <w:color w:val="000000"/>
                <w:szCs w:val="18"/>
                <w:lang w:eastAsia="en-AU"/>
              </w:rPr>
              <w:t>1 460</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E43489">
              <w:rPr>
                <w:rFonts w:eastAsiaTheme="minorEastAsia" w:cs="Calibri"/>
                <w:color w:val="000000"/>
                <w:szCs w:val="18"/>
                <w:lang w:eastAsia="en-AU"/>
              </w:rPr>
              <w:t>1 499</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E43489" w:rsidRDefault="00F20535" w:rsidP="007A2EDF">
            <w:pPr>
              <w:autoSpaceDE w:val="0"/>
              <w:autoSpaceDN w:val="0"/>
              <w:adjustRightInd w:val="0"/>
              <w:rPr>
                <w:rFonts w:eastAsiaTheme="minorEastAsia" w:cs="Calibri"/>
                <w:color w:val="000000"/>
                <w:szCs w:val="16"/>
                <w:lang w:eastAsia="en-AU"/>
              </w:rPr>
            </w:pPr>
            <w:r w:rsidRPr="00E43489">
              <w:rPr>
                <w:rFonts w:eastAsiaTheme="minorEastAsia" w:cs="Calibri"/>
                <w:color w:val="000000"/>
                <w:szCs w:val="16"/>
                <w:lang w:eastAsia="en-AU"/>
              </w:rPr>
              <w:t>Long service leave</w:t>
            </w:r>
          </w:p>
        </w:tc>
        <w:tc>
          <w:tcPr>
            <w:tcW w:w="907" w:type="dxa"/>
            <w:tcBorders>
              <w:top w:val="nil"/>
              <w:left w:val="nil"/>
              <w:bottom w:val="single" w:sz="6" w:space="0" w:color="000000"/>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E43489">
              <w:rPr>
                <w:rFonts w:eastAsiaTheme="minorEastAsia" w:cs="Calibri"/>
                <w:color w:val="000000"/>
                <w:szCs w:val="18"/>
                <w:lang w:eastAsia="en-AU"/>
              </w:rPr>
              <w:t>3 946</w:t>
            </w:r>
          </w:p>
        </w:tc>
        <w:tc>
          <w:tcPr>
            <w:tcW w:w="907" w:type="dxa"/>
            <w:tcBorders>
              <w:top w:val="nil"/>
              <w:left w:val="nil"/>
              <w:bottom w:val="single" w:sz="6" w:space="0" w:color="000000"/>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E43489">
              <w:rPr>
                <w:rFonts w:eastAsiaTheme="minorEastAsia" w:cs="Calibri"/>
                <w:color w:val="000000"/>
                <w:szCs w:val="18"/>
                <w:lang w:eastAsia="en-AU"/>
              </w:rPr>
              <w:t>3 882</w:t>
            </w:r>
          </w:p>
        </w:tc>
        <w:tc>
          <w:tcPr>
            <w:tcW w:w="907" w:type="dxa"/>
            <w:tcBorders>
              <w:top w:val="nil"/>
              <w:left w:val="nil"/>
              <w:bottom w:val="single" w:sz="6" w:space="0" w:color="000000"/>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E43489">
              <w:rPr>
                <w:rFonts w:eastAsiaTheme="minorEastAsia" w:cs="Calibri"/>
                <w:color w:val="000000"/>
                <w:szCs w:val="18"/>
                <w:lang w:eastAsia="en-AU"/>
              </w:rPr>
              <w:t>3 710</w:t>
            </w:r>
          </w:p>
        </w:tc>
        <w:tc>
          <w:tcPr>
            <w:tcW w:w="907" w:type="dxa"/>
            <w:tcBorders>
              <w:top w:val="nil"/>
              <w:left w:val="nil"/>
              <w:bottom w:val="single" w:sz="6" w:space="0" w:color="000000"/>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E43489">
              <w:rPr>
                <w:rFonts w:eastAsiaTheme="minorEastAsia" w:cs="Calibri"/>
                <w:color w:val="000000"/>
                <w:szCs w:val="18"/>
                <w:lang w:eastAsia="en-AU"/>
              </w:rPr>
              <w:t>3 646</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E43489" w:rsidRDefault="00F20535" w:rsidP="007A2EDF">
            <w:pPr>
              <w:autoSpaceDE w:val="0"/>
              <w:autoSpaceDN w:val="0"/>
              <w:adjustRightInd w:val="0"/>
              <w:rPr>
                <w:rFonts w:eastAsiaTheme="minorEastAsia" w:cs="Calibri"/>
                <w:b/>
                <w:bCs/>
                <w:color w:val="000000"/>
                <w:szCs w:val="16"/>
                <w:lang w:eastAsia="en-AU"/>
              </w:rPr>
            </w:pPr>
            <w:r w:rsidRPr="00E43489">
              <w:rPr>
                <w:rFonts w:eastAsiaTheme="minorEastAsia" w:cs="Calibri"/>
                <w:b/>
                <w:bCs/>
                <w:color w:val="000000"/>
                <w:szCs w:val="16"/>
                <w:lang w:eastAsia="en-AU"/>
              </w:rPr>
              <w:t>Total current employee benefits and on-costs</w:t>
            </w:r>
            <w:r>
              <w:rPr>
                <w:rFonts w:eastAsiaTheme="minorEastAsia" w:cs="Calibri"/>
                <w:b/>
                <w:bCs/>
                <w:color w:val="000000"/>
                <w:szCs w:val="16"/>
                <w:lang w:eastAsia="en-AU"/>
              </w:rPr>
              <w:t xml:space="preserve"> </w:t>
            </w:r>
            <w:r w:rsidRPr="007214D5">
              <w:rPr>
                <w:vertAlign w:val="superscript"/>
              </w:rPr>
              <w:t>(a)</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6 203</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6 167</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5 761</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5 715</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E43489" w:rsidRDefault="00F20535" w:rsidP="007A2EDF">
            <w:pPr>
              <w:autoSpaceDE w:val="0"/>
              <w:autoSpaceDN w:val="0"/>
              <w:adjustRightInd w:val="0"/>
              <w:rPr>
                <w:rFonts w:eastAsiaTheme="minorEastAsia" w:cs="Calibri"/>
                <w:b/>
                <w:bCs/>
                <w:color w:val="000000"/>
                <w:szCs w:val="16"/>
                <w:lang w:eastAsia="en-AU"/>
              </w:rPr>
            </w:pPr>
            <w:r w:rsidRPr="00E43489">
              <w:rPr>
                <w:rFonts w:eastAsiaTheme="minorEastAsia" w:cs="Calibri"/>
                <w:b/>
                <w:bCs/>
                <w:color w:val="000000"/>
                <w:szCs w:val="16"/>
                <w:lang w:eastAsia="en-AU"/>
              </w:rPr>
              <w:t>Non-current</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 xml:space="preserve"> </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E43489" w:rsidRDefault="00F20535" w:rsidP="007A2EDF">
            <w:pPr>
              <w:autoSpaceDE w:val="0"/>
              <w:autoSpaceDN w:val="0"/>
              <w:adjustRightInd w:val="0"/>
              <w:rPr>
                <w:rFonts w:eastAsiaTheme="minorEastAsia" w:cs="Calibri"/>
                <w:color w:val="000000"/>
                <w:szCs w:val="16"/>
                <w:lang w:eastAsia="en-AU"/>
              </w:rPr>
            </w:pPr>
            <w:r w:rsidRPr="00E43489">
              <w:rPr>
                <w:rFonts w:eastAsiaTheme="minorEastAsia" w:cs="Calibri"/>
                <w:color w:val="000000"/>
                <w:szCs w:val="16"/>
                <w:lang w:eastAsia="en-AU"/>
              </w:rPr>
              <w:t>Accrued salaries and wages</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E43489" w:rsidRDefault="00F20535" w:rsidP="007A2EDF">
            <w:pPr>
              <w:autoSpaceDE w:val="0"/>
              <w:autoSpaceDN w:val="0"/>
              <w:adjustRightInd w:val="0"/>
              <w:rPr>
                <w:rFonts w:eastAsiaTheme="minorEastAsia" w:cs="Calibri"/>
                <w:color w:val="000000"/>
                <w:szCs w:val="16"/>
                <w:lang w:eastAsia="en-AU"/>
              </w:rPr>
            </w:pPr>
            <w:r w:rsidRPr="00E43489">
              <w:rPr>
                <w:rFonts w:eastAsiaTheme="minorEastAsia" w:cs="Calibri"/>
                <w:color w:val="000000"/>
                <w:szCs w:val="16"/>
                <w:lang w:eastAsia="en-AU"/>
              </w:rPr>
              <w:t>Long service leave</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860</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854</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794</w:t>
            </w:r>
          </w:p>
        </w:tc>
        <w:tc>
          <w:tcPr>
            <w:tcW w:w="907" w:type="dxa"/>
            <w:tcBorders>
              <w:top w:val="nil"/>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791</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nil"/>
              <w:right w:val="nil"/>
            </w:tcBorders>
          </w:tcPr>
          <w:p w:rsidR="00F20535" w:rsidRPr="00E43489" w:rsidRDefault="00F20535" w:rsidP="007A2EDF">
            <w:pPr>
              <w:autoSpaceDE w:val="0"/>
              <w:autoSpaceDN w:val="0"/>
              <w:adjustRightInd w:val="0"/>
              <w:rPr>
                <w:rFonts w:eastAsiaTheme="minorEastAsia" w:cs="Calibri"/>
                <w:b/>
                <w:bCs/>
                <w:color w:val="000000"/>
                <w:szCs w:val="16"/>
                <w:lang w:eastAsia="en-AU"/>
              </w:rPr>
            </w:pPr>
            <w:r w:rsidRPr="00E43489">
              <w:rPr>
                <w:rFonts w:eastAsiaTheme="minorEastAsia" w:cs="Calibri"/>
                <w:b/>
                <w:bCs/>
                <w:color w:val="000000"/>
                <w:szCs w:val="16"/>
                <w:lang w:eastAsia="en-AU"/>
              </w:rPr>
              <w:t>Total non-current employee benefits and on-costs</w:t>
            </w:r>
            <w:r>
              <w:rPr>
                <w:rFonts w:eastAsiaTheme="minorEastAsia" w:cs="Calibri"/>
                <w:b/>
                <w:bCs/>
                <w:color w:val="000000"/>
                <w:szCs w:val="16"/>
                <w:lang w:eastAsia="en-AU"/>
              </w:rPr>
              <w:t xml:space="preserve"> </w:t>
            </w:r>
            <w:r w:rsidRPr="007214D5">
              <w:rPr>
                <w:vertAlign w:val="superscript"/>
              </w:rPr>
              <w:t>(a)</w:t>
            </w:r>
          </w:p>
        </w:tc>
        <w:tc>
          <w:tcPr>
            <w:tcW w:w="907" w:type="dxa"/>
            <w:tcBorders>
              <w:top w:val="single" w:sz="6" w:space="0" w:color="000000"/>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873</w:t>
            </w:r>
          </w:p>
        </w:tc>
        <w:tc>
          <w:tcPr>
            <w:tcW w:w="907" w:type="dxa"/>
            <w:tcBorders>
              <w:top w:val="single" w:sz="6" w:space="0" w:color="000000"/>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867</w:t>
            </w:r>
          </w:p>
        </w:tc>
        <w:tc>
          <w:tcPr>
            <w:tcW w:w="907" w:type="dxa"/>
            <w:tcBorders>
              <w:top w:val="single" w:sz="6" w:space="0" w:color="000000"/>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794</w:t>
            </w:r>
          </w:p>
        </w:tc>
        <w:tc>
          <w:tcPr>
            <w:tcW w:w="907" w:type="dxa"/>
            <w:tcBorders>
              <w:top w:val="single" w:sz="6" w:space="0" w:color="000000"/>
              <w:left w:val="nil"/>
              <w:bottom w:val="nil"/>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791</w:t>
            </w:r>
          </w:p>
        </w:tc>
      </w:tr>
      <w:tr w:rsidR="00F20535" w:rsidRPr="00E43489"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E43489" w:rsidRDefault="00F20535" w:rsidP="007A2EDF">
            <w:pPr>
              <w:autoSpaceDE w:val="0"/>
              <w:autoSpaceDN w:val="0"/>
              <w:adjustRightInd w:val="0"/>
              <w:rPr>
                <w:rFonts w:eastAsiaTheme="minorEastAsia" w:cs="Calibri"/>
                <w:b/>
                <w:bCs/>
                <w:color w:val="000000"/>
                <w:szCs w:val="16"/>
                <w:lang w:eastAsia="en-AU"/>
              </w:rPr>
            </w:pPr>
            <w:r w:rsidRPr="00E43489">
              <w:rPr>
                <w:rFonts w:eastAsiaTheme="minorEastAsia" w:cs="Calibri"/>
                <w:b/>
                <w:bCs/>
                <w:color w:val="000000"/>
                <w:szCs w:val="16"/>
                <w:lang w:eastAsia="en-AU"/>
              </w:rPr>
              <w:t>Total employee benefits and on-costs</w:t>
            </w:r>
          </w:p>
        </w:tc>
        <w:tc>
          <w:tcPr>
            <w:tcW w:w="907" w:type="dxa"/>
            <w:tcBorders>
              <w:top w:val="single" w:sz="6" w:space="0" w:color="000000"/>
              <w:left w:val="nil"/>
              <w:bottom w:val="single" w:sz="12" w:space="0" w:color="000000"/>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7 076</w:t>
            </w:r>
          </w:p>
        </w:tc>
        <w:tc>
          <w:tcPr>
            <w:tcW w:w="907" w:type="dxa"/>
            <w:tcBorders>
              <w:top w:val="single" w:sz="6" w:space="0" w:color="000000"/>
              <w:left w:val="nil"/>
              <w:bottom w:val="single" w:sz="12" w:space="0" w:color="000000"/>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7 034</w:t>
            </w:r>
          </w:p>
        </w:tc>
        <w:tc>
          <w:tcPr>
            <w:tcW w:w="907" w:type="dxa"/>
            <w:tcBorders>
              <w:top w:val="single" w:sz="6" w:space="0" w:color="000000"/>
              <w:left w:val="nil"/>
              <w:bottom w:val="single" w:sz="12" w:space="0" w:color="000000"/>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6 555</w:t>
            </w:r>
          </w:p>
        </w:tc>
        <w:tc>
          <w:tcPr>
            <w:tcW w:w="907" w:type="dxa"/>
            <w:tcBorders>
              <w:top w:val="single" w:sz="6" w:space="0" w:color="000000"/>
              <w:left w:val="nil"/>
              <w:bottom w:val="single" w:sz="12" w:space="0" w:color="000000"/>
              <w:right w:val="nil"/>
            </w:tcBorders>
          </w:tcPr>
          <w:p w:rsidR="00F20535" w:rsidRPr="00E4348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E43489">
              <w:rPr>
                <w:rFonts w:eastAsiaTheme="minorEastAsia" w:cs="Calibri"/>
                <w:b/>
                <w:bCs/>
                <w:color w:val="000000"/>
                <w:szCs w:val="18"/>
                <w:lang w:eastAsia="en-AU"/>
              </w:rPr>
              <w:t>6 506</w:t>
            </w:r>
          </w:p>
        </w:tc>
      </w:tr>
    </w:tbl>
    <w:p w:rsidR="00F20535" w:rsidRDefault="00F20535" w:rsidP="007A2EDF">
      <w:pPr>
        <w:pStyle w:val="Note"/>
      </w:pPr>
      <w:r>
        <w:t>Notes:</w:t>
      </w:r>
    </w:p>
    <w:p w:rsidR="00F20535" w:rsidRDefault="00F20535" w:rsidP="007A2EDF">
      <w:pPr>
        <w:pStyle w:val="Note"/>
      </w:pPr>
      <w:r>
        <w:t>(a)</w:t>
      </w:r>
      <w:r>
        <w:tab/>
        <w:t>June 2017 comparative figures have been reclassified</w:t>
      </w:r>
      <w:r w:rsidRPr="00D900E9">
        <w:t xml:space="preserve"> to reflect more current information.</w:t>
      </w:r>
    </w:p>
    <w:p w:rsidR="00F20535" w:rsidRDefault="00F20535" w:rsidP="007A2EDF"/>
    <w:p w:rsidR="00F20535" w:rsidRDefault="00F20535">
      <w:pPr>
        <w:rPr>
          <w:rFonts w:asciiTheme="majorHAnsi" w:hAnsiTheme="majorHAnsi"/>
          <w:b/>
          <w:sz w:val="20"/>
        </w:rPr>
      </w:pPr>
      <w:r>
        <w:br w:type="page"/>
      </w:r>
    </w:p>
    <w:p w:rsidR="00F20535" w:rsidRPr="00B64414" w:rsidRDefault="00F20535" w:rsidP="007A2EDF">
      <w:pPr>
        <w:pStyle w:val="Heading2"/>
        <w:numPr>
          <w:ilvl w:val="1"/>
          <w:numId w:val="22"/>
        </w:numPr>
        <w:rPr>
          <w:bCs/>
          <w:lang w:val="en-US"/>
        </w:rPr>
      </w:pPr>
      <w:bookmarkStart w:id="54" w:name="_Toc473541477"/>
      <w:bookmarkStart w:id="55" w:name="_Toc475960034"/>
      <w:r>
        <w:t>Superannuation expense</w:t>
      </w:r>
      <w:r w:rsidRPr="009D4D88">
        <w:t xml:space="preserve"> recognised in the operating statement</w:t>
      </w:r>
      <w:bookmarkEnd w:id="54"/>
      <w:bookmarkEnd w:id="55"/>
    </w:p>
    <w:p w:rsidR="00F20535" w:rsidRPr="0051349C" w:rsidRDefault="00F20535" w:rsidP="007A2EDF">
      <w:pPr>
        <w:pStyle w:val="TableUnits"/>
        <w:rPr>
          <w:rFonts w:eastAsia="Times New Roman" w:cs="Times New Roman"/>
          <w:bCs/>
          <w:lang w:val="en-US"/>
        </w:rPr>
      </w:pPr>
      <w:r w:rsidRPr="009D4D88">
        <w:t>($</w:t>
      </w:r>
      <w:r>
        <w:t> million</w:t>
      </w:r>
      <w:r w:rsidRPr="009D4D88">
        <w:t>)</w:t>
      </w:r>
    </w:p>
    <w:tbl>
      <w:tblPr>
        <w:tblStyle w:val="DTFTable"/>
        <w:tblW w:w="9638" w:type="dxa"/>
        <w:tblInd w:w="45" w:type="dxa"/>
        <w:tblLayout w:type="fixed"/>
        <w:tblCellMar>
          <w:left w:w="45" w:type="dxa"/>
          <w:right w:w="45" w:type="dxa"/>
        </w:tblCellMar>
        <w:tblLook w:val="06A0" w:firstRow="1" w:lastRow="0" w:firstColumn="1" w:lastColumn="0" w:noHBand="1" w:noVBand="1"/>
      </w:tblPr>
      <w:tblGrid>
        <w:gridCol w:w="7824"/>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 xml:space="preserve">Defined benefit plans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Net superannuation interest expense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Current service cost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Remeasurements: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   Expected return on superannuation assets excluding interest income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   Other actuarial (gain)/loss on superannuation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(519)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   Actuarial and other adjustments to unfunded superannuation liability</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354</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(1 953)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expense recognised in respect of defined benefit plans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(2 200)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Defined contribution plans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Employer contributions to defined contribution plans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820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744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(including pensions)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expense recognised in respect of defined contribution plans</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858</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784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superannuation (gain)/expense recognised in operating statement</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925</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(1 415)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Represented by: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Net superannuation interest expense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superannuation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1 328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Superannuation expense from transactions</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1 689</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1 564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Remeasurement recognised in other comprehensive income</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(763)</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(2 979)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superannuation costs recognised in operating statement</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925</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(1 415)</w:t>
            </w:r>
          </w:p>
        </w:tc>
      </w:tr>
    </w:tbl>
    <w:p w:rsidR="00F20535" w:rsidRDefault="00F20535" w:rsidP="007A2EDF"/>
    <w:p w:rsidR="00F20535" w:rsidRDefault="00F20535" w:rsidP="007A2EDF"/>
    <w:p w:rsidR="00F20535" w:rsidRPr="005F5DFF" w:rsidRDefault="00F20535" w:rsidP="007A2EDF">
      <w:pPr>
        <w:pStyle w:val="Heading2"/>
        <w:numPr>
          <w:ilvl w:val="1"/>
          <w:numId w:val="22"/>
        </w:numPr>
        <w:rPr>
          <w:bCs/>
          <w:lang w:val="en-US"/>
        </w:rPr>
      </w:pPr>
      <w:bookmarkStart w:id="56" w:name="_Toc473541478"/>
      <w:bookmarkStart w:id="57" w:name="_Toc475960035"/>
      <w:r>
        <w:t>Grant expense</w:t>
      </w:r>
      <w:bookmarkEnd w:id="56"/>
      <w:bookmarkEnd w:id="57"/>
    </w:p>
    <w:p w:rsidR="00F20535" w:rsidRPr="0051349C" w:rsidRDefault="00F20535" w:rsidP="007A2EDF">
      <w:pPr>
        <w:pStyle w:val="TableUnits"/>
        <w:rPr>
          <w:rFonts w:eastAsia="Times New Roman" w:cs="Times New Roman"/>
          <w:bCs/>
          <w:lang w:val="en-US"/>
        </w:rPr>
      </w:pPr>
      <w:r w:rsidRPr="009D4D88">
        <w:t>($</w:t>
      </w:r>
      <w:r>
        <w:t> million</w:t>
      </w:r>
      <w:r w:rsidRPr="009D4D88">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Current grant expense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Commonwealth government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Local government (including grants for on-passing)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Private sector and not-for-profit on-passing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1 567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1 452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1 567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1 452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private sector and not-for-profit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1 103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997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Grants within the Victorian government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1 594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Grants to other state governments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current grant expense</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3 256</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3 082</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4 984</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4 646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Capital grant expense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Local government (including grants for on-passing)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Private sector and not-for-profit on-passing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Grants within the Victorian government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grants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capital grant expense</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190</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526</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80</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278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grant expense</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3 446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3 608</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5 064</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4 924</w:t>
            </w:r>
          </w:p>
        </w:tc>
      </w:tr>
    </w:tbl>
    <w:p w:rsidR="00F20535" w:rsidRDefault="00F20535" w:rsidP="007A2EDF"/>
    <w:p w:rsidR="00F20535" w:rsidRDefault="00F20535">
      <w:pPr>
        <w:rPr>
          <w:rFonts w:asciiTheme="majorHAnsi" w:eastAsiaTheme="majorEastAsia" w:hAnsiTheme="majorHAnsi" w:cstheme="majorBidi"/>
          <w:b/>
          <w:spacing w:val="-2"/>
          <w:sz w:val="26"/>
          <w:szCs w:val="26"/>
        </w:rPr>
      </w:pPr>
      <w:bookmarkStart w:id="58" w:name="_Toc473541479"/>
      <w:r>
        <w:br w:type="page"/>
      </w:r>
    </w:p>
    <w:p w:rsidR="00F20535" w:rsidRPr="00B64414" w:rsidRDefault="00F20535" w:rsidP="007A2EDF">
      <w:pPr>
        <w:pStyle w:val="Heading2"/>
        <w:numPr>
          <w:ilvl w:val="1"/>
          <w:numId w:val="22"/>
        </w:numPr>
        <w:rPr>
          <w:bCs/>
          <w:lang w:val="en-US"/>
        </w:rPr>
      </w:pPr>
      <w:bookmarkStart w:id="59" w:name="_Toc475960036"/>
      <w:r>
        <w:t>Other operating expenses</w:t>
      </w:r>
      <w:bookmarkEnd w:id="58"/>
      <w:bookmarkEnd w:id="59"/>
    </w:p>
    <w:p w:rsidR="00F20535" w:rsidRPr="0051349C" w:rsidRDefault="00F20535" w:rsidP="007A2EDF">
      <w:pPr>
        <w:pStyle w:val="TableUnits"/>
        <w:rPr>
          <w:rFonts w:eastAsia="Times New Roman" w:cs="Times New Roman"/>
          <w:bCs/>
          <w:lang w:val="en-US"/>
        </w:rPr>
      </w:pPr>
      <w:r w:rsidRPr="009D4D88">
        <w:t>($</w:t>
      </w:r>
      <w:r>
        <w:t> million</w:t>
      </w:r>
      <w:r w:rsidRPr="009D4D88">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vertAlign w:val="superscript"/>
                <w:lang w:eastAsia="en-AU"/>
              </w:rPr>
            </w:pPr>
            <w:r w:rsidRPr="0051349C">
              <w:rPr>
                <w:rFonts w:eastAsiaTheme="minorEastAsia" w:cs="Calibri"/>
                <w:color w:val="000000"/>
                <w:szCs w:val="18"/>
                <w:lang w:eastAsia="en-AU"/>
              </w:rPr>
              <w:t xml:space="preserve">Purchase of supplies and consumables </w:t>
            </w:r>
            <w:r w:rsidRPr="0051349C">
              <w:rPr>
                <w:rFonts w:eastAsiaTheme="minorEastAsia" w:cs="Calibri"/>
                <w:color w:val="000000"/>
                <w:szCs w:val="18"/>
                <w:vertAlign w:val="superscript"/>
                <w:lang w:eastAsia="en-AU"/>
              </w:rPr>
              <w:t>(a)(b)</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2 466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2 436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2 007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1 996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Cost of goods sold</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Finance expenses and fees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241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vertAlign w:val="superscript"/>
                <w:lang w:eastAsia="en-AU"/>
              </w:rPr>
            </w:pPr>
            <w:r w:rsidRPr="0051349C">
              <w:rPr>
                <w:rFonts w:eastAsiaTheme="minorEastAsia" w:cs="Calibri"/>
                <w:color w:val="000000"/>
                <w:szCs w:val="18"/>
                <w:lang w:eastAsia="en-AU"/>
              </w:rPr>
              <w:t xml:space="preserve">Purchase of services </w:t>
            </w:r>
            <w:r w:rsidRPr="0051349C">
              <w:rPr>
                <w:rFonts w:eastAsiaTheme="minorEastAsia" w:cs="Calibri"/>
                <w:color w:val="000000"/>
                <w:szCs w:val="18"/>
                <w:vertAlign w:val="superscript"/>
                <w:lang w:eastAsia="en-AU"/>
              </w:rPr>
              <w:t>(a)(b)</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6 885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6 354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6 146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5 762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Insurance claims expense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2 807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2 581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Maintenance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693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Operating lease payments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8"/>
                <w:lang w:eastAsia="en-AU"/>
              </w:rPr>
            </w:pPr>
            <w:r w:rsidRPr="0051349C">
              <w:rPr>
                <w:rFonts w:eastAsiaTheme="minorEastAsia" w:cs="Calibri"/>
                <w:color w:val="000000"/>
                <w:szCs w:val="18"/>
                <w:lang w:eastAsia="en-AU"/>
              </w:rPr>
              <w:t>Other</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440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rPr>
                <w:rFonts w:eastAsiaTheme="minorEastAsia" w:cs="Calibri"/>
                <w:b/>
                <w:bCs/>
                <w:color w:val="000000"/>
                <w:szCs w:val="18"/>
                <w:lang w:eastAsia="en-AU"/>
              </w:rPr>
            </w:pPr>
            <w:r w:rsidRPr="0051349C">
              <w:rPr>
                <w:rFonts w:eastAsiaTheme="minorEastAsia" w:cs="Calibri"/>
                <w:b/>
                <w:bCs/>
                <w:color w:val="000000"/>
                <w:szCs w:val="18"/>
                <w:lang w:eastAsia="en-AU"/>
              </w:rPr>
              <w:t>Total other operating expenses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13 905</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12 991</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9 344</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8 987</w:t>
            </w:r>
          </w:p>
        </w:tc>
      </w:tr>
    </w:tbl>
    <w:p w:rsidR="00F20535" w:rsidRDefault="00F20535" w:rsidP="007A2EDF">
      <w:pPr>
        <w:pStyle w:val="Note"/>
      </w:pPr>
      <w:r>
        <w:t>Notes:</w:t>
      </w:r>
    </w:p>
    <w:p w:rsidR="00F20535" w:rsidRDefault="00F20535" w:rsidP="007A2EDF">
      <w:pPr>
        <w:pStyle w:val="Note"/>
      </w:pPr>
      <w:r>
        <w:t>(a)</w:t>
      </w:r>
      <w:r>
        <w:tab/>
        <w:t xml:space="preserve">A breakdown of purchase of supplies and consumables and purchase of services is provided in the following two tables. </w:t>
      </w:r>
    </w:p>
    <w:p w:rsidR="00F20535" w:rsidRDefault="00F20535" w:rsidP="007A2EDF">
      <w:pPr>
        <w:pStyle w:val="Note"/>
      </w:pPr>
      <w:r>
        <w:t>(b)</w:t>
      </w:r>
      <w:r>
        <w:tab/>
        <w:t>December</w:t>
      </w:r>
      <w:r w:rsidRPr="00C05333">
        <w:t xml:space="preserve"> 20</w:t>
      </w:r>
      <w:r>
        <w:t>16 comparative figures have been reclassified between the purchase of supplies and consumables and purchase of services line items to better reflect the nature of the expenditure items.</w:t>
      </w:r>
    </w:p>
    <w:p w:rsidR="00F20535" w:rsidRPr="00A42F99" w:rsidRDefault="00F20535" w:rsidP="007A2EDF"/>
    <w:p w:rsidR="00F20535" w:rsidRPr="0051349C" w:rsidRDefault="00F20535" w:rsidP="007A2EDF">
      <w:pPr>
        <w:pStyle w:val="TableHeading"/>
        <w:rPr>
          <w:rFonts w:eastAsia="Times New Roman" w:cs="Times New Roman"/>
          <w:bCs/>
          <w:lang w:val="en-US"/>
        </w:rPr>
      </w:pPr>
      <w:r w:rsidRPr="00A42F99">
        <w:rPr>
          <w:rStyle w:val="Heading3Char"/>
          <w:b/>
        </w:rPr>
        <w:t>Purchase of supplies and consumables</w:t>
      </w:r>
      <w:r>
        <w:rPr>
          <w:rStyle w:val="Heading3Char"/>
          <w:b/>
        </w:rPr>
        <w:t xml:space="preserve"> </w:t>
      </w:r>
      <w:r>
        <w:rPr>
          <w:rStyle w:val="Heading3Char"/>
        </w:rPr>
        <w:tab/>
      </w:r>
      <w:r w:rsidRPr="009D4D88">
        <w:t>($</w:t>
      </w:r>
      <w:r>
        <w:t> million)</w:t>
      </w:r>
    </w:p>
    <w:tbl>
      <w:tblPr>
        <w:tblStyle w:val="DTFTable"/>
        <w:tblW w:w="9631" w:type="dxa"/>
        <w:tblInd w:w="45" w:type="dxa"/>
        <w:tblLayout w:type="fixed"/>
        <w:tblCellMar>
          <w:left w:w="45" w:type="dxa"/>
          <w:right w:w="45" w:type="dxa"/>
        </w:tblCellMar>
        <w:tblLook w:val="06E0" w:firstRow="1" w:lastRow="1" w:firstColumn="1" w:lastColumn="0" w:noHBand="1" w:noVBand="1"/>
      </w:tblPr>
      <w:tblGrid>
        <w:gridCol w:w="6009"/>
        <w:gridCol w:w="907"/>
        <w:gridCol w:w="907"/>
        <w:gridCol w:w="907"/>
        <w:gridCol w:w="901"/>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08"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2017</w:t>
            </w:r>
          </w:p>
        </w:tc>
        <w:tc>
          <w:tcPr>
            <w:tcW w:w="901"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Medicinal pharmacy and medical supplies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586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599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586</w:t>
            </w:r>
          </w:p>
        </w:tc>
        <w:tc>
          <w:tcPr>
            <w:tcW w:w="90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599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Office supplies and consumables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122</w:t>
            </w:r>
          </w:p>
        </w:tc>
        <w:tc>
          <w:tcPr>
            <w:tcW w:w="90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Specialised operational supplies and consumables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73</w:t>
            </w:r>
          </w:p>
        </w:tc>
        <w:tc>
          <w:tcPr>
            <w:tcW w:w="90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purchase of supplies and consumables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1 652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1 225</w:t>
            </w:r>
          </w:p>
        </w:tc>
        <w:tc>
          <w:tcPr>
            <w:tcW w:w="90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1 207</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bottom w:val="single" w:sz="12" w:space="0" w:color="000000"/>
            </w:tcBorders>
          </w:tcPr>
          <w:p w:rsidR="00F20535" w:rsidRPr="0051349C" w:rsidRDefault="00F20535" w:rsidP="007A2EDF">
            <w:pPr>
              <w:autoSpaceDE w:val="0"/>
              <w:autoSpaceDN w:val="0"/>
              <w:adjustRightInd w:val="0"/>
              <w:rPr>
                <w:rFonts w:eastAsiaTheme="minorEastAsia" w:cs="Calibri"/>
                <w:bCs/>
                <w:color w:val="000000"/>
                <w:szCs w:val="18"/>
                <w:lang w:eastAsia="en-AU"/>
              </w:rPr>
            </w:pPr>
            <w:r w:rsidRPr="0051349C">
              <w:rPr>
                <w:rFonts w:eastAsiaTheme="minorEastAsia" w:cs="Calibri"/>
                <w:bCs/>
                <w:color w:val="000000"/>
                <w:szCs w:val="18"/>
                <w:lang w:eastAsia="en-AU"/>
              </w:rPr>
              <w:t>Total purchase of supplies and consumables</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2 466</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2 436</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2 007</w:t>
            </w:r>
          </w:p>
        </w:tc>
        <w:tc>
          <w:tcPr>
            <w:tcW w:w="901"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1 996</w:t>
            </w:r>
          </w:p>
        </w:tc>
      </w:tr>
    </w:tbl>
    <w:p w:rsidR="00F20535" w:rsidRDefault="00F20535" w:rsidP="007A2EDF"/>
    <w:p w:rsidR="00F20535" w:rsidRPr="0051349C" w:rsidRDefault="00F20535" w:rsidP="007A2EDF">
      <w:pPr>
        <w:pStyle w:val="TableHeading"/>
        <w:rPr>
          <w:rFonts w:eastAsia="Times New Roman" w:cs="Times New Roman"/>
          <w:bCs/>
          <w:lang w:val="en-US"/>
        </w:rPr>
      </w:pPr>
      <w:r w:rsidRPr="00A42F99">
        <w:rPr>
          <w:rStyle w:val="Heading3Char"/>
          <w:b/>
        </w:rPr>
        <w:t>Purchase of services</w:t>
      </w:r>
      <w:r>
        <w:rPr>
          <w:rStyle w:val="Heading3Char"/>
          <w:b/>
        </w:rPr>
        <w:t xml:space="preserve"> </w:t>
      </w:r>
      <w:r>
        <w:rPr>
          <w:rStyle w:val="Heading3Char"/>
        </w:rPr>
        <w:tab/>
      </w:r>
      <w:r w:rsidRPr="009D4D88">
        <w:t>($</w:t>
      </w:r>
      <w:r>
        <w:t> million</w:t>
      </w:r>
      <w:r w:rsidRPr="009D4D88">
        <w:t>)</w:t>
      </w:r>
    </w:p>
    <w:tbl>
      <w:tblPr>
        <w:tblStyle w:val="DTFTable"/>
        <w:tblW w:w="9637" w:type="dxa"/>
        <w:tblInd w:w="45" w:type="dxa"/>
        <w:tblLayout w:type="fixed"/>
        <w:tblCellMar>
          <w:left w:w="45" w:type="dxa"/>
          <w:right w:w="45" w:type="dxa"/>
        </w:tblCellMar>
        <w:tblLook w:val="06E0" w:firstRow="1" w:lastRow="1"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Service contracts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3 829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3 598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3 642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Accommodation/occupancy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446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Medical and client care services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Staff related expenses (non-labour related)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purchase of services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2 307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2 031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1 826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1 676</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bottom w:val="single" w:sz="12" w:space="0" w:color="000000"/>
            </w:tcBorders>
          </w:tcPr>
          <w:p w:rsidR="00F20535" w:rsidRPr="0051349C" w:rsidRDefault="00F20535" w:rsidP="007A2EDF">
            <w:pPr>
              <w:autoSpaceDE w:val="0"/>
              <w:autoSpaceDN w:val="0"/>
              <w:adjustRightInd w:val="0"/>
              <w:rPr>
                <w:rFonts w:eastAsiaTheme="minorEastAsia" w:cs="Calibri"/>
                <w:bCs/>
                <w:color w:val="000000"/>
                <w:szCs w:val="18"/>
                <w:lang w:eastAsia="en-AU"/>
              </w:rPr>
            </w:pPr>
            <w:r w:rsidRPr="0051349C">
              <w:rPr>
                <w:rFonts w:eastAsiaTheme="minorEastAsia" w:cs="Calibri"/>
                <w:bCs/>
                <w:color w:val="000000"/>
                <w:szCs w:val="18"/>
                <w:lang w:eastAsia="en-AU"/>
              </w:rPr>
              <w:t>Total purchases of services</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6 885</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6 354</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6 146</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5 762</w:t>
            </w:r>
          </w:p>
        </w:tc>
      </w:tr>
    </w:tbl>
    <w:p w:rsidR="00F20535" w:rsidRDefault="00F20535" w:rsidP="007A2EDF">
      <w:pPr>
        <w:pStyle w:val="Note"/>
      </w:pPr>
    </w:p>
    <w:p w:rsidR="00F20535" w:rsidRPr="00A42F99" w:rsidRDefault="00F20535" w:rsidP="007A2EDF">
      <w:pPr>
        <w:pStyle w:val="Note"/>
      </w:pPr>
    </w:p>
    <w:p w:rsidR="00F20535" w:rsidRDefault="00F20535">
      <w:pPr>
        <w:rPr>
          <w:rFonts w:asciiTheme="majorHAnsi" w:eastAsiaTheme="majorEastAsia" w:hAnsiTheme="majorHAnsi" w:cstheme="majorBidi"/>
          <w:b/>
          <w:spacing w:val="-2"/>
          <w:sz w:val="26"/>
          <w:szCs w:val="26"/>
        </w:rPr>
      </w:pPr>
      <w:bookmarkStart w:id="60" w:name="_Toc473541480"/>
      <w:bookmarkStart w:id="61" w:name="_Toc475960037"/>
      <w:r>
        <w:br w:type="page"/>
      </w:r>
    </w:p>
    <w:p w:rsidR="00F20535" w:rsidRDefault="00F20535" w:rsidP="000C30FB">
      <w:pPr>
        <w:pStyle w:val="Heading2"/>
        <w:numPr>
          <w:ilvl w:val="1"/>
          <w:numId w:val="15"/>
        </w:numPr>
        <w:spacing w:before="480"/>
      </w:pPr>
      <w:r>
        <w:t>Total operating expenses and purchases of non-financial assets – by department</w:t>
      </w:r>
      <w:bookmarkEnd w:id="60"/>
      <w:bookmarkEnd w:id="61"/>
    </w:p>
    <w:p w:rsidR="00F20535" w:rsidRDefault="00F20535" w:rsidP="000C30FB">
      <w:r>
        <w:t>The following table discloses the funds spent by each portfolio department, including operating expenditure and capital expenditure, as part of the department</w:t>
      </w:r>
      <w:r w:rsidR="007F4ECD">
        <w:t>’</w:t>
      </w:r>
      <w:r>
        <w:t>s normal activities.</w:t>
      </w:r>
    </w:p>
    <w:p w:rsidR="00F20535" w:rsidRPr="0051349C" w:rsidRDefault="00F20535" w:rsidP="007A2EDF">
      <w:pPr>
        <w:pStyle w:val="TableHeading"/>
        <w:rPr>
          <w:rFonts w:eastAsia="Times New Roman" w:cs="Times New Roman"/>
          <w:bCs/>
          <w:lang w:val="en-US"/>
        </w:rPr>
      </w:pPr>
      <w:r>
        <w:t>Total operating expenses and purchases of non-financial assets – by department</w:t>
      </w:r>
      <w:r>
        <w:tab/>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color w:val="FFFFFF"/>
                <w:szCs w:val="22"/>
                <w:lang w:eastAsia="en-AU"/>
              </w:rPr>
            </w:pPr>
            <w:r w:rsidRPr="0051349C">
              <w:rPr>
                <w:rFonts w:eastAsiaTheme="minorEastAsia" w:cs="Calibri"/>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Expenses from transactions</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Purchases of </w:t>
            </w:r>
            <w:r>
              <w:rPr>
                <w:rFonts w:eastAsiaTheme="minorEastAsia" w:cs="Calibri"/>
                <w:iCs/>
                <w:color w:val="FFFFFF"/>
                <w:szCs w:val="16"/>
                <w:lang w:eastAsia="en-AU"/>
              </w:rPr>
              <w:br/>
            </w:r>
            <w:r w:rsidRPr="0051349C">
              <w:rPr>
                <w:rFonts w:eastAsiaTheme="minorEastAsia" w:cs="Calibri"/>
                <w:iCs/>
                <w:color w:val="FFFFFF"/>
                <w:szCs w:val="16"/>
                <w:lang w:eastAsia="en-AU"/>
              </w:rPr>
              <w:t>non-financial assets</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color w:val="FFFFFF"/>
                <w:szCs w:val="22"/>
                <w:lang w:eastAsia="en-AU"/>
              </w:rPr>
            </w:pPr>
            <w:r w:rsidRPr="0051349C">
              <w:rPr>
                <w:rFonts w:eastAsiaTheme="minorEastAsia" w:cs="Calibri"/>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Economic Development, Jobs, Transport and Resources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7 044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6 654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3 041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2 234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Education and Training</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8 420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7 890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546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269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 xml:space="preserve">Environment, Land, Water and Planning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4 234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4 162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761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771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Health and Human Services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12 699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11 964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526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610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Justice and Regulation</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3 480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3 134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514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Premier and Cabinet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262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239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Treasury and Finance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8 216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8 559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Parliament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Courts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283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261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vertAlign w:val="superscript"/>
                <w:lang w:eastAsia="en-AU"/>
              </w:rPr>
            </w:pPr>
            <w:r w:rsidRPr="0051349C">
              <w:rPr>
                <w:rFonts w:eastAsiaTheme="minorEastAsia" w:cs="Calibri"/>
                <w:color w:val="000000"/>
                <w:szCs w:val="16"/>
                <w:lang w:eastAsia="en-AU"/>
              </w:rPr>
              <w:t>Regulatory bodies and other part budget funded agencies</w:t>
            </w:r>
            <w:r w:rsidRPr="0051349C">
              <w:rPr>
                <w:rFonts w:eastAsiaTheme="minorEastAsia" w:cs="Calibri"/>
                <w:color w:val="000000"/>
                <w:szCs w:val="16"/>
                <w:vertAlign w:val="superscript"/>
                <w:lang w:eastAsia="en-AU"/>
              </w:rPr>
              <w:t xml:space="preserve"> (a)</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1 140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1 080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auto"/>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Total</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45 873</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44 033</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5 593</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4 144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i/>
                <w:iCs/>
                <w:color w:val="000000"/>
                <w:szCs w:val="16"/>
                <w:vertAlign w:val="superscript"/>
                <w:lang w:eastAsia="en-AU"/>
              </w:rPr>
            </w:pPr>
            <w:r w:rsidRPr="0051349C">
              <w:rPr>
                <w:rFonts w:eastAsiaTheme="minorEastAsia" w:cs="Calibri"/>
                <w:i/>
                <w:iCs/>
                <w:color w:val="000000"/>
                <w:szCs w:val="16"/>
                <w:lang w:eastAsia="en-AU"/>
              </w:rPr>
              <w:t xml:space="preserve">Less eliminations and adjustments </w:t>
            </w:r>
            <w:r w:rsidRPr="0051349C">
              <w:rPr>
                <w:rFonts w:eastAsiaTheme="minorEastAsia" w:cs="Calibri"/>
                <w:i/>
                <w:iCs/>
                <w:color w:val="000000"/>
                <w:szCs w:val="16"/>
                <w:vertAlign w:val="superscript"/>
                <w:lang w:eastAsia="en-AU"/>
              </w:rPr>
              <w:t>(b)</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(11 134)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(11 114)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rPr>
                <w:rFonts w:eastAsiaTheme="minorEastAsia" w:cs="Calibri"/>
                <w:b/>
                <w:bCs/>
                <w:color w:val="000000"/>
                <w:szCs w:val="16"/>
                <w:vertAlign w:val="superscript"/>
                <w:lang w:eastAsia="en-AU"/>
              </w:rPr>
            </w:pPr>
            <w:r>
              <w:rPr>
                <w:rFonts w:eastAsiaTheme="minorEastAsia" w:cs="Calibri"/>
                <w:b/>
                <w:bCs/>
                <w:color w:val="000000"/>
                <w:szCs w:val="16"/>
                <w:lang w:eastAsia="en-AU"/>
              </w:rPr>
              <w:t>Grand total</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34 739</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32 919</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5 625</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3 938</w:t>
            </w:r>
          </w:p>
        </w:tc>
      </w:tr>
    </w:tbl>
    <w:p w:rsidR="00F20535" w:rsidRPr="0051349C" w:rsidRDefault="00F20535" w:rsidP="007A2EDF">
      <w:pPr>
        <w:pStyle w:val="TableUnits"/>
        <w:rPr>
          <w:rFonts w:eastAsia="Times New Roman" w:cs="Times New Roman"/>
          <w:bCs/>
          <w:lang w:val="en-US"/>
        </w:rPr>
      </w:pP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iCs/>
                <w:color w:val="FFFFFF"/>
                <w:szCs w:val="18"/>
                <w:lang w:eastAsia="en-AU"/>
              </w:rPr>
            </w:pPr>
            <w:r w:rsidRPr="0051349C">
              <w:rPr>
                <w:rFonts w:eastAsiaTheme="minorEastAsia" w:cs="Calibri"/>
                <w:iCs/>
                <w:color w:val="FFFFFF"/>
                <w:szCs w:val="18"/>
                <w:lang w:eastAsia="en-AU"/>
              </w:rPr>
              <w:t>General government sector</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Economic Development, Jobs, Transport and Resources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4 572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4 375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2 838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2 201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Education and Training</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8 420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7 890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546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269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Environment, Land, Water and Planning</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1 385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1 423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Health and Human Services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11 954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11 137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418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332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Justice and Regulation</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3 387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3 040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513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Premier and Cabinet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251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228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Treasury and Finance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3 346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3 394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Parliament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Courts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283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261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vertAlign w:val="superscript"/>
                <w:lang w:eastAsia="en-AU"/>
              </w:rPr>
            </w:pPr>
            <w:r w:rsidRPr="0051349C">
              <w:rPr>
                <w:rFonts w:eastAsiaTheme="minorEastAsia" w:cs="Calibri"/>
                <w:color w:val="000000"/>
                <w:szCs w:val="16"/>
                <w:lang w:eastAsia="en-AU"/>
              </w:rPr>
              <w:t xml:space="preserve">Regulatory bodies and other part budget funded agencies </w:t>
            </w:r>
            <w:r w:rsidRPr="0051349C">
              <w:rPr>
                <w:rFonts w:eastAsiaTheme="minorEastAsia" w:cs="Calibri"/>
                <w:color w:val="000000"/>
                <w:szCs w:val="16"/>
                <w:vertAlign w:val="superscript"/>
                <w:lang w:eastAsia="en-AU"/>
              </w:rPr>
              <w:t>(a)</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1 140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1 080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auto"/>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Total</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34 834</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32 919</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4 525</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3 064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i/>
                <w:iCs/>
                <w:color w:val="000000"/>
                <w:szCs w:val="16"/>
                <w:vertAlign w:val="superscript"/>
                <w:lang w:eastAsia="en-AU"/>
              </w:rPr>
            </w:pPr>
            <w:r w:rsidRPr="0051349C">
              <w:rPr>
                <w:rFonts w:eastAsiaTheme="minorEastAsia" w:cs="Calibri"/>
                <w:i/>
                <w:iCs/>
                <w:color w:val="000000"/>
                <w:szCs w:val="16"/>
                <w:lang w:eastAsia="en-AU"/>
              </w:rPr>
              <w:t xml:space="preserve">Less eliminations and adjustments </w:t>
            </w:r>
            <w:r w:rsidRPr="0051349C">
              <w:rPr>
                <w:rFonts w:eastAsiaTheme="minorEastAsia" w:cs="Calibri"/>
                <w:i/>
                <w:iCs/>
                <w:color w:val="000000"/>
                <w:szCs w:val="16"/>
                <w:vertAlign w:val="superscript"/>
                <w:lang w:eastAsia="en-AU"/>
              </w:rPr>
              <w:t>(b)</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(5 192)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(4 808)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Grand total</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29 642</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28 111</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4 570</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3 121</w:t>
            </w:r>
          </w:p>
        </w:tc>
      </w:tr>
    </w:tbl>
    <w:p w:rsidR="00F20535" w:rsidRPr="000E77CF" w:rsidRDefault="00F20535" w:rsidP="007A2EDF">
      <w:pPr>
        <w:pStyle w:val="Note"/>
        <w:rPr>
          <w:b/>
          <w:bCs/>
          <w:lang w:val="en-US"/>
        </w:rPr>
      </w:pPr>
      <w:r>
        <w:t>Notes:</w:t>
      </w:r>
    </w:p>
    <w:p w:rsidR="00F20535" w:rsidRDefault="00F20535" w:rsidP="000C30FB">
      <w:pPr>
        <w:pStyle w:val="Note"/>
      </w:pPr>
      <w:r>
        <w:t>(a)</w:t>
      </w:r>
      <w:r>
        <w:tab/>
        <w:t>Other general government sector agencies not allocated to departmental portfolios.</w:t>
      </w:r>
    </w:p>
    <w:p w:rsidR="00F20535" w:rsidRDefault="00F20535" w:rsidP="000C30FB">
      <w:pPr>
        <w:pStyle w:val="Note"/>
      </w:pPr>
      <w:r>
        <w:t>(b)</w:t>
      </w:r>
      <w:r>
        <w:tab/>
        <w:t>Mainly comprising payroll tax, capital asset charge and inter-departmental transfers.</w:t>
      </w:r>
    </w:p>
    <w:p w:rsidR="00F20535" w:rsidRDefault="00F20535" w:rsidP="007A2EDF"/>
    <w:p w:rsidR="00F20535" w:rsidRDefault="00F20535">
      <w:pPr>
        <w:rPr>
          <w:rFonts w:asciiTheme="majorHAnsi" w:eastAsiaTheme="majorEastAsia" w:hAnsiTheme="majorHAnsi" w:cstheme="majorBidi"/>
          <w:b/>
          <w:spacing w:val="-2"/>
          <w:sz w:val="26"/>
          <w:szCs w:val="26"/>
        </w:rPr>
      </w:pPr>
      <w:bookmarkStart w:id="62" w:name="_Toc473541481"/>
      <w:bookmarkStart w:id="63" w:name="_Toc475960038"/>
      <w:r>
        <w:br w:type="page"/>
      </w:r>
    </w:p>
    <w:p w:rsidR="00F20535" w:rsidRDefault="00F20535" w:rsidP="007A2EDF">
      <w:pPr>
        <w:pStyle w:val="Heading2"/>
        <w:numPr>
          <w:ilvl w:val="1"/>
          <w:numId w:val="22"/>
        </w:numPr>
      </w:pPr>
      <w:r>
        <w:t>Total operating expenses, purchases of non-financial assets and total assets –</w:t>
      </w:r>
      <w:r>
        <w:br/>
        <w:t xml:space="preserve">by government purpose classification </w:t>
      </w:r>
      <w:r w:rsidRPr="005743DB">
        <w:rPr>
          <w:vertAlign w:val="superscript"/>
        </w:rPr>
        <w:t>(a)</w:t>
      </w:r>
      <w:bookmarkEnd w:id="62"/>
      <w:bookmarkEnd w:id="63"/>
    </w:p>
    <w:p w:rsidR="00F20535" w:rsidRDefault="00F20535" w:rsidP="000C30FB">
      <w:r>
        <w:t>The following table presents operating and capital expenditure and total assets held, by government purpose classification (GPC).</w:t>
      </w:r>
      <w:r w:rsidRPr="005743DB">
        <w:t xml:space="preserve"> </w:t>
      </w:r>
    </w:p>
    <w:p w:rsidR="00F20535" w:rsidRPr="00A73B6A" w:rsidRDefault="00F20535" w:rsidP="007A2EDF">
      <w:pPr>
        <w:pStyle w:val="TableHeading"/>
        <w:rPr>
          <w:rFonts w:eastAsia="Times New Roman" w:cs="Times New Roman"/>
          <w:bCs/>
          <w:lang w:val="en-US"/>
        </w:rPr>
      </w:pPr>
      <w:r>
        <w:t>Total operating expenses, purchases of non-financial assets and total assets – by GPC</w:t>
      </w:r>
      <w:r>
        <w:tab/>
        <w:t>($ million)</w:t>
      </w:r>
    </w:p>
    <w:tbl>
      <w:tblPr>
        <w:tblStyle w:val="DTFTable"/>
        <w:tblW w:w="9637" w:type="dxa"/>
        <w:tblInd w:w="45" w:type="dxa"/>
        <w:tblLayout w:type="fixed"/>
        <w:tblCellMar>
          <w:left w:w="45" w:type="dxa"/>
          <w:right w:w="45" w:type="dxa"/>
        </w:tblCellMar>
        <w:tblLook w:val="06E0" w:firstRow="1" w:lastRow="1" w:firstColumn="1" w:lastColumn="0" w:noHBand="1" w:noVBand="1"/>
      </w:tblPr>
      <w:tblGrid>
        <w:gridCol w:w="4195"/>
        <w:gridCol w:w="907"/>
        <w:gridCol w:w="907"/>
        <w:gridCol w:w="907"/>
        <w:gridCol w:w="907"/>
        <w:gridCol w:w="907"/>
        <w:gridCol w:w="907"/>
      </w:tblGrid>
      <w:tr w:rsidR="00F20535" w:rsidRPr="00A73B6A"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shd w:val="solid" w:color="000000" w:fill="auto"/>
          </w:tcPr>
          <w:p w:rsidR="00F20535" w:rsidRPr="00A73B6A" w:rsidRDefault="00F20535" w:rsidP="007A2EDF">
            <w:pPr>
              <w:autoSpaceDE w:val="0"/>
              <w:autoSpaceDN w:val="0"/>
              <w:adjustRightInd w:val="0"/>
              <w:rPr>
                <w:rFonts w:eastAsiaTheme="minorEastAsia" w:cs="Calibri"/>
                <w:iCs/>
                <w:color w:val="FFFFFF"/>
                <w:szCs w:val="18"/>
                <w:lang w:eastAsia="en-AU"/>
              </w:rPr>
            </w:pPr>
            <w:r w:rsidRPr="00A73B6A">
              <w:rPr>
                <w:rFonts w:eastAsiaTheme="minorEastAsia" w:cs="Calibri"/>
                <w:iCs/>
                <w:color w:val="FFFFFF"/>
                <w:szCs w:val="18"/>
                <w:lang w:eastAsia="en-AU"/>
              </w:rPr>
              <w:t xml:space="preserve"> </w:t>
            </w:r>
          </w:p>
        </w:tc>
        <w:tc>
          <w:tcPr>
            <w:tcW w:w="1814" w:type="dxa"/>
            <w:gridSpan w:val="2"/>
            <w:tcBorders>
              <w:top w:val="nil"/>
              <w:left w:val="nil"/>
              <w:bottom w:val="nil"/>
              <w:right w:val="nil"/>
            </w:tcBorders>
            <w:shd w:val="solid" w:color="000000" w:fill="auto"/>
          </w:tcPr>
          <w:p w:rsidR="00F20535" w:rsidRPr="00A73B6A"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Expenses from transactions</w:t>
            </w:r>
          </w:p>
        </w:tc>
        <w:tc>
          <w:tcPr>
            <w:tcW w:w="1814" w:type="dxa"/>
            <w:gridSpan w:val="2"/>
            <w:tcBorders>
              <w:top w:val="nil"/>
              <w:left w:val="nil"/>
              <w:bottom w:val="nil"/>
              <w:right w:val="nil"/>
            </w:tcBorders>
            <w:shd w:val="solid" w:color="000000" w:fill="auto"/>
          </w:tcPr>
          <w:p w:rsidR="00F20535" w:rsidRPr="00A73B6A"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 xml:space="preserve">Purchases of </w:t>
            </w:r>
            <w:r>
              <w:rPr>
                <w:rFonts w:eastAsiaTheme="minorEastAsia" w:cs="Calibri"/>
                <w:iCs/>
                <w:color w:val="FFFFFF"/>
                <w:szCs w:val="18"/>
                <w:lang w:eastAsia="en-AU"/>
              </w:rPr>
              <w:br/>
            </w:r>
            <w:r w:rsidRPr="00A73B6A">
              <w:rPr>
                <w:rFonts w:eastAsiaTheme="minorEastAsia" w:cs="Calibri"/>
                <w:iCs/>
                <w:color w:val="FFFFFF"/>
                <w:szCs w:val="18"/>
                <w:lang w:eastAsia="en-AU"/>
              </w:rPr>
              <w:t>non-financial assets</w:t>
            </w:r>
          </w:p>
        </w:tc>
        <w:tc>
          <w:tcPr>
            <w:tcW w:w="1814" w:type="dxa"/>
            <w:gridSpan w:val="2"/>
            <w:tcBorders>
              <w:top w:val="nil"/>
              <w:left w:val="nil"/>
              <w:bottom w:val="nil"/>
              <w:right w:val="nil"/>
            </w:tcBorders>
            <w:shd w:val="solid" w:color="000000" w:fill="auto"/>
          </w:tcPr>
          <w:p w:rsidR="00F20535" w:rsidRPr="00A73B6A"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 xml:space="preserve">Total assets </w:t>
            </w:r>
          </w:p>
        </w:tc>
      </w:tr>
      <w:tr w:rsidR="00F20535" w:rsidRPr="00A73B6A"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shd w:val="solid" w:color="000000" w:fill="auto"/>
          </w:tcPr>
          <w:p w:rsidR="00F20535" w:rsidRPr="00A73B6A" w:rsidRDefault="00F20535" w:rsidP="007A2EDF">
            <w:pPr>
              <w:autoSpaceDE w:val="0"/>
              <w:autoSpaceDN w:val="0"/>
              <w:adjustRightInd w:val="0"/>
              <w:rPr>
                <w:rFonts w:eastAsiaTheme="minorEastAsia" w:cs="Calibri"/>
                <w:iCs/>
                <w:color w:val="FFFFFF"/>
                <w:szCs w:val="18"/>
                <w:lang w:eastAsia="en-AU"/>
              </w:rPr>
            </w:pPr>
            <w:r w:rsidRPr="00A73B6A">
              <w:rPr>
                <w:rFonts w:eastAsiaTheme="minorEastAsia" w:cs="Calibri"/>
                <w:iCs/>
                <w:color w:val="FFFFFF"/>
                <w:szCs w:val="18"/>
                <w:lang w:eastAsia="en-AU"/>
              </w:rPr>
              <w:t xml:space="preserve"> </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Dec</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Dec</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Dec</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Dec</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Dec</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Jun</w:t>
            </w:r>
          </w:p>
        </w:tc>
      </w:tr>
      <w:tr w:rsidR="00F20535" w:rsidRPr="00A73B6A"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shd w:val="solid" w:color="000000" w:fill="auto"/>
          </w:tcPr>
          <w:p w:rsidR="00F20535" w:rsidRPr="00A73B6A" w:rsidRDefault="00F20535" w:rsidP="007A2EDF">
            <w:pPr>
              <w:autoSpaceDE w:val="0"/>
              <w:autoSpaceDN w:val="0"/>
              <w:adjustRightInd w:val="0"/>
              <w:rPr>
                <w:rFonts w:eastAsiaTheme="minorEastAsia" w:cs="Calibri"/>
                <w:iCs/>
                <w:color w:val="FFFFFF"/>
                <w:szCs w:val="18"/>
                <w:lang w:eastAsia="en-AU"/>
              </w:rPr>
            </w:pPr>
            <w:r w:rsidRPr="00A73B6A">
              <w:rPr>
                <w:rFonts w:eastAsiaTheme="minorEastAsia" w:cs="Calibri"/>
                <w:iCs/>
                <w:color w:val="FFFFFF"/>
                <w:szCs w:val="18"/>
                <w:lang w:eastAsia="en-AU"/>
              </w:rPr>
              <w:t>State of Victoria</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2017</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2016</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2017</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2016</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2017</w:t>
            </w:r>
          </w:p>
        </w:tc>
        <w:tc>
          <w:tcPr>
            <w:tcW w:w="907" w:type="dxa"/>
            <w:tcBorders>
              <w:top w:val="nil"/>
              <w:left w:val="nil"/>
              <w:bottom w:val="nil"/>
              <w:right w:val="nil"/>
            </w:tcBorders>
            <w:shd w:val="solid" w:color="000000" w:fill="auto"/>
          </w:tcPr>
          <w:p w:rsidR="00F20535" w:rsidRPr="00A73B6A"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A73B6A">
              <w:rPr>
                <w:rFonts w:eastAsiaTheme="minorEastAsia" w:cs="Calibri"/>
                <w:iCs/>
                <w:color w:val="FFFFFF"/>
                <w:szCs w:val="18"/>
                <w:lang w:eastAsia="en-AU"/>
              </w:rPr>
              <w:t>2017</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vertAlign w:val="superscript"/>
                <w:lang w:eastAsia="en-AU"/>
              </w:rPr>
            </w:pPr>
            <w:r w:rsidRPr="00A73B6A">
              <w:rPr>
                <w:rFonts w:eastAsiaTheme="minorEastAsia" w:cs="Calibri"/>
                <w:color w:val="000000"/>
                <w:szCs w:val="18"/>
                <w:lang w:eastAsia="en-AU"/>
              </w:rPr>
              <w:t>General public services</w:t>
            </w:r>
            <w:r w:rsidRPr="00A73B6A">
              <w:rPr>
                <w:rFonts w:eastAsiaTheme="minorEastAsia" w:cs="Calibri"/>
                <w:color w:val="000000"/>
                <w:szCs w:val="18"/>
                <w:vertAlign w:val="superscript"/>
                <w:lang w:eastAsia="en-AU"/>
              </w:rPr>
              <w:t xml:space="preserve"> (b)</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5 312</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5 603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85</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2 793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3 067</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lang w:eastAsia="en-AU"/>
              </w:rPr>
            </w:pPr>
            <w:r w:rsidRPr="00A73B6A">
              <w:rPr>
                <w:rFonts w:eastAsiaTheme="minorEastAsia" w:cs="Calibri"/>
                <w:color w:val="000000"/>
                <w:szCs w:val="18"/>
                <w:lang w:eastAsia="en-AU"/>
              </w:rPr>
              <w:t>Public order and safety</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3 535</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3 182</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182</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9 223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8 301</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lang w:eastAsia="en-AU"/>
              </w:rPr>
            </w:pPr>
            <w:r w:rsidRPr="00A73B6A">
              <w:rPr>
                <w:rFonts w:eastAsiaTheme="minorEastAsia" w:cs="Calibri"/>
                <w:color w:val="000000"/>
                <w:szCs w:val="18"/>
                <w:lang w:eastAsia="en-AU"/>
              </w:rPr>
              <w:t>Education</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7 476</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7 057</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260</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22 957</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22 667</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lang w:eastAsia="en-AU"/>
              </w:rPr>
            </w:pPr>
            <w:r w:rsidRPr="00A73B6A">
              <w:rPr>
                <w:rFonts w:eastAsiaTheme="minorEastAsia" w:cs="Calibri"/>
                <w:color w:val="000000"/>
                <w:szCs w:val="18"/>
                <w:lang w:eastAsia="en-AU"/>
              </w:rPr>
              <w:t>Health</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8 874</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7 983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410</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14 666</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14 649</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lang w:eastAsia="en-AU"/>
              </w:rPr>
            </w:pPr>
            <w:r w:rsidRPr="00A73B6A">
              <w:rPr>
                <w:rFonts w:eastAsiaTheme="minorEastAsia" w:cs="Calibri"/>
                <w:color w:val="000000"/>
                <w:szCs w:val="18"/>
                <w:lang w:eastAsia="en-AU"/>
              </w:rPr>
              <w:t>Social security and welfare</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2 041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2 125</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2 193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2 129</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lang w:eastAsia="en-AU"/>
              </w:rPr>
            </w:pPr>
            <w:r w:rsidRPr="00A73B6A">
              <w:rPr>
                <w:rFonts w:eastAsiaTheme="minorEastAsia" w:cs="Calibri"/>
                <w:color w:val="000000"/>
                <w:szCs w:val="18"/>
                <w:lang w:eastAsia="en-AU"/>
              </w:rPr>
              <w:t>Housing and community amenities</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3 163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3 284</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975</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699</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80 434</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80 252</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lang w:eastAsia="en-AU"/>
              </w:rPr>
            </w:pPr>
            <w:r w:rsidRPr="00A73B6A">
              <w:rPr>
                <w:rFonts w:eastAsiaTheme="minorEastAsia" w:cs="Calibri"/>
                <w:color w:val="000000"/>
                <w:szCs w:val="18"/>
                <w:lang w:eastAsia="en-AU"/>
              </w:rPr>
              <w:t>Recreation and culture</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775</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1 113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15 722</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15 643</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lang w:eastAsia="en-AU"/>
              </w:rPr>
            </w:pPr>
            <w:r w:rsidRPr="00A73B6A">
              <w:rPr>
                <w:rFonts w:eastAsiaTheme="minorEastAsia" w:cs="Calibri"/>
                <w:color w:val="000000"/>
                <w:szCs w:val="18"/>
                <w:lang w:eastAsia="en-AU"/>
              </w:rPr>
              <w:t>Fuel and energy</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69</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lang w:eastAsia="en-AU"/>
              </w:rPr>
            </w:pPr>
            <w:r w:rsidRPr="00A73B6A">
              <w:rPr>
                <w:rFonts w:eastAsiaTheme="minorEastAsia" w:cs="Calibri"/>
                <w:color w:val="000000"/>
                <w:szCs w:val="18"/>
                <w:lang w:eastAsia="en-AU"/>
              </w:rPr>
              <w:t>Agriculture, forestry, fishing and hunting</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217</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206</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639</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651</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vertAlign w:val="superscript"/>
                <w:lang w:eastAsia="en-AU"/>
              </w:rPr>
            </w:pPr>
            <w:r w:rsidRPr="00A73B6A">
              <w:rPr>
                <w:rFonts w:eastAsiaTheme="minorEastAsia" w:cs="Calibri"/>
                <w:color w:val="000000"/>
                <w:szCs w:val="18"/>
                <w:lang w:eastAsia="en-AU"/>
              </w:rPr>
              <w:t xml:space="preserve">Transport and communications </w:t>
            </w:r>
            <w:r w:rsidRPr="00A73B6A">
              <w:rPr>
                <w:rFonts w:eastAsiaTheme="minorEastAsia" w:cs="Calibri"/>
                <w:color w:val="000000"/>
                <w:szCs w:val="18"/>
                <w:vertAlign w:val="superscript"/>
                <w:lang w:eastAsia="en-AU"/>
              </w:rPr>
              <w:t>(b)</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3 213</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2 912</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2 837</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2 035</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98 070</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96 026</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vertAlign w:val="superscript"/>
                <w:lang w:eastAsia="en-AU"/>
              </w:rPr>
            </w:pPr>
            <w:r w:rsidRPr="00A73B6A">
              <w:rPr>
                <w:rFonts w:eastAsiaTheme="minorEastAsia" w:cs="Calibri"/>
                <w:color w:val="000000"/>
                <w:szCs w:val="18"/>
                <w:lang w:eastAsia="en-AU"/>
              </w:rPr>
              <w:t xml:space="preserve">Other economic affairs </w:t>
            </w:r>
            <w:r w:rsidRPr="00A73B6A">
              <w:rPr>
                <w:rFonts w:eastAsiaTheme="minorEastAsia" w:cs="Calibri"/>
                <w:color w:val="000000"/>
                <w:szCs w:val="18"/>
                <w:vertAlign w:val="superscript"/>
                <w:lang w:eastAsia="en-AU"/>
              </w:rPr>
              <w:t>(b)</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409</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604</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88</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454</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437</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lang w:eastAsia="en-AU"/>
              </w:rPr>
            </w:pPr>
            <w:r w:rsidRPr="00A73B6A">
              <w:rPr>
                <w:rFonts w:eastAsiaTheme="minorEastAsia" w:cs="Calibri"/>
                <w:color w:val="000000"/>
                <w:szCs w:val="18"/>
                <w:lang w:eastAsia="en-AU"/>
              </w:rPr>
              <w:t>Other purposes</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940</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982</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w:t>
            </w:r>
          </w:p>
        </w:tc>
      </w:tr>
      <w:tr w:rsidR="00F20535" w:rsidRPr="00A73B6A"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A73B6A" w:rsidRDefault="00F20535" w:rsidP="007A2EDF">
            <w:pPr>
              <w:autoSpaceDE w:val="0"/>
              <w:autoSpaceDN w:val="0"/>
              <w:adjustRightInd w:val="0"/>
              <w:rPr>
                <w:rFonts w:eastAsiaTheme="minorEastAsia" w:cs="Calibri"/>
                <w:color w:val="000000"/>
                <w:szCs w:val="18"/>
                <w:vertAlign w:val="superscript"/>
                <w:lang w:eastAsia="en-AU"/>
              </w:rPr>
            </w:pPr>
            <w:r w:rsidRPr="00A73B6A">
              <w:rPr>
                <w:rFonts w:eastAsiaTheme="minorEastAsia" w:cs="Calibri"/>
                <w:color w:val="000000"/>
                <w:szCs w:val="18"/>
                <w:lang w:eastAsia="en-AU"/>
              </w:rPr>
              <w:t xml:space="preserve">Not allocated by purpose </w:t>
            </w:r>
            <w:r w:rsidRPr="00A73B6A">
              <w:rPr>
                <w:rFonts w:eastAsiaTheme="minorEastAsia" w:cs="Calibri"/>
                <w:color w:val="000000"/>
                <w:szCs w:val="18"/>
                <w:vertAlign w:val="superscript"/>
                <w:lang w:eastAsia="en-AU"/>
              </w:rPr>
              <w:t>(b)(c)(d)</w:t>
            </w:r>
            <w:r w:rsidR="007F4ECD">
              <w:rPr>
                <w:rFonts w:eastAsiaTheme="minorEastAsia" w:cs="Calibri"/>
                <w:color w:val="000000"/>
                <w:szCs w:val="18"/>
                <w:vertAlign w:val="superscript"/>
                <w:lang w:eastAsia="en-AU"/>
              </w:rPr>
              <w:t xml:space="preserve"> </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(1 287)</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(1 798)</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172</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57 141</w:t>
            </w:r>
          </w:p>
        </w:tc>
        <w:tc>
          <w:tcPr>
            <w:tcW w:w="907" w:type="dxa"/>
            <w:tcBorders>
              <w:top w:val="nil"/>
              <w:left w:val="nil"/>
              <w:bottom w:val="nil"/>
              <w:right w:val="nil"/>
            </w:tcBorders>
          </w:tcPr>
          <w:p w:rsidR="00F20535" w:rsidRPr="00A73B6A"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A73B6A">
              <w:rPr>
                <w:rFonts w:eastAsiaTheme="minorEastAsia" w:cs="Calibri"/>
                <w:color w:val="000000"/>
                <w:szCs w:val="18"/>
                <w:lang w:eastAsia="en-AU"/>
              </w:rPr>
              <w:t>57 963</w:t>
            </w:r>
          </w:p>
        </w:tc>
      </w:tr>
      <w:tr w:rsidR="00F20535" w:rsidRPr="00A73B6A"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tcBorders>
              <w:top w:val="single" w:sz="6" w:space="0" w:color="000000"/>
              <w:bottom w:val="single" w:sz="6" w:space="0" w:color="000000"/>
            </w:tcBorders>
          </w:tcPr>
          <w:p w:rsidR="00F20535" w:rsidRPr="00A73B6A" w:rsidRDefault="00F20535" w:rsidP="007A2EDF">
            <w:pPr>
              <w:autoSpaceDE w:val="0"/>
              <w:autoSpaceDN w:val="0"/>
              <w:adjustRightInd w:val="0"/>
              <w:rPr>
                <w:rFonts w:eastAsiaTheme="minorEastAsia" w:cs="Calibri"/>
                <w:bCs/>
                <w:color w:val="000000"/>
                <w:szCs w:val="16"/>
                <w:lang w:eastAsia="en-AU"/>
              </w:rPr>
            </w:pPr>
            <w:r w:rsidRPr="00A73B6A">
              <w:rPr>
                <w:rFonts w:eastAsiaTheme="minorEastAsia" w:cs="Calibri"/>
                <w:bCs/>
                <w:color w:val="000000"/>
                <w:szCs w:val="16"/>
                <w:lang w:eastAsia="en-AU"/>
              </w:rPr>
              <w:t>Total</w:t>
            </w:r>
          </w:p>
        </w:tc>
        <w:tc>
          <w:tcPr>
            <w:tcW w:w="907" w:type="dxa"/>
            <w:tcBorders>
              <w:top w:val="single" w:sz="6" w:space="0" w:color="000000"/>
              <w:bottom w:val="single" w:sz="6" w:space="0" w:color="000000"/>
            </w:tcBorders>
          </w:tcPr>
          <w:p w:rsidR="00F20535" w:rsidRPr="00A73B6A"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A73B6A">
              <w:rPr>
                <w:rFonts w:eastAsiaTheme="minorEastAsia" w:cs="Calibri"/>
                <w:bCs/>
                <w:color w:val="000000"/>
                <w:szCs w:val="18"/>
                <w:lang w:eastAsia="en-AU"/>
              </w:rPr>
              <w:t>34 739</w:t>
            </w:r>
          </w:p>
        </w:tc>
        <w:tc>
          <w:tcPr>
            <w:tcW w:w="907" w:type="dxa"/>
            <w:tcBorders>
              <w:top w:val="single" w:sz="6" w:space="0" w:color="000000"/>
              <w:bottom w:val="single" w:sz="6" w:space="0" w:color="000000"/>
            </w:tcBorders>
          </w:tcPr>
          <w:p w:rsidR="00F20535" w:rsidRPr="00A73B6A"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A73B6A">
              <w:rPr>
                <w:rFonts w:eastAsiaTheme="minorEastAsia" w:cs="Calibri"/>
                <w:bCs/>
                <w:color w:val="000000"/>
                <w:szCs w:val="18"/>
                <w:lang w:eastAsia="en-AU"/>
              </w:rPr>
              <w:t>32 919</w:t>
            </w:r>
          </w:p>
        </w:tc>
        <w:tc>
          <w:tcPr>
            <w:tcW w:w="907" w:type="dxa"/>
            <w:tcBorders>
              <w:top w:val="single" w:sz="6" w:space="0" w:color="000000"/>
              <w:bottom w:val="single" w:sz="6" w:space="0" w:color="000000"/>
            </w:tcBorders>
          </w:tcPr>
          <w:p w:rsidR="00F20535" w:rsidRPr="00A73B6A"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A73B6A">
              <w:rPr>
                <w:rFonts w:eastAsiaTheme="minorEastAsia" w:cs="Calibri"/>
                <w:bCs/>
                <w:color w:val="000000"/>
                <w:szCs w:val="18"/>
                <w:lang w:eastAsia="en-AU"/>
              </w:rPr>
              <w:t>5 625</w:t>
            </w:r>
          </w:p>
        </w:tc>
        <w:tc>
          <w:tcPr>
            <w:tcW w:w="907" w:type="dxa"/>
            <w:tcBorders>
              <w:top w:val="single" w:sz="6" w:space="0" w:color="000000"/>
              <w:bottom w:val="single" w:sz="6" w:space="0" w:color="000000"/>
            </w:tcBorders>
          </w:tcPr>
          <w:p w:rsidR="00F20535" w:rsidRPr="00A73B6A"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A73B6A">
              <w:rPr>
                <w:rFonts w:eastAsiaTheme="minorEastAsia" w:cs="Calibri"/>
                <w:bCs/>
                <w:color w:val="000000"/>
                <w:szCs w:val="18"/>
                <w:lang w:eastAsia="en-AU"/>
              </w:rPr>
              <w:t>4 960</w:t>
            </w:r>
          </w:p>
        </w:tc>
        <w:tc>
          <w:tcPr>
            <w:tcW w:w="907" w:type="dxa"/>
            <w:tcBorders>
              <w:top w:val="single" w:sz="6" w:space="0" w:color="000000"/>
              <w:bottom w:val="single" w:sz="6" w:space="0" w:color="000000"/>
            </w:tcBorders>
          </w:tcPr>
          <w:p w:rsidR="00F20535" w:rsidRPr="00A73B6A"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A73B6A">
              <w:rPr>
                <w:rFonts w:eastAsiaTheme="minorEastAsia" w:cs="Calibri"/>
                <w:bCs/>
                <w:color w:val="000000"/>
                <w:szCs w:val="18"/>
                <w:lang w:eastAsia="en-AU"/>
              </w:rPr>
              <w:t>304 323</w:t>
            </w:r>
          </w:p>
        </w:tc>
        <w:tc>
          <w:tcPr>
            <w:tcW w:w="907" w:type="dxa"/>
            <w:tcBorders>
              <w:top w:val="single" w:sz="6" w:space="0" w:color="000000"/>
              <w:bottom w:val="single" w:sz="6" w:space="0" w:color="000000"/>
            </w:tcBorders>
          </w:tcPr>
          <w:p w:rsidR="00F20535" w:rsidRPr="00A73B6A"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A73B6A">
              <w:rPr>
                <w:rFonts w:eastAsiaTheme="minorEastAsia" w:cs="Calibri"/>
                <w:bCs/>
                <w:color w:val="000000"/>
                <w:szCs w:val="18"/>
                <w:lang w:eastAsia="en-AU"/>
              </w:rPr>
              <w:t>301 818</w:t>
            </w:r>
          </w:p>
        </w:tc>
      </w:tr>
    </w:tbl>
    <w:p w:rsidR="00F20535" w:rsidRPr="0051349C" w:rsidRDefault="00F20535" w:rsidP="007A2EDF">
      <w:pPr>
        <w:pStyle w:val="TableUnits"/>
        <w:rPr>
          <w:rFonts w:eastAsia="Times New Roman" w:cs="Times New Roman"/>
          <w:bCs/>
          <w:lang w:val="en-US"/>
        </w:rPr>
      </w:pPr>
    </w:p>
    <w:tbl>
      <w:tblPr>
        <w:tblStyle w:val="DTFTable"/>
        <w:tblW w:w="9637" w:type="dxa"/>
        <w:tblInd w:w="45" w:type="dxa"/>
        <w:tblLayout w:type="fixed"/>
        <w:tblCellMar>
          <w:left w:w="45" w:type="dxa"/>
          <w:right w:w="45" w:type="dxa"/>
        </w:tblCellMar>
        <w:tblLook w:val="06E0" w:firstRow="1" w:lastRow="1" w:firstColumn="1" w:lastColumn="0" w:noHBand="1" w:noVBand="1"/>
      </w:tblPr>
      <w:tblGrid>
        <w:gridCol w:w="4195"/>
        <w:gridCol w:w="907"/>
        <w:gridCol w:w="907"/>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18"/>
                <w:lang w:eastAsia="en-AU"/>
              </w:rPr>
            </w:pPr>
            <w:r w:rsidRPr="0051349C">
              <w:rPr>
                <w:rFonts w:eastAsiaTheme="minorEastAsia" w:cs="Calibri"/>
                <w:iCs/>
                <w:color w:val="FFFFFF"/>
                <w:szCs w:val="18"/>
                <w:lang w:eastAsia="en-AU"/>
              </w:rPr>
              <w:t>General government sector</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General public services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2 220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2 195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Public order and safety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3 593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3 235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9 223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8 301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Education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7 511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7 094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22 957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22 667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Health</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8 945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8 046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14 643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14 627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Social security and welfare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2 055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2 129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Housing and community amenities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1 323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1 385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9 725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9 747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Recreation and culture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385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9 604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9 537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Fuel and energy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Agriculture, forestry, fishing and hunting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581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591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vertAlign w:val="superscript"/>
                <w:lang w:eastAsia="en-AU"/>
              </w:rPr>
            </w:pPr>
            <w:r w:rsidRPr="0051349C">
              <w:rPr>
                <w:rFonts w:eastAsiaTheme="minorEastAsia" w:cs="Calibri"/>
                <w:color w:val="000000"/>
                <w:szCs w:val="18"/>
                <w:lang w:eastAsia="en-AU"/>
              </w:rPr>
              <w:t>Transport and communications</w:t>
            </w:r>
            <w:r>
              <w:rPr>
                <w:rFonts w:eastAsiaTheme="minorEastAsia" w:cs="Calibri"/>
                <w:color w:val="000000"/>
                <w:szCs w:val="18"/>
                <w:lang w:eastAsia="en-AU"/>
              </w:rPr>
              <w:t xml:space="preserve"> </w:t>
            </w:r>
            <w:r w:rsidRPr="0051349C">
              <w:rPr>
                <w:rFonts w:eastAsiaTheme="minorEastAsia" w:cs="Calibri"/>
                <w:color w:val="000000"/>
                <w:szCs w:val="18"/>
                <w:vertAlign w:val="superscript"/>
                <w:lang w:eastAsia="en-AU"/>
              </w:rPr>
              <w:t>(b)</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3 573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3 214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2 782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2 073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54 312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53 787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vertAlign w:val="superscript"/>
                <w:lang w:eastAsia="en-AU"/>
              </w:rPr>
            </w:pPr>
            <w:r w:rsidRPr="0051349C">
              <w:rPr>
                <w:rFonts w:eastAsiaTheme="minorEastAsia" w:cs="Calibri"/>
                <w:color w:val="000000"/>
                <w:szCs w:val="18"/>
                <w:lang w:eastAsia="en-AU"/>
              </w:rPr>
              <w:t>Other economic affairs</w:t>
            </w:r>
            <w:r>
              <w:rPr>
                <w:rFonts w:eastAsiaTheme="minorEastAsia" w:cs="Calibri"/>
                <w:color w:val="000000"/>
                <w:szCs w:val="18"/>
                <w:lang w:eastAsia="en-AU"/>
              </w:rPr>
              <w:t xml:space="preserve"> </w:t>
            </w:r>
            <w:r w:rsidRPr="0051349C">
              <w:rPr>
                <w:rFonts w:eastAsiaTheme="minorEastAsia" w:cs="Calibri"/>
                <w:color w:val="000000"/>
                <w:szCs w:val="18"/>
                <w:vertAlign w:val="superscript"/>
                <w:lang w:eastAsia="en-AU"/>
              </w:rPr>
              <w:t>(b)</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683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purposes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vertAlign w:val="superscript"/>
                <w:lang w:eastAsia="en-AU"/>
              </w:rPr>
            </w:pPr>
            <w:r w:rsidRPr="0051349C">
              <w:rPr>
                <w:rFonts w:eastAsiaTheme="minorEastAsia" w:cs="Calibri"/>
                <w:color w:val="000000"/>
                <w:szCs w:val="18"/>
                <w:lang w:eastAsia="en-AU"/>
              </w:rPr>
              <w:t xml:space="preserve">Not allocated by purpose </w:t>
            </w:r>
            <w:r w:rsidRPr="0051349C">
              <w:rPr>
                <w:rFonts w:eastAsiaTheme="minorEastAsia" w:cs="Calibri"/>
                <w:color w:val="000000"/>
                <w:szCs w:val="18"/>
                <w:vertAlign w:val="superscript"/>
                <w:lang w:eastAsia="en-AU"/>
              </w:rPr>
              <w:t>(c)(d)</w:t>
            </w:r>
            <w:r w:rsidR="007F4ECD">
              <w:rPr>
                <w:rFonts w:eastAsiaTheme="minorEastAsia" w:cs="Calibri"/>
                <w:color w:val="000000"/>
                <w:szCs w:val="18"/>
                <w:vertAlign w:val="superscript"/>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(276)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121 050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120 431</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tcBorders>
              <w:top w:val="single" w:sz="6" w:space="0" w:color="auto"/>
              <w:bottom w:val="single" w:sz="12" w:space="0" w:color="auto"/>
            </w:tcBorders>
          </w:tcPr>
          <w:p w:rsidR="00F20535" w:rsidRPr="0051349C" w:rsidRDefault="00F20535" w:rsidP="007A2EDF">
            <w:pPr>
              <w:autoSpaceDE w:val="0"/>
              <w:autoSpaceDN w:val="0"/>
              <w:adjustRightInd w:val="0"/>
              <w:rPr>
                <w:rFonts w:eastAsiaTheme="minorEastAsia" w:cs="Calibri"/>
                <w:bCs/>
                <w:color w:val="000000"/>
                <w:szCs w:val="16"/>
                <w:lang w:eastAsia="en-AU"/>
              </w:rPr>
            </w:pPr>
            <w:r w:rsidRPr="0051349C">
              <w:rPr>
                <w:rFonts w:eastAsiaTheme="minorEastAsia" w:cs="Calibri"/>
                <w:bCs/>
                <w:color w:val="000000"/>
                <w:szCs w:val="16"/>
                <w:lang w:eastAsia="en-AU"/>
              </w:rPr>
              <w:t>Total</w:t>
            </w:r>
          </w:p>
        </w:tc>
        <w:tc>
          <w:tcPr>
            <w:tcW w:w="907" w:type="dxa"/>
            <w:tcBorders>
              <w:top w:val="single" w:sz="6" w:space="0" w:color="auto"/>
              <w:bottom w:val="single" w:sz="12" w:space="0" w:color="auto"/>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29 642</w:t>
            </w:r>
          </w:p>
        </w:tc>
        <w:tc>
          <w:tcPr>
            <w:tcW w:w="907" w:type="dxa"/>
            <w:tcBorders>
              <w:top w:val="single" w:sz="6" w:space="0" w:color="auto"/>
              <w:bottom w:val="single" w:sz="12" w:space="0" w:color="auto"/>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28 111</w:t>
            </w:r>
          </w:p>
        </w:tc>
        <w:tc>
          <w:tcPr>
            <w:tcW w:w="907" w:type="dxa"/>
            <w:tcBorders>
              <w:top w:val="single" w:sz="6" w:space="0" w:color="auto"/>
              <w:bottom w:val="single" w:sz="12" w:space="0" w:color="auto"/>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4 570</w:t>
            </w:r>
          </w:p>
        </w:tc>
        <w:tc>
          <w:tcPr>
            <w:tcW w:w="907" w:type="dxa"/>
            <w:tcBorders>
              <w:top w:val="single" w:sz="6" w:space="0" w:color="auto"/>
              <w:bottom w:val="single" w:sz="12" w:space="0" w:color="auto"/>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3 121</w:t>
            </w:r>
          </w:p>
        </w:tc>
        <w:tc>
          <w:tcPr>
            <w:tcW w:w="907" w:type="dxa"/>
            <w:tcBorders>
              <w:top w:val="single" w:sz="6" w:space="0" w:color="auto"/>
              <w:bottom w:val="single" w:sz="12" w:space="0" w:color="auto"/>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246 990</w:t>
            </w:r>
          </w:p>
        </w:tc>
        <w:tc>
          <w:tcPr>
            <w:tcW w:w="907" w:type="dxa"/>
            <w:tcBorders>
              <w:top w:val="single" w:sz="6" w:space="0" w:color="auto"/>
              <w:bottom w:val="single" w:sz="12" w:space="0" w:color="auto"/>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244 478</w:t>
            </w:r>
          </w:p>
        </w:tc>
      </w:tr>
    </w:tbl>
    <w:p w:rsidR="00F20535" w:rsidRDefault="00F20535" w:rsidP="007A2EDF">
      <w:pPr>
        <w:pStyle w:val="Note"/>
      </w:pPr>
      <w:r>
        <w:t>Notes:</w:t>
      </w:r>
    </w:p>
    <w:p w:rsidR="00F20535" w:rsidRDefault="00F20535" w:rsidP="000C30FB">
      <w:pPr>
        <w:pStyle w:val="Note"/>
      </w:pPr>
      <w:r>
        <w:t>(a)</w:t>
      </w:r>
      <w:r>
        <w:tab/>
        <w:t xml:space="preserve">Note 3.6 of the </w:t>
      </w:r>
      <w:r>
        <w:rPr>
          <w:i w:val="0"/>
        </w:rPr>
        <w:t>2016-17</w:t>
      </w:r>
      <w:r w:rsidRPr="00815301">
        <w:rPr>
          <w:i w:val="0"/>
        </w:rPr>
        <w:t xml:space="preserve"> Financial Report</w:t>
      </w:r>
      <w:r>
        <w:t xml:space="preserve"> for the State of Victoria provides definitions and descriptions of government purpose classifications.</w:t>
      </w:r>
    </w:p>
    <w:p w:rsidR="00F20535" w:rsidRDefault="00F20535" w:rsidP="000C30FB">
      <w:pPr>
        <w:pStyle w:val="Note"/>
      </w:pPr>
      <w:r>
        <w:t>(b)</w:t>
      </w:r>
      <w:r>
        <w:tab/>
      </w:r>
      <w:r w:rsidRPr="00D900E9">
        <w:t>December 2016 comparative figures have been restated to reflect more current information.</w:t>
      </w:r>
    </w:p>
    <w:p w:rsidR="00F20535" w:rsidRDefault="00F20535" w:rsidP="007A2EDF">
      <w:pPr>
        <w:pStyle w:val="Note"/>
      </w:pPr>
      <w:r>
        <w:t>(c)</w:t>
      </w:r>
      <w:r>
        <w:tab/>
        <w:t>Not allocated by purpose for expenses and purchases of non-financial assets represents eliminations and adjustments.</w:t>
      </w:r>
    </w:p>
    <w:p w:rsidR="00F20535" w:rsidRDefault="00F20535" w:rsidP="000C30FB">
      <w:pPr>
        <w:pStyle w:val="Note"/>
      </w:pPr>
      <w:r>
        <w:t>(d)</w:t>
      </w:r>
      <w:r>
        <w:tab/>
        <w:t>Not allocated by purpose for total assets represents eliminations and adjustments, and financial assets which are not able to be allocated by purpose.</w:t>
      </w:r>
    </w:p>
    <w:p w:rsidR="00F20535" w:rsidRDefault="00F20535"/>
    <w:bookmarkEnd w:id="47"/>
    <w:p w:rsidR="00F20535" w:rsidRDefault="00F20535">
      <w:pPr>
        <w:rPr>
          <w:rFonts w:asciiTheme="majorHAnsi" w:eastAsiaTheme="majorEastAsia" w:hAnsiTheme="majorHAnsi" w:cstheme="majorBidi"/>
          <w:b/>
          <w:bCs/>
          <w:caps/>
          <w:spacing w:val="-2"/>
          <w:sz w:val="26"/>
          <w:szCs w:val="28"/>
        </w:rPr>
      </w:pPr>
      <w:r>
        <w:br w:type="page"/>
      </w:r>
    </w:p>
    <w:p w:rsidR="00F20535" w:rsidRDefault="00F20535" w:rsidP="007A2EDF">
      <w:pPr>
        <w:pStyle w:val="Heading1"/>
        <w:numPr>
          <w:ilvl w:val="0"/>
          <w:numId w:val="22"/>
        </w:numPr>
      </w:pPr>
      <w:bookmarkStart w:id="64" w:name="_Toc473541482"/>
      <w:bookmarkStart w:id="65" w:name="_Toc508201401"/>
      <w:bookmarkStart w:id="66" w:name="Section4"/>
      <w:r>
        <w:t>Major assets and investments</w:t>
      </w:r>
      <w:bookmarkEnd w:id="64"/>
      <w:bookmarkEnd w:id="65"/>
    </w:p>
    <w:p w:rsidR="00F20535" w:rsidRDefault="00F20535" w:rsidP="000C30FB">
      <w:pPr>
        <w:pStyle w:val="Heading20"/>
        <w:sectPr w:rsidR="00F20535" w:rsidSect="000C30FB">
          <w:headerReference w:type="even" r:id="rId66"/>
          <w:headerReference w:type="default" r:id="rId67"/>
          <w:footerReference w:type="even" r:id="rId68"/>
          <w:footerReference w:type="default" r:id="rId69"/>
          <w:type w:val="continuous"/>
          <w:pgSz w:w="11907" w:h="16839" w:code="9"/>
          <w:pgMar w:top="1134" w:right="1134" w:bottom="1134" w:left="1134" w:header="624" w:footer="567" w:gutter="0"/>
          <w:cols w:sep="1" w:space="567"/>
          <w:docGrid w:linePitch="360"/>
        </w:sectPr>
      </w:pPr>
    </w:p>
    <w:p w:rsidR="00F20535" w:rsidRDefault="00F20535" w:rsidP="000C30FB">
      <w:pPr>
        <w:pStyle w:val="Heading20"/>
      </w:pPr>
      <w:bookmarkStart w:id="67" w:name="_Toc473541483"/>
      <w:r>
        <w:t>Introduction</w:t>
      </w:r>
      <w:bookmarkEnd w:id="67"/>
    </w:p>
    <w:p w:rsidR="00F20535" w:rsidRDefault="00F20535" w:rsidP="000C30FB">
      <w:r>
        <w:t>This section outlines the assets that the State controls, reflecting investing activities in the current and prior years.</w:t>
      </w:r>
    </w:p>
    <w:p w:rsidR="00F20535" w:rsidRDefault="00F20535" w:rsidP="000C30FB">
      <w:pPr>
        <w:pStyle w:val="Heading20"/>
      </w:pPr>
      <w:r>
        <w:br w:type="column"/>
        <w:t>Structure</w:t>
      </w:r>
    </w:p>
    <w:p w:rsidR="00F20535" w:rsidRDefault="00F20535">
      <w:pPr>
        <w:pStyle w:val="TOC9"/>
        <w:rPr>
          <w:rFonts w:eastAsiaTheme="minorEastAsia"/>
          <w:noProof/>
          <w:spacing w:val="0"/>
          <w:lang w:eastAsia="en-AU"/>
        </w:rPr>
      </w:pPr>
      <w:r>
        <w:fldChar w:fldCharType="begin"/>
      </w:r>
      <w:r>
        <w:instrText xml:space="preserve"> TOC \h \z \t "Heading 2 (#),9" \b Section4 </w:instrText>
      </w:r>
      <w:r>
        <w:fldChar w:fldCharType="separate"/>
      </w:r>
      <w:hyperlink w:anchor="_Toc502906841" w:history="1">
        <w:r w:rsidRPr="0031321E">
          <w:rPr>
            <w:rStyle w:val="Hyperlink"/>
            <w:noProof/>
          </w:rPr>
          <w:t>4.1</w:t>
        </w:r>
        <w:r>
          <w:rPr>
            <w:rFonts w:eastAsiaTheme="minorEastAsia"/>
            <w:noProof/>
            <w:spacing w:val="0"/>
            <w:lang w:eastAsia="en-AU"/>
          </w:rPr>
          <w:tab/>
        </w:r>
        <w:r w:rsidRPr="0031321E">
          <w:rPr>
            <w:rStyle w:val="Hyperlink"/>
            <w:noProof/>
          </w:rPr>
          <w:t>Total land, buildings, infrastructure, plant and equipment</w:t>
        </w:r>
        <w:r>
          <w:rPr>
            <w:noProof/>
            <w:webHidden/>
          </w:rPr>
          <w:tab/>
        </w:r>
        <w:r>
          <w:rPr>
            <w:noProof/>
            <w:webHidden/>
          </w:rPr>
          <w:fldChar w:fldCharType="begin"/>
        </w:r>
        <w:r>
          <w:rPr>
            <w:noProof/>
            <w:webHidden/>
          </w:rPr>
          <w:instrText xml:space="preserve"> PAGEREF _Toc502906841 \h </w:instrText>
        </w:r>
        <w:r>
          <w:rPr>
            <w:noProof/>
            <w:webHidden/>
          </w:rPr>
        </w:r>
        <w:r>
          <w:rPr>
            <w:noProof/>
            <w:webHidden/>
          </w:rPr>
          <w:fldChar w:fldCharType="separate"/>
        </w:r>
        <w:r w:rsidR="00FF6398">
          <w:rPr>
            <w:noProof/>
            <w:webHidden/>
          </w:rPr>
          <w:t>25</w:t>
        </w:r>
        <w:r>
          <w:rPr>
            <w:noProof/>
            <w:webHidden/>
          </w:rPr>
          <w:fldChar w:fldCharType="end"/>
        </w:r>
      </w:hyperlink>
    </w:p>
    <w:p w:rsidR="00F20535" w:rsidRDefault="00C0501E">
      <w:pPr>
        <w:pStyle w:val="TOC9"/>
        <w:rPr>
          <w:rFonts w:eastAsiaTheme="minorEastAsia"/>
          <w:noProof/>
          <w:spacing w:val="0"/>
          <w:lang w:eastAsia="en-AU"/>
        </w:rPr>
      </w:pPr>
      <w:hyperlink w:anchor="_Toc502906842" w:history="1">
        <w:r w:rsidR="00F20535" w:rsidRPr="0031321E">
          <w:rPr>
            <w:rStyle w:val="Hyperlink"/>
            <w:noProof/>
          </w:rPr>
          <w:t>4.2</w:t>
        </w:r>
        <w:r w:rsidR="00F20535">
          <w:rPr>
            <w:rFonts w:eastAsiaTheme="minorEastAsia"/>
            <w:noProof/>
            <w:spacing w:val="0"/>
            <w:lang w:eastAsia="en-AU"/>
          </w:rPr>
          <w:tab/>
        </w:r>
        <w:r w:rsidR="00F20535" w:rsidRPr="0031321E">
          <w:rPr>
            <w:rStyle w:val="Hyperlink"/>
            <w:noProof/>
          </w:rPr>
          <w:t>Depreciation</w:t>
        </w:r>
        <w:r w:rsidR="00F20535">
          <w:rPr>
            <w:noProof/>
            <w:webHidden/>
          </w:rPr>
          <w:tab/>
        </w:r>
        <w:r w:rsidR="00F20535">
          <w:rPr>
            <w:noProof/>
            <w:webHidden/>
          </w:rPr>
          <w:fldChar w:fldCharType="begin"/>
        </w:r>
        <w:r w:rsidR="00F20535">
          <w:rPr>
            <w:noProof/>
            <w:webHidden/>
          </w:rPr>
          <w:instrText xml:space="preserve"> PAGEREF _Toc502906842 \h </w:instrText>
        </w:r>
        <w:r w:rsidR="00F20535">
          <w:rPr>
            <w:noProof/>
            <w:webHidden/>
          </w:rPr>
        </w:r>
        <w:r w:rsidR="00F20535">
          <w:rPr>
            <w:noProof/>
            <w:webHidden/>
          </w:rPr>
          <w:fldChar w:fldCharType="separate"/>
        </w:r>
        <w:r w:rsidR="00FF6398">
          <w:rPr>
            <w:noProof/>
            <w:webHidden/>
          </w:rPr>
          <w:t>26</w:t>
        </w:r>
        <w:r w:rsidR="00F20535">
          <w:rPr>
            <w:noProof/>
            <w:webHidden/>
          </w:rPr>
          <w:fldChar w:fldCharType="end"/>
        </w:r>
      </w:hyperlink>
    </w:p>
    <w:p w:rsidR="00F20535" w:rsidRDefault="00C0501E">
      <w:pPr>
        <w:pStyle w:val="TOC9"/>
        <w:rPr>
          <w:rFonts w:eastAsiaTheme="minorEastAsia"/>
          <w:noProof/>
          <w:spacing w:val="0"/>
          <w:lang w:eastAsia="en-AU"/>
        </w:rPr>
      </w:pPr>
      <w:hyperlink w:anchor="_Toc502906843" w:history="1">
        <w:r w:rsidR="00F20535" w:rsidRPr="0031321E">
          <w:rPr>
            <w:rStyle w:val="Hyperlink"/>
            <w:noProof/>
          </w:rPr>
          <w:t>4.3</w:t>
        </w:r>
        <w:r w:rsidR="00F20535">
          <w:rPr>
            <w:rFonts w:eastAsiaTheme="minorEastAsia"/>
            <w:noProof/>
            <w:spacing w:val="0"/>
            <w:lang w:eastAsia="en-AU"/>
          </w:rPr>
          <w:tab/>
        </w:r>
        <w:r w:rsidR="00F20535" w:rsidRPr="0031321E">
          <w:rPr>
            <w:rStyle w:val="Hyperlink"/>
            <w:noProof/>
          </w:rPr>
          <w:t>Total land, buildings, infrastructure, plant and equipment – by government purpose</w:t>
        </w:r>
        <w:r w:rsidR="00F20535">
          <w:rPr>
            <w:noProof/>
            <w:webHidden/>
          </w:rPr>
          <w:tab/>
        </w:r>
        <w:r w:rsidR="00F20535">
          <w:rPr>
            <w:noProof/>
            <w:webHidden/>
          </w:rPr>
          <w:fldChar w:fldCharType="begin"/>
        </w:r>
        <w:r w:rsidR="00F20535">
          <w:rPr>
            <w:noProof/>
            <w:webHidden/>
          </w:rPr>
          <w:instrText xml:space="preserve"> PAGEREF _Toc502906843 \h </w:instrText>
        </w:r>
        <w:r w:rsidR="00F20535">
          <w:rPr>
            <w:noProof/>
            <w:webHidden/>
          </w:rPr>
        </w:r>
        <w:r w:rsidR="00F20535">
          <w:rPr>
            <w:noProof/>
            <w:webHidden/>
          </w:rPr>
          <w:fldChar w:fldCharType="separate"/>
        </w:r>
        <w:r w:rsidR="00FF6398">
          <w:rPr>
            <w:noProof/>
            <w:webHidden/>
          </w:rPr>
          <w:t>27</w:t>
        </w:r>
        <w:r w:rsidR="00F20535">
          <w:rPr>
            <w:noProof/>
            <w:webHidden/>
          </w:rPr>
          <w:fldChar w:fldCharType="end"/>
        </w:r>
      </w:hyperlink>
    </w:p>
    <w:p w:rsidR="00F20535" w:rsidRDefault="00C0501E">
      <w:pPr>
        <w:pStyle w:val="TOC9"/>
        <w:rPr>
          <w:rFonts w:eastAsiaTheme="minorEastAsia"/>
          <w:noProof/>
          <w:spacing w:val="0"/>
          <w:lang w:eastAsia="en-AU"/>
        </w:rPr>
      </w:pPr>
      <w:hyperlink w:anchor="_Toc502906844" w:history="1">
        <w:r w:rsidR="00F20535" w:rsidRPr="0031321E">
          <w:rPr>
            <w:rStyle w:val="Hyperlink"/>
            <w:noProof/>
          </w:rPr>
          <w:t>4.4</w:t>
        </w:r>
        <w:r w:rsidR="00F20535">
          <w:rPr>
            <w:rFonts w:eastAsiaTheme="minorEastAsia"/>
            <w:noProof/>
            <w:spacing w:val="0"/>
            <w:lang w:eastAsia="en-AU"/>
          </w:rPr>
          <w:tab/>
        </w:r>
        <w:r w:rsidR="00F20535" w:rsidRPr="0031321E">
          <w:rPr>
            <w:rStyle w:val="Hyperlink"/>
            <w:noProof/>
          </w:rPr>
          <w:t>Other non-financial assets</w:t>
        </w:r>
        <w:r w:rsidR="00F20535">
          <w:rPr>
            <w:noProof/>
            <w:webHidden/>
          </w:rPr>
          <w:tab/>
        </w:r>
        <w:r w:rsidR="00F20535">
          <w:rPr>
            <w:noProof/>
            <w:webHidden/>
          </w:rPr>
          <w:fldChar w:fldCharType="begin"/>
        </w:r>
        <w:r w:rsidR="00F20535">
          <w:rPr>
            <w:noProof/>
            <w:webHidden/>
          </w:rPr>
          <w:instrText xml:space="preserve"> PAGEREF _Toc502906844 \h </w:instrText>
        </w:r>
        <w:r w:rsidR="00F20535">
          <w:rPr>
            <w:noProof/>
            <w:webHidden/>
          </w:rPr>
        </w:r>
        <w:r w:rsidR="00F20535">
          <w:rPr>
            <w:noProof/>
            <w:webHidden/>
          </w:rPr>
          <w:fldChar w:fldCharType="separate"/>
        </w:r>
        <w:r w:rsidR="00FF6398">
          <w:rPr>
            <w:noProof/>
            <w:webHidden/>
          </w:rPr>
          <w:t>29</w:t>
        </w:r>
        <w:r w:rsidR="00F20535">
          <w:rPr>
            <w:noProof/>
            <w:webHidden/>
          </w:rPr>
          <w:fldChar w:fldCharType="end"/>
        </w:r>
      </w:hyperlink>
    </w:p>
    <w:p w:rsidR="00F20535" w:rsidRDefault="00C0501E">
      <w:pPr>
        <w:pStyle w:val="TOC9"/>
        <w:rPr>
          <w:rFonts w:eastAsiaTheme="minorEastAsia"/>
          <w:noProof/>
          <w:spacing w:val="0"/>
          <w:lang w:eastAsia="en-AU"/>
        </w:rPr>
      </w:pPr>
      <w:hyperlink w:anchor="_Toc502906845" w:history="1">
        <w:r w:rsidR="00F20535" w:rsidRPr="0031321E">
          <w:rPr>
            <w:rStyle w:val="Hyperlink"/>
            <w:bCs/>
            <w:noProof/>
            <w:lang w:val="en-US"/>
          </w:rPr>
          <w:t>4.5</w:t>
        </w:r>
        <w:r w:rsidR="00F20535">
          <w:rPr>
            <w:rFonts w:eastAsiaTheme="minorEastAsia"/>
            <w:noProof/>
            <w:spacing w:val="0"/>
            <w:lang w:eastAsia="en-AU"/>
          </w:rPr>
          <w:tab/>
        </w:r>
        <w:r w:rsidR="00F20535" w:rsidRPr="0031321E">
          <w:rPr>
            <w:rStyle w:val="Hyperlink"/>
            <w:noProof/>
          </w:rPr>
          <w:t>Investments accounted for using the equity method</w:t>
        </w:r>
        <w:r w:rsidR="00F20535">
          <w:rPr>
            <w:noProof/>
            <w:webHidden/>
          </w:rPr>
          <w:tab/>
        </w:r>
        <w:r w:rsidR="00F20535">
          <w:rPr>
            <w:noProof/>
            <w:webHidden/>
          </w:rPr>
          <w:fldChar w:fldCharType="begin"/>
        </w:r>
        <w:r w:rsidR="00F20535">
          <w:rPr>
            <w:noProof/>
            <w:webHidden/>
          </w:rPr>
          <w:instrText xml:space="preserve"> PAGEREF _Toc502906845 \h </w:instrText>
        </w:r>
        <w:r w:rsidR="00F20535">
          <w:rPr>
            <w:noProof/>
            <w:webHidden/>
          </w:rPr>
        </w:r>
        <w:r w:rsidR="00F20535">
          <w:rPr>
            <w:noProof/>
            <w:webHidden/>
          </w:rPr>
          <w:fldChar w:fldCharType="separate"/>
        </w:r>
        <w:r w:rsidR="00FF6398">
          <w:rPr>
            <w:noProof/>
            <w:webHidden/>
          </w:rPr>
          <w:t>29</w:t>
        </w:r>
        <w:r w:rsidR="00F20535">
          <w:rPr>
            <w:noProof/>
            <w:webHidden/>
          </w:rPr>
          <w:fldChar w:fldCharType="end"/>
        </w:r>
      </w:hyperlink>
    </w:p>
    <w:p w:rsidR="00F20535" w:rsidRDefault="00F20535" w:rsidP="000C30FB">
      <w:pPr>
        <w:pStyle w:val="TOC9"/>
      </w:pPr>
      <w:r>
        <w:fldChar w:fldCharType="end"/>
      </w:r>
    </w:p>
    <w:p w:rsidR="00F20535" w:rsidRPr="005F5DFF" w:rsidRDefault="00F20535" w:rsidP="000C30FB">
      <w:pPr>
        <w:sectPr w:rsidR="00F20535" w:rsidRPr="005F5DFF" w:rsidSect="000C30FB">
          <w:type w:val="continuous"/>
          <w:pgSz w:w="11907" w:h="16839" w:code="9"/>
          <w:pgMar w:top="1134" w:right="1134" w:bottom="1134" w:left="1134" w:header="624" w:footer="567" w:gutter="0"/>
          <w:cols w:num="2" w:space="567"/>
          <w:docGrid w:linePitch="360"/>
        </w:sectPr>
      </w:pPr>
    </w:p>
    <w:p w:rsidR="00F20535" w:rsidRDefault="00F20535" w:rsidP="007A2EDF">
      <w:pPr>
        <w:pStyle w:val="Heading2"/>
        <w:numPr>
          <w:ilvl w:val="1"/>
          <w:numId w:val="22"/>
        </w:numPr>
      </w:pPr>
      <w:bookmarkStart w:id="68" w:name="_Toc502906841"/>
      <w:r>
        <w:t>Total land, buildings, infrastructure, plant and equipment</w:t>
      </w:r>
      <w:bookmarkEnd w:id="68"/>
    </w:p>
    <w:p w:rsidR="00F20535" w:rsidRPr="0051349C" w:rsidRDefault="00F20535" w:rsidP="007A2EDF">
      <w:pPr>
        <w:pStyle w:val="TableUnits"/>
        <w:rPr>
          <w:rFonts w:eastAsia="Times New Roman" w:cs="Times New Roman"/>
          <w:bCs/>
          <w:lang w:val="en-US"/>
        </w:rPr>
      </w:pPr>
      <w:r>
        <w:t>($ million)</w:t>
      </w:r>
    </w:p>
    <w:tbl>
      <w:tblPr>
        <w:tblStyle w:val="DTFTable"/>
        <w:tblW w:w="9734" w:type="dxa"/>
        <w:tblInd w:w="45" w:type="dxa"/>
        <w:tblLayout w:type="fixed"/>
        <w:tblCellMar>
          <w:left w:w="45" w:type="dxa"/>
          <w:right w:w="45" w:type="dxa"/>
        </w:tblCellMar>
        <w:tblLook w:val="06A0" w:firstRow="1" w:lastRow="0" w:firstColumn="1" w:lastColumn="0" w:noHBand="1" w:noVBand="1"/>
      </w:tblPr>
      <w:tblGrid>
        <w:gridCol w:w="3311"/>
        <w:gridCol w:w="1276"/>
        <w:gridCol w:w="1134"/>
        <w:gridCol w:w="844"/>
        <w:gridCol w:w="6"/>
        <w:gridCol w:w="1281"/>
        <w:gridCol w:w="1134"/>
        <w:gridCol w:w="748"/>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3254" w:type="dxa"/>
            <w:gridSpan w:val="3"/>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State of Victoria</w:t>
            </w:r>
          </w:p>
        </w:tc>
        <w:tc>
          <w:tcPr>
            <w:tcW w:w="3169" w:type="dxa"/>
            <w:gridSpan w:val="4"/>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General government sector</w:t>
            </w:r>
          </w:p>
        </w:tc>
      </w:tr>
      <w:tr w:rsidR="001B1600" w:rsidRPr="0051349C" w:rsidTr="001B1600">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3311"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w:t>
            </w:r>
          </w:p>
          <w:p w:rsidR="001B1600" w:rsidRPr="0051349C" w:rsidRDefault="001B1600" w:rsidP="001B1600">
            <w:pPr>
              <w:autoSpaceDE w:val="0"/>
              <w:autoSpaceDN w:val="0"/>
              <w:adjustRightInd w:val="0"/>
              <w:spacing w:before="0" w:after="0"/>
              <w:rPr>
                <w:rFonts w:eastAsiaTheme="minorEastAsia" w:cs="Calibri"/>
                <w:iCs/>
                <w:color w:val="FFFFFF"/>
                <w:szCs w:val="22"/>
                <w:lang w:eastAsia="en-AU"/>
              </w:rPr>
            </w:pPr>
            <w:r w:rsidRPr="0051349C">
              <w:rPr>
                <w:rFonts w:eastAsiaTheme="minorEastAsia" w:cs="Calibri"/>
                <w:iCs/>
                <w:color w:val="FFFFFF"/>
                <w:szCs w:val="16"/>
                <w:lang w:eastAsia="en-AU"/>
              </w:rPr>
              <w:t>Dec 2017</w:t>
            </w:r>
          </w:p>
        </w:tc>
        <w:tc>
          <w:tcPr>
            <w:tcW w:w="1276"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Gross carrying</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amount</w:t>
            </w:r>
          </w:p>
        </w:tc>
        <w:tc>
          <w:tcPr>
            <w:tcW w:w="1134"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Accumulated</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depreciation</w:t>
            </w:r>
          </w:p>
        </w:tc>
        <w:tc>
          <w:tcPr>
            <w:tcW w:w="850" w:type="dxa"/>
            <w:gridSpan w:val="2"/>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Carrying</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amount</w:t>
            </w:r>
          </w:p>
        </w:tc>
        <w:tc>
          <w:tcPr>
            <w:tcW w:w="1281"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Gross carrying</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amount</w:t>
            </w:r>
          </w:p>
        </w:tc>
        <w:tc>
          <w:tcPr>
            <w:tcW w:w="1134"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Accumulated</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depreciation</w:t>
            </w:r>
          </w:p>
        </w:tc>
        <w:tc>
          <w:tcPr>
            <w:tcW w:w="748"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Carrying</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amount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Buildings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50 392</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(4 502)</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45 890</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31 639</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(3 233)</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28 406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Land and national parks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78 507</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78 507</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50 598</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50 598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buildings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6 584</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(777)</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5 807</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6 046</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(686)</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5 360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Infrastructure systems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68 749</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(4 238)</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64 510</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1 889</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(509)</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infrastructure systems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4 803</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(397)</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4 406</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Plant, equipment and vehicles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11 880</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(5 203)</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6 677</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6 229</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(3 849)</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2 380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plant, equipment and vehicles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1 372</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(349)</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1 023</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438</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(267)</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171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Roads and road infrastructure</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40 615</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(19 652)</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20 963</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40 531</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(19 646)</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20 886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roads and road infrastructure</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584</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(24)</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561</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584</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(24)</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561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Earthworks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Cultural assets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5 852</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(163)</w:t>
            </w:r>
          </w:p>
        </w:tc>
        <w:tc>
          <w:tcPr>
            <w:tcW w:w="850"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5 689</w:t>
            </w:r>
          </w:p>
        </w:tc>
        <w:tc>
          <w:tcPr>
            <w:tcW w:w="12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5 782</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(163)</w:t>
            </w:r>
          </w:p>
        </w:tc>
        <w:tc>
          <w:tcPr>
            <w:tcW w:w="74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5 620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11"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 xml:space="preserve">Total land, buildings, infrastructure, </w:t>
            </w:r>
            <w:r>
              <w:rPr>
                <w:rFonts w:eastAsiaTheme="minorEastAsia" w:cs="Calibri"/>
                <w:b/>
                <w:bCs/>
                <w:color w:val="000000"/>
                <w:szCs w:val="16"/>
                <w:lang w:eastAsia="en-AU"/>
              </w:rPr>
              <w:br/>
            </w:r>
            <w:r w:rsidRPr="0051349C">
              <w:rPr>
                <w:rFonts w:eastAsiaTheme="minorEastAsia" w:cs="Calibri"/>
                <w:b/>
                <w:bCs/>
                <w:color w:val="000000"/>
                <w:szCs w:val="16"/>
                <w:lang w:eastAsia="en-AU"/>
              </w:rPr>
              <w:t>plant and equipment</w:t>
            </w:r>
          </w:p>
        </w:tc>
        <w:tc>
          <w:tcPr>
            <w:tcW w:w="1276"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277 300</w:t>
            </w:r>
          </w:p>
        </w:tc>
        <w:tc>
          <w:tcPr>
            <w:tcW w:w="113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(35 305)</w:t>
            </w:r>
          </w:p>
        </w:tc>
        <w:tc>
          <w:tcPr>
            <w:tcW w:w="850" w:type="dxa"/>
            <w:gridSpan w:val="2"/>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241 994</w:t>
            </w:r>
          </w:p>
        </w:tc>
        <w:tc>
          <w:tcPr>
            <w:tcW w:w="1281"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151 698</w:t>
            </w:r>
          </w:p>
        </w:tc>
        <w:tc>
          <w:tcPr>
            <w:tcW w:w="113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(28 375)</w:t>
            </w:r>
          </w:p>
        </w:tc>
        <w:tc>
          <w:tcPr>
            <w:tcW w:w="748"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123 323</w:t>
            </w:r>
          </w:p>
        </w:tc>
      </w:tr>
    </w:tbl>
    <w:p w:rsidR="00F20535" w:rsidRPr="0051349C" w:rsidRDefault="00F20535" w:rsidP="007A2EDF">
      <w:pPr>
        <w:pStyle w:val="TableUnits"/>
        <w:rPr>
          <w:rFonts w:eastAsia="Times New Roman" w:cs="Times New Roman"/>
          <w:bCs/>
          <w:lang w:val="en-US"/>
        </w:rPr>
      </w:pPr>
    </w:p>
    <w:tbl>
      <w:tblPr>
        <w:tblStyle w:val="DTFTable"/>
        <w:tblW w:w="9757" w:type="dxa"/>
        <w:tblInd w:w="45" w:type="dxa"/>
        <w:tblLayout w:type="fixed"/>
        <w:tblCellMar>
          <w:left w:w="45" w:type="dxa"/>
          <w:right w:w="45" w:type="dxa"/>
        </w:tblCellMar>
        <w:tblLook w:val="06E0" w:firstRow="1" w:lastRow="1" w:firstColumn="1" w:lastColumn="0" w:noHBand="1" w:noVBand="1"/>
      </w:tblPr>
      <w:tblGrid>
        <w:gridCol w:w="3305"/>
        <w:gridCol w:w="1276"/>
        <w:gridCol w:w="1145"/>
        <w:gridCol w:w="839"/>
        <w:gridCol w:w="1287"/>
        <w:gridCol w:w="1123"/>
        <w:gridCol w:w="782"/>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3260" w:type="dxa"/>
            <w:gridSpan w:val="3"/>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State of Victoria</w:t>
            </w:r>
          </w:p>
        </w:tc>
        <w:tc>
          <w:tcPr>
            <w:tcW w:w="3192" w:type="dxa"/>
            <w:gridSpan w:val="3"/>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General government sector</w:t>
            </w:r>
          </w:p>
        </w:tc>
      </w:tr>
      <w:tr w:rsidR="001B1600" w:rsidRPr="0051349C" w:rsidTr="001B1600">
        <w:trPr>
          <w:cnfStyle w:val="100000000000" w:firstRow="1" w:lastRow="0" w:firstColumn="0" w:lastColumn="0" w:oddVBand="0" w:evenVBand="0" w:oddHBand="0" w:evenHBand="0" w:firstRowFirstColumn="0" w:firstRowLastColumn="0" w:lastRowFirstColumn="0" w:lastRowLastColumn="0"/>
          <w:trHeight w:val="342"/>
          <w:tblHeader/>
        </w:trPr>
        <w:tc>
          <w:tcPr>
            <w:cnfStyle w:val="001000000000" w:firstRow="0" w:lastRow="0" w:firstColumn="1" w:lastColumn="0" w:oddVBand="0" w:evenVBand="0" w:oddHBand="0" w:evenHBand="0" w:firstRowFirstColumn="0" w:firstRowLastColumn="0" w:lastRowFirstColumn="0" w:lastRowLastColumn="0"/>
            <w:tcW w:w="3305"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w:t>
            </w:r>
          </w:p>
          <w:p w:rsidR="001B1600" w:rsidRPr="0051349C" w:rsidRDefault="001B1600" w:rsidP="001B1600">
            <w:pPr>
              <w:autoSpaceDE w:val="0"/>
              <w:autoSpaceDN w:val="0"/>
              <w:adjustRightInd w:val="0"/>
              <w:spacing w:before="0" w:after="0"/>
              <w:rPr>
                <w:rFonts w:eastAsiaTheme="minorEastAsia" w:cs="Calibri"/>
                <w:iCs/>
                <w:color w:val="FFFFFF"/>
                <w:szCs w:val="22"/>
                <w:lang w:eastAsia="en-AU"/>
              </w:rPr>
            </w:pPr>
            <w:r w:rsidRPr="0051349C">
              <w:rPr>
                <w:rFonts w:eastAsiaTheme="minorEastAsia" w:cs="Calibri"/>
                <w:iCs/>
                <w:color w:val="FFFFFF"/>
                <w:szCs w:val="16"/>
                <w:lang w:eastAsia="en-AU"/>
              </w:rPr>
              <w:t>Jun 2017</w:t>
            </w:r>
          </w:p>
        </w:tc>
        <w:tc>
          <w:tcPr>
            <w:tcW w:w="1276"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Gross carrying</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amount</w:t>
            </w:r>
          </w:p>
        </w:tc>
        <w:tc>
          <w:tcPr>
            <w:tcW w:w="1145"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Accumulated</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depreciation</w:t>
            </w:r>
          </w:p>
        </w:tc>
        <w:tc>
          <w:tcPr>
            <w:tcW w:w="839"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Carrying</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amount</w:t>
            </w:r>
          </w:p>
        </w:tc>
        <w:tc>
          <w:tcPr>
            <w:tcW w:w="128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Gross carrying</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amount</w:t>
            </w:r>
          </w:p>
        </w:tc>
        <w:tc>
          <w:tcPr>
            <w:tcW w:w="1123"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Accumulated</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depreciation</w:t>
            </w:r>
          </w:p>
        </w:tc>
        <w:tc>
          <w:tcPr>
            <w:tcW w:w="782"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 w:val="0"/>
                <w:iCs/>
                <w:color w:val="FFFFFF"/>
                <w:szCs w:val="18"/>
                <w:lang w:eastAsia="en-AU"/>
              </w:rPr>
            </w:pPr>
            <w:r w:rsidRPr="0051349C">
              <w:rPr>
                <w:rFonts w:eastAsiaTheme="minorEastAsia" w:cs="Arial"/>
                <w:iCs/>
                <w:color w:val="FFFFFF"/>
                <w:szCs w:val="18"/>
                <w:lang w:eastAsia="en-AU"/>
              </w:rPr>
              <w:t>Carrying</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amount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Buildings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49 482</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(3 771)</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45 710</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30 762</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(2 723)</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28 039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Land and national parks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78 504</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78 504</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50 554</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50 554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buildings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5 799</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(666)</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5 133</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5 319</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(609)</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4 711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Infrastructure systems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65 908</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(3 202)</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62 706</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1 834</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(492)</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1 343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infrastructure systems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4 805</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(358)</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4 447</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Plant, equipment and vehicles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11 598</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(4 996)</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6 602</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6 126</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(3 764)</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2 362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plant, equipment and vehicles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1 375</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(322)</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1 053</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441</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(257)</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184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Roads and road infrastructure</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39 870</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(19 346)</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20 524</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39 781</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(19 341)</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20 440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roads and road infrastructure</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584</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(19)</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565</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584</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(19)</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565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Earthworks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330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Cultural assets</w:t>
            </w:r>
          </w:p>
        </w:tc>
        <w:tc>
          <w:tcPr>
            <w:tcW w:w="1276"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5 834</w:t>
            </w:r>
          </w:p>
        </w:tc>
        <w:tc>
          <w:tcPr>
            <w:tcW w:w="1145"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(154)</w:t>
            </w:r>
          </w:p>
        </w:tc>
        <w:tc>
          <w:tcPr>
            <w:tcW w:w="839"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5 680</w:t>
            </w:r>
          </w:p>
        </w:tc>
        <w:tc>
          <w:tcPr>
            <w:tcW w:w="128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5 770</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(154)</w:t>
            </w:r>
          </w:p>
        </w:tc>
        <w:tc>
          <w:tcPr>
            <w:tcW w:w="78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5 617</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5" w:type="dxa"/>
            <w:tcBorders>
              <w:top w:val="single" w:sz="6" w:space="0" w:color="000000"/>
              <w:bottom w:val="single" w:sz="12" w:space="0" w:color="000000"/>
            </w:tcBorders>
          </w:tcPr>
          <w:p w:rsidR="00F20535" w:rsidRPr="0051349C" w:rsidRDefault="00F20535" w:rsidP="007A2EDF">
            <w:pPr>
              <w:autoSpaceDE w:val="0"/>
              <w:autoSpaceDN w:val="0"/>
              <w:adjustRightInd w:val="0"/>
              <w:rPr>
                <w:rFonts w:eastAsiaTheme="minorEastAsia" w:cs="Calibri"/>
                <w:bCs/>
                <w:color w:val="000000"/>
                <w:szCs w:val="16"/>
                <w:lang w:eastAsia="en-AU"/>
              </w:rPr>
            </w:pPr>
            <w:r w:rsidRPr="0051349C">
              <w:rPr>
                <w:rFonts w:eastAsiaTheme="minorEastAsia" w:cs="Calibri"/>
                <w:bCs/>
                <w:color w:val="000000"/>
                <w:szCs w:val="16"/>
                <w:lang w:eastAsia="en-AU"/>
              </w:rPr>
              <w:t xml:space="preserve">Total land, buildings, infrastructure, </w:t>
            </w:r>
            <w:r>
              <w:rPr>
                <w:rFonts w:eastAsiaTheme="minorEastAsia" w:cs="Calibri"/>
                <w:bCs/>
                <w:color w:val="000000"/>
                <w:szCs w:val="16"/>
                <w:lang w:eastAsia="en-AU"/>
              </w:rPr>
              <w:br/>
            </w:r>
            <w:r w:rsidRPr="0051349C">
              <w:rPr>
                <w:rFonts w:eastAsiaTheme="minorEastAsia" w:cs="Calibri"/>
                <w:bCs/>
                <w:color w:val="000000"/>
                <w:szCs w:val="16"/>
                <w:lang w:eastAsia="en-AU"/>
              </w:rPr>
              <w:t>plant and equipment</w:t>
            </w:r>
          </w:p>
        </w:tc>
        <w:tc>
          <w:tcPr>
            <w:tcW w:w="1276"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51349C">
              <w:rPr>
                <w:rFonts w:eastAsiaTheme="minorEastAsia" w:cs="Calibri"/>
                <w:bCs/>
                <w:color w:val="000000"/>
                <w:szCs w:val="16"/>
                <w:lang w:eastAsia="en-AU"/>
              </w:rPr>
              <w:t>271 721</w:t>
            </w:r>
          </w:p>
        </w:tc>
        <w:tc>
          <w:tcPr>
            <w:tcW w:w="1145"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Pr>
                <w:rFonts w:eastAsiaTheme="minorEastAsia" w:cs="Calibri"/>
                <w:bCs/>
                <w:color w:val="000000"/>
                <w:szCs w:val="16"/>
                <w:lang w:eastAsia="en-AU"/>
              </w:rPr>
              <w:t>(32 834)</w:t>
            </w:r>
          </w:p>
        </w:tc>
        <w:tc>
          <w:tcPr>
            <w:tcW w:w="839"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51349C">
              <w:rPr>
                <w:rFonts w:eastAsiaTheme="minorEastAsia" w:cs="Calibri"/>
                <w:bCs/>
                <w:color w:val="000000"/>
                <w:szCs w:val="16"/>
                <w:lang w:eastAsia="en-AU"/>
              </w:rPr>
              <w:t>238 886</w:t>
            </w:r>
          </w:p>
        </w:tc>
        <w:tc>
          <w:tcPr>
            <w:tcW w:w="128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51349C">
              <w:rPr>
                <w:rFonts w:eastAsiaTheme="minorEastAsia" w:cs="Calibri"/>
                <w:bCs/>
                <w:color w:val="000000"/>
                <w:szCs w:val="16"/>
                <w:lang w:eastAsia="en-AU"/>
              </w:rPr>
              <w:t>149 133</w:t>
            </w:r>
          </w:p>
        </w:tc>
        <w:tc>
          <w:tcPr>
            <w:tcW w:w="1123"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Pr>
                <w:rFonts w:eastAsiaTheme="minorEastAsia" w:cs="Calibri"/>
                <w:bCs/>
                <w:color w:val="000000"/>
                <w:szCs w:val="16"/>
                <w:lang w:eastAsia="en-AU"/>
              </w:rPr>
              <w:t>(27 358)</w:t>
            </w:r>
          </w:p>
        </w:tc>
        <w:tc>
          <w:tcPr>
            <w:tcW w:w="782"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51349C">
              <w:rPr>
                <w:rFonts w:eastAsiaTheme="minorEastAsia" w:cs="Calibri"/>
                <w:bCs/>
                <w:color w:val="000000"/>
                <w:szCs w:val="16"/>
                <w:lang w:eastAsia="en-AU"/>
              </w:rPr>
              <w:t>121 776</w:t>
            </w:r>
          </w:p>
        </w:tc>
      </w:tr>
    </w:tbl>
    <w:p w:rsidR="00F20535" w:rsidRPr="00AB618D" w:rsidRDefault="00F20535" w:rsidP="007A2EDF">
      <w:pPr>
        <w:pStyle w:val="Source"/>
      </w:pPr>
    </w:p>
    <w:p w:rsidR="00F20535" w:rsidRDefault="00F20535" w:rsidP="000C30FB">
      <w:pPr>
        <w:pStyle w:val="Note"/>
      </w:pPr>
    </w:p>
    <w:p w:rsidR="00F20535" w:rsidRDefault="00F20535" w:rsidP="007A2EDF">
      <w:pPr>
        <w:pStyle w:val="Heading2"/>
        <w:numPr>
          <w:ilvl w:val="1"/>
          <w:numId w:val="22"/>
        </w:numPr>
      </w:pPr>
      <w:bookmarkStart w:id="69" w:name="_Toc502906842"/>
      <w:r>
        <w:t>D</w:t>
      </w:r>
      <w:r w:rsidRPr="005743DB">
        <w:t>epreciation</w:t>
      </w:r>
      <w:bookmarkEnd w:id="69"/>
    </w:p>
    <w:p w:rsidR="00F20535" w:rsidRPr="0051349C" w:rsidRDefault="00F20535" w:rsidP="007A2EDF">
      <w:pPr>
        <w:pStyle w:val="TableUnits"/>
        <w:rPr>
          <w:rFonts w:eastAsia="Times New Roman" w:cs="Times New Roman"/>
          <w:bCs/>
          <w:lang w:val="en-US"/>
        </w:rPr>
      </w:pPr>
      <w:r w:rsidRPr="00D87F7A">
        <w:t>($</w:t>
      </w:r>
      <w:r>
        <w:t> million</w:t>
      </w:r>
      <w:r w:rsidRPr="00D87F7A">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Buildings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822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774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576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buildings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Infrastructure systems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infrastructure systems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Plant, equipment and vehicles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plant, equipment and vehicles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Roads and road infrastructure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roads and road infrastructure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Cultural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Intangible produced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depreciation</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2 478</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2 406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1 312</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1 256</w:t>
            </w:r>
          </w:p>
        </w:tc>
      </w:tr>
    </w:tbl>
    <w:p w:rsidR="00F20535" w:rsidRDefault="00F20535" w:rsidP="007A2EDF">
      <w:pPr>
        <w:sectPr w:rsidR="00F20535" w:rsidSect="000C30FB">
          <w:type w:val="continuous"/>
          <w:pgSz w:w="11907" w:h="16839" w:code="9"/>
          <w:pgMar w:top="1134" w:right="1134" w:bottom="1134" w:left="1134" w:header="624" w:footer="567" w:gutter="0"/>
          <w:cols w:sep="1" w:space="567"/>
          <w:docGrid w:linePitch="360"/>
        </w:sectPr>
      </w:pPr>
    </w:p>
    <w:p w:rsidR="00F20535" w:rsidRDefault="00F20535" w:rsidP="007A2EDF">
      <w:pPr>
        <w:pStyle w:val="Heading2"/>
        <w:numPr>
          <w:ilvl w:val="1"/>
          <w:numId w:val="22"/>
        </w:numPr>
      </w:pPr>
      <w:bookmarkStart w:id="70" w:name="_Toc502906843"/>
      <w:r w:rsidRPr="005743DB">
        <w:t>Total land, buildings, infrastructure, plant and equipment</w:t>
      </w:r>
      <w:r>
        <w:t xml:space="preserve"> –</w:t>
      </w:r>
      <w:r w:rsidRPr="005743DB">
        <w:t xml:space="preserve"> by government purpose</w:t>
      </w:r>
      <w:bookmarkEnd w:id="70"/>
    </w:p>
    <w:p w:rsidR="00F20535" w:rsidRPr="0051349C" w:rsidRDefault="00F20535" w:rsidP="007A2EDF">
      <w:pPr>
        <w:pStyle w:val="TableUnits"/>
        <w:rPr>
          <w:rFonts w:eastAsia="Times New Roman" w:cs="Times New Roman"/>
          <w:bCs/>
          <w:lang w:val="en-US"/>
        </w:rPr>
      </w:pPr>
      <w:r w:rsidRPr="005743DB">
        <w:t>($</w:t>
      </w:r>
      <w:r>
        <w:t> </w:t>
      </w:r>
      <w:r w:rsidRPr="00503861">
        <w:t>million</w:t>
      </w:r>
      <w:r w:rsidRPr="005743DB">
        <w:t>)</w:t>
      </w:r>
    </w:p>
    <w:tbl>
      <w:tblPr>
        <w:tblStyle w:val="DTFTable"/>
        <w:tblW w:w="14570" w:type="dxa"/>
        <w:tblInd w:w="45" w:type="dxa"/>
        <w:tblLayout w:type="fixed"/>
        <w:tblCellMar>
          <w:left w:w="45" w:type="dxa"/>
          <w:right w:w="45" w:type="dxa"/>
        </w:tblCellMar>
        <w:tblLook w:val="06A0" w:firstRow="1" w:lastRow="0" w:firstColumn="1" w:lastColumn="0" w:noHBand="1" w:noVBand="1"/>
      </w:tblPr>
      <w:tblGrid>
        <w:gridCol w:w="5602"/>
        <w:gridCol w:w="1402"/>
        <w:gridCol w:w="1121"/>
        <w:gridCol w:w="1121"/>
        <w:gridCol w:w="1121"/>
        <w:gridCol w:w="1681"/>
        <w:gridCol w:w="1541"/>
        <w:gridCol w:w="981"/>
      </w:tblGrid>
      <w:tr w:rsidR="00FD1166" w:rsidRPr="00503861" w:rsidTr="007A2EDF">
        <w:trPr>
          <w:cnfStyle w:val="100000000000" w:firstRow="1" w:lastRow="0" w:firstColumn="0" w:lastColumn="0" w:oddVBand="0" w:evenVBand="0" w:oddHBand="0" w:evenHBand="0" w:firstRowFirstColumn="0" w:firstRowLastColumn="0" w:lastRowFirstColumn="0" w:lastRowLastColumn="0"/>
          <w:trHeight w:val="450"/>
          <w:tblHeader/>
        </w:trPr>
        <w:tc>
          <w:tcPr>
            <w:cnfStyle w:val="001000000000" w:firstRow="0" w:lastRow="0" w:firstColumn="1" w:lastColumn="0" w:oddVBand="0" w:evenVBand="0" w:oddHBand="0" w:evenHBand="0" w:firstRowFirstColumn="0" w:firstRowLastColumn="0" w:lastRowFirstColumn="0" w:lastRowLastColumn="0"/>
            <w:tcW w:w="5602" w:type="dxa"/>
            <w:tcBorders>
              <w:top w:val="nil"/>
              <w:left w:val="nil"/>
              <w:right w:val="nil"/>
            </w:tcBorders>
            <w:shd w:val="solid" w:color="000000" w:fill="auto"/>
          </w:tcPr>
          <w:p w:rsidR="007A2EDF" w:rsidRDefault="00FD1166" w:rsidP="007A2EDF">
            <w:pPr>
              <w:autoSpaceDE w:val="0"/>
              <w:autoSpaceDN w:val="0"/>
              <w:adjustRightInd w:val="0"/>
              <w:rPr>
                <w:rFonts w:eastAsiaTheme="minorEastAsia" w:cs="Calibri"/>
                <w:iCs/>
                <w:color w:val="FFFFFF"/>
                <w:szCs w:val="16"/>
                <w:lang w:eastAsia="en-AU"/>
              </w:rPr>
            </w:pPr>
            <w:r w:rsidRPr="00503861">
              <w:rPr>
                <w:rFonts w:eastAsiaTheme="minorEastAsia" w:cs="Calibri"/>
                <w:iCs/>
                <w:color w:val="FFFFFF"/>
                <w:szCs w:val="16"/>
                <w:lang w:eastAsia="en-AU"/>
              </w:rPr>
              <w:t>State of Victoria</w:t>
            </w:r>
          </w:p>
          <w:p w:rsidR="00FD1166" w:rsidRPr="00503861" w:rsidRDefault="00FD1166" w:rsidP="007A2EDF">
            <w:pPr>
              <w:autoSpaceDE w:val="0"/>
              <w:autoSpaceDN w:val="0"/>
              <w:adjustRightInd w:val="0"/>
              <w:rPr>
                <w:rFonts w:eastAsiaTheme="minorEastAsia" w:cs="Calibri"/>
                <w:iCs/>
                <w:color w:val="FFFFFF"/>
                <w:szCs w:val="16"/>
                <w:lang w:eastAsia="en-AU"/>
              </w:rPr>
            </w:pPr>
            <w:r w:rsidRPr="00503861">
              <w:rPr>
                <w:rFonts w:eastAsiaTheme="minorEastAsia" w:cs="Calibri"/>
                <w:iCs/>
                <w:color w:val="FFFFFF"/>
                <w:szCs w:val="16"/>
                <w:lang w:eastAsia="en-AU"/>
              </w:rPr>
              <w:t>Dec 2017</w:t>
            </w:r>
          </w:p>
        </w:tc>
        <w:tc>
          <w:tcPr>
            <w:tcW w:w="1402"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Public</w:t>
            </w:r>
            <w:r>
              <w:rPr>
                <w:rFonts w:eastAsiaTheme="minorEastAsia" w:cs="Arial"/>
                <w:iCs/>
                <w:color w:val="FFFFFF"/>
                <w:szCs w:val="18"/>
                <w:lang w:eastAsia="en-AU"/>
              </w:rPr>
              <w:br/>
            </w:r>
            <w:r w:rsidRPr="00503861">
              <w:rPr>
                <w:rFonts w:eastAsiaTheme="minorEastAsia" w:cs="Arial"/>
                <w:iCs/>
                <w:color w:val="FFFFFF"/>
                <w:szCs w:val="18"/>
                <w:lang w:eastAsia="en-AU"/>
              </w:rPr>
              <w:t>administration</w:t>
            </w:r>
          </w:p>
        </w:tc>
        <w:tc>
          <w:tcPr>
            <w:tcW w:w="112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 xml:space="preserve">Education </w:t>
            </w:r>
          </w:p>
        </w:tc>
        <w:tc>
          <w:tcPr>
            <w:tcW w:w="112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Health and</w:t>
            </w:r>
            <w:r>
              <w:rPr>
                <w:rFonts w:eastAsiaTheme="minorEastAsia" w:cs="Arial"/>
                <w:iCs/>
                <w:color w:val="FFFFFF"/>
                <w:szCs w:val="18"/>
                <w:lang w:eastAsia="en-AU"/>
              </w:rPr>
              <w:br/>
            </w:r>
            <w:r w:rsidRPr="00503861">
              <w:rPr>
                <w:rFonts w:eastAsiaTheme="minorEastAsia" w:cs="Arial"/>
                <w:iCs/>
                <w:color w:val="FFFFFF"/>
                <w:szCs w:val="18"/>
                <w:lang w:eastAsia="en-AU"/>
              </w:rPr>
              <w:t>Welfare</w:t>
            </w:r>
          </w:p>
        </w:tc>
        <w:tc>
          <w:tcPr>
            <w:tcW w:w="112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Community</w:t>
            </w:r>
            <w:r>
              <w:rPr>
                <w:rFonts w:eastAsiaTheme="minorEastAsia" w:cs="Arial"/>
                <w:iCs/>
                <w:color w:val="FFFFFF"/>
                <w:szCs w:val="18"/>
                <w:lang w:eastAsia="en-AU"/>
              </w:rPr>
              <w:br/>
            </w:r>
            <w:r w:rsidRPr="00503861">
              <w:rPr>
                <w:rFonts w:eastAsiaTheme="minorEastAsia" w:cs="Arial"/>
                <w:iCs/>
                <w:color w:val="FFFFFF"/>
                <w:szCs w:val="18"/>
                <w:lang w:eastAsia="en-AU"/>
              </w:rPr>
              <w:t>Housing</w:t>
            </w:r>
          </w:p>
        </w:tc>
        <w:tc>
          <w:tcPr>
            <w:tcW w:w="168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Transportation and</w:t>
            </w:r>
            <w:r>
              <w:rPr>
                <w:rFonts w:eastAsiaTheme="minorEastAsia" w:cs="Arial"/>
                <w:iCs/>
                <w:color w:val="FFFFFF"/>
                <w:szCs w:val="18"/>
                <w:lang w:eastAsia="en-AU"/>
              </w:rPr>
              <w:br/>
            </w:r>
            <w:r w:rsidRPr="00503861">
              <w:rPr>
                <w:rFonts w:eastAsiaTheme="minorEastAsia" w:cs="Arial"/>
                <w:iCs/>
                <w:color w:val="FFFFFF"/>
                <w:szCs w:val="18"/>
                <w:lang w:eastAsia="en-AU"/>
              </w:rPr>
              <w:t>Communication</w:t>
            </w:r>
          </w:p>
        </w:tc>
        <w:tc>
          <w:tcPr>
            <w:tcW w:w="154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Public Safety and</w:t>
            </w:r>
            <w:r>
              <w:rPr>
                <w:rFonts w:eastAsiaTheme="minorEastAsia" w:cs="Arial"/>
                <w:iCs/>
                <w:color w:val="FFFFFF"/>
                <w:szCs w:val="18"/>
                <w:lang w:eastAsia="en-AU"/>
              </w:rPr>
              <w:br/>
            </w:r>
            <w:r w:rsidRPr="00503861">
              <w:rPr>
                <w:rFonts w:eastAsiaTheme="minorEastAsia" w:cs="Arial"/>
                <w:iCs/>
                <w:color w:val="FFFFFF"/>
                <w:szCs w:val="18"/>
                <w:lang w:eastAsia="en-AU"/>
              </w:rPr>
              <w:t>Environment</w:t>
            </w:r>
          </w:p>
        </w:tc>
        <w:tc>
          <w:tcPr>
            <w:tcW w:w="98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 xml:space="preserve">Total </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Buildings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2 804</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12 070</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8 711</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8 427</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6 072</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7 806</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45 890</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Land and national parks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2 858</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10 027</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2 765</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15 928</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31 433</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15 496</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78 507</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buildings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118</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403</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3 300</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46</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1 937</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5 807</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Infrastructure systems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26 378</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38 086</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64 510</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infrastructure systems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4 406</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4 406</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Plant, equipment and vehicles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247</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201</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1 212</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3 965</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1 051</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6 677</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plant, equipment and vehicles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13</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69</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931</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11</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1 023</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Roads and road infrastructure</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31</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20 024</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907</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20 963</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roads and road infrastructure</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561</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561</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Earthworks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7 961</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7 961</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Cultural assets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615</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5 069</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5 689</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rPr>
                <w:rFonts w:eastAsiaTheme="minorEastAsia" w:cs="Calibri"/>
                <w:b/>
                <w:bCs/>
                <w:color w:val="000000"/>
                <w:szCs w:val="16"/>
                <w:lang w:eastAsia="en-AU"/>
              </w:rPr>
            </w:pPr>
            <w:r w:rsidRPr="00503861">
              <w:rPr>
                <w:rFonts w:eastAsiaTheme="minorEastAsia" w:cs="Calibri"/>
                <w:b/>
                <w:bCs/>
                <w:color w:val="000000"/>
                <w:szCs w:val="16"/>
                <w:lang w:eastAsia="en-AU"/>
              </w:rPr>
              <w:t>Total land, buildings, infrastructure, plant and equipment</w:t>
            </w:r>
          </w:p>
        </w:tc>
        <w:tc>
          <w:tcPr>
            <w:tcW w:w="1402"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6 719</w:t>
            </w:r>
          </w:p>
        </w:tc>
        <w:tc>
          <w:tcPr>
            <w:tcW w:w="112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22 718</w:t>
            </w:r>
          </w:p>
        </w:tc>
        <w:tc>
          <w:tcPr>
            <w:tcW w:w="112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16 057</w:t>
            </w:r>
          </w:p>
        </w:tc>
        <w:tc>
          <w:tcPr>
            <w:tcW w:w="112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24 359</w:t>
            </w:r>
          </w:p>
        </w:tc>
        <w:tc>
          <w:tcPr>
            <w:tcW w:w="168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97 373</w:t>
            </w:r>
          </w:p>
        </w:tc>
        <w:tc>
          <w:tcPr>
            <w:tcW w:w="154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74 768</w:t>
            </w:r>
          </w:p>
        </w:tc>
        <w:tc>
          <w:tcPr>
            <w:tcW w:w="98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241 994</w:t>
            </w:r>
          </w:p>
        </w:tc>
      </w:tr>
    </w:tbl>
    <w:p w:rsidR="00F20535" w:rsidRPr="0051349C" w:rsidRDefault="00F20535" w:rsidP="007A2EDF">
      <w:pPr>
        <w:pStyle w:val="TableUnits"/>
        <w:rPr>
          <w:rFonts w:eastAsia="Times New Roman" w:cs="Times New Roman"/>
          <w:bCs/>
          <w:lang w:val="en-US"/>
        </w:rPr>
      </w:pPr>
    </w:p>
    <w:tbl>
      <w:tblPr>
        <w:tblStyle w:val="DTFTable"/>
        <w:tblW w:w="14570" w:type="dxa"/>
        <w:tblInd w:w="45" w:type="dxa"/>
        <w:tblLayout w:type="fixed"/>
        <w:tblCellMar>
          <w:left w:w="45" w:type="dxa"/>
          <w:right w:w="45" w:type="dxa"/>
        </w:tblCellMar>
        <w:tblLook w:val="06A0" w:firstRow="1" w:lastRow="0" w:firstColumn="1" w:lastColumn="0" w:noHBand="1" w:noVBand="1"/>
      </w:tblPr>
      <w:tblGrid>
        <w:gridCol w:w="5602"/>
        <w:gridCol w:w="1402"/>
        <w:gridCol w:w="1121"/>
        <w:gridCol w:w="1121"/>
        <w:gridCol w:w="1121"/>
        <w:gridCol w:w="1681"/>
        <w:gridCol w:w="1541"/>
        <w:gridCol w:w="981"/>
      </w:tblGrid>
      <w:tr w:rsidR="00FD1166" w:rsidRPr="00503861" w:rsidTr="007A2EDF">
        <w:trPr>
          <w:cnfStyle w:val="100000000000" w:firstRow="1" w:lastRow="0" w:firstColumn="0" w:lastColumn="0" w:oddVBand="0" w:evenVBand="0" w:oddHBand="0" w:evenHBand="0" w:firstRowFirstColumn="0" w:firstRowLastColumn="0" w:lastRowFirstColumn="0" w:lastRowLastColumn="0"/>
          <w:trHeight w:val="450"/>
          <w:tblHeader/>
        </w:trPr>
        <w:tc>
          <w:tcPr>
            <w:cnfStyle w:val="001000000000" w:firstRow="0" w:lastRow="0" w:firstColumn="1" w:lastColumn="0" w:oddVBand="0" w:evenVBand="0" w:oddHBand="0" w:evenHBand="0" w:firstRowFirstColumn="0" w:firstRowLastColumn="0" w:lastRowFirstColumn="0" w:lastRowLastColumn="0"/>
            <w:tcW w:w="5602" w:type="dxa"/>
            <w:tcBorders>
              <w:top w:val="nil"/>
              <w:left w:val="nil"/>
              <w:right w:val="nil"/>
            </w:tcBorders>
            <w:shd w:val="solid" w:color="000000" w:fill="auto"/>
          </w:tcPr>
          <w:p w:rsidR="00FD1166" w:rsidRPr="00503861" w:rsidRDefault="00FD1166" w:rsidP="007A2EDF">
            <w:pPr>
              <w:autoSpaceDE w:val="0"/>
              <w:autoSpaceDN w:val="0"/>
              <w:adjustRightInd w:val="0"/>
              <w:rPr>
                <w:rFonts w:eastAsiaTheme="minorEastAsia" w:cs="Calibri"/>
                <w:iCs/>
                <w:color w:val="FFFFFF"/>
                <w:szCs w:val="16"/>
                <w:lang w:eastAsia="en-AU"/>
              </w:rPr>
            </w:pPr>
            <w:r w:rsidRPr="00503861">
              <w:rPr>
                <w:rFonts w:eastAsiaTheme="minorEastAsia" w:cs="Calibri"/>
                <w:iCs/>
                <w:color w:val="FFFFFF"/>
                <w:szCs w:val="16"/>
                <w:lang w:eastAsia="en-AU"/>
              </w:rPr>
              <w:t xml:space="preserve">Jun 2017 </w:t>
            </w:r>
          </w:p>
        </w:tc>
        <w:tc>
          <w:tcPr>
            <w:tcW w:w="1402"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Public</w:t>
            </w:r>
            <w:r>
              <w:rPr>
                <w:rFonts w:eastAsiaTheme="minorEastAsia" w:cs="Arial"/>
                <w:iCs/>
                <w:color w:val="FFFFFF"/>
                <w:szCs w:val="18"/>
                <w:lang w:eastAsia="en-AU"/>
              </w:rPr>
              <w:br/>
            </w:r>
            <w:r w:rsidRPr="00503861">
              <w:rPr>
                <w:rFonts w:eastAsiaTheme="minorEastAsia" w:cs="Arial"/>
                <w:iCs/>
                <w:color w:val="FFFFFF"/>
                <w:szCs w:val="18"/>
                <w:lang w:eastAsia="en-AU"/>
              </w:rPr>
              <w:t>administration</w:t>
            </w:r>
          </w:p>
        </w:tc>
        <w:tc>
          <w:tcPr>
            <w:tcW w:w="112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 xml:space="preserve">Education </w:t>
            </w:r>
          </w:p>
        </w:tc>
        <w:tc>
          <w:tcPr>
            <w:tcW w:w="112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Health and</w:t>
            </w:r>
            <w:r>
              <w:rPr>
                <w:rFonts w:eastAsiaTheme="minorEastAsia" w:cs="Arial"/>
                <w:iCs/>
                <w:color w:val="FFFFFF"/>
                <w:szCs w:val="18"/>
                <w:lang w:eastAsia="en-AU"/>
              </w:rPr>
              <w:br/>
            </w:r>
            <w:r w:rsidRPr="00503861">
              <w:rPr>
                <w:rFonts w:eastAsiaTheme="minorEastAsia" w:cs="Arial"/>
                <w:iCs/>
                <w:color w:val="FFFFFF"/>
                <w:szCs w:val="18"/>
                <w:lang w:eastAsia="en-AU"/>
              </w:rPr>
              <w:t>Welfare</w:t>
            </w:r>
          </w:p>
        </w:tc>
        <w:tc>
          <w:tcPr>
            <w:tcW w:w="112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Community</w:t>
            </w:r>
            <w:r>
              <w:rPr>
                <w:rFonts w:eastAsiaTheme="minorEastAsia" w:cs="Arial"/>
                <w:iCs/>
                <w:color w:val="FFFFFF"/>
                <w:szCs w:val="18"/>
                <w:lang w:eastAsia="en-AU"/>
              </w:rPr>
              <w:br/>
            </w:r>
            <w:r w:rsidRPr="00503861">
              <w:rPr>
                <w:rFonts w:eastAsiaTheme="minorEastAsia" w:cs="Arial"/>
                <w:iCs/>
                <w:color w:val="FFFFFF"/>
                <w:szCs w:val="18"/>
                <w:lang w:eastAsia="en-AU"/>
              </w:rPr>
              <w:t>Housing</w:t>
            </w:r>
          </w:p>
        </w:tc>
        <w:tc>
          <w:tcPr>
            <w:tcW w:w="168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Transportation and</w:t>
            </w:r>
            <w:r>
              <w:rPr>
                <w:rFonts w:eastAsiaTheme="minorEastAsia" w:cs="Arial"/>
                <w:iCs/>
                <w:color w:val="FFFFFF"/>
                <w:szCs w:val="18"/>
                <w:lang w:eastAsia="en-AU"/>
              </w:rPr>
              <w:br/>
            </w:r>
            <w:r w:rsidRPr="00503861">
              <w:rPr>
                <w:rFonts w:eastAsiaTheme="minorEastAsia" w:cs="Arial"/>
                <w:iCs/>
                <w:color w:val="FFFFFF"/>
                <w:szCs w:val="18"/>
                <w:lang w:eastAsia="en-AU"/>
              </w:rPr>
              <w:t>Communication</w:t>
            </w:r>
          </w:p>
        </w:tc>
        <w:tc>
          <w:tcPr>
            <w:tcW w:w="154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Public Safety and</w:t>
            </w:r>
            <w:r>
              <w:rPr>
                <w:rFonts w:eastAsiaTheme="minorEastAsia" w:cs="Arial"/>
                <w:iCs/>
                <w:color w:val="FFFFFF"/>
                <w:szCs w:val="18"/>
                <w:lang w:eastAsia="en-AU"/>
              </w:rPr>
              <w:br/>
            </w:r>
            <w:r w:rsidRPr="00503861">
              <w:rPr>
                <w:rFonts w:eastAsiaTheme="minorEastAsia" w:cs="Arial"/>
                <w:iCs/>
                <w:color w:val="FFFFFF"/>
                <w:szCs w:val="18"/>
                <w:lang w:eastAsia="en-AU"/>
              </w:rPr>
              <w:t>Environment</w:t>
            </w:r>
          </w:p>
        </w:tc>
        <w:tc>
          <w:tcPr>
            <w:tcW w:w="98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 xml:space="preserve">Total </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Buildings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2 742</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11 813</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8 732</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8 506</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6 114</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7 804</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45 710</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Land and national parks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2 842</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10 006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2 789</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15 977</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31 437</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15 452</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78 504</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buildings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95</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406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3 376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75</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1 178</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5 133</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Infrastructure systems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53</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24 839</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37 814</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62 706</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infrastructure systems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4 447</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4 447</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Plant, equipment and vehicles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251</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195</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1 214</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3 876</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1 065</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6 602</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plant, equipment and vehicles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14</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952</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12</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1 053</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Roads and road infrastructure</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19 572</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915</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20 524</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roads and road infrastructure</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565</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565</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Earthworks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7 961</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7 961</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Cultural assets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625</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5 049</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5 680</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rPr>
                <w:rFonts w:eastAsiaTheme="minorEastAsia" w:cs="Calibri"/>
                <w:b/>
                <w:bCs/>
                <w:color w:val="000000"/>
                <w:szCs w:val="16"/>
                <w:lang w:eastAsia="en-AU"/>
              </w:rPr>
            </w:pPr>
            <w:r w:rsidRPr="00503861">
              <w:rPr>
                <w:rFonts w:eastAsiaTheme="minorEastAsia" w:cs="Calibri"/>
                <w:b/>
                <w:bCs/>
                <w:color w:val="000000"/>
                <w:szCs w:val="16"/>
                <w:lang w:eastAsia="en-AU"/>
              </w:rPr>
              <w:t>Total land, buildings, infrastructure, plant and equipment</w:t>
            </w:r>
          </w:p>
        </w:tc>
        <w:tc>
          <w:tcPr>
            <w:tcW w:w="1402"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6 646</w:t>
            </w:r>
          </w:p>
        </w:tc>
        <w:tc>
          <w:tcPr>
            <w:tcW w:w="112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22 437</w:t>
            </w:r>
          </w:p>
        </w:tc>
        <w:tc>
          <w:tcPr>
            <w:tcW w:w="112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16 187</w:t>
            </w:r>
          </w:p>
        </w:tc>
        <w:tc>
          <w:tcPr>
            <w:tcW w:w="112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24 488</w:t>
            </w:r>
          </w:p>
        </w:tc>
        <w:tc>
          <w:tcPr>
            <w:tcW w:w="168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95 392</w:t>
            </w:r>
          </w:p>
        </w:tc>
        <w:tc>
          <w:tcPr>
            <w:tcW w:w="154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73 736</w:t>
            </w:r>
          </w:p>
        </w:tc>
        <w:tc>
          <w:tcPr>
            <w:tcW w:w="98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238 886</w:t>
            </w:r>
          </w:p>
        </w:tc>
      </w:tr>
    </w:tbl>
    <w:p w:rsidR="00F20535" w:rsidRPr="00AA6BF3" w:rsidRDefault="00F20535" w:rsidP="007A2EDF">
      <w:pPr>
        <w:pStyle w:val="Source"/>
        <w:rPr>
          <w:bCs/>
          <w:lang w:val="en-US"/>
        </w:rPr>
      </w:pPr>
    </w:p>
    <w:p w:rsidR="00F20535" w:rsidRPr="00F00E15" w:rsidRDefault="00F20535" w:rsidP="007A2EDF">
      <w:pPr>
        <w:pStyle w:val="Note"/>
        <w:rPr>
          <w:lang w:val="en-US"/>
        </w:rPr>
      </w:pPr>
    </w:p>
    <w:p w:rsidR="00F20535" w:rsidRDefault="00F20535" w:rsidP="000C30FB">
      <w:pPr>
        <w:pStyle w:val="Note"/>
      </w:pPr>
    </w:p>
    <w:p w:rsidR="00F20535" w:rsidRDefault="00F20535">
      <w:r>
        <w:br w:type="page"/>
      </w:r>
    </w:p>
    <w:p w:rsidR="00F20535" w:rsidRDefault="00F20535" w:rsidP="000C30FB">
      <w:pPr>
        <w:pStyle w:val="Heading20"/>
        <w:ind w:left="624" w:hanging="624"/>
      </w:pPr>
      <w:r w:rsidRPr="00B343A9">
        <w:t>4.3</w:t>
      </w:r>
      <w:r w:rsidRPr="00B343A9">
        <w:tab/>
        <w:t>Total land, buildings, infrastructure, plant and equipment – by government purpose</w:t>
      </w:r>
      <w:r>
        <w:t xml:space="preserve"> </w:t>
      </w:r>
      <w:r w:rsidRPr="00B343A9">
        <w:rPr>
          <w:i/>
        </w:rPr>
        <w:t>(continued)</w:t>
      </w:r>
    </w:p>
    <w:p w:rsidR="00F20535" w:rsidRPr="0051349C" w:rsidRDefault="00F20535" w:rsidP="007A2EDF">
      <w:pPr>
        <w:pStyle w:val="TableUnits"/>
        <w:rPr>
          <w:rFonts w:eastAsia="Times New Roman" w:cs="Times New Roman"/>
          <w:bCs/>
          <w:lang w:val="en-US"/>
        </w:rPr>
      </w:pPr>
      <w:r>
        <w:t xml:space="preserve">($ million) </w:t>
      </w:r>
    </w:p>
    <w:tbl>
      <w:tblPr>
        <w:tblStyle w:val="DTFTable"/>
        <w:tblW w:w="14577" w:type="dxa"/>
        <w:tblInd w:w="45" w:type="dxa"/>
        <w:tblLayout w:type="fixed"/>
        <w:tblCellMar>
          <w:left w:w="45" w:type="dxa"/>
          <w:right w:w="45" w:type="dxa"/>
        </w:tblCellMar>
        <w:tblLook w:val="06A0" w:firstRow="1" w:lastRow="0" w:firstColumn="1" w:lastColumn="0" w:noHBand="1" w:noVBand="1"/>
      </w:tblPr>
      <w:tblGrid>
        <w:gridCol w:w="5601"/>
        <w:gridCol w:w="1400"/>
        <w:gridCol w:w="1123"/>
        <w:gridCol w:w="1123"/>
        <w:gridCol w:w="1123"/>
        <w:gridCol w:w="1684"/>
        <w:gridCol w:w="1542"/>
        <w:gridCol w:w="981"/>
      </w:tblGrid>
      <w:tr w:rsidR="00FD1166" w:rsidRPr="0051349C" w:rsidTr="007A2EDF">
        <w:trPr>
          <w:cnfStyle w:val="100000000000" w:firstRow="1" w:lastRow="0" w:firstColumn="0" w:lastColumn="0" w:oddVBand="0" w:evenVBand="0" w:oddHBand="0" w:evenHBand="0" w:firstRowFirstColumn="0" w:firstRowLastColumn="0" w:lastRowFirstColumn="0" w:lastRowLastColumn="0"/>
          <w:trHeight w:val="450"/>
          <w:tblHeader/>
        </w:trPr>
        <w:tc>
          <w:tcPr>
            <w:cnfStyle w:val="001000000000" w:firstRow="0" w:lastRow="0" w:firstColumn="1" w:lastColumn="0" w:oddVBand="0" w:evenVBand="0" w:oddHBand="0" w:evenHBand="0" w:firstRowFirstColumn="0" w:firstRowLastColumn="0" w:lastRowFirstColumn="0" w:lastRowLastColumn="0"/>
            <w:tcW w:w="5601" w:type="dxa"/>
            <w:tcBorders>
              <w:top w:val="nil"/>
              <w:left w:val="nil"/>
              <w:right w:val="nil"/>
            </w:tcBorders>
            <w:shd w:val="solid" w:color="000000" w:fill="auto"/>
          </w:tcPr>
          <w:p w:rsidR="007A2EDF" w:rsidRDefault="00FD1166" w:rsidP="007A2EDF">
            <w:pPr>
              <w:autoSpaceDE w:val="0"/>
              <w:autoSpaceDN w:val="0"/>
              <w:adjustRightInd w:val="0"/>
              <w:rPr>
                <w:rFonts w:eastAsiaTheme="minorEastAsia" w:cs="Calibri"/>
                <w:iCs/>
                <w:color w:val="FFFFFF"/>
                <w:szCs w:val="16"/>
                <w:lang w:eastAsia="en-AU"/>
              </w:rPr>
            </w:pPr>
            <w:r w:rsidRPr="0051349C">
              <w:rPr>
                <w:rFonts w:eastAsiaTheme="minorEastAsia" w:cs="Calibri"/>
                <w:iCs/>
                <w:color w:val="FFFFFF"/>
                <w:szCs w:val="16"/>
                <w:lang w:eastAsia="en-AU"/>
              </w:rPr>
              <w:t>General government sector</w:t>
            </w:r>
          </w:p>
          <w:p w:rsidR="00FD1166" w:rsidRPr="0051349C" w:rsidRDefault="00FD1166" w:rsidP="007A2EDF">
            <w:pPr>
              <w:autoSpaceDE w:val="0"/>
              <w:autoSpaceDN w:val="0"/>
              <w:adjustRightInd w:val="0"/>
              <w:rPr>
                <w:rFonts w:eastAsiaTheme="minorEastAsia" w:cs="Calibri"/>
                <w:iCs/>
                <w:color w:val="FFFFFF"/>
                <w:szCs w:val="16"/>
                <w:lang w:eastAsia="en-AU"/>
              </w:rPr>
            </w:pPr>
            <w:r w:rsidRPr="0051349C">
              <w:rPr>
                <w:rFonts w:eastAsiaTheme="minorEastAsia" w:cs="Calibri"/>
                <w:iCs/>
                <w:color w:val="FFFFFF"/>
                <w:szCs w:val="16"/>
                <w:lang w:eastAsia="en-AU"/>
              </w:rPr>
              <w:t>Dec 2017</w:t>
            </w:r>
          </w:p>
        </w:tc>
        <w:tc>
          <w:tcPr>
            <w:tcW w:w="1400"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Public</w:t>
            </w:r>
            <w:r>
              <w:rPr>
                <w:rFonts w:eastAsiaTheme="minorEastAsia" w:cs="Arial"/>
                <w:iCs/>
                <w:color w:val="FFFFFF"/>
                <w:szCs w:val="18"/>
                <w:lang w:eastAsia="en-AU"/>
              </w:rPr>
              <w:br/>
            </w:r>
            <w:r w:rsidRPr="0051349C">
              <w:rPr>
                <w:rFonts w:eastAsiaTheme="minorEastAsia" w:cs="Arial"/>
                <w:iCs/>
                <w:color w:val="FFFFFF"/>
                <w:szCs w:val="18"/>
                <w:lang w:eastAsia="en-AU"/>
              </w:rPr>
              <w:t>administration</w:t>
            </w:r>
          </w:p>
        </w:tc>
        <w:tc>
          <w:tcPr>
            <w:tcW w:w="1123"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 xml:space="preserve">Education </w:t>
            </w:r>
          </w:p>
        </w:tc>
        <w:tc>
          <w:tcPr>
            <w:tcW w:w="1123"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Health and</w:t>
            </w:r>
            <w:r>
              <w:rPr>
                <w:rFonts w:eastAsiaTheme="minorEastAsia" w:cs="Arial"/>
                <w:iCs/>
                <w:color w:val="FFFFFF"/>
                <w:szCs w:val="18"/>
                <w:lang w:eastAsia="en-AU"/>
              </w:rPr>
              <w:br/>
            </w:r>
            <w:r w:rsidRPr="0051349C">
              <w:rPr>
                <w:rFonts w:eastAsiaTheme="minorEastAsia" w:cs="Arial"/>
                <w:iCs/>
                <w:color w:val="FFFFFF"/>
                <w:szCs w:val="18"/>
                <w:lang w:eastAsia="en-AU"/>
              </w:rPr>
              <w:t>Welfare</w:t>
            </w:r>
          </w:p>
        </w:tc>
        <w:tc>
          <w:tcPr>
            <w:tcW w:w="1123"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Community</w:t>
            </w:r>
            <w:r>
              <w:rPr>
                <w:rFonts w:eastAsiaTheme="minorEastAsia" w:cs="Arial"/>
                <w:iCs/>
                <w:color w:val="FFFFFF"/>
                <w:szCs w:val="18"/>
                <w:lang w:eastAsia="en-AU"/>
              </w:rPr>
              <w:br/>
            </w:r>
            <w:r w:rsidRPr="0051349C">
              <w:rPr>
                <w:rFonts w:eastAsiaTheme="minorEastAsia" w:cs="Arial"/>
                <w:iCs/>
                <w:color w:val="FFFFFF"/>
                <w:szCs w:val="18"/>
                <w:lang w:eastAsia="en-AU"/>
              </w:rPr>
              <w:t>Housing</w:t>
            </w:r>
          </w:p>
        </w:tc>
        <w:tc>
          <w:tcPr>
            <w:tcW w:w="1684"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Transportation and</w:t>
            </w:r>
            <w:r>
              <w:rPr>
                <w:rFonts w:eastAsiaTheme="minorEastAsia" w:cs="Arial"/>
                <w:iCs/>
                <w:color w:val="FFFFFF"/>
                <w:szCs w:val="18"/>
                <w:lang w:eastAsia="en-AU"/>
              </w:rPr>
              <w:br/>
            </w:r>
            <w:r w:rsidRPr="0051349C">
              <w:rPr>
                <w:rFonts w:eastAsiaTheme="minorEastAsia" w:cs="Arial"/>
                <w:iCs/>
                <w:color w:val="FFFFFF"/>
                <w:szCs w:val="18"/>
                <w:lang w:eastAsia="en-AU"/>
              </w:rPr>
              <w:t>Communication</w:t>
            </w:r>
          </w:p>
        </w:tc>
        <w:tc>
          <w:tcPr>
            <w:tcW w:w="1542"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Public Safety and</w:t>
            </w:r>
            <w:r>
              <w:rPr>
                <w:rFonts w:eastAsiaTheme="minorEastAsia" w:cs="Arial"/>
                <w:iCs/>
                <w:color w:val="FFFFFF"/>
                <w:szCs w:val="18"/>
                <w:lang w:eastAsia="en-AU"/>
              </w:rPr>
              <w:br/>
            </w:r>
            <w:r w:rsidRPr="0051349C">
              <w:rPr>
                <w:rFonts w:eastAsiaTheme="minorEastAsia" w:cs="Arial"/>
                <w:iCs/>
                <w:color w:val="FFFFFF"/>
                <w:szCs w:val="18"/>
                <w:lang w:eastAsia="en-AU"/>
              </w:rPr>
              <w:t>Environment</w:t>
            </w:r>
          </w:p>
        </w:tc>
        <w:tc>
          <w:tcPr>
            <w:tcW w:w="981"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1349C">
              <w:rPr>
                <w:rFonts w:eastAsiaTheme="minorEastAsia" w:cs="Arial"/>
                <w:iCs/>
                <w:color w:val="FFFFFF"/>
                <w:szCs w:val="18"/>
                <w:lang w:eastAsia="en-AU"/>
              </w:rPr>
              <w:t xml:space="preserve">Total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Buildings</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871</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12 070</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8 696</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538</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6 230</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28 406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Land and national parks</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1 777</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10 027</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2 757</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24 251</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11 785</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50 598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buildings</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52</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403</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3 300</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44</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1 560</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5 360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Infrastructure systems</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38</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386</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957</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Plant, equipment and vehicles</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76</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201</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1 212</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30</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861</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2 380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plant, equipment and vehicles</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13</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69</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78</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11</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171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Roads and road infrastructure</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20 024</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862</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20 886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Leased roads and road infrastructure</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561</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561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Earthworks</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7 961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Cultural assets</w:t>
            </w:r>
          </w:p>
        </w:tc>
        <w:tc>
          <w:tcPr>
            <w:tcW w:w="1400"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615</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w:t>
            </w:r>
          </w:p>
        </w:tc>
        <w:tc>
          <w:tcPr>
            <w:tcW w:w="1123"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r w:rsidRPr="0051349C">
              <w:rPr>
                <w:rFonts w:eastAsiaTheme="minorEastAsia" w:cs="Calibri"/>
                <w:color w:val="000000"/>
                <w:szCs w:val="22"/>
                <w:lang w:eastAsia="en-AU"/>
              </w:rPr>
              <w:t xml:space="preserve"> </w:t>
            </w:r>
          </w:p>
        </w:tc>
        <w:tc>
          <w:tcPr>
            <w:tcW w:w="168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w:t>
            </w:r>
          </w:p>
        </w:tc>
        <w:tc>
          <w:tcPr>
            <w:tcW w:w="154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4 999</w:t>
            </w:r>
          </w:p>
        </w:tc>
        <w:tc>
          <w:tcPr>
            <w:tcW w:w="981"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5 620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5601"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land, buildings, infrastructure, plant and equipment</w:t>
            </w:r>
          </w:p>
        </w:tc>
        <w:tc>
          <w:tcPr>
            <w:tcW w:w="1400"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3 430</w:t>
            </w:r>
          </w:p>
        </w:tc>
        <w:tc>
          <w:tcPr>
            <w:tcW w:w="1123"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22 718</w:t>
            </w:r>
          </w:p>
        </w:tc>
        <w:tc>
          <w:tcPr>
            <w:tcW w:w="1123"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16 035</w:t>
            </w:r>
          </w:p>
        </w:tc>
        <w:tc>
          <w:tcPr>
            <w:tcW w:w="1123"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Cs/>
                <w:color w:val="000000"/>
                <w:szCs w:val="16"/>
                <w:lang w:eastAsia="en-AU"/>
              </w:rPr>
              <w:t>..</w:t>
            </w:r>
          </w:p>
        </w:tc>
        <w:tc>
          <w:tcPr>
            <w:tcW w:w="168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53 876</w:t>
            </w:r>
          </w:p>
        </w:tc>
        <w:tc>
          <w:tcPr>
            <w:tcW w:w="1542"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27 264</w:t>
            </w:r>
          </w:p>
        </w:tc>
        <w:tc>
          <w:tcPr>
            <w:tcW w:w="981"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123 323</w:t>
            </w:r>
          </w:p>
        </w:tc>
      </w:tr>
    </w:tbl>
    <w:p w:rsidR="00F20535" w:rsidRPr="0051349C" w:rsidRDefault="00F20535" w:rsidP="007A2EDF">
      <w:pPr>
        <w:pStyle w:val="TableUnits"/>
        <w:rPr>
          <w:rFonts w:eastAsia="Times New Roman" w:cs="Times New Roman"/>
          <w:bCs/>
          <w:lang w:val="en-US"/>
        </w:rPr>
      </w:pPr>
    </w:p>
    <w:tbl>
      <w:tblPr>
        <w:tblStyle w:val="DTFTable"/>
        <w:tblW w:w="14570" w:type="dxa"/>
        <w:tblInd w:w="45" w:type="dxa"/>
        <w:tblLayout w:type="fixed"/>
        <w:tblCellMar>
          <w:left w:w="45" w:type="dxa"/>
          <w:right w:w="45" w:type="dxa"/>
        </w:tblCellMar>
        <w:tblLook w:val="06A0" w:firstRow="1" w:lastRow="0" w:firstColumn="1" w:lastColumn="0" w:noHBand="1" w:noVBand="1"/>
      </w:tblPr>
      <w:tblGrid>
        <w:gridCol w:w="5602"/>
        <w:gridCol w:w="1402"/>
        <w:gridCol w:w="1121"/>
        <w:gridCol w:w="1121"/>
        <w:gridCol w:w="1121"/>
        <w:gridCol w:w="1681"/>
        <w:gridCol w:w="1541"/>
        <w:gridCol w:w="981"/>
      </w:tblGrid>
      <w:tr w:rsidR="00FD1166" w:rsidRPr="00503861" w:rsidTr="007A2EDF">
        <w:trPr>
          <w:cnfStyle w:val="100000000000" w:firstRow="1" w:lastRow="0" w:firstColumn="0" w:lastColumn="0" w:oddVBand="0" w:evenVBand="0" w:oddHBand="0" w:evenHBand="0" w:firstRowFirstColumn="0" w:firstRowLastColumn="0" w:lastRowFirstColumn="0" w:lastRowLastColumn="0"/>
          <w:trHeight w:val="450"/>
          <w:tblHeader/>
        </w:trPr>
        <w:tc>
          <w:tcPr>
            <w:cnfStyle w:val="001000000000" w:firstRow="0" w:lastRow="0" w:firstColumn="1" w:lastColumn="0" w:oddVBand="0" w:evenVBand="0" w:oddHBand="0" w:evenHBand="0" w:firstRowFirstColumn="0" w:firstRowLastColumn="0" w:lastRowFirstColumn="0" w:lastRowLastColumn="0"/>
            <w:tcW w:w="5602" w:type="dxa"/>
            <w:tcBorders>
              <w:top w:val="nil"/>
              <w:left w:val="nil"/>
              <w:right w:val="nil"/>
            </w:tcBorders>
            <w:shd w:val="solid" w:color="000000" w:fill="auto"/>
          </w:tcPr>
          <w:p w:rsidR="00FD1166" w:rsidRPr="00503861" w:rsidRDefault="00FD1166" w:rsidP="00FD1166">
            <w:pPr>
              <w:autoSpaceDE w:val="0"/>
              <w:autoSpaceDN w:val="0"/>
              <w:adjustRightInd w:val="0"/>
              <w:rPr>
                <w:rFonts w:eastAsiaTheme="minorEastAsia" w:cs="Calibri"/>
                <w:iCs/>
                <w:color w:val="FFFFFF"/>
                <w:szCs w:val="16"/>
                <w:lang w:eastAsia="en-AU"/>
              </w:rPr>
            </w:pPr>
            <w:r w:rsidRPr="00503861">
              <w:rPr>
                <w:rFonts w:eastAsiaTheme="minorEastAsia" w:cs="Calibri"/>
                <w:iCs/>
                <w:color w:val="FFFFFF"/>
                <w:szCs w:val="16"/>
                <w:lang w:eastAsia="en-AU"/>
              </w:rPr>
              <w:t>Jun 2017</w:t>
            </w:r>
          </w:p>
        </w:tc>
        <w:tc>
          <w:tcPr>
            <w:tcW w:w="1402"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Public</w:t>
            </w:r>
            <w:r>
              <w:rPr>
                <w:rFonts w:eastAsiaTheme="minorEastAsia" w:cs="Arial"/>
                <w:iCs/>
                <w:color w:val="FFFFFF"/>
                <w:szCs w:val="18"/>
                <w:lang w:eastAsia="en-AU"/>
              </w:rPr>
              <w:br/>
            </w:r>
            <w:r w:rsidRPr="00503861">
              <w:rPr>
                <w:rFonts w:eastAsiaTheme="minorEastAsia" w:cs="Arial"/>
                <w:iCs/>
                <w:color w:val="FFFFFF"/>
                <w:szCs w:val="18"/>
                <w:lang w:eastAsia="en-AU"/>
              </w:rPr>
              <w:t>administration</w:t>
            </w:r>
          </w:p>
        </w:tc>
        <w:tc>
          <w:tcPr>
            <w:tcW w:w="112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 xml:space="preserve">Education </w:t>
            </w:r>
          </w:p>
        </w:tc>
        <w:tc>
          <w:tcPr>
            <w:tcW w:w="112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Health and</w:t>
            </w:r>
            <w:r>
              <w:rPr>
                <w:rFonts w:eastAsiaTheme="minorEastAsia" w:cs="Arial"/>
                <w:iCs/>
                <w:color w:val="FFFFFF"/>
                <w:szCs w:val="18"/>
                <w:lang w:eastAsia="en-AU"/>
              </w:rPr>
              <w:br/>
            </w:r>
            <w:r w:rsidRPr="00503861">
              <w:rPr>
                <w:rFonts w:eastAsiaTheme="minorEastAsia" w:cs="Arial"/>
                <w:iCs/>
                <w:color w:val="FFFFFF"/>
                <w:szCs w:val="18"/>
                <w:lang w:eastAsia="en-AU"/>
              </w:rPr>
              <w:t>Welfare</w:t>
            </w:r>
          </w:p>
        </w:tc>
        <w:tc>
          <w:tcPr>
            <w:tcW w:w="112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Community</w:t>
            </w:r>
            <w:r>
              <w:rPr>
                <w:rFonts w:eastAsiaTheme="minorEastAsia" w:cs="Arial"/>
                <w:iCs/>
                <w:color w:val="FFFFFF"/>
                <w:szCs w:val="18"/>
                <w:lang w:eastAsia="en-AU"/>
              </w:rPr>
              <w:br/>
            </w:r>
            <w:r w:rsidRPr="00503861">
              <w:rPr>
                <w:rFonts w:eastAsiaTheme="minorEastAsia" w:cs="Arial"/>
                <w:iCs/>
                <w:color w:val="FFFFFF"/>
                <w:szCs w:val="18"/>
                <w:lang w:eastAsia="en-AU"/>
              </w:rPr>
              <w:t>Housing</w:t>
            </w:r>
          </w:p>
        </w:tc>
        <w:tc>
          <w:tcPr>
            <w:tcW w:w="168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Transportation and</w:t>
            </w:r>
            <w:r>
              <w:rPr>
                <w:rFonts w:eastAsiaTheme="minorEastAsia" w:cs="Arial"/>
                <w:iCs/>
                <w:color w:val="FFFFFF"/>
                <w:szCs w:val="18"/>
                <w:lang w:eastAsia="en-AU"/>
              </w:rPr>
              <w:br/>
            </w:r>
            <w:r w:rsidRPr="00503861">
              <w:rPr>
                <w:rFonts w:eastAsiaTheme="minorEastAsia" w:cs="Arial"/>
                <w:iCs/>
                <w:color w:val="FFFFFF"/>
                <w:szCs w:val="18"/>
                <w:lang w:eastAsia="en-AU"/>
              </w:rPr>
              <w:t>Communication</w:t>
            </w:r>
          </w:p>
        </w:tc>
        <w:tc>
          <w:tcPr>
            <w:tcW w:w="154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Public Safety and</w:t>
            </w:r>
            <w:r>
              <w:rPr>
                <w:rFonts w:eastAsiaTheme="minorEastAsia" w:cs="Arial"/>
                <w:iCs/>
                <w:color w:val="FFFFFF"/>
                <w:szCs w:val="18"/>
                <w:lang w:eastAsia="en-AU"/>
              </w:rPr>
              <w:br/>
            </w:r>
            <w:r w:rsidRPr="00503861">
              <w:rPr>
                <w:rFonts w:eastAsiaTheme="minorEastAsia" w:cs="Arial"/>
                <w:iCs/>
                <w:color w:val="FFFFFF"/>
                <w:szCs w:val="18"/>
                <w:lang w:eastAsia="en-AU"/>
              </w:rPr>
              <w:t>Environment</w:t>
            </w:r>
          </w:p>
        </w:tc>
        <w:tc>
          <w:tcPr>
            <w:tcW w:w="981" w:type="dxa"/>
            <w:tcBorders>
              <w:top w:val="nil"/>
              <w:left w:val="nil"/>
              <w:right w:val="nil"/>
            </w:tcBorders>
            <w:shd w:val="solid" w:color="000000" w:fill="auto"/>
          </w:tcPr>
          <w:p w:rsidR="00FD1166" w:rsidRPr="00503861"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Arial"/>
                <w:iCs/>
                <w:color w:val="FFFFFF"/>
                <w:szCs w:val="18"/>
                <w:lang w:eastAsia="en-AU"/>
              </w:rPr>
            </w:pPr>
            <w:r w:rsidRPr="00503861">
              <w:rPr>
                <w:rFonts w:eastAsiaTheme="minorEastAsia" w:cs="Arial"/>
                <w:iCs/>
                <w:color w:val="FFFFFF"/>
                <w:szCs w:val="18"/>
                <w:lang w:eastAsia="en-AU"/>
              </w:rPr>
              <w:t xml:space="preserve">Total </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Buildings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780</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11 813</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8 717</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517</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6 211</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28 039</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Land and national parks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1 761</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10 006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2 781</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24 255</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11 750</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50 554</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buildings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57</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406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3 376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71</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800</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4 711</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Infrastructure systems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38</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351</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954</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1 343</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Plant, equipment and vehicles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78</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195</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1 214</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33</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842</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2 362</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plant, equipment and vehicles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14</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76</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83</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12</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184</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Roads and road infrastructure</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19 572</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869</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20 440</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Leased roads and road infrastructure</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565</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565</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Earthworks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7 961</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7 961</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nil"/>
              <w:left w:val="nil"/>
              <w:bottom w:val="nil"/>
              <w:right w:val="nil"/>
            </w:tcBorders>
          </w:tcPr>
          <w:p w:rsidR="00F20535" w:rsidRPr="00503861" w:rsidRDefault="00F20535" w:rsidP="007A2EDF">
            <w:pPr>
              <w:autoSpaceDE w:val="0"/>
              <w:autoSpaceDN w:val="0"/>
              <w:adjustRightInd w:val="0"/>
              <w:rPr>
                <w:rFonts w:eastAsiaTheme="minorEastAsia" w:cs="Calibri"/>
                <w:color w:val="000000"/>
                <w:szCs w:val="16"/>
                <w:lang w:eastAsia="en-AU"/>
              </w:rPr>
            </w:pPr>
            <w:r w:rsidRPr="00503861">
              <w:rPr>
                <w:rFonts w:eastAsiaTheme="minorEastAsia" w:cs="Calibri"/>
                <w:color w:val="000000"/>
                <w:szCs w:val="16"/>
                <w:lang w:eastAsia="en-AU"/>
              </w:rPr>
              <w:t>Cultural assets</w:t>
            </w:r>
          </w:p>
        </w:tc>
        <w:tc>
          <w:tcPr>
            <w:tcW w:w="1402"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625</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w:t>
            </w:r>
          </w:p>
        </w:tc>
        <w:tc>
          <w:tcPr>
            <w:tcW w:w="112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2</w:t>
            </w:r>
          </w:p>
        </w:tc>
        <w:tc>
          <w:tcPr>
            <w:tcW w:w="154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4 986</w:t>
            </w:r>
          </w:p>
        </w:tc>
        <w:tc>
          <w:tcPr>
            <w:tcW w:w="981" w:type="dxa"/>
            <w:tcBorders>
              <w:top w:val="nil"/>
              <w:left w:val="nil"/>
              <w:bottom w:val="nil"/>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03861">
              <w:rPr>
                <w:rFonts w:eastAsiaTheme="minorEastAsia" w:cs="Calibri"/>
                <w:color w:val="000000"/>
                <w:szCs w:val="16"/>
                <w:lang w:eastAsia="en-AU"/>
              </w:rPr>
              <w:t>5 617</w:t>
            </w:r>
          </w:p>
        </w:tc>
      </w:tr>
      <w:tr w:rsidR="00F20535" w:rsidRPr="00503861" w:rsidTr="00FD1166">
        <w:tc>
          <w:tcPr>
            <w:cnfStyle w:val="001000000000" w:firstRow="0" w:lastRow="0" w:firstColumn="1" w:lastColumn="0" w:oddVBand="0" w:evenVBand="0" w:oddHBand="0" w:evenHBand="0" w:firstRowFirstColumn="0" w:firstRowLastColumn="0" w:lastRowFirstColumn="0" w:lastRowLastColumn="0"/>
            <w:tcW w:w="5602"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rPr>
                <w:rFonts w:eastAsiaTheme="minorEastAsia" w:cs="Calibri"/>
                <w:b/>
                <w:bCs/>
                <w:color w:val="000000"/>
                <w:szCs w:val="16"/>
                <w:lang w:eastAsia="en-AU"/>
              </w:rPr>
            </w:pPr>
            <w:r w:rsidRPr="00503861">
              <w:rPr>
                <w:rFonts w:eastAsiaTheme="minorEastAsia" w:cs="Calibri"/>
                <w:b/>
                <w:bCs/>
                <w:color w:val="000000"/>
                <w:szCs w:val="16"/>
                <w:lang w:eastAsia="en-AU"/>
              </w:rPr>
              <w:t>Total land, buildings, infrastructure, plant and equipment</w:t>
            </w:r>
          </w:p>
        </w:tc>
        <w:tc>
          <w:tcPr>
            <w:tcW w:w="1402"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3 340</w:t>
            </w:r>
          </w:p>
        </w:tc>
        <w:tc>
          <w:tcPr>
            <w:tcW w:w="112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22 437</w:t>
            </w:r>
          </w:p>
        </w:tc>
        <w:tc>
          <w:tcPr>
            <w:tcW w:w="112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16 164</w:t>
            </w:r>
          </w:p>
        </w:tc>
        <w:tc>
          <w:tcPr>
            <w:tcW w:w="112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Cs/>
                <w:color w:val="000000"/>
                <w:szCs w:val="16"/>
                <w:lang w:eastAsia="en-AU"/>
              </w:rPr>
              <w:t>..</w:t>
            </w:r>
          </w:p>
        </w:tc>
        <w:tc>
          <w:tcPr>
            <w:tcW w:w="168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53 411</w:t>
            </w:r>
          </w:p>
        </w:tc>
        <w:tc>
          <w:tcPr>
            <w:tcW w:w="154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26 424</w:t>
            </w:r>
          </w:p>
        </w:tc>
        <w:tc>
          <w:tcPr>
            <w:tcW w:w="981" w:type="dxa"/>
            <w:tcBorders>
              <w:top w:val="single" w:sz="6" w:space="0" w:color="000000"/>
              <w:left w:val="nil"/>
              <w:bottom w:val="single" w:sz="12" w:space="0" w:color="000000"/>
              <w:right w:val="nil"/>
            </w:tcBorders>
          </w:tcPr>
          <w:p w:rsidR="00F20535" w:rsidRPr="00503861"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03861">
              <w:rPr>
                <w:rFonts w:eastAsiaTheme="minorEastAsia" w:cs="Calibri"/>
                <w:b/>
                <w:bCs/>
                <w:color w:val="000000"/>
                <w:szCs w:val="16"/>
                <w:lang w:eastAsia="en-AU"/>
              </w:rPr>
              <w:t>121 776</w:t>
            </w:r>
          </w:p>
        </w:tc>
      </w:tr>
    </w:tbl>
    <w:p w:rsidR="00F20535" w:rsidRPr="00D62B30" w:rsidRDefault="00F20535" w:rsidP="007A2EDF">
      <w:pPr>
        <w:pStyle w:val="Source"/>
        <w:rPr>
          <w:bCs/>
          <w:lang w:val="en-US"/>
        </w:rPr>
      </w:pPr>
    </w:p>
    <w:p w:rsidR="00F20535" w:rsidRPr="00F00E15" w:rsidRDefault="00F20535" w:rsidP="007A2EDF">
      <w:pPr>
        <w:pStyle w:val="Note"/>
        <w:rPr>
          <w:lang w:val="en-US"/>
        </w:rPr>
      </w:pPr>
    </w:p>
    <w:p w:rsidR="00F20535" w:rsidRPr="005743DB" w:rsidRDefault="00F20535" w:rsidP="000C30FB"/>
    <w:p w:rsidR="00F20535" w:rsidRDefault="00F20535" w:rsidP="000C30FB">
      <w:pPr>
        <w:sectPr w:rsidR="00F20535" w:rsidSect="000C30FB">
          <w:headerReference w:type="even" r:id="rId70"/>
          <w:headerReference w:type="default" r:id="rId71"/>
          <w:footerReference w:type="even" r:id="rId72"/>
          <w:footerReference w:type="default" r:id="rId73"/>
          <w:pgSz w:w="16839" w:h="11907" w:orient="landscape" w:code="9"/>
          <w:pgMar w:top="1134" w:right="1134" w:bottom="1134" w:left="1134" w:header="624" w:footer="567" w:gutter="0"/>
          <w:cols w:sep="1" w:space="567"/>
          <w:docGrid w:linePitch="360"/>
        </w:sectPr>
      </w:pPr>
    </w:p>
    <w:p w:rsidR="00F20535" w:rsidRDefault="00F20535" w:rsidP="007A2EDF">
      <w:pPr>
        <w:pStyle w:val="Heading2"/>
        <w:numPr>
          <w:ilvl w:val="1"/>
          <w:numId w:val="22"/>
        </w:numPr>
      </w:pPr>
      <w:bookmarkStart w:id="71" w:name="_Toc502906844"/>
      <w:r w:rsidRPr="00B66E34">
        <w:t>Other non-financial assets</w:t>
      </w:r>
      <w:bookmarkEnd w:id="71"/>
    </w:p>
    <w:p w:rsidR="00F20535" w:rsidRPr="0051349C" w:rsidRDefault="00F20535" w:rsidP="007A2EDF">
      <w:pPr>
        <w:pStyle w:val="TableUnits"/>
        <w:rPr>
          <w:rFonts w:eastAsia="Times New Roman" w:cs="Times New Roman"/>
          <w:bCs/>
          <w:lang w:val="en-US"/>
        </w:rPr>
      </w:pPr>
      <w:r w:rsidRPr="00B66E34">
        <w:t>($</w:t>
      </w:r>
      <w:r>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 xml:space="preserve">Intangible produced assets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2 826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1 758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1 685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Accumulated depreciation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(1 586)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(1 479)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(872)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 xml:space="preserve">Intangible non-produced assets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874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865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Accumulated amortisation</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(255)</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(237)</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 xml:space="preserve">Total intangibles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1 958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1 975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903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Investment properties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vertAlign w:val="superscript"/>
                <w:lang w:eastAsia="en-AU"/>
              </w:rPr>
            </w:pPr>
            <w:r w:rsidRPr="0051349C">
              <w:rPr>
                <w:rFonts w:eastAsiaTheme="minorEastAsia" w:cs="Calibri"/>
                <w:color w:val="000000"/>
                <w:szCs w:val="16"/>
                <w:lang w:eastAsia="en-AU"/>
              </w:rPr>
              <w:t xml:space="preserve">Biological assets </w:t>
            </w:r>
            <w:r w:rsidRPr="0051349C">
              <w:rPr>
                <w:rFonts w:eastAsiaTheme="minorEastAsia" w:cs="Calibri"/>
                <w:color w:val="000000"/>
                <w:szCs w:val="16"/>
                <w:vertAlign w:val="superscript"/>
                <w:lang w:eastAsia="en-AU"/>
              </w:rPr>
              <w:t>(a)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other non-financial assets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2 917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2 648</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1 763</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1 494</w:t>
            </w:r>
          </w:p>
        </w:tc>
      </w:tr>
    </w:tbl>
    <w:p w:rsidR="00F20535" w:rsidRPr="00494149" w:rsidRDefault="00F20535" w:rsidP="007A2EDF">
      <w:pPr>
        <w:pStyle w:val="Note"/>
      </w:pPr>
      <w:r>
        <w:t>Note:</w:t>
      </w:r>
    </w:p>
    <w:p w:rsidR="00F20535" w:rsidRDefault="00F20535" w:rsidP="000C30FB">
      <w:pPr>
        <w:pStyle w:val="Note"/>
      </w:pPr>
      <w:r>
        <w:t>(a)</w:t>
      </w:r>
      <w:r>
        <w:tab/>
        <w:t>The majority of biological assets are commercial forests and also includes any living animal, plant or agricultural produce that is the harvested product of biological assets.</w:t>
      </w:r>
    </w:p>
    <w:p w:rsidR="00F20535" w:rsidRDefault="00F20535" w:rsidP="000C30FB"/>
    <w:p w:rsidR="00BD454D" w:rsidRDefault="00BD454D" w:rsidP="000C30FB"/>
    <w:p w:rsidR="00F20535" w:rsidRPr="0051349C" w:rsidRDefault="00F20535" w:rsidP="00BD454D">
      <w:pPr>
        <w:pStyle w:val="Heading2"/>
        <w:numPr>
          <w:ilvl w:val="1"/>
          <w:numId w:val="22"/>
        </w:numPr>
        <w:spacing w:after="200"/>
        <w:rPr>
          <w:rFonts w:eastAsia="Times New Roman" w:cs="Times New Roman"/>
          <w:bCs/>
          <w:szCs w:val="20"/>
          <w:lang w:val="en-US"/>
        </w:rPr>
      </w:pPr>
      <w:bookmarkStart w:id="72" w:name="_Toc502906845"/>
      <w:r w:rsidRPr="00B66E34">
        <w:t>Investments accounted for using the equity method</w:t>
      </w:r>
      <w:bookmarkEnd w:id="72"/>
    </w:p>
    <w:tbl>
      <w:tblPr>
        <w:tblStyle w:val="DTFTable"/>
        <w:tblW w:w="9638" w:type="dxa"/>
        <w:tblInd w:w="45" w:type="dxa"/>
        <w:tblLayout w:type="fixed"/>
        <w:tblCellMar>
          <w:left w:w="45" w:type="dxa"/>
          <w:right w:w="45" w:type="dxa"/>
        </w:tblCellMar>
        <w:tblLook w:val="06A0" w:firstRow="1" w:lastRow="0" w:firstColumn="1" w:lastColumn="0" w:noHBand="1" w:noVBand="1"/>
      </w:tblPr>
      <w:tblGrid>
        <w:gridCol w:w="4195"/>
        <w:gridCol w:w="199"/>
        <w:gridCol w:w="709"/>
        <w:gridCol w:w="907"/>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3"/>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Ownership interest</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General </w:t>
            </w:r>
            <w:r>
              <w:rPr>
                <w:rFonts w:eastAsiaTheme="minorEastAsia" w:cs="Calibri"/>
                <w:iCs/>
                <w:color w:val="FFFFFF"/>
                <w:szCs w:val="16"/>
                <w:lang w:eastAsia="en-AU"/>
              </w:rPr>
              <w:br/>
            </w:r>
            <w:r w:rsidRPr="0051349C">
              <w:rPr>
                <w:rFonts w:eastAsiaTheme="minorEastAsia" w:cs="Calibri"/>
                <w:iCs/>
                <w:color w:val="FFFFFF"/>
                <w:szCs w:val="16"/>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3"/>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million)</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million)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The Australian Regenerative Medicine Institute</w:t>
            </w:r>
          </w:p>
        </w:tc>
        <w:tc>
          <w:tcPr>
            <w:tcW w:w="907"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20.0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20.0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Property Exchange Australia Limited</w:t>
            </w:r>
          </w:p>
        </w:tc>
        <w:tc>
          <w:tcPr>
            <w:tcW w:w="907"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195"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Snowy Hydro Limited</w:t>
            </w:r>
          </w:p>
        </w:tc>
        <w:tc>
          <w:tcPr>
            <w:tcW w:w="907" w:type="dxa"/>
            <w:gridSpan w:val="2"/>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29.0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29.0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2 139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2 139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394" w:type="dxa"/>
            <w:gridSpan w:val="2"/>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investments accounted for using the equity method</w:t>
            </w:r>
          </w:p>
        </w:tc>
        <w:tc>
          <w:tcPr>
            <w:tcW w:w="7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2 187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2 187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47</w:t>
            </w:r>
          </w:p>
        </w:tc>
      </w:tr>
    </w:tbl>
    <w:p w:rsidR="00F20535" w:rsidRDefault="00F20535" w:rsidP="007A2EDF">
      <w:pPr>
        <w:pStyle w:val="Source"/>
      </w:pPr>
    </w:p>
    <w:p w:rsidR="00F20535" w:rsidRDefault="00F20535" w:rsidP="000C30FB"/>
    <w:p w:rsidR="00F20535" w:rsidRDefault="00F20535">
      <w:r>
        <w:br w:type="page"/>
      </w:r>
    </w:p>
    <w:p w:rsidR="00F20535" w:rsidRDefault="00F20535" w:rsidP="007A2EDF">
      <w:pPr>
        <w:pStyle w:val="Heading1"/>
        <w:numPr>
          <w:ilvl w:val="0"/>
          <w:numId w:val="22"/>
        </w:numPr>
      </w:pPr>
      <w:bookmarkStart w:id="73" w:name="_Toc473541484"/>
      <w:bookmarkStart w:id="74" w:name="_Toc508201402"/>
      <w:bookmarkStart w:id="75" w:name="Section5"/>
      <w:bookmarkEnd w:id="66"/>
      <w:r>
        <w:t>Financing state operations</w:t>
      </w:r>
      <w:bookmarkEnd w:id="73"/>
      <w:bookmarkEnd w:id="74"/>
    </w:p>
    <w:p w:rsidR="00F20535" w:rsidRDefault="00F20535" w:rsidP="000C30FB">
      <w:pPr>
        <w:pStyle w:val="Heading20"/>
        <w:sectPr w:rsidR="00F20535" w:rsidSect="000C30FB">
          <w:headerReference w:type="even" r:id="rId74"/>
          <w:headerReference w:type="default" r:id="rId75"/>
          <w:footerReference w:type="even" r:id="rId76"/>
          <w:footerReference w:type="default" r:id="rId77"/>
          <w:pgSz w:w="11907" w:h="16839" w:code="9"/>
          <w:pgMar w:top="1134" w:right="1134" w:bottom="1134" w:left="1134" w:header="624" w:footer="567" w:gutter="0"/>
          <w:cols w:sep="1" w:space="567"/>
          <w:docGrid w:linePitch="360"/>
        </w:sectPr>
      </w:pPr>
    </w:p>
    <w:p w:rsidR="00F20535" w:rsidRDefault="00F20535" w:rsidP="000C30FB">
      <w:pPr>
        <w:pStyle w:val="Heading20"/>
      </w:pPr>
      <w:bookmarkStart w:id="76" w:name="_Toc473541485"/>
      <w:r>
        <w:t>Introduction</w:t>
      </w:r>
      <w:bookmarkEnd w:id="76"/>
    </w:p>
    <w:p w:rsidR="00F20535" w:rsidRDefault="00F20535" w:rsidP="000C30FB">
      <w:r>
        <w:t xml:space="preserve">State operations are financed through a variety of means. Recurrent operations are generally financed from cash flows from operating activities (see consolidated cash flow statement). Asset investment operations are generally financed from a combination of surplus cash flows from operating activities, asset sales, advances and borrowings. </w:t>
      </w:r>
    </w:p>
    <w:p w:rsidR="00F20535" w:rsidRDefault="00F20535" w:rsidP="000C30FB">
      <w:r>
        <w:t>This section presents the financing of the State and general government sector</w:t>
      </w:r>
      <w:r w:rsidR="007F4ECD">
        <w:t>’</w:t>
      </w:r>
      <w:r>
        <w:t>s operations, including material commitments recorded by the State.</w:t>
      </w:r>
    </w:p>
    <w:p w:rsidR="00F20535" w:rsidRDefault="00F20535" w:rsidP="000C30FB">
      <w:pPr>
        <w:pStyle w:val="Heading20"/>
      </w:pPr>
      <w:r>
        <w:br w:type="column"/>
        <w:t>Structure</w:t>
      </w:r>
    </w:p>
    <w:p w:rsidR="00F20535" w:rsidRDefault="00F20535">
      <w:pPr>
        <w:pStyle w:val="TOC9"/>
        <w:rPr>
          <w:rFonts w:eastAsiaTheme="minorEastAsia"/>
          <w:noProof/>
          <w:spacing w:val="0"/>
          <w:lang w:eastAsia="en-AU"/>
        </w:rPr>
      </w:pPr>
      <w:r>
        <w:fldChar w:fldCharType="begin"/>
      </w:r>
      <w:r>
        <w:instrText xml:space="preserve"> TOC \h \z \t "Heading 2 (#),9" \b Section5 </w:instrText>
      </w:r>
      <w:r>
        <w:fldChar w:fldCharType="separate"/>
      </w:r>
      <w:hyperlink w:anchor="_Toc503875414" w:history="1">
        <w:r w:rsidRPr="007D29BD">
          <w:rPr>
            <w:rStyle w:val="Hyperlink"/>
            <w:noProof/>
          </w:rPr>
          <w:t>5.1</w:t>
        </w:r>
        <w:r>
          <w:rPr>
            <w:rFonts w:eastAsiaTheme="minorEastAsia"/>
            <w:noProof/>
            <w:spacing w:val="0"/>
            <w:lang w:eastAsia="en-AU"/>
          </w:rPr>
          <w:tab/>
        </w:r>
        <w:r w:rsidRPr="007D29BD">
          <w:rPr>
            <w:rStyle w:val="Hyperlink"/>
            <w:noProof/>
          </w:rPr>
          <w:t>Borrowings</w:t>
        </w:r>
        <w:r>
          <w:rPr>
            <w:noProof/>
            <w:webHidden/>
          </w:rPr>
          <w:tab/>
        </w:r>
        <w:r>
          <w:rPr>
            <w:noProof/>
            <w:webHidden/>
          </w:rPr>
          <w:fldChar w:fldCharType="begin"/>
        </w:r>
        <w:r>
          <w:rPr>
            <w:noProof/>
            <w:webHidden/>
          </w:rPr>
          <w:instrText xml:space="preserve"> PAGEREF _Toc503875414 \h </w:instrText>
        </w:r>
        <w:r>
          <w:rPr>
            <w:noProof/>
            <w:webHidden/>
          </w:rPr>
        </w:r>
        <w:r>
          <w:rPr>
            <w:noProof/>
            <w:webHidden/>
          </w:rPr>
          <w:fldChar w:fldCharType="separate"/>
        </w:r>
        <w:r w:rsidR="00FF6398">
          <w:rPr>
            <w:noProof/>
            <w:webHidden/>
          </w:rPr>
          <w:t>30</w:t>
        </w:r>
        <w:r>
          <w:rPr>
            <w:noProof/>
            <w:webHidden/>
          </w:rPr>
          <w:fldChar w:fldCharType="end"/>
        </w:r>
      </w:hyperlink>
    </w:p>
    <w:p w:rsidR="00F20535" w:rsidRDefault="00C0501E">
      <w:pPr>
        <w:pStyle w:val="TOC9"/>
        <w:rPr>
          <w:rFonts w:eastAsiaTheme="minorEastAsia"/>
          <w:noProof/>
          <w:spacing w:val="0"/>
          <w:lang w:eastAsia="en-AU"/>
        </w:rPr>
      </w:pPr>
      <w:hyperlink w:anchor="_Toc503875415" w:history="1">
        <w:r w:rsidR="00F20535" w:rsidRPr="007D29BD">
          <w:rPr>
            <w:rStyle w:val="Hyperlink"/>
            <w:noProof/>
          </w:rPr>
          <w:t>5.2</w:t>
        </w:r>
        <w:r w:rsidR="00F20535">
          <w:rPr>
            <w:rFonts w:eastAsiaTheme="minorEastAsia"/>
            <w:noProof/>
            <w:spacing w:val="0"/>
            <w:lang w:eastAsia="en-AU"/>
          </w:rPr>
          <w:tab/>
        </w:r>
        <w:r w:rsidR="00F20535" w:rsidRPr="007D29BD">
          <w:rPr>
            <w:rStyle w:val="Hyperlink"/>
            <w:noProof/>
          </w:rPr>
          <w:t>Cash flow information and balances</w:t>
        </w:r>
        <w:r w:rsidR="00F20535">
          <w:rPr>
            <w:noProof/>
            <w:webHidden/>
          </w:rPr>
          <w:tab/>
        </w:r>
        <w:r w:rsidR="00F20535">
          <w:rPr>
            <w:noProof/>
            <w:webHidden/>
          </w:rPr>
          <w:fldChar w:fldCharType="begin"/>
        </w:r>
        <w:r w:rsidR="00F20535">
          <w:rPr>
            <w:noProof/>
            <w:webHidden/>
          </w:rPr>
          <w:instrText xml:space="preserve"> PAGEREF _Toc503875415 \h </w:instrText>
        </w:r>
        <w:r w:rsidR="00F20535">
          <w:rPr>
            <w:noProof/>
            <w:webHidden/>
          </w:rPr>
        </w:r>
        <w:r w:rsidR="00F20535">
          <w:rPr>
            <w:noProof/>
            <w:webHidden/>
          </w:rPr>
          <w:fldChar w:fldCharType="separate"/>
        </w:r>
        <w:r w:rsidR="00FF6398">
          <w:rPr>
            <w:noProof/>
            <w:webHidden/>
          </w:rPr>
          <w:t>31</w:t>
        </w:r>
        <w:r w:rsidR="00F20535">
          <w:rPr>
            <w:noProof/>
            <w:webHidden/>
          </w:rPr>
          <w:fldChar w:fldCharType="end"/>
        </w:r>
      </w:hyperlink>
    </w:p>
    <w:p w:rsidR="00F20535" w:rsidRDefault="00C0501E">
      <w:pPr>
        <w:pStyle w:val="TOC9"/>
        <w:rPr>
          <w:rFonts w:eastAsiaTheme="minorEastAsia"/>
          <w:noProof/>
          <w:spacing w:val="0"/>
          <w:lang w:eastAsia="en-AU"/>
        </w:rPr>
      </w:pPr>
      <w:hyperlink w:anchor="_Toc503875416" w:history="1">
        <w:r w:rsidR="00F20535" w:rsidRPr="007D29BD">
          <w:rPr>
            <w:rStyle w:val="Hyperlink"/>
            <w:noProof/>
          </w:rPr>
          <w:t>5.3</w:t>
        </w:r>
        <w:r w:rsidR="00F20535">
          <w:rPr>
            <w:rFonts w:eastAsiaTheme="minorEastAsia"/>
            <w:noProof/>
            <w:spacing w:val="0"/>
            <w:lang w:eastAsia="en-AU"/>
          </w:rPr>
          <w:tab/>
        </w:r>
        <w:r w:rsidR="00F20535" w:rsidRPr="007D29BD">
          <w:rPr>
            <w:rStyle w:val="Hyperlink"/>
            <w:noProof/>
          </w:rPr>
          <w:t>Advances paid and investments, loans and placements</w:t>
        </w:r>
        <w:r w:rsidR="00F20535">
          <w:rPr>
            <w:noProof/>
            <w:webHidden/>
          </w:rPr>
          <w:tab/>
        </w:r>
        <w:r w:rsidR="00F20535">
          <w:rPr>
            <w:noProof/>
            <w:webHidden/>
          </w:rPr>
          <w:fldChar w:fldCharType="begin"/>
        </w:r>
        <w:r w:rsidR="00F20535">
          <w:rPr>
            <w:noProof/>
            <w:webHidden/>
          </w:rPr>
          <w:instrText xml:space="preserve"> PAGEREF _Toc503875416 \h </w:instrText>
        </w:r>
        <w:r w:rsidR="00F20535">
          <w:rPr>
            <w:noProof/>
            <w:webHidden/>
          </w:rPr>
        </w:r>
        <w:r w:rsidR="00F20535">
          <w:rPr>
            <w:noProof/>
            <w:webHidden/>
          </w:rPr>
          <w:fldChar w:fldCharType="separate"/>
        </w:r>
        <w:r w:rsidR="00FF6398">
          <w:rPr>
            <w:noProof/>
            <w:webHidden/>
          </w:rPr>
          <w:t>32</w:t>
        </w:r>
        <w:r w:rsidR="00F20535">
          <w:rPr>
            <w:noProof/>
            <w:webHidden/>
          </w:rPr>
          <w:fldChar w:fldCharType="end"/>
        </w:r>
      </w:hyperlink>
    </w:p>
    <w:p w:rsidR="00F20535" w:rsidRDefault="00C0501E">
      <w:pPr>
        <w:pStyle w:val="TOC9"/>
        <w:rPr>
          <w:rFonts w:eastAsiaTheme="minorEastAsia"/>
          <w:noProof/>
          <w:spacing w:val="0"/>
          <w:lang w:eastAsia="en-AU"/>
        </w:rPr>
      </w:pPr>
      <w:hyperlink w:anchor="_Toc503875417" w:history="1">
        <w:r w:rsidR="00F20535" w:rsidRPr="007D29BD">
          <w:rPr>
            <w:rStyle w:val="Hyperlink"/>
            <w:bCs/>
            <w:noProof/>
            <w:lang w:val="en-US"/>
          </w:rPr>
          <w:t>5.4</w:t>
        </w:r>
        <w:r w:rsidR="00F20535">
          <w:rPr>
            <w:rFonts w:eastAsiaTheme="minorEastAsia"/>
            <w:noProof/>
            <w:spacing w:val="0"/>
            <w:lang w:eastAsia="en-AU"/>
          </w:rPr>
          <w:tab/>
        </w:r>
        <w:r w:rsidR="00F20535" w:rsidRPr="007D29BD">
          <w:rPr>
            <w:rStyle w:val="Hyperlink"/>
            <w:noProof/>
          </w:rPr>
          <w:t>Interest expense</w:t>
        </w:r>
        <w:r w:rsidR="00F20535">
          <w:rPr>
            <w:noProof/>
            <w:webHidden/>
          </w:rPr>
          <w:tab/>
        </w:r>
        <w:r w:rsidR="00F20535">
          <w:rPr>
            <w:noProof/>
            <w:webHidden/>
          </w:rPr>
          <w:fldChar w:fldCharType="begin"/>
        </w:r>
        <w:r w:rsidR="00F20535">
          <w:rPr>
            <w:noProof/>
            <w:webHidden/>
          </w:rPr>
          <w:instrText xml:space="preserve"> PAGEREF _Toc503875417 \h </w:instrText>
        </w:r>
        <w:r w:rsidR="00F20535">
          <w:rPr>
            <w:noProof/>
            <w:webHidden/>
          </w:rPr>
        </w:r>
        <w:r w:rsidR="00F20535">
          <w:rPr>
            <w:noProof/>
            <w:webHidden/>
          </w:rPr>
          <w:fldChar w:fldCharType="separate"/>
        </w:r>
        <w:r w:rsidR="00FF6398">
          <w:rPr>
            <w:noProof/>
            <w:webHidden/>
          </w:rPr>
          <w:t>32</w:t>
        </w:r>
        <w:r w:rsidR="00F20535">
          <w:rPr>
            <w:noProof/>
            <w:webHidden/>
          </w:rPr>
          <w:fldChar w:fldCharType="end"/>
        </w:r>
      </w:hyperlink>
    </w:p>
    <w:p w:rsidR="00F20535" w:rsidRDefault="00C0501E">
      <w:pPr>
        <w:pStyle w:val="TOC9"/>
        <w:rPr>
          <w:rFonts w:eastAsiaTheme="minorEastAsia"/>
          <w:noProof/>
          <w:spacing w:val="0"/>
          <w:lang w:eastAsia="en-AU"/>
        </w:rPr>
      </w:pPr>
      <w:hyperlink w:anchor="_Toc503875418" w:history="1">
        <w:r w:rsidR="00F20535" w:rsidRPr="007D29BD">
          <w:rPr>
            <w:rStyle w:val="Hyperlink"/>
            <w:noProof/>
          </w:rPr>
          <w:t>5.5</w:t>
        </w:r>
        <w:r w:rsidR="00F20535">
          <w:rPr>
            <w:rFonts w:eastAsiaTheme="minorEastAsia"/>
            <w:noProof/>
            <w:spacing w:val="0"/>
            <w:lang w:eastAsia="en-AU"/>
          </w:rPr>
          <w:tab/>
        </w:r>
        <w:r w:rsidR="00F20535" w:rsidRPr="007D29BD">
          <w:rPr>
            <w:rStyle w:val="Hyperlink"/>
            <w:noProof/>
          </w:rPr>
          <w:t>Commitments</w:t>
        </w:r>
        <w:r w:rsidR="00F20535">
          <w:rPr>
            <w:noProof/>
            <w:webHidden/>
          </w:rPr>
          <w:tab/>
        </w:r>
        <w:r w:rsidR="00F20535">
          <w:rPr>
            <w:noProof/>
            <w:webHidden/>
          </w:rPr>
          <w:fldChar w:fldCharType="begin"/>
        </w:r>
        <w:r w:rsidR="00F20535">
          <w:rPr>
            <w:noProof/>
            <w:webHidden/>
          </w:rPr>
          <w:instrText xml:space="preserve"> PAGEREF _Toc503875418 \h </w:instrText>
        </w:r>
        <w:r w:rsidR="00F20535">
          <w:rPr>
            <w:noProof/>
            <w:webHidden/>
          </w:rPr>
        </w:r>
        <w:r w:rsidR="00F20535">
          <w:rPr>
            <w:noProof/>
            <w:webHidden/>
          </w:rPr>
          <w:fldChar w:fldCharType="separate"/>
        </w:r>
        <w:r w:rsidR="00FF6398">
          <w:rPr>
            <w:noProof/>
            <w:webHidden/>
          </w:rPr>
          <w:t>33</w:t>
        </w:r>
        <w:r w:rsidR="00F20535">
          <w:rPr>
            <w:noProof/>
            <w:webHidden/>
          </w:rPr>
          <w:fldChar w:fldCharType="end"/>
        </w:r>
      </w:hyperlink>
    </w:p>
    <w:p w:rsidR="00F20535" w:rsidRDefault="00F20535" w:rsidP="000C30FB">
      <w:pPr>
        <w:pStyle w:val="TOC9"/>
      </w:pPr>
      <w:r>
        <w:fldChar w:fldCharType="end"/>
      </w:r>
    </w:p>
    <w:p w:rsidR="00F20535" w:rsidRPr="00753272" w:rsidRDefault="00F20535" w:rsidP="000C30FB">
      <w:pPr>
        <w:sectPr w:rsidR="00F20535" w:rsidRPr="00753272" w:rsidSect="000C30FB">
          <w:type w:val="continuous"/>
          <w:pgSz w:w="11907" w:h="16839" w:code="9"/>
          <w:pgMar w:top="1134" w:right="1134" w:bottom="1134" w:left="1134" w:header="624" w:footer="567" w:gutter="0"/>
          <w:cols w:num="2" w:space="567"/>
          <w:docGrid w:linePitch="360"/>
        </w:sectPr>
      </w:pPr>
    </w:p>
    <w:p w:rsidR="00F20535" w:rsidRDefault="00F20535" w:rsidP="007A2EDF">
      <w:pPr>
        <w:pStyle w:val="Heading2"/>
        <w:numPr>
          <w:ilvl w:val="1"/>
          <w:numId w:val="22"/>
        </w:numPr>
      </w:pPr>
      <w:bookmarkStart w:id="77" w:name="_Toc503875414"/>
      <w:r>
        <w:t>Borrowings</w:t>
      </w:r>
      <w:bookmarkEnd w:id="77"/>
    </w:p>
    <w:p w:rsidR="00F20535" w:rsidRPr="0051349C" w:rsidRDefault="00F20535" w:rsidP="007A2EDF">
      <w:pPr>
        <w:pStyle w:val="TableUnits"/>
        <w:rPr>
          <w:rFonts w:eastAsia="Times New Roman" w:cs="Times New Roman"/>
          <w:bCs/>
          <w:lang w:val="en-US"/>
        </w:rPr>
      </w:pPr>
      <w:r>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Current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Domestic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5 740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3 491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1 703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752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Finance lease liabilities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Derivative financial instruments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120</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119</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current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6 162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3 971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1 941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989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Non-current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Domestic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31 918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34 795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19 504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18 574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Foreign currency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Finance lease liabilities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9 883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9 585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9 456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9 153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Derivative financial instruments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non-current borrowings</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42 291</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44 876</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29 054</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27 827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borrowings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48 453</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48 847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30 995</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28 816</w:t>
            </w:r>
          </w:p>
        </w:tc>
      </w:tr>
    </w:tbl>
    <w:p w:rsidR="00F20535" w:rsidRPr="00F00E15" w:rsidRDefault="00F20535" w:rsidP="007A2EDF">
      <w:pPr>
        <w:pStyle w:val="Source"/>
        <w:rPr>
          <w:lang w:val="en-US"/>
        </w:rPr>
      </w:pPr>
    </w:p>
    <w:p w:rsidR="00F20535" w:rsidRDefault="00F20535" w:rsidP="007A2EDF">
      <w:pPr>
        <w:pStyle w:val="Note"/>
      </w:pPr>
    </w:p>
    <w:p w:rsidR="00F20535" w:rsidRDefault="00F20535">
      <w:pPr>
        <w:rPr>
          <w:rFonts w:asciiTheme="majorHAnsi" w:eastAsiaTheme="majorEastAsia" w:hAnsiTheme="majorHAnsi" w:cstheme="majorBidi"/>
          <w:b/>
          <w:spacing w:val="-2"/>
          <w:sz w:val="26"/>
          <w:szCs w:val="26"/>
        </w:rPr>
      </w:pPr>
      <w:bookmarkStart w:id="78" w:name="_Toc473541486"/>
      <w:r>
        <w:br w:type="page"/>
      </w:r>
    </w:p>
    <w:p w:rsidR="00F20535" w:rsidRDefault="00F20535" w:rsidP="004112E6">
      <w:pPr>
        <w:pStyle w:val="Heading2"/>
        <w:numPr>
          <w:ilvl w:val="1"/>
          <w:numId w:val="16"/>
        </w:numPr>
      </w:pPr>
      <w:bookmarkStart w:id="79" w:name="_Toc503875415"/>
      <w:r>
        <w:t>Cash flow information and balances</w:t>
      </w:r>
      <w:bookmarkEnd w:id="78"/>
      <w:bookmarkEnd w:id="79"/>
    </w:p>
    <w:p w:rsidR="00F20535" w:rsidRPr="0051349C" w:rsidRDefault="00F20535" w:rsidP="007A2EDF">
      <w:pPr>
        <w:pStyle w:val="TableHeading"/>
        <w:rPr>
          <w:rFonts w:eastAsia="Times New Roman" w:cs="Times New Roman"/>
          <w:bCs/>
          <w:lang w:val="en-US"/>
        </w:rPr>
      </w:pPr>
      <w:r w:rsidRPr="00D157DD">
        <w:t>Reconciliation of cash and cash equivalents</w:t>
      </w:r>
      <w:r w:rsidRPr="00D157DD">
        <w:tab/>
        <w:t>($ million)</w:t>
      </w:r>
    </w:p>
    <w:tbl>
      <w:tblPr>
        <w:tblStyle w:val="DTFTable"/>
        <w:tblW w:w="9637" w:type="dxa"/>
        <w:tblInd w:w="45" w:type="dxa"/>
        <w:tblLayout w:type="fixed"/>
        <w:tblCellMar>
          <w:left w:w="45" w:type="dxa"/>
          <w:right w:w="45" w:type="dxa"/>
        </w:tblCellMar>
        <w:tblLook w:val="06E0" w:firstRow="1" w:lastRow="1"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General </w:t>
            </w:r>
            <w:r>
              <w:rPr>
                <w:rFonts w:eastAsiaTheme="minorEastAsia" w:cs="Calibri"/>
                <w:iCs/>
                <w:color w:val="FFFFFF"/>
                <w:szCs w:val="16"/>
                <w:lang w:eastAsia="en-AU"/>
              </w:rPr>
              <w:br/>
            </w:r>
            <w:r w:rsidRPr="0051349C">
              <w:rPr>
                <w:rFonts w:eastAsiaTheme="minorEastAsia" w:cs="Calibri"/>
                <w:iCs/>
                <w:color w:val="FFFFFF"/>
                <w:szCs w:val="16"/>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Cash</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1 844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1 405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1 345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Deposits at call</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3 992</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4 914</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2 587</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2 974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and cash equivalents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5 835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6 567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3 992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4 319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Bank overdraft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bottom w:val="single" w:sz="12" w:space="0" w:color="000000"/>
            </w:tcBorders>
          </w:tcPr>
          <w:p w:rsidR="00F20535" w:rsidRPr="0051349C" w:rsidRDefault="00F20535" w:rsidP="007A2EDF">
            <w:pPr>
              <w:autoSpaceDE w:val="0"/>
              <w:autoSpaceDN w:val="0"/>
              <w:adjustRightInd w:val="0"/>
              <w:rPr>
                <w:rFonts w:eastAsiaTheme="minorEastAsia" w:cs="Calibri"/>
                <w:bCs/>
                <w:color w:val="000000"/>
                <w:szCs w:val="18"/>
                <w:lang w:eastAsia="en-AU"/>
              </w:rPr>
            </w:pPr>
            <w:r w:rsidRPr="0051349C">
              <w:rPr>
                <w:rFonts w:eastAsiaTheme="minorEastAsia" w:cs="Calibri"/>
                <w:bCs/>
                <w:color w:val="000000"/>
                <w:szCs w:val="18"/>
                <w:lang w:eastAsia="en-AU"/>
              </w:rPr>
              <w:t>Balances as per cash flow statement</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5 835</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6 567</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3 992</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4 319</w:t>
            </w:r>
          </w:p>
        </w:tc>
      </w:tr>
    </w:tbl>
    <w:p w:rsidR="00F20535" w:rsidRPr="008850EB" w:rsidRDefault="00F20535" w:rsidP="007A2EDF">
      <w:pPr>
        <w:rPr>
          <w:lang w:val="en-US"/>
        </w:rPr>
      </w:pPr>
    </w:p>
    <w:p w:rsidR="00F20535" w:rsidRPr="0051349C" w:rsidRDefault="00F20535" w:rsidP="007A2EDF">
      <w:pPr>
        <w:pStyle w:val="TableHeading"/>
        <w:rPr>
          <w:rFonts w:eastAsia="Times New Roman" w:cs="Times New Roman"/>
          <w:bCs/>
          <w:lang w:val="en-US"/>
        </w:rPr>
      </w:pPr>
      <w:r w:rsidRPr="00753272">
        <w:t>Reconciliation</w:t>
      </w:r>
      <w:r>
        <w:t xml:space="preserve"> of net result to net cash flows from operating activities</w:t>
      </w:r>
      <w:r>
        <w:tab/>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p>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General </w:t>
            </w:r>
          </w:p>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Dec</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Net result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2 070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5 596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868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1 226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Non-cash movements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Depreciation and amortisation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2 498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2 424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1 314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1 257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Revaluation of investments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(881)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(702)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Assets (received)/provided free of charge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163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70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Revaluation of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Discount/premium on other financial assets/borrowings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Unrealised (gains)/losses on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(1 693)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Movements included in investing and financing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gain/loss from sale of investments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(358)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(459)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gain/loss from sale of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Realised gains/losses on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Movements in assets and liabilities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Increase/(decrease) in provision for doubtful debts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Increase/(decrease) in payables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803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10 658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(284)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(464)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Increase/(decrease) in employee benefits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78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107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Increase/(decrease) in superannuation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250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297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259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Increase/(decrease) in other provisions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298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(1 551)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(286)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(Increase)/decrease in receivables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(399)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(Increase)/decrease in other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(284)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(295)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(336)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Net cash flows from operating activities</w:t>
            </w:r>
          </w:p>
        </w:tc>
        <w:tc>
          <w:tcPr>
            <w:tcW w:w="907" w:type="dxa"/>
            <w:tcBorders>
              <w:top w:val="single" w:sz="6" w:space="0" w:color="auto"/>
              <w:left w:val="nil"/>
              <w:bottom w:val="single" w:sz="12" w:space="0" w:color="auto"/>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3 497</w:t>
            </w:r>
          </w:p>
        </w:tc>
        <w:tc>
          <w:tcPr>
            <w:tcW w:w="907" w:type="dxa"/>
            <w:tcBorders>
              <w:top w:val="single" w:sz="6" w:space="0" w:color="auto"/>
              <w:left w:val="nil"/>
              <w:bottom w:val="single" w:sz="12" w:space="0" w:color="auto"/>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14 342</w:t>
            </w:r>
          </w:p>
        </w:tc>
        <w:tc>
          <w:tcPr>
            <w:tcW w:w="907" w:type="dxa"/>
            <w:tcBorders>
              <w:top w:val="single" w:sz="6" w:space="0" w:color="auto"/>
              <w:left w:val="nil"/>
              <w:bottom w:val="single" w:sz="12" w:space="0" w:color="auto"/>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1 736</w:t>
            </w:r>
          </w:p>
        </w:tc>
        <w:tc>
          <w:tcPr>
            <w:tcW w:w="907" w:type="dxa"/>
            <w:tcBorders>
              <w:top w:val="single" w:sz="6" w:space="0" w:color="auto"/>
              <w:left w:val="nil"/>
              <w:bottom w:val="single" w:sz="12" w:space="0" w:color="auto"/>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2 230</w:t>
            </w:r>
          </w:p>
        </w:tc>
      </w:tr>
    </w:tbl>
    <w:p w:rsidR="00F20535" w:rsidRDefault="00F20535" w:rsidP="007A2EDF">
      <w:pPr>
        <w:pStyle w:val="Source"/>
      </w:pPr>
    </w:p>
    <w:p w:rsidR="00F20535" w:rsidRPr="008850EB" w:rsidRDefault="00F20535" w:rsidP="007A2EDF">
      <w:pPr>
        <w:pStyle w:val="Note"/>
        <w:rPr>
          <w:bCs/>
          <w:lang w:val="en-US"/>
        </w:rPr>
      </w:pPr>
    </w:p>
    <w:p w:rsidR="00F20535" w:rsidRDefault="00F20535" w:rsidP="007A2EDF">
      <w:pPr>
        <w:pStyle w:val="Note"/>
      </w:pPr>
    </w:p>
    <w:p w:rsidR="00F20535" w:rsidRDefault="00F20535" w:rsidP="007A2EDF">
      <w:pPr>
        <w:rPr>
          <w:rFonts w:eastAsiaTheme="majorEastAsia"/>
        </w:rPr>
      </w:pPr>
      <w:r>
        <w:br w:type="page"/>
      </w:r>
    </w:p>
    <w:p w:rsidR="00F20535" w:rsidRDefault="00F20535" w:rsidP="007A2EDF">
      <w:pPr>
        <w:pStyle w:val="Heading2"/>
        <w:numPr>
          <w:ilvl w:val="1"/>
          <w:numId w:val="22"/>
        </w:numPr>
      </w:pPr>
      <w:bookmarkStart w:id="80" w:name="_Toc503875416"/>
      <w:r w:rsidRPr="00B66E34">
        <w:t>Advances paid and investments, loans and placements</w:t>
      </w:r>
      <w:bookmarkEnd w:id="80"/>
    </w:p>
    <w:p w:rsidR="00F20535" w:rsidRPr="0051349C" w:rsidRDefault="00F20535" w:rsidP="007A2EDF">
      <w:pPr>
        <w:pStyle w:val="TableUnits"/>
        <w:rPr>
          <w:rFonts w:eastAsia="Times New Roman" w:cs="Times New Roman"/>
          <w:bCs/>
          <w:lang w:val="en-US"/>
        </w:rPr>
      </w:pPr>
      <w:r w:rsidRPr="00B66E34">
        <w:t>($</w:t>
      </w:r>
      <w:r>
        <w:t> million</w:t>
      </w:r>
      <w:r w:rsidRPr="00B66E34">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Current advances paid and investments, loans and placements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Loans and advances paid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2 709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 xml:space="preserve">Equities and managed investment schemes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1 205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1 539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1 185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1 085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Australian dollar term deposits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1 564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5 140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1 412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1 400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Debt securities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4 007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3 860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Derivative financial instruments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577</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540</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current advances paid and investments, loans and placements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7 368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11 099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4 360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5 201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Non-current advances paid and investments, loans and placements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Loans and advances paid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10 231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10 230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 xml:space="preserve">Equities and managed investment schemes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30 584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27 294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332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Australian dollar term deposits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285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Debt securities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2 624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2 577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Derivative financial instruments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non-current advances paid and investments, loans and placements</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34 316</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31 987</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11 785</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11 411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advances paid and investments, loans and placements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41 684</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43 086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16 145</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16 612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Represented by: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Advances paid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280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11 986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12 939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Investments, loans and placements</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41 375</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42 806</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4 159</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3 673</w:t>
            </w:r>
          </w:p>
        </w:tc>
      </w:tr>
    </w:tbl>
    <w:p w:rsidR="00F20535" w:rsidRPr="00F00E15" w:rsidRDefault="00F20535" w:rsidP="007A2EDF">
      <w:pPr>
        <w:rPr>
          <w:lang w:val="en-US"/>
        </w:rPr>
      </w:pPr>
    </w:p>
    <w:p w:rsidR="00F20535" w:rsidRPr="00753272" w:rsidRDefault="00F20535" w:rsidP="007A2EDF">
      <w:pPr>
        <w:rPr>
          <w:lang w:val="en-US"/>
        </w:rPr>
      </w:pPr>
    </w:p>
    <w:p w:rsidR="00F20535" w:rsidRPr="00753272" w:rsidRDefault="00F20535" w:rsidP="007A2EDF">
      <w:pPr>
        <w:pStyle w:val="Heading2"/>
        <w:numPr>
          <w:ilvl w:val="1"/>
          <w:numId w:val="22"/>
        </w:numPr>
        <w:rPr>
          <w:bCs/>
          <w:lang w:val="en-US"/>
        </w:rPr>
      </w:pPr>
      <w:bookmarkStart w:id="81" w:name="_Toc503875417"/>
      <w:r w:rsidRPr="00B66E34">
        <w:t>Interest expense</w:t>
      </w:r>
      <w:bookmarkEnd w:id="81"/>
    </w:p>
    <w:p w:rsidR="00F20535" w:rsidRPr="0051349C" w:rsidRDefault="00F20535" w:rsidP="007A2EDF">
      <w:pPr>
        <w:pStyle w:val="TableUnits"/>
        <w:rPr>
          <w:rFonts w:eastAsia="Times New Roman" w:cs="Times New Roman"/>
          <w:bCs/>
          <w:lang w:val="en-US"/>
        </w:rPr>
      </w:pPr>
      <w:r w:rsidRPr="00B66E34">
        <w:t>($</w:t>
      </w:r>
      <w:r>
        <w:t> million</w:t>
      </w:r>
      <w:r w:rsidRPr="00B66E34">
        <w:t>)</w:t>
      </w:r>
      <w:bookmarkStart w:id="82" w:name="_Toc473541487"/>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Interest on interest-bearing liabilities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889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932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568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Finance charges on finance leases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Discount interest on payables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interest expense</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1 346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1 373</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1 009</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1 012</w:t>
            </w:r>
          </w:p>
        </w:tc>
      </w:tr>
    </w:tbl>
    <w:p w:rsidR="00F20535" w:rsidRPr="00F00E15" w:rsidRDefault="00F20535" w:rsidP="007A2EDF">
      <w:pPr>
        <w:pStyle w:val="Source"/>
        <w:rPr>
          <w:lang w:val="en-US"/>
        </w:rPr>
      </w:pPr>
    </w:p>
    <w:p w:rsidR="00F20535" w:rsidRDefault="00F20535" w:rsidP="000C30FB"/>
    <w:p w:rsidR="00F20535" w:rsidRDefault="00F20535" w:rsidP="000C30FB">
      <w:pPr>
        <w:pStyle w:val="Heading10"/>
      </w:pPr>
      <w:r>
        <w:br w:type="page"/>
      </w:r>
    </w:p>
    <w:p w:rsidR="00F20535" w:rsidRDefault="00F20535" w:rsidP="004112E6">
      <w:pPr>
        <w:pStyle w:val="Heading2"/>
        <w:numPr>
          <w:ilvl w:val="1"/>
          <w:numId w:val="17"/>
        </w:numPr>
      </w:pPr>
      <w:bookmarkStart w:id="83" w:name="_Toc503875418"/>
      <w:r>
        <w:t>Commitments</w:t>
      </w:r>
      <w:bookmarkEnd w:id="82"/>
      <w:bookmarkEnd w:id="83"/>
    </w:p>
    <w:p w:rsidR="00F20535" w:rsidRDefault="00F20535" w:rsidP="000C30FB">
      <w:pPr>
        <w:sectPr w:rsidR="00F20535" w:rsidSect="000C30FB">
          <w:type w:val="continuous"/>
          <w:pgSz w:w="11907" w:h="16839" w:code="9"/>
          <w:pgMar w:top="1134" w:right="1134" w:bottom="1134" w:left="1134" w:header="624" w:footer="567" w:gutter="0"/>
          <w:cols w:sep="1" w:space="567"/>
          <w:docGrid w:linePitch="360"/>
        </w:sectPr>
      </w:pPr>
    </w:p>
    <w:p w:rsidR="00F20535" w:rsidRDefault="00F20535" w:rsidP="007A2EDF">
      <w:r>
        <w:t>Commitments include those operating, capital and other commitments contracted at balance date but not recognised as liabilities, arising from non</w:t>
      </w:r>
      <w:r>
        <w:noBreakHyphen/>
        <w:t>cancellable, contractual or statutory sources, and which embody obligations to sacrifice future economic benefits.</w:t>
      </w:r>
    </w:p>
    <w:p w:rsidR="00F20535" w:rsidRDefault="00F20535" w:rsidP="007A2EDF">
      <w:r>
        <w:t xml:space="preserve">Reference to the </w:t>
      </w:r>
      <w:r>
        <w:rPr>
          <w:i/>
        </w:rPr>
        <w:t>2016-17</w:t>
      </w:r>
      <w:r w:rsidRPr="001732B3">
        <w:rPr>
          <w:i/>
        </w:rPr>
        <w:t xml:space="preserve"> Financial Report</w:t>
      </w:r>
      <w:r>
        <w:t xml:space="preserve"> for the State of Victoria (notes 5.6 and 5.7) should be made for details of commitments as at 30 June 2017.</w:t>
      </w:r>
    </w:p>
    <w:p w:rsidR="00F20535" w:rsidRDefault="00F20535" w:rsidP="007A2EDF">
      <w:r>
        <w:t>As at 31 December 2017, the following additional material commitments were recorded for the State of Victoria.</w:t>
      </w:r>
    </w:p>
    <w:p w:rsidR="00F20535" w:rsidRDefault="00F20535" w:rsidP="007A2EDF">
      <w:r>
        <w:t>Unless otherwise stated, contract amounts are presented as nominal values.</w:t>
      </w:r>
    </w:p>
    <w:p w:rsidR="00F20535" w:rsidRDefault="00F20535" w:rsidP="007A2EDF">
      <w:pPr>
        <w:pStyle w:val="ListBullet"/>
      </w:pPr>
      <w:r>
        <w:t>I</w:t>
      </w:r>
      <w:r w:rsidRPr="007630F9">
        <w:t xml:space="preserve">n August 2017, VicRoads </w:t>
      </w:r>
      <w:r>
        <w:t xml:space="preserve">contracted </w:t>
      </w:r>
      <w:r w:rsidRPr="007630F9">
        <w:t>wit</w:t>
      </w:r>
      <w:r>
        <w:t>h Unisys Australia Pty Ltd for corporate information and c</w:t>
      </w:r>
      <w:r w:rsidRPr="007630F9">
        <w:t xml:space="preserve">ommunications </w:t>
      </w:r>
      <w:r>
        <w:t>technology (ICT) and infrastructure r</w:t>
      </w:r>
      <w:r w:rsidRPr="007630F9">
        <w:t>elocation</w:t>
      </w:r>
      <w:r>
        <w:t>,</w:t>
      </w:r>
      <w:r w:rsidRPr="007630F9">
        <w:t xml:space="preserve"> and</w:t>
      </w:r>
      <w:r>
        <w:t xml:space="preserve"> a transformation p</w:t>
      </w:r>
      <w:r w:rsidRPr="007630F9">
        <w:t>rogram. The total cost of the contract is $56 million</w:t>
      </w:r>
      <w:r>
        <w:t>,</w:t>
      </w:r>
      <w:r w:rsidRPr="007630F9">
        <w:t xml:space="preserve"> </w:t>
      </w:r>
      <w:r>
        <w:t xml:space="preserve">which </w:t>
      </w:r>
      <w:r w:rsidRPr="007630F9">
        <w:t>is expected to be completed in August 2024.</w:t>
      </w:r>
    </w:p>
    <w:p w:rsidR="00F20535" w:rsidRDefault="00F20535" w:rsidP="007A2EDF">
      <w:pPr>
        <w:pStyle w:val="ListBullet"/>
      </w:pPr>
      <w:r>
        <w:t>In August and September 2017, the State contracted with Civica to operate the contact centre for Fines Victoria for the next five years. The total cost of the two contracts is $201 million.</w:t>
      </w:r>
    </w:p>
    <w:p w:rsidR="00F20535" w:rsidRDefault="00F20535" w:rsidP="007A2EDF">
      <w:pPr>
        <w:pStyle w:val="ListBullet"/>
      </w:pPr>
      <w:r>
        <w:t xml:space="preserve">In September 2017, the State contracted with BMD Constructions Pty Ltd to design and construct roadworks and bridgeworks for the duplication of Thompsons Road </w:t>
      </w:r>
      <w:r w:rsidRPr="003D0FE6">
        <w:t>from Dandenong-Frankston Road to Berwick-Cranbourne Road (Clyde Road)</w:t>
      </w:r>
      <w:r>
        <w:t>. The total cost of the contract is $72 million, with expected completion in June 2019.</w:t>
      </w:r>
    </w:p>
    <w:p w:rsidR="00F20535" w:rsidRDefault="00F20535" w:rsidP="007A2EDF">
      <w:pPr>
        <w:pStyle w:val="ListBullet"/>
      </w:pPr>
      <w:r>
        <w:t xml:space="preserve">In September 2017, the State contracted with Plenary Health to expand Casey Hospital as a modification under the existing </w:t>
      </w:r>
      <w:r w:rsidRPr="00CD4913">
        <w:t xml:space="preserve">public private partnership </w:t>
      </w:r>
      <w:r>
        <w:t>(PPP). The expansion contract term aligns with the existing contract, which expires in 2029. The expansion is expected to be operational in 2019, and the net present value of the State</w:t>
      </w:r>
      <w:r w:rsidR="007F4ECD">
        <w:t>’</w:t>
      </w:r>
      <w:r>
        <w:t xml:space="preserve">s commitment to the contract is </w:t>
      </w:r>
      <w:r w:rsidRPr="00457FB8">
        <w:t>$</w:t>
      </w:r>
      <w:r>
        <w:t>9</w:t>
      </w:r>
      <w:r w:rsidRPr="00457FB8">
        <w:t>6 million</w:t>
      </w:r>
      <w:r>
        <w:t xml:space="preserve"> (excluding GST).</w:t>
      </w:r>
    </w:p>
    <w:p w:rsidR="00F20535" w:rsidRDefault="00F20535" w:rsidP="007A2EDF">
      <w:pPr>
        <w:pStyle w:val="ListBullet"/>
      </w:pPr>
      <w:r>
        <w:t xml:space="preserve">In September </w:t>
      </w:r>
      <w:r w:rsidRPr="00AF3B5A">
        <w:t xml:space="preserve">2017, </w:t>
      </w:r>
      <w:r>
        <w:t>a contract adjustment of $330 million was</w:t>
      </w:r>
      <w:r w:rsidRPr="00AF3B5A">
        <w:t xml:space="preserve"> approved for </w:t>
      </w:r>
      <w:r>
        <w:t>the South Western</w:t>
      </w:r>
      <w:r w:rsidRPr="00AF3B5A">
        <w:t xml:space="preserve"> </w:t>
      </w:r>
      <w:r>
        <w:t xml:space="preserve">Region </w:t>
      </w:r>
      <w:r w:rsidRPr="00AF3B5A">
        <w:t>Road Network</w:t>
      </w:r>
      <w:r>
        <w:t xml:space="preserve"> Maintenance Alliance agreement</w:t>
      </w:r>
      <w:r w:rsidRPr="00AF3B5A">
        <w:t xml:space="preserve"> with Fulton Hogan Industries Pty Ltd. The contract remain</w:t>
      </w:r>
      <w:r>
        <w:t>s due for completion in 2020.</w:t>
      </w:r>
    </w:p>
    <w:p w:rsidR="00F20535" w:rsidRPr="00954761" w:rsidRDefault="00F20535" w:rsidP="007A2EDF">
      <w:pPr>
        <w:pStyle w:val="ListBullet"/>
      </w:pPr>
      <w:r>
        <w:t>In October 2017, the S</w:t>
      </w:r>
      <w:r w:rsidRPr="00954761">
        <w:t xml:space="preserve">tate </w:t>
      </w:r>
      <w:r>
        <w:t xml:space="preserve">contracted </w:t>
      </w:r>
      <w:r w:rsidRPr="00954761">
        <w:t>with G4S Integrated Services Pty Ltd for the provision of Court Security Services</w:t>
      </w:r>
      <w:r>
        <w:t xml:space="preserve"> for the next six years</w:t>
      </w:r>
      <w:r w:rsidRPr="00954761">
        <w:t>. The total cost of the contract is</w:t>
      </w:r>
      <w:r>
        <w:t xml:space="preserve"> </w:t>
      </w:r>
      <w:r w:rsidRPr="00954761">
        <w:t>$78</w:t>
      </w:r>
      <w:r>
        <w:t> </w:t>
      </w:r>
      <w:r w:rsidRPr="00954761">
        <w:t>million.</w:t>
      </w:r>
    </w:p>
    <w:p w:rsidR="00F20535" w:rsidRDefault="00F20535" w:rsidP="007A2EDF">
      <w:pPr>
        <w:pStyle w:val="ListBullet"/>
      </w:pPr>
      <w:r>
        <w:t>In October 2017, the State contracted with Visionstream Pty Ltd to operate and maintain the Emergency Alerting System. The total cost of the contract is $107 million. The contractual period started in November 2017, for a period of five years.</w:t>
      </w:r>
    </w:p>
    <w:p w:rsidR="00F20535" w:rsidRPr="00084104" w:rsidRDefault="00F20535" w:rsidP="007A2EDF">
      <w:pPr>
        <w:pStyle w:val="ListBullet"/>
      </w:pPr>
      <w:r w:rsidRPr="00084104">
        <w:t>In October 2017, the State entered into new contracts with Metro Trains Melbourne and Keolis Downer to operate Melbourne</w:t>
      </w:r>
      <w:r w:rsidR="007F4ECD">
        <w:t>’</w:t>
      </w:r>
      <w:r w:rsidRPr="00084104">
        <w:t xml:space="preserve">s train and tram networks for the next seven years. The new </w:t>
      </w:r>
      <w:r w:rsidRPr="00084104">
        <w:rPr>
          <w:spacing w:val="-2"/>
        </w:rPr>
        <w:t>franchise term commenced on 30 November 2017</w:t>
      </w:r>
      <w:r w:rsidRPr="00084104">
        <w:t xml:space="preserve"> and the total cost of the contracts, net of farebox, is $9.2 billion.</w:t>
      </w:r>
    </w:p>
    <w:p w:rsidR="00F20535" w:rsidRDefault="00F20535" w:rsidP="007A2EDF">
      <w:pPr>
        <w:pStyle w:val="ListBullet"/>
      </w:pPr>
      <w:r>
        <w:t>In October 2017, the State contracted with BMD Constructions Pty Ltd to design and build the Yan Yean Road upgrade. The total cost of the contract is $70 million, expected to be completed in June 2019.</w:t>
      </w:r>
    </w:p>
    <w:p w:rsidR="00F20535" w:rsidRDefault="00F20535" w:rsidP="007A2EDF">
      <w:pPr>
        <w:pStyle w:val="ListBullet"/>
      </w:pPr>
      <w:r w:rsidRPr="00AF3B5A">
        <w:t xml:space="preserve">In December 2017, </w:t>
      </w:r>
      <w:r>
        <w:t xml:space="preserve">a contract adjustment of </w:t>
      </w:r>
      <w:r w:rsidRPr="00AF3B5A">
        <w:t>$180</w:t>
      </w:r>
      <w:r>
        <w:t> </w:t>
      </w:r>
      <w:r w:rsidRPr="00AF3B5A">
        <w:t>m</w:t>
      </w:r>
      <w:r>
        <w:t>illion</w:t>
      </w:r>
      <w:r w:rsidRPr="00AF3B5A">
        <w:t xml:space="preserve"> </w:t>
      </w:r>
      <w:r>
        <w:t>was</w:t>
      </w:r>
      <w:r w:rsidRPr="00AF3B5A">
        <w:t xml:space="preserve"> approved for </w:t>
      </w:r>
      <w:r>
        <w:t>the Eastern</w:t>
      </w:r>
      <w:r w:rsidRPr="00AF3B5A">
        <w:t xml:space="preserve"> </w:t>
      </w:r>
      <w:r>
        <w:t xml:space="preserve">Region </w:t>
      </w:r>
      <w:r w:rsidRPr="00AF3B5A">
        <w:t>Road Network</w:t>
      </w:r>
      <w:r>
        <w:t xml:space="preserve"> Maintenance Alliance agreement</w:t>
      </w:r>
      <w:r w:rsidRPr="00AF3B5A">
        <w:t xml:space="preserve"> with Fulton Hogan Industries Pty Ltd. The contract remain</w:t>
      </w:r>
      <w:r>
        <w:t xml:space="preserve">s due for completion in </w:t>
      </w:r>
      <w:r w:rsidRPr="00AF3B5A">
        <w:t>2021</w:t>
      </w:r>
      <w:r>
        <w:t>.</w:t>
      </w:r>
    </w:p>
    <w:p w:rsidR="00F20535" w:rsidRPr="00C40029" w:rsidRDefault="00F20535" w:rsidP="007A2EDF">
      <w:pPr>
        <w:pStyle w:val="ListBullet"/>
      </w:pPr>
      <w:r w:rsidRPr="008A6442">
        <w:t xml:space="preserve">In December 2017, the State contracted with Motorola Solutions Australia to operate and maintain the Metropolitan Mobile Radio service under a PPP arrangement. The net present value of the contract </w:t>
      </w:r>
      <w:r w:rsidRPr="00CE400B">
        <w:t>is $211</w:t>
      </w:r>
      <w:r w:rsidRPr="008A6442">
        <w:t xml:space="preserve"> million</w:t>
      </w:r>
      <w:r>
        <w:t xml:space="preserve"> (excluding GST)</w:t>
      </w:r>
      <w:r w:rsidRPr="008A6442">
        <w:t>. The contractual period will start in July 2018</w:t>
      </w:r>
      <w:r>
        <w:t>,</w:t>
      </w:r>
      <w:r w:rsidRPr="008A6442">
        <w:t xml:space="preserve"> for a period of seven years</w:t>
      </w:r>
      <w:r>
        <w:t>.</w:t>
      </w:r>
    </w:p>
    <w:p w:rsidR="00F20535" w:rsidRDefault="00F20535" w:rsidP="007A2EDF">
      <w:pPr>
        <w:pStyle w:val="ListBullet"/>
      </w:pPr>
      <w:r>
        <w:t>I</w:t>
      </w:r>
      <w:r w:rsidRPr="00CD4913">
        <w:t xml:space="preserve">n December 2017, the State </w:t>
      </w:r>
      <w:r>
        <w:t xml:space="preserve">contracted with </w:t>
      </w:r>
      <w:r w:rsidRPr="00CD4913">
        <w:t xml:space="preserve">Transurban and </w:t>
      </w:r>
      <w:r>
        <w:t xml:space="preserve">CPB Contractors and John Holland to build the West Gate Tunnel </w:t>
      </w:r>
      <w:r w:rsidRPr="00CD4913">
        <w:t xml:space="preserve">under a </w:t>
      </w:r>
      <w:r w:rsidRPr="0064706B">
        <w:t>PPP arrangement. The project includes the West Gate Tunnel, the Monash Freeway Upgrade and the Webb Dock Access Improvement Works.</w:t>
      </w:r>
      <w:r>
        <w:t xml:space="preserve"> The S</w:t>
      </w:r>
      <w:r w:rsidRPr="006F41B9">
        <w:t>tate</w:t>
      </w:r>
      <w:r w:rsidR="007F4ECD">
        <w:t>’</w:t>
      </w:r>
      <w:r w:rsidRPr="006F41B9">
        <w:t>s commitment to the contract is $2.7</w:t>
      </w:r>
      <w:r>
        <w:t> </w:t>
      </w:r>
      <w:r w:rsidRPr="006F41B9">
        <w:t>b</w:t>
      </w:r>
      <w:r>
        <w:t>illion, and the</w:t>
      </w:r>
      <w:r w:rsidRPr="006B60FB">
        <w:t xml:space="preserve"> works are expected to be</w:t>
      </w:r>
      <w:r>
        <w:t xml:space="preserve"> completed in late 2022. The State is required to make substitute contributions if changes to toll indexation or an extension to the concession term </w:t>
      </w:r>
      <w:r w:rsidRPr="004C3351">
        <w:t xml:space="preserve">under the </w:t>
      </w:r>
      <w:r w:rsidRPr="004C3351">
        <w:rPr>
          <w:i/>
        </w:rPr>
        <w:t xml:space="preserve">Melbourne City Link Act 1995 </w:t>
      </w:r>
      <w:r w:rsidRPr="004C3351">
        <w:t>is not</w:t>
      </w:r>
      <w:r>
        <w:t xml:space="preserve"> passed in Parliament by the time the West Gate Tunnel is open.</w:t>
      </w:r>
      <w:r w:rsidRPr="00227F73">
        <w:rPr>
          <w:highlight w:val="yellow"/>
        </w:rPr>
        <w:t xml:space="preserve"> </w:t>
      </w:r>
    </w:p>
    <w:p w:rsidR="00F20535" w:rsidRPr="003A6540" w:rsidRDefault="00F20535" w:rsidP="007A2EDF">
      <w:pPr>
        <w:pStyle w:val="ListBullet"/>
      </w:pPr>
      <w:r>
        <w:t xml:space="preserve">In December 2017, the State entered into a Project Alliance Agreement with CPB Contractors, Bombardier Transportation </w:t>
      </w:r>
      <w:r w:rsidRPr="00E93889">
        <w:t>Australia and Metro Trains Melbourne to deliver the Metro Tunnel – Rail Sys</w:t>
      </w:r>
      <w:r>
        <w:t xml:space="preserve">tems package. </w:t>
      </w:r>
      <w:r w:rsidRPr="001879A0">
        <w:t xml:space="preserve">The total cost of the contract is </w:t>
      </w:r>
      <w:r w:rsidRPr="003A6540">
        <w:t>$1.1 billion, and works are expected to</w:t>
      </w:r>
      <w:r>
        <w:t xml:space="preserve"> be completed in 2025</w:t>
      </w:r>
      <w:r w:rsidRPr="003A6540">
        <w:t>.</w:t>
      </w:r>
    </w:p>
    <w:p w:rsidR="00F20535" w:rsidRPr="00663B33" w:rsidRDefault="00F20535" w:rsidP="007A2EDF">
      <w:pPr>
        <w:pStyle w:val="ListBullet"/>
      </w:pPr>
      <w:r w:rsidRPr="003654AC">
        <w:t>In December 2017, the State contracted with Cross Yarra Partnership (CYP) – a consortium comprising Lendlease Engineering, John Holland, Bouygues Construction and Capella Capital – to deliver the Metro Tunnel</w:t>
      </w:r>
      <w:r>
        <w:t xml:space="preserve"> – </w:t>
      </w:r>
      <w:r w:rsidRPr="003654AC">
        <w:t xml:space="preserve">Tunnel and Stations package under a PPP arrangement. The net present value of the contract with </w:t>
      </w:r>
      <w:r>
        <w:t>CYP</w:t>
      </w:r>
      <w:r w:rsidRPr="003654AC">
        <w:t xml:space="preserve"> is </w:t>
      </w:r>
      <w:r w:rsidRPr="00663B33">
        <w:t>$</w:t>
      </w:r>
      <w:r>
        <w:t>5.2</w:t>
      </w:r>
      <w:r w:rsidRPr="00663B33">
        <w:t> billion</w:t>
      </w:r>
      <w:r>
        <w:t xml:space="preserve"> (excluding GST)</w:t>
      </w:r>
      <w:r w:rsidRPr="00663B33">
        <w:t>, and works are expected to be completed in 202</w:t>
      </w:r>
      <w:r>
        <w:t>4</w:t>
      </w:r>
      <w:r w:rsidRPr="00663B33">
        <w:t xml:space="preserve">. </w:t>
      </w:r>
    </w:p>
    <w:p w:rsidR="00F20535" w:rsidRPr="00973F26" w:rsidRDefault="00F20535" w:rsidP="007A2EDF">
      <w:pPr>
        <w:pStyle w:val="ListBullet"/>
      </w:pPr>
      <w:r w:rsidRPr="003654AC">
        <w:t>In December 2017, the State entered into a Project Alliance Agreement with</w:t>
      </w:r>
      <w:r>
        <w:t xml:space="preserve"> </w:t>
      </w:r>
      <w:r w:rsidRPr="00601B72">
        <w:t>V/Line and</w:t>
      </w:r>
      <w:r w:rsidRPr="003654AC">
        <w:t xml:space="preserve"> Lendlease Engineering, Coleman Rail and SMEC Australia to deliver Stage 1 of the Ballarat Line Upgrade project</w:t>
      </w:r>
      <w:r>
        <w:t xml:space="preserve"> including a new station at </w:t>
      </w:r>
      <w:r w:rsidRPr="00973F26">
        <w:t xml:space="preserve">Toolern. The </w:t>
      </w:r>
      <w:r>
        <w:t>total value of the contract with the alliance is $400.5 million</w:t>
      </w:r>
      <w:r w:rsidRPr="00973F26">
        <w:t xml:space="preserve"> and the project is expected to be completed in 2019.</w:t>
      </w:r>
    </w:p>
    <w:p w:rsidR="00F20535" w:rsidRDefault="00F20535" w:rsidP="007A2EDF">
      <w:pPr>
        <w:pStyle w:val="ListBullet"/>
      </w:pPr>
      <w:r w:rsidRPr="00663B33">
        <w:t>In December 2017, the State signed the Western Roads Upgrade contract under a PPP arrangement with Netflow Consortium – comprising Plenary, Cintra, WBHO and Amey-Broadspectrum – for roads upgrades and maintenance. The initial works include eight capital upgrade projects and initial rehabilitation works. These works are expected to be co</w:t>
      </w:r>
      <w:r>
        <w:t>mpleted progressively in 2020</w:t>
      </w:r>
      <w:r w:rsidRPr="00663B33">
        <w:t xml:space="preserve">, following which the Netflow Consortium will be required to maintain the relevant area of the road network for 20 years. The net present value of the contract with Netflow, including the capital, maintenance and lifecycle components, </w:t>
      </w:r>
      <w:r>
        <w:t>is $1.1</w:t>
      </w:r>
      <w:r w:rsidRPr="00663B33">
        <w:t> billion</w:t>
      </w:r>
      <w:r w:rsidRPr="00332891">
        <w:t>.</w:t>
      </w:r>
    </w:p>
    <w:p w:rsidR="00F20535" w:rsidRDefault="00F20535" w:rsidP="007A2EDF">
      <w:pPr>
        <w:pStyle w:val="ListBullet"/>
      </w:pPr>
      <w:r w:rsidRPr="005A3D19">
        <w:t>In December 2017, the State contract</w:t>
      </w:r>
      <w:r>
        <w:t>ed</w:t>
      </w:r>
      <w:r w:rsidRPr="005A3D19">
        <w:t xml:space="preserve"> with Lendlease</w:t>
      </w:r>
      <w:r>
        <w:t xml:space="preserve"> Engineering</w:t>
      </w:r>
      <w:r w:rsidRPr="005A3D19">
        <w:t xml:space="preserve">, Acciona Coleman and WSP for the removal of level crossings </w:t>
      </w:r>
      <w:r>
        <w:t>on the Frankston line in</w:t>
      </w:r>
      <w:r w:rsidRPr="005A3D19">
        <w:t xml:space="preserve"> Bonbeach, </w:t>
      </w:r>
      <w:r>
        <w:t>Carrum and</w:t>
      </w:r>
      <w:r w:rsidRPr="005A3D19">
        <w:t xml:space="preserve"> Seaford. </w:t>
      </w:r>
      <w:r>
        <w:t>The work</w:t>
      </w:r>
      <w:r w:rsidRPr="005A3D19">
        <w:t xml:space="preserve"> will also include building a new train storage facility near Kananook Station. The total commitment for the Initial Work Package for the Southern Program Alliance is $647 million and the program is expected to be completed by August 2021</w:t>
      </w:r>
      <w:r>
        <w:t>.</w:t>
      </w:r>
    </w:p>
    <w:p w:rsidR="00F20535" w:rsidRDefault="00F20535" w:rsidP="007A2EDF">
      <w:pPr>
        <w:tabs>
          <w:tab w:val="left" w:pos="8080"/>
        </w:tabs>
      </w:pPr>
      <w:r w:rsidRPr="00CB464C">
        <w:t>There was no other material change in commitments for the State during this mid-year reporting period.</w:t>
      </w:r>
    </w:p>
    <w:p w:rsidR="00F20535" w:rsidRDefault="00F20535" w:rsidP="007A2EDF"/>
    <w:p w:rsidR="00F20535" w:rsidRDefault="00F20535" w:rsidP="007A2EDF"/>
    <w:p w:rsidR="00F20535" w:rsidRDefault="00F20535"/>
    <w:bookmarkEnd w:id="75"/>
    <w:p w:rsidR="00F20535" w:rsidRDefault="00F20535"/>
    <w:p w:rsidR="00F20535" w:rsidRDefault="00F20535"/>
    <w:p w:rsidR="00F20535" w:rsidRDefault="00F20535">
      <w:pPr>
        <w:sectPr w:rsidR="00F20535" w:rsidSect="000C30FB">
          <w:type w:val="continuous"/>
          <w:pgSz w:w="11907" w:h="16839" w:code="9"/>
          <w:pgMar w:top="1134" w:right="1134" w:bottom="1134" w:left="1134" w:header="624" w:footer="567" w:gutter="0"/>
          <w:cols w:num="2" w:space="567"/>
          <w:docGrid w:linePitch="360"/>
        </w:sectPr>
      </w:pPr>
    </w:p>
    <w:p w:rsidR="00F20535" w:rsidRDefault="00F20535">
      <w:pPr>
        <w:rPr>
          <w:rFonts w:asciiTheme="majorHAnsi" w:eastAsiaTheme="majorEastAsia" w:hAnsiTheme="majorHAnsi" w:cstheme="majorBidi"/>
          <w:b/>
          <w:bCs/>
          <w:caps/>
          <w:spacing w:val="-2"/>
          <w:sz w:val="26"/>
          <w:szCs w:val="28"/>
        </w:rPr>
      </w:pPr>
      <w:bookmarkStart w:id="84" w:name="_Toc473541488"/>
      <w:bookmarkStart w:id="85" w:name="Section6"/>
      <w:r>
        <w:br w:type="page"/>
      </w:r>
    </w:p>
    <w:p w:rsidR="00F20535" w:rsidRDefault="00F20535" w:rsidP="007A2EDF">
      <w:pPr>
        <w:pStyle w:val="Heading1"/>
        <w:numPr>
          <w:ilvl w:val="0"/>
          <w:numId w:val="22"/>
        </w:numPr>
      </w:pPr>
      <w:bookmarkStart w:id="86" w:name="_Toc508201403"/>
      <w:r>
        <w:t>Other assets and liabilities</w:t>
      </w:r>
      <w:bookmarkEnd w:id="84"/>
      <w:bookmarkEnd w:id="86"/>
    </w:p>
    <w:p w:rsidR="00F20535" w:rsidRDefault="00F20535" w:rsidP="000C30FB">
      <w:pPr>
        <w:pStyle w:val="Heading20"/>
        <w:sectPr w:rsidR="00F20535" w:rsidSect="000C30FB">
          <w:type w:val="continuous"/>
          <w:pgSz w:w="11907" w:h="16839" w:code="9"/>
          <w:pgMar w:top="1134" w:right="1134" w:bottom="1134" w:left="1134" w:header="624" w:footer="567" w:gutter="0"/>
          <w:cols w:sep="1" w:space="567"/>
          <w:docGrid w:linePitch="360"/>
        </w:sectPr>
      </w:pPr>
    </w:p>
    <w:p w:rsidR="00F20535" w:rsidRDefault="00F20535" w:rsidP="000C30FB">
      <w:pPr>
        <w:pStyle w:val="Heading20"/>
      </w:pPr>
      <w:bookmarkStart w:id="87" w:name="_Toc473541489"/>
      <w:r>
        <w:t>Introduction</w:t>
      </w:r>
      <w:bookmarkEnd w:id="87"/>
    </w:p>
    <w:p w:rsidR="00F20535" w:rsidRDefault="00F20535" w:rsidP="000C30FB">
      <w:r>
        <w:t>This section sets out other assets and liabilities that arise from the State</w:t>
      </w:r>
      <w:r w:rsidR="007F4ECD">
        <w:t>’</w:t>
      </w:r>
      <w:r>
        <w:t>s operations.</w:t>
      </w:r>
    </w:p>
    <w:p w:rsidR="00F20535" w:rsidRDefault="00F20535" w:rsidP="000C30FB">
      <w:pPr>
        <w:pStyle w:val="Heading20"/>
      </w:pPr>
      <w:r>
        <w:br w:type="column"/>
        <w:t>Structure</w:t>
      </w:r>
    </w:p>
    <w:p w:rsidR="00F20535" w:rsidRDefault="00F20535">
      <w:pPr>
        <w:pStyle w:val="TOC9"/>
        <w:rPr>
          <w:rFonts w:eastAsiaTheme="minorEastAsia"/>
          <w:noProof/>
          <w:spacing w:val="0"/>
          <w:lang w:eastAsia="en-AU"/>
        </w:rPr>
      </w:pPr>
      <w:r>
        <w:fldChar w:fldCharType="begin"/>
      </w:r>
      <w:r>
        <w:instrText xml:space="preserve"> TOC \h \z \t "Heading 2 (#),9" \b Section6 </w:instrText>
      </w:r>
      <w:r>
        <w:fldChar w:fldCharType="separate"/>
      </w:r>
      <w:hyperlink w:anchor="_Toc507151075" w:history="1">
        <w:r w:rsidRPr="00E71D47">
          <w:rPr>
            <w:rStyle w:val="Hyperlink"/>
            <w:noProof/>
          </w:rPr>
          <w:t>6.1</w:t>
        </w:r>
        <w:r>
          <w:rPr>
            <w:rFonts w:eastAsiaTheme="minorEastAsia"/>
            <w:noProof/>
            <w:spacing w:val="0"/>
            <w:lang w:eastAsia="en-AU"/>
          </w:rPr>
          <w:tab/>
        </w:r>
        <w:r w:rsidRPr="00E71D47">
          <w:rPr>
            <w:rStyle w:val="Hyperlink"/>
            <w:noProof/>
          </w:rPr>
          <w:t>Inventories</w:t>
        </w:r>
        <w:r>
          <w:rPr>
            <w:noProof/>
            <w:webHidden/>
          </w:rPr>
          <w:tab/>
        </w:r>
        <w:r>
          <w:rPr>
            <w:noProof/>
            <w:webHidden/>
          </w:rPr>
          <w:fldChar w:fldCharType="begin"/>
        </w:r>
        <w:r>
          <w:rPr>
            <w:noProof/>
            <w:webHidden/>
          </w:rPr>
          <w:instrText xml:space="preserve"> PAGEREF _Toc507151075 \h </w:instrText>
        </w:r>
        <w:r>
          <w:rPr>
            <w:noProof/>
            <w:webHidden/>
          </w:rPr>
        </w:r>
        <w:r>
          <w:rPr>
            <w:noProof/>
            <w:webHidden/>
          </w:rPr>
          <w:fldChar w:fldCharType="separate"/>
        </w:r>
        <w:r w:rsidR="00FF6398">
          <w:rPr>
            <w:noProof/>
            <w:webHidden/>
          </w:rPr>
          <w:t>35</w:t>
        </w:r>
        <w:r>
          <w:rPr>
            <w:noProof/>
            <w:webHidden/>
          </w:rPr>
          <w:fldChar w:fldCharType="end"/>
        </w:r>
      </w:hyperlink>
    </w:p>
    <w:p w:rsidR="00F20535" w:rsidRDefault="00C0501E">
      <w:pPr>
        <w:pStyle w:val="TOC9"/>
        <w:rPr>
          <w:rFonts w:eastAsiaTheme="minorEastAsia"/>
          <w:noProof/>
          <w:spacing w:val="0"/>
          <w:lang w:eastAsia="en-AU"/>
        </w:rPr>
      </w:pPr>
      <w:hyperlink w:anchor="_Toc507151076" w:history="1">
        <w:r w:rsidR="00F20535" w:rsidRPr="00E71D47">
          <w:rPr>
            <w:rStyle w:val="Hyperlink"/>
            <w:noProof/>
          </w:rPr>
          <w:t>6.2</w:t>
        </w:r>
        <w:r w:rsidR="00F20535">
          <w:rPr>
            <w:rFonts w:eastAsiaTheme="minorEastAsia"/>
            <w:noProof/>
            <w:spacing w:val="0"/>
            <w:lang w:eastAsia="en-AU"/>
          </w:rPr>
          <w:tab/>
        </w:r>
        <w:r w:rsidR="00F20535" w:rsidRPr="00E71D47">
          <w:rPr>
            <w:rStyle w:val="Hyperlink"/>
            <w:noProof/>
          </w:rPr>
          <w:t>Receivables</w:t>
        </w:r>
        <w:r w:rsidR="00F20535">
          <w:rPr>
            <w:noProof/>
            <w:webHidden/>
          </w:rPr>
          <w:tab/>
        </w:r>
        <w:r w:rsidR="00F20535">
          <w:rPr>
            <w:noProof/>
            <w:webHidden/>
          </w:rPr>
          <w:fldChar w:fldCharType="begin"/>
        </w:r>
        <w:r w:rsidR="00F20535">
          <w:rPr>
            <w:noProof/>
            <w:webHidden/>
          </w:rPr>
          <w:instrText xml:space="preserve"> PAGEREF _Toc507151076 \h </w:instrText>
        </w:r>
        <w:r w:rsidR="00F20535">
          <w:rPr>
            <w:noProof/>
            <w:webHidden/>
          </w:rPr>
        </w:r>
        <w:r w:rsidR="00F20535">
          <w:rPr>
            <w:noProof/>
            <w:webHidden/>
          </w:rPr>
          <w:fldChar w:fldCharType="separate"/>
        </w:r>
        <w:r w:rsidR="00FF6398">
          <w:rPr>
            <w:noProof/>
            <w:webHidden/>
          </w:rPr>
          <w:t>35</w:t>
        </w:r>
        <w:r w:rsidR="00F20535">
          <w:rPr>
            <w:noProof/>
            <w:webHidden/>
          </w:rPr>
          <w:fldChar w:fldCharType="end"/>
        </w:r>
      </w:hyperlink>
    </w:p>
    <w:p w:rsidR="00F20535" w:rsidRDefault="00C0501E">
      <w:pPr>
        <w:pStyle w:val="TOC9"/>
        <w:rPr>
          <w:rFonts w:eastAsiaTheme="minorEastAsia"/>
          <w:noProof/>
          <w:spacing w:val="0"/>
          <w:lang w:eastAsia="en-AU"/>
        </w:rPr>
      </w:pPr>
      <w:hyperlink w:anchor="_Toc507151077" w:history="1">
        <w:r w:rsidR="00F20535" w:rsidRPr="00E71D47">
          <w:rPr>
            <w:rStyle w:val="Hyperlink"/>
            <w:noProof/>
          </w:rPr>
          <w:t>6.3</w:t>
        </w:r>
        <w:r w:rsidR="00F20535">
          <w:rPr>
            <w:rFonts w:eastAsiaTheme="minorEastAsia"/>
            <w:noProof/>
            <w:spacing w:val="0"/>
            <w:lang w:eastAsia="en-AU"/>
          </w:rPr>
          <w:tab/>
        </w:r>
        <w:r w:rsidR="00F20535" w:rsidRPr="00E71D47">
          <w:rPr>
            <w:rStyle w:val="Hyperlink"/>
            <w:noProof/>
          </w:rPr>
          <w:t>Payables</w:t>
        </w:r>
        <w:r w:rsidR="00F20535">
          <w:rPr>
            <w:noProof/>
            <w:webHidden/>
          </w:rPr>
          <w:tab/>
        </w:r>
        <w:r w:rsidR="00F20535">
          <w:rPr>
            <w:noProof/>
            <w:webHidden/>
          </w:rPr>
          <w:fldChar w:fldCharType="begin"/>
        </w:r>
        <w:r w:rsidR="00F20535">
          <w:rPr>
            <w:noProof/>
            <w:webHidden/>
          </w:rPr>
          <w:instrText xml:space="preserve"> PAGEREF _Toc507151077 \h </w:instrText>
        </w:r>
        <w:r w:rsidR="00F20535">
          <w:rPr>
            <w:noProof/>
            <w:webHidden/>
          </w:rPr>
        </w:r>
        <w:r w:rsidR="00F20535">
          <w:rPr>
            <w:noProof/>
            <w:webHidden/>
          </w:rPr>
          <w:fldChar w:fldCharType="separate"/>
        </w:r>
        <w:r w:rsidR="00FF6398">
          <w:rPr>
            <w:noProof/>
            <w:webHidden/>
          </w:rPr>
          <w:t>36</w:t>
        </w:r>
        <w:r w:rsidR="00F20535">
          <w:rPr>
            <w:noProof/>
            <w:webHidden/>
          </w:rPr>
          <w:fldChar w:fldCharType="end"/>
        </w:r>
      </w:hyperlink>
    </w:p>
    <w:p w:rsidR="00F20535" w:rsidRDefault="00C0501E">
      <w:pPr>
        <w:pStyle w:val="TOC9"/>
        <w:rPr>
          <w:rFonts w:eastAsiaTheme="minorEastAsia"/>
          <w:noProof/>
          <w:spacing w:val="0"/>
          <w:lang w:eastAsia="en-AU"/>
        </w:rPr>
      </w:pPr>
      <w:hyperlink w:anchor="_Toc507151078" w:history="1">
        <w:r w:rsidR="00F20535" w:rsidRPr="00E71D47">
          <w:rPr>
            <w:rStyle w:val="Hyperlink"/>
            <w:noProof/>
          </w:rPr>
          <w:t>6.4</w:t>
        </w:r>
        <w:r w:rsidR="00F20535">
          <w:rPr>
            <w:rFonts w:eastAsiaTheme="minorEastAsia"/>
            <w:noProof/>
            <w:spacing w:val="0"/>
            <w:lang w:eastAsia="en-AU"/>
          </w:rPr>
          <w:tab/>
        </w:r>
        <w:r w:rsidR="00F20535" w:rsidRPr="00E71D47">
          <w:rPr>
            <w:rStyle w:val="Hyperlink"/>
            <w:noProof/>
          </w:rPr>
          <w:t>Superannuation</w:t>
        </w:r>
        <w:r w:rsidR="00F20535">
          <w:rPr>
            <w:noProof/>
            <w:webHidden/>
          </w:rPr>
          <w:tab/>
        </w:r>
        <w:r w:rsidR="00F20535">
          <w:rPr>
            <w:noProof/>
            <w:webHidden/>
          </w:rPr>
          <w:fldChar w:fldCharType="begin"/>
        </w:r>
        <w:r w:rsidR="00F20535">
          <w:rPr>
            <w:noProof/>
            <w:webHidden/>
          </w:rPr>
          <w:instrText xml:space="preserve"> PAGEREF _Toc507151078 \h </w:instrText>
        </w:r>
        <w:r w:rsidR="00F20535">
          <w:rPr>
            <w:noProof/>
            <w:webHidden/>
          </w:rPr>
        </w:r>
        <w:r w:rsidR="00F20535">
          <w:rPr>
            <w:noProof/>
            <w:webHidden/>
          </w:rPr>
          <w:fldChar w:fldCharType="separate"/>
        </w:r>
        <w:r w:rsidR="00FF6398">
          <w:rPr>
            <w:noProof/>
            <w:webHidden/>
          </w:rPr>
          <w:t>36</w:t>
        </w:r>
        <w:r w:rsidR="00F20535">
          <w:rPr>
            <w:noProof/>
            <w:webHidden/>
          </w:rPr>
          <w:fldChar w:fldCharType="end"/>
        </w:r>
      </w:hyperlink>
    </w:p>
    <w:p w:rsidR="00F20535" w:rsidRDefault="00C0501E">
      <w:pPr>
        <w:pStyle w:val="TOC9"/>
        <w:rPr>
          <w:rFonts w:eastAsiaTheme="minorEastAsia"/>
          <w:noProof/>
          <w:spacing w:val="0"/>
          <w:lang w:eastAsia="en-AU"/>
        </w:rPr>
      </w:pPr>
      <w:hyperlink w:anchor="_Toc507151079" w:history="1">
        <w:r w:rsidR="00F20535" w:rsidRPr="00E71D47">
          <w:rPr>
            <w:rStyle w:val="Hyperlink"/>
            <w:bCs/>
            <w:noProof/>
            <w:lang w:val="en-US"/>
          </w:rPr>
          <w:t>6.5</w:t>
        </w:r>
        <w:r w:rsidR="00F20535">
          <w:rPr>
            <w:rFonts w:eastAsiaTheme="minorEastAsia"/>
            <w:noProof/>
            <w:spacing w:val="0"/>
            <w:lang w:eastAsia="en-AU"/>
          </w:rPr>
          <w:tab/>
        </w:r>
        <w:r w:rsidR="00F20535" w:rsidRPr="00E71D47">
          <w:rPr>
            <w:rStyle w:val="Hyperlink"/>
            <w:noProof/>
          </w:rPr>
          <w:t>Other provisions</w:t>
        </w:r>
        <w:r w:rsidR="00F20535">
          <w:rPr>
            <w:noProof/>
            <w:webHidden/>
          </w:rPr>
          <w:tab/>
        </w:r>
        <w:r w:rsidR="00F20535">
          <w:rPr>
            <w:noProof/>
            <w:webHidden/>
          </w:rPr>
          <w:fldChar w:fldCharType="begin"/>
        </w:r>
        <w:r w:rsidR="00F20535">
          <w:rPr>
            <w:noProof/>
            <w:webHidden/>
          </w:rPr>
          <w:instrText xml:space="preserve"> PAGEREF _Toc507151079 \h </w:instrText>
        </w:r>
        <w:r w:rsidR="00F20535">
          <w:rPr>
            <w:noProof/>
            <w:webHidden/>
          </w:rPr>
        </w:r>
        <w:r w:rsidR="00F20535">
          <w:rPr>
            <w:noProof/>
            <w:webHidden/>
          </w:rPr>
          <w:fldChar w:fldCharType="separate"/>
        </w:r>
        <w:r w:rsidR="00FF6398">
          <w:rPr>
            <w:noProof/>
            <w:webHidden/>
          </w:rPr>
          <w:t>36</w:t>
        </w:r>
        <w:r w:rsidR="00F20535">
          <w:rPr>
            <w:noProof/>
            <w:webHidden/>
          </w:rPr>
          <w:fldChar w:fldCharType="end"/>
        </w:r>
      </w:hyperlink>
    </w:p>
    <w:p w:rsidR="00F20535" w:rsidRDefault="00F20535" w:rsidP="000C30FB">
      <w:pPr>
        <w:pStyle w:val="TOC9"/>
      </w:pPr>
      <w:r>
        <w:fldChar w:fldCharType="end"/>
      </w:r>
    </w:p>
    <w:p w:rsidR="00F20535" w:rsidRDefault="00F20535" w:rsidP="000C30FB">
      <w:pPr>
        <w:pStyle w:val="TableHeading"/>
        <w:sectPr w:rsidR="00F20535" w:rsidSect="000C30FB">
          <w:type w:val="continuous"/>
          <w:pgSz w:w="11907" w:h="16839" w:code="9"/>
          <w:pgMar w:top="1134" w:right="1134" w:bottom="1134" w:left="1134" w:header="624" w:footer="567" w:gutter="0"/>
          <w:cols w:num="2" w:space="567"/>
          <w:docGrid w:linePitch="360"/>
        </w:sectPr>
      </w:pPr>
    </w:p>
    <w:p w:rsidR="00F20535" w:rsidRPr="001A4792" w:rsidRDefault="00F20535" w:rsidP="007A2EDF">
      <w:pPr>
        <w:pStyle w:val="Heading2"/>
        <w:numPr>
          <w:ilvl w:val="1"/>
          <w:numId w:val="22"/>
        </w:numPr>
      </w:pPr>
      <w:bookmarkStart w:id="88" w:name="_Toc507151075"/>
      <w:r w:rsidRPr="001A4792">
        <w:t>Inventories</w:t>
      </w:r>
      <w:bookmarkEnd w:id="88"/>
    </w:p>
    <w:p w:rsidR="00F20535" w:rsidRPr="0051349C" w:rsidRDefault="00F20535" w:rsidP="007A2EDF">
      <w:pPr>
        <w:pStyle w:val="TableUnits"/>
        <w:rPr>
          <w:rFonts w:eastAsia="Times New Roman" w:cs="Times New Roman"/>
          <w:bCs/>
          <w:lang w:val="en-US"/>
        </w:rPr>
      </w:pPr>
      <w:r w:rsidRPr="001732B3">
        <w:t>($</w:t>
      </w:r>
      <w:r>
        <w:t> million</w:t>
      </w:r>
      <w:r w:rsidRPr="001732B3">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At cost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Raw materials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Work in progress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Finished goods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Consumable stores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Land and other assets held as inventory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387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At net realisable value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Finished goods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Consumable stores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inventories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817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671</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176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173</w:t>
            </w:r>
          </w:p>
        </w:tc>
      </w:tr>
    </w:tbl>
    <w:p w:rsidR="00F20535" w:rsidRPr="00260AE7" w:rsidRDefault="00F20535" w:rsidP="007A2EDF">
      <w:pPr>
        <w:pStyle w:val="TableUnits"/>
      </w:pPr>
    </w:p>
    <w:p w:rsidR="00F20535" w:rsidRDefault="00F20535" w:rsidP="007A2EDF">
      <w:pPr>
        <w:pStyle w:val="Heading2"/>
        <w:numPr>
          <w:ilvl w:val="1"/>
          <w:numId w:val="22"/>
        </w:numPr>
      </w:pPr>
      <w:bookmarkStart w:id="89" w:name="_Toc507151076"/>
      <w:r w:rsidRPr="001732B3">
        <w:t>Receivables</w:t>
      </w:r>
      <w:bookmarkEnd w:id="89"/>
    </w:p>
    <w:p w:rsidR="00F20535" w:rsidRPr="0051349C" w:rsidRDefault="00F20535" w:rsidP="007A2EDF">
      <w:pPr>
        <w:pStyle w:val="TableUnits"/>
        <w:rPr>
          <w:rFonts w:eastAsia="Times New Roman" w:cs="Times New Roman"/>
          <w:bCs/>
          <w:lang w:val="en-US"/>
        </w:rPr>
      </w:pPr>
      <w:r w:rsidRPr="001732B3">
        <w:t>($</w:t>
      </w:r>
      <w:r>
        <w:t> million</w:t>
      </w:r>
      <w:r w:rsidRPr="001732B3">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General </w:t>
            </w:r>
            <w:r>
              <w:rPr>
                <w:rFonts w:eastAsiaTheme="minorEastAsia" w:cs="Calibri"/>
                <w:iCs/>
                <w:color w:val="FFFFFF"/>
                <w:szCs w:val="16"/>
                <w:lang w:eastAsia="en-AU"/>
              </w:rPr>
              <w:br/>
            </w:r>
            <w:r w:rsidRPr="0051349C">
              <w:rPr>
                <w:rFonts w:eastAsiaTheme="minorEastAsia" w:cs="Calibri"/>
                <w:iCs/>
                <w:color w:val="FFFFFF"/>
                <w:szCs w:val="16"/>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Contractual</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Sales of goods and services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1 446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1 202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855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Accrued investment income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receivables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2 314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1 165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1 169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Provision for doubtful contractual receivables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Statutory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Sales of goods and services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Taxes receivables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2 195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2 560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2 267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2 676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Fines and regulatory fees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2 052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2 052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GST input tax credits recoverable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928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976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receivables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Provision for doubtful statutory receivables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Other</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Actuarially determined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receivables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8 432</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8 038</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5 807</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5 931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Represented by: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Current receivables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7 270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6 875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4 989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5 103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Non-current receivables</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1 162</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1 163</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818</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828</w:t>
            </w:r>
          </w:p>
        </w:tc>
      </w:tr>
    </w:tbl>
    <w:p w:rsidR="00F20535" w:rsidRDefault="00F20535" w:rsidP="007A2EDF">
      <w:pPr>
        <w:pStyle w:val="Heading2"/>
        <w:numPr>
          <w:ilvl w:val="1"/>
          <w:numId w:val="22"/>
        </w:numPr>
      </w:pPr>
      <w:bookmarkStart w:id="90" w:name="_Toc507151077"/>
      <w:r w:rsidRPr="001732B3">
        <w:t>Payables</w:t>
      </w:r>
      <w:bookmarkEnd w:id="90"/>
    </w:p>
    <w:p w:rsidR="00F20535" w:rsidRPr="0051349C" w:rsidRDefault="00F20535" w:rsidP="007A2EDF">
      <w:pPr>
        <w:pStyle w:val="TableUnits"/>
        <w:rPr>
          <w:rFonts w:eastAsia="Times New Roman" w:cs="Times New Roman"/>
          <w:bCs/>
          <w:lang w:val="en-US"/>
        </w:rPr>
      </w:pPr>
      <w:r w:rsidRPr="001732B3">
        <w:t>($</w:t>
      </w:r>
      <w:r>
        <w:t> million</w:t>
      </w:r>
      <w:r w:rsidRPr="001732B3">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Contractual</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Accounts payable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2 439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1 288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1 402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Accrued expenses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2 209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2 618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1 848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2 239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Unearned income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13 636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12 128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2 352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2 130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Statutory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Accrued taxes payable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payables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17 996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17 233</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5 542</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5 815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Represented by: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Current payables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7 693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6 868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3 897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4 134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Non-current payables</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10 303</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10 365</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1 645</w:t>
            </w:r>
          </w:p>
        </w:tc>
        <w:tc>
          <w:tcPr>
            <w:tcW w:w="907"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1 681</w:t>
            </w:r>
          </w:p>
        </w:tc>
      </w:tr>
    </w:tbl>
    <w:p w:rsidR="00F20535" w:rsidRPr="00BC36B3" w:rsidRDefault="00F20535" w:rsidP="007A2EDF"/>
    <w:p w:rsidR="00F20535" w:rsidRPr="00D157DD" w:rsidRDefault="00F20535" w:rsidP="007A2EDF">
      <w:pPr>
        <w:pStyle w:val="Heading2"/>
        <w:numPr>
          <w:ilvl w:val="1"/>
          <w:numId w:val="22"/>
        </w:numPr>
      </w:pPr>
      <w:bookmarkStart w:id="91" w:name="_Toc507151078"/>
      <w:r w:rsidRPr="00D157DD">
        <w:t>Superannuation</w:t>
      </w:r>
      <w:bookmarkEnd w:id="91"/>
    </w:p>
    <w:p w:rsidR="00F20535" w:rsidRPr="0051349C" w:rsidRDefault="00F20535" w:rsidP="007A2EDF">
      <w:pPr>
        <w:pStyle w:val="TableUnits"/>
        <w:rPr>
          <w:rFonts w:eastAsia="Times New Roman" w:cs="Times New Roman"/>
          <w:bCs/>
          <w:lang w:val="en-US"/>
        </w:rPr>
      </w:pPr>
      <w:r w:rsidRPr="001732B3">
        <w:t>($</w:t>
      </w:r>
      <w:r>
        <w:t> million</w:t>
      </w:r>
      <w:r w:rsidRPr="001732B3">
        <w:t>)</w:t>
      </w:r>
    </w:p>
    <w:tbl>
      <w:tblPr>
        <w:tblStyle w:val="DTFTable"/>
        <w:tblW w:w="9638" w:type="dxa"/>
        <w:tblInd w:w="45" w:type="dxa"/>
        <w:tblLayout w:type="fixed"/>
        <w:tblCellMar>
          <w:left w:w="45" w:type="dxa"/>
          <w:right w:w="45" w:type="dxa"/>
        </w:tblCellMar>
        <w:tblLook w:val="06A0" w:firstRow="1" w:lastRow="0" w:firstColumn="1" w:lastColumn="0" w:noHBand="1" w:noVBand="1"/>
      </w:tblPr>
      <w:tblGrid>
        <w:gridCol w:w="7824"/>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Current liability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Non-current liability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23 434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23 897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superannuation liability</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24 472</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24 938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Represented by: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Emergency Services and State Super</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23 358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23 803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7824" w:type="dxa"/>
            <w:tcBorders>
              <w:top w:val="nil"/>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funds</w:t>
            </w:r>
          </w:p>
        </w:tc>
        <w:tc>
          <w:tcPr>
            <w:tcW w:w="907" w:type="dxa"/>
            <w:tcBorders>
              <w:top w:val="nil"/>
              <w:left w:val="nil"/>
              <w:bottom w:val="single" w:sz="12"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1 114</w:t>
            </w:r>
          </w:p>
        </w:tc>
        <w:tc>
          <w:tcPr>
            <w:tcW w:w="907" w:type="dxa"/>
            <w:tcBorders>
              <w:top w:val="nil"/>
              <w:left w:val="nil"/>
              <w:bottom w:val="single" w:sz="12"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1 135</w:t>
            </w:r>
          </w:p>
        </w:tc>
      </w:tr>
    </w:tbl>
    <w:p w:rsidR="00F20535" w:rsidRPr="00753272" w:rsidRDefault="00F20535" w:rsidP="007A2EDF">
      <w:pPr>
        <w:pStyle w:val="Heading2"/>
        <w:numPr>
          <w:ilvl w:val="1"/>
          <w:numId w:val="22"/>
        </w:numPr>
        <w:rPr>
          <w:bCs/>
          <w:lang w:val="en-US"/>
        </w:rPr>
      </w:pPr>
      <w:bookmarkStart w:id="92" w:name="_Toc507151079"/>
      <w:r w:rsidRPr="000467E0">
        <w:t xml:space="preserve">Other </w:t>
      </w:r>
      <w:r w:rsidRPr="00D157DD">
        <w:t>provisions</w:t>
      </w:r>
      <w:bookmarkEnd w:id="92"/>
    </w:p>
    <w:p w:rsidR="00F20535" w:rsidRPr="0051349C" w:rsidRDefault="00F20535" w:rsidP="007A2EDF">
      <w:pPr>
        <w:pStyle w:val="TableUnits"/>
        <w:rPr>
          <w:rFonts w:eastAsia="Times New Roman" w:cs="Times New Roman"/>
          <w:bCs/>
          <w:lang w:val="en-US"/>
        </w:rPr>
      </w:pPr>
      <w:r w:rsidRPr="000467E0">
        <w:t>($</w:t>
      </w:r>
      <w:r>
        <w:t> million</w:t>
      </w:r>
      <w:r w:rsidRPr="000467E0">
        <w:t>)</w:t>
      </w:r>
      <w:bookmarkStart w:id="93" w:name="_Toc473541490"/>
      <w:bookmarkEnd w:id="85"/>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General </w:t>
            </w:r>
            <w:r>
              <w:rPr>
                <w:rFonts w:eastAsiaTheme="minorEastAsia" w:cs="Calibri"/>
                <w:iCs/>
                <w:color w:val="FFFFFF"/>
                <w:szCs w:val="16"/>
                <w:lang w:eastAsia="en-AU"/>
              </w:rPr>
              <w:br/>
            </w:r>
            <w:r w:rsidRPr="0051349C">
              <w:rPr>
                <w:rFonts w:eastAsiaTheme="minorEastAsia" w:cs="Calibri"/>
                <w:iCs/>
                <w:color w:val="FFFFFF"/>
                <w:szCs w:val="16"/>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Provision for insurance claims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WorkSafe Victoria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2 171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1 941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Transport Accident Commission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1 251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Victorian Managed Insurance Authority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agencies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64</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23</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60</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Current provision for insurance claims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3 904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3 536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provisions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423</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865</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301</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745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current other provisions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4 327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4 401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361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764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Non-current provision for insurance claims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WorkSafe Victoria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10 896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11 040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Transport Accident Commission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12 457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12 134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Victorian Managed Insurance Authority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1 508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1 426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agencies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32</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30</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32</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Non-current provision for insurance claims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24 895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24 629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32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29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provisions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581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560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532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non-current other provisions</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25 475</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25 191</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591</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561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other provisions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29 802</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29 592</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953</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1 326</w:t>
            </w:r>
          </w:p>
        </w:tc>
      </w:tr>
    </w:tbl>
    <w:p w:rsidR="00F20535" w:rsidRPr="00BC36B3" w:rsidRDefault="00F20535" w:rsidP="007A2EDF">
      <w:pPr>
        <w:pStyle w:val="Note"/>
        <w:rPr>
          <w:lang w:val="en-US"/>
        </w:rPr>
      </w:pPr>
    </w:p>
    <w:p w:rsidR="00F20535" w:rsidRDefault="00F20535" w:rsidP="007A2EDF">
      <w:pPr>
        <w:pStyle w:val="Heading1"/>
        <w:numPr>
          <w:ilvl w:val="0"/>
          <w:numId w:val="22"/>
        </w:numPr>
      </w:pPr>
      <w:bookmarkStart w:id="94" w:name="_Toc508201404"/>
      <w:r>
        <w:t>Risks and contingencies</w:t>
      </w:r>
      <w:bookmarkEnd w:id="93"/>
      <w:bookmarkEnd w:id="94"/>
    </w:p>
    <w:p w:rsidR="00F20535" w:rsidRDefault="00F20535" w:rsidP="000C30FB">
      <w:pPr>
        <w:pStyle w:val="Heading20"/>
        <w:sectPr w:rsidR="00F20535" w:rsidSect="000C30FB">
          <w:type w:val="continuous"/>
          <w:pgSz w:w="11907" w:h="16839" w:code="9"/>
          <w:pgMar w:top="1134" w:right="1134" w:bottom="1134" w:left="1134" w:header="624" w:footer="567" w:gutter="0"/>
          <w:cols w:sep="1" w:space="567"/>
          <w:docGrid w:linePitch="360"/>
        </w:sectPr>
      </w:pPr>
    </w:p>
    <w:p w:rsidR="00F20535" w:rsidRDefault="00F20535" w:rsidP="000C30FB">
      <w:pPr>
        <w:pStyle w:val="Heading20"/>
      </w:pPr>
      <w:bookmarkStart w:id="95" w:name="_Toc473541491"/>
      <w:r>
        <w:t>Introduction</w:t>
      </w:r>
      <w:bookmarkEnd w:id="95"/>
    </w:p>
    <w:p w:rsidR="00F20535" w:rsidRDefault="00F20535" w:rsidP="000C30FB">
      <w:r>
        <w:t>The State is exposed to risks from both its activities and outside factors. In addition, it is often necessary to make judgements and estimates associated with recognition and measurement of items in the financial statements.</w:t>
      </w:r>
    </w:p>
    <w:p w:rsidR="00F20535" w:rsidRDefault="00F20535" w:rsidP="000C30FB">
      <w:r>
        <w:t>This section presents information on financial instruments, and contingent assets and liabilities.</w:t>
      </w:r>
    </w:p>
    <w:p w:rsidR="00F20535" w:rsidRDefault="00F20535" w:rsidP="007A2EDF">
      <w:pPr>
        <w:pStyle w:val="Heading2"/>
        <w:numPr>
          <w:ilvl w:val="1"/>
          <w:numId w:val="22"/>
        </w:numPr>
      </w:pPr>
      <w:bookmarkStart w:id="96" w:name="_Toc473541492"/>
      <w:r>
        <w:t>Financial instruments</w:t>
      </w:r>
      <w:bookmarkEnd w:id="96"/>
    </w:p>
    <w:p w:rsidR="00F20535" w:rsidRDefault="00F20535" w:rsidP="000C30FB">
      <w:r>
        <w:t xml:space="preserve">Note 7.1 Financial instruments in the </w:t>
      </w:r>
      <w:r>
        <w:rPr>
          <w:i/>
        </w:rPr>
        <w:t>2016-17</w:t>
      </w:r>
      <w:r w:rsidRPr="000467E0">
        <w:rPr>
          <w:i/>
        </w:rPr>
        <w:t xml:space="preserve"> Financial Report</w:t>
      </w:r>
      <w:r>
        <w:t xml:space="preserve"> for the State of Victoria contains a comprehensive disclosure of the State</w:t>
      </w:r>
      <w:r w:rsidR="007F4ECD">
        <w:t>’</w:t>
      </w:r>
      <w:r>
        <w:t xml:space="preserve">s financial risk management objectives and policies associated with financial instruments. </w:t>
      </w:r>
    </w:p>
    <w:p w:rsidR="00F20535" w:rsidRDefault="00F20535" w:rsidP="000C30FB">
      <w:r>
        <w:t xml:space="preserve">There has been no substantive change to the accounting classification of financial assets and liabilities reported in the </w:t>
      </w:r>
      <w:r>
        <w:rPr>
          <w:i/>
        </w:rPr>
        <w:t>2016-17</w:t>
      </w:r>
      <w:r w:rsidRPr="000467E0">
        <w:rPr>
          <w:i/>
        </w:rPr>
        <w:t xml:space="preserve"> Financial Report</w:t>
      </w:r>
      <w:r>
        <w:t xml:space="preserve"> for the State of Victoria.</w:t>
      </w:r>
    </w:p>
    <w:p w:rsidR="00F20535" w:rsidRDefault="00F20535" w:rsidP="007A2EDF">
      <w:pPr>
        <w:pStyle w:val="Heading2"/>
        <w:numPr>
          <w:ilvl w:val="1"/>
          <w:numId w:val="22"/>
        </w:numPr>
      </w:pPr>
      <w:bookmarkStart w:id="97" w:name="_Toc473541493"/>
      <w:r>
        <w:t>Contingent assets and contingent liabilities</w:t>
      </w:r>
      <w:bookmarkEnd w:id="97"/>
    </w:p>
    <w:p w:rsidR="00F20535" w:rsidRDefault="00F20535" w:rsidP="000C30FB">
      <w:pPr>
        <w:pStyle w:val="Heading30"/>
      </w:pPr>
      <w:bookmarkStart w:id="98" w:name="_Toc473541494"/>
      <w:r>
        <w:t>Contingent assets</w:t>
      </w:r>
      <w:bookmarkEnd w:id="98"/>
      <w:r>
        <w:t xml:space="preserve"> </w:t>
      </w:r>
    </w:p>
    <w:p w:rsidR="00F20535" w:rsidRDefault="00F20535" w:rsidP="000C30FB">
      <w:r>
        <w:t>Contingent assets are possible assets that arise from past events, whose existence will be confirmed only by the occurrence or non-occurrence of one or more uncertain future events not wholly within the control of the entity.</w:t>
      </w:r>
    </w:p>
    <w:p w:rsidR="00F20535" w:rsidRDefault="00F20535" w:rsidP="000C30FB">
      <w:r>
        <w:t xml:space="preserve">Reference should be made to the </w:t>
      </w:r>
      <w:r>
        <w:rPr>
          <w:i/>
        </w:rPr>
        <w:t>2016</w:t>
      </w:r>
      <w:r w:rsidRPr="000467E0">
        <w:rPr>
          <w:i/>
        </w:rPr>
        <w:t>-</w:t>
      </w:r>
      <w:r>
        <w:rPr>
          <w:i/>
        </w:rPr>
        <w:t>17</w:t>
      </w:r>
      <w:r w:rsidRPr="000467E0">
        <w:rPr>
          <w:i/>
        </w:rPr>
        <w:t xml:space="preserve"> Financial Report</w:t>
      </w:r>
      <w:r>
        <w:t xml:space="preserve"> for the State of Victoria (note 7.2) for details of contingent assets as at 30 June 2017. </w:t>
      </w:r>
    </w:p>
    <w:p w:rsidR="00F20535" w:rsidRDefault="00F20535" w:rsidP="007A2EDF">
      <w:r>
        <w:t>Since 30 June 2017, compensable enhancement claims contained in the Melbourne CityLink Concession Deed were settled as part of the West Gate Tunnel arrangement.</w:t>
      </w:r>
    </w:p>
    <w:p w:rsidR="00F20535" w:rsidRDefault="00F20535" w:rsidP="000C30FB">
      <w:bookmarkStart w:id="99" w:name="_Toc473541495"/>
      <w:r>
        <w:t>There were no</w:t>
      </w:r>
      <w:r w:rsidRPr="005D78B6">
        <w:t xml:space="preserve"> </w:t>
      </w:r>
      <w:r>
        <w:t xml:space="preserve">other </w:t>
      </w:r>
      <w:r w:rsidRPr="005D78B6">
        <w:t>material change</w:t>
      </w:r>
      <w:r>
        <w:t>s</w:t>
      </w:r>
      <w:r w:rsidRPr="005D78B6">
        <w:t xml:space="preserve"> in contingent assets for the State during this mid-year reporting period</w:t>
      </w:r>
      <w:r>
        <w:t xml:space="preserve">. </w:t>
      </w:r>
    </w:p>
    <w:p w:rsidR="00F20535" w:rsidRPr="004508F8" w:rsidRDefault="00F20535" w:rsidP="000C30FB">
      <w:pPr>
        <w:pStyle w:val="Heading30"/>
      </w:pPr>
      <w:r w:rsidRPr="004508F8">
        <w:t>Contingent liabilities</w:t>
      </w:r>
      <w:bookmarkEnd w:id="99"/>
    </w:p>
    <w:p w:rsidR="00F20535" w:rsidRPr="004508F8" w:rsidRDefault="00F20535" w:rsidP="000C30FB">
      <w:r w:rsidRPr="004508F8">
        <w:t>Contingent liabilities are:</w:t>
      </w:r>
    </w:p>
    <w:p w:rsidR="00F20535" w:rsidRPr="004508F8" w:rsidRDefault="00F20535" w:rsidP="007A2EDF">
      <w:pPr>
        <w:pStyle w:val="ListBullet"/>
      </w:pPr>
      <w:r w:rsidRPr="004508F8">
        <w:t>possible obligations that arise from past events, whose existence will be confirmed only by the occurrence or non-occurrence of one or more uncertain future events not wholly within the control of the entity; or</w:t>
      </w:r>
    </w:p>
    <w:p w:rsidR="00F20535" w:rsidRPr="004508F8" w:rsidRDefault="00F20535" w:rsidP="000C30FB">
      <w:pPr>
        <w:pStyle w:val="ListBullet"/>
      </w:pPr>
      <w:r w:rsidRPr="004508F8">
        <w:t>present obligations that arise from past events but are not recognised because:</w:t>
      </w:r>
    </w:p>
    <w:p w:rsidR="00F20535" w:rsidRPr="004508F8" w:rsidRDefault="00F20535" w:rsidP="000C30FB">
      <w:pPr>
        <w:pStyle w:val="ListBullet2"/>
      </w:pPr>
      <w:r w:rsidRPr="004508F8">
        <w:t>it is not probable that an outflow of resources embodying economic benefits will be required to settle the obligations; or</w:t>
      </w:r>
    </w:p>
    <w:p w:rsidR="00F20535" w:rsidRPr="004508F8" w:rsidRDefault="00F20535" w:rsidP="000C30FB">
      <w:pPr>
        <w:pStyle w:val="ListBullet2"/>
      </w:pPr>
      <w:r w:rsidRPr="004508F8">
        <w:t>the amount of the obligations cannot be measured with sufficient reliability.</w:t>
      </w:r>
    </w:p>
    <w:p w:rsidR="00F20535" w:rsidRDefault="00F20535" w:rsidP="000C30FB">
      <w:r w:rsidRPr="00B671B1">
        <w:t xml:space="preserve">Reference should be made to the </w:t>
      </w:r>
      <w:r w:rsidRPr="005A551A">
        <w:rPr>
          <w:i/>
        </w:rPr>
        <w:t>2016-17 Financial Report</w:t>
      </w:r>
      <w:r w:rsidRPr="00B671B1">
        <w:t xml:space="preserve"> for the State of Victoria (note 7.2) for details of contingent liabilities as at 30 June 2017. </w:t>
      </w:r>
    </w:p>
    <w:p w:rsidR="00F20535" w:rsidRDefault="00F20535" w:rsidP="000C30FB">
      <w:r w:rsidRPr="00B671B1">
        <w:t xml:space="preserve">There were no </w:t>
      </w:r>
      <w:r w:rsidRPr="004508F8">
        <w:t>material change</w:t>
      </w:r>
      <w:r>
        <w:t>s</w:t>
      </w:r>
      <w:r w:rsidRPr="004508F8">
        <w:t xml:space="preserve"> in contingent liabilities for the State during this mid-year reporting period</w:t>
      </w:r>
      <w:r w:rsidRPr="00B671B1">
        <w:t xml:space="preserve">. </w:t>
      </w:r>
    </w:p>
    <w:p w:rsidR="00F20535" w:rsidRDefault="00F20535" w:rsidP="000C30FB">
      <w:pPr>
        <w:sectPr w:rsidR="00F20535" w:rsidSect="000C30FB">
          <w:type w:val="continuous"/>
          <w:pgSz w:w="11907" w:h="16839" w:code="9"/>
          <w:pgMar w:top="1134" w:right="1134" w:bottom="1134" w:left="1134" w:header="624" w:footer="567" w:gutter="0"/>
          <w:cols w:num="2" w:space="567"/>
          <w:docGrid w:linePitch="360"/>
        </w:sectPr>
      </w:pPr>
    </w:p>
    <w:p w:rsidR="00F20535" w:rsidRDefault="00F20535">
      <w:r>
        <w:br w:type="page"/>
      </w:r>
    </w:p>
    <w:p w:rsidR="00F20535" w:rsidRDefault="00F20535" w:rsidP="007A2EDF">
      <w:pPr>
        <w:pStyle w:val="Heading1"/>
        <w:numPr>
          <w:ilvl w:val="0"/>
          <w:numId w:val="22"/>
        </w:numPr>
      </w:pPr>
      <w:bookmarkStart w:id="100" w:name="_Toc473541496"/>
      <w:bookmarkStart w:id="101" w:name="_Toc508201405"/>
      <w:bookmarkStart w:id="102" w:name="Section8"/>
      <w:r>
        <w:t>Public account</w:t>
      </w:r>
      <w:bookmarkEnd w:id="100"/>
      <w:bookmarkEnd w:id="101"/>
    </w:p>
    <w:p w:rsidR="00F20535" w:rsidRDefault="00F20535" w:rsidP="000C30FB">
      <w:pPr>
        <w:pStyle w:val="Heading20"/>
        <w:sectPr w:rsidR="00F20535" w:rsidSect="000C30FB">
          <w:type w:val="continuous"/>
          <w:pgSz w:w="11907" w:h="16839" w:code="9"/>
          <w:pgMar w:top="1134" w:right="1134" w:bottom="1134" w:left="1134" w:header="624" w:footer="567" w:gutter="0"/>
          <w:cols w:sep="1" w:space="567"/>
          <w:docGrid w:linePitch="360"/>
        </w:sectPr>
      </w:pPr>
    </w:p>
    <w:p w:rsidR="00F20535" w:rsidRDefault="00F20535" w:rsidP="000C30FB">
      <w:pPr>
        <w:pStyle w:val="Heading20"/>
      </w:pPr>
      <w:bookmarkStart w:id="103" w:name="_Toc473541497"/>
      <w:r>
        <w:t>Introduction</w:t>
      </w:r>
      <w:bookmarkEnd w:id="103"/>
    </w:p>
    <w:p w:rsidR="00F20535" w:rsidRDefault="00F20535" w:rsidP="000C30FB">
      <w:r>
        <w:t xml:space="preserve">This section provides disclosure of information in respect of the Public Account, in accordance with the requirements of the </w:t>
      </w:r>
      <w:r>
        <w:rPr>
          <w:i/>
        </w:rPr>
        <w:t>Financial Management Act, No. </w:t>
      </w:r>
      <w:r w:rsidRPr="000467E0">
        <w:rPr>
          <w:i/>
        </w:rPr>
        <w:t>18 of 1994</w:t>
      </w:r>
      <w:r>
        <w:t xml:space="preserve"> (FMA).</w:t>
      </w:r>
    </w:p>
    <w:p w:rsidR="00F20535" w:rsidRDefault="00F20535" w:rsidP="000C30FB">
      <w:pPr>
        <w:pStyle w:val="Heading20"/>
      </w:pPr>
      <w:r>
        <w:br w:type="column"/>
        <w:t>Structure</w:t>
      </w:r>
    </w:p>
    <w:p w:rsidR="00F20535" w:rsidRDefault="00F20535">
      <w:pPr>
        <w:pStyle w:val="TOC9"/>
        <w:rPr>
          <w:rFonts w:eastAsiaTheme="minorEastAsia"/>
          <w:noProof/>
          <w:spacing w:val="0"/>
          <w:lang w:eastAsia="en-AU"/>
        </w:rPr>
      </w:pPr>
      <w:r>
        <w:fldChar w:fldCharType="begin"/>
      </w:r>
      <w:r>
        <w:instrText xml:space="preserve"> TOC \h \z \t "Heading 2 (#),9" \b Section8 </w:instrText>
      </w:r>
      <w:r>
        <w:fldChar w:fldCharType="separate"/>
      </w:r>
      <w:hyperlink w:anchor="_Toc475960081" w:history="1">
        <w:r w:rsidRPr="00171F06">
          <w:rPr>
            <w:rStyle w:val="Hyperlink"/>
            <w:noProof/>
          </w:rPr>
          <w:t>8.1</w:t>
        </w:r>
        <w:r>
          <w:rPr>
            <w:rFonts w:eastAsiaTheme="minorEastAsia"/>
            <w:noProof/>
            <w:spacing w:val="0"/>
            <w:lang w:eastAsia="en-AU"/>
          </w:rPr>
          <w:tab/>
        </w:r>
        <w:r w:rsidRPr="00171F06">
          <w:rPr>
            <w:rStyle w:val="Hyperlink"/>
            <w:noProof/>
          </w:rPr>
          <w:t>Consolidated fund receipts and payments</w:t>
        </w:r>
        <w:r>
          <w:rPr>
            <w:noProof/>
            <w:webHidden/>
          </w:rPr>
          <w:tab/>
        </w:r>
        <w:r>
          <w:rPr>
            <w:noProof/>
            <w:webHidden/>
          </w:rPr>
          <w:fldChar w:fldCharType="begin"/>
        </w:r>
        <w:r>
          <w:rPr>
            <w:noProof/>
            <w:webHidden/>
          </w:rPr>
          <w:instrText xml:space="preserve"> PAGEREF _Toc475960081 \h </w:instrText>
        </w:r>
        <w:r>
          <w:rPr>
            <w:noProof/>
            <w:webHidden/>
          </w:rPr>
        </w:r>
        <w:r>
          <w:rPr>
            <w:noProof/>
            <w:webHidden/>
          </w:rPr>
          <w:fldChar w:fldCharType="separate"/>
        </w:r>
        <w:r w:rsidR="00FF6398">
          <w:rPr>
            <w:noProof/>
            <w:webHidden/>
          </w:rPr>
          <w:t>38</w:t>
        </w:r>
        <w:r>
          <w:rPr>
            <w:noProof/>
            <w:webHidden/>
          </w:rPr>
          <w:fldChar w:fldCharType="end"/>
        </w:r>
      </w:hyperlink>
    </w:p>
    <w:p w:rsidR="00F20535" w:rsidRDefault="00C0501E">
      <w:pPr>
        <w:pStyle w:val="TOC9"/>
        <w:rPr>
          <w:rFonts w:eastAsiaTheme="minorEastAsia"/>
          <w:noProof/>
          <w:spacing w:val="0"/>
          <w:lang w:eastAsia="en-AU"/>
        </w:rPr>
      </w:pPr>
      <w:hyperlink w:anchor="_Toc475960082" w:history="1">
        <w:r w:rsidR="00F20535" w:rsidRPr="00171F06">
          <w:rPr>
            <w:rStyle w:val="Hyperlink"/>
            <w:noProof/>
          </w:rPr>
          <w:t>8.2</w:t>
        </w:r>
        <w:r w:rsidR="00F20535">
          <w:rPr>
            <w:rFonts w:eastAsiaTheme="minorEastAsia"/>
            <w:noProof/>
            <w:spacing w:val="0"/>
            <w:lang w:eastAsia="en-AU"/>
          </w:rPr>
          <w:tab/>
        </w:r>
        <w:r w:rsidR="00F20535" w:rsidRPr="00171F06">
          <w:rPr>
            <w:rStyle w:val="Hyperlink"/>
            <w:noProof/>
          </w:rPr>
          <w:t>Trust fund statement cash flows</w:t>
        </w:r>
        <w:r w:rsidR="00F20535">
          <w:rPr>
            <w:noProof/>
            <w:webHidden/>
          </w:rPr>
          <w:tab/>
        </w:r>
        <w:r w:rsidR="00F20535">
          <w:rPr>
            <w:noProof/>
            <w:webHidden/>
          </w:rPr>
          <w:fldChar w:fldCharType="begin"/>
        </w:r>
        <w:r w:rsidR="00F20535">
          <w:rPr>
            <w:noProof/>
            <w:webHidden/>
          </w:rPr>
          <w:instrText xml:space="preserve"> PAGEREF _Toc475960082 \h </w:instrText>
        </w:r>
        <w:r w:rsidR="00F20535">
          <w:rPr>
            <w:noProof/>
            <w:webHidden/>
          </w:rPr>
        </w:r>
        <w:r w:rsidR="00F20535">
          <w:rPr>
            <w:noProof/>
            <w:webHidden/>
          </w:rPr>
          <w:fldChar w:fldCharType="separate"/>
        </w:r>
        <w:r w:rsidR="00FF6398">
          <w:rPr>
            <w:noProof/>
            <w:webHidden/>
          </w:rPr>
          <w:t>39</w:t>
        </w:r>
        <w:r w:rsidR="00F20535">
          <w:rPr>
            <w:noProof/>
            <w:webHidden/>
          </w:rPr>
          <w:fldChar w:fldCharType="end"/>
        </w:r>
      </w:hyperlink>
    </w:p>
    <w:p w:rsidR="00F20535" w:rsidRDefault="00C0501E">
      <w:pPr>
        <w:pStyle w:val="TOC9"/>
        <w:rPr>
          <w:rFonts w:eastAsiaTheme="minorEastAsia"/>
          <w:noProof/>
          <w:spacing w:val="0"/>
          <w:lang w:eastAsia="en-AU"/>
        </w:rPr>
      </w:pPr>
      <w:hyperlink w:anchor="_Toc475960083" w:history="1">
        <w:r w:rsidR="00F20535" w:rsidRPr="00171F06">
          <w:rPr>
            <w:rStyle w:val="Hyperlink"/>
            <w:bCs/>
            <w:noProof/>
            <w:lang w:val="en-US"/>
          </w:rPr>
          <w:t>8.3</w:t>
        </w:r>
        <w:r w:rsidR="00F20535">
          <w:rPr>
            <w:rFonts w:eastAsiaTheme="minorEastAsia"/>
            <w:noProof/>
            <w:spacing w:val="0"/>
            <w:lang w:eastAsia="en-AU"/>
          </w:rPr>
          <w:tab/>
        </w:r>
        <w:r w:rsidR="00F20535" w:rsidRPr="00171F06">
          <w:rPr>
            <w:rStyle w:val="Hyperlink"/>
            <w:noProof/>
          </w:rPr>
          <w:t>Reconciliation of cash flows to balances held</w:t>
        </w:r>
        <w:r w:rsidR="00F20535">
          <w:rPr>
            <w:noProof/>
            <w:webHidden/>
          </w:rPr>
          <w:tab/>
        </w:r>
        <w:r w:rsidR="00F20535">
          <w:rPr>
            <w:noProof/>
            <w:webHidden/>
          </w:rPr>
          <w:fldChar w:fldCharType="begin"/>
        </w:r>
        <w:r w:rsidR="00F20535">
          <w:rPr>
            <w:noProof/>
            <w:webHidden/>
          </w:rPr>
          <w:instrText xml:space="preserve"> PAGEREF _Toc475960083 \h </w:instrText>
        </w:r>
        <w:r w:rsidR="00F20535">
          <w:rPr>
            <w:noProof/>
            <w:webHidden/>
          </w:rPr>
        </w:r>
        <w:r w:rsidR="00F20535">
          <w:rPr>
            <w:noProof/>
            <w:webHidden/>
          </w:rPr>
          <w:fldChar w:fldCharType="separate"/>
        </w:r>
        <w:r w:rsidR="00FF6398">
          <w:rPr>
            <w:noProof/>
            <w:webHidden/>
          </w:rPr>
          <w:t>40</w:t>
        </w:r>
        <w:r w:rsidR="00F20535">
          <w:rPr>
            <w:noProof/>
            <w:webHidden/>
          </w:rPr>
          <w:fldChar w:fldCharType="end"/>
        </w:r>
      </w:hyperlink>
    </w:p>
    <w:p w:rsidR="00F20535" w:rsidRDefault="00C0501E" w:rsidP="000C30FB">
      <w:pPr>
        <w:pStyle w:val="TOC9"/>
      </w:pPr>
      <w:hyperlink w:anchor="_Toc475960084" w:history="1">
        <w:r w:rsidR="00F20535" w:rsidRPr="00171F06">
          <w:rPr>
            <w:rStyle w:val="Hyperlink"/>
            <w:noProof/>
          </w:rPr>
          <w:t>8.4</w:t>
        </w:r>
        <w:r w:rsidR="00F20535">
          <w:rPr>
            <w:rFonts w:eastAsiaTheme="minorEastAsia"/>
            <w:noProof/>
            <w:spacing w:val="0"/>
            <w:lang w:eastAsia="en-AU"/>
          </w:rPr>
          <w:tab/>
        </w:r>
        <w:r w:rsidR="00F20535" w:rsidRPr="00171F06">
          <w:rPr>
            <w:rStyle w:val="Hyperlink"/>
            <w:noProof/>
          </w:rPr>
          <w:t>Details of securities held in the Public Account</w:t>
        </w:r>
        <w:r w:rsidR="00F20535">
          <w:rPr>
            <w:noProof/>
            <w:webHidden/>
          </w:rPr>
          <w:tab/>
        </w:r>
        <w:r w:rsidR="00F20535">
          <w:rPr>
            <w:noProof/>
            <w:webHidden/>
          </w:rPr>
          <w:fldChar w:fldCharType="begin"/>
        </w:r>
        <w:r w:rsidR="00F20535">
          <w:rPr>
            <w:noProof/>
            <w:webHidden/>
          </w:rPr>
          <w:instrText xml:space="preserve"> PAGEREF _Toc475960084 \h </w:instrText>
        </w:r>
        <w:r w:rsidR="00F20535">
          <w:rPr>
            <w:noProof/>
            <w:webHidden/>
          </w:rPr>
        </w:r>
        <w:r w:rsidR="00F20535">
          <w:rPr>
            <w:noProof/>
            <w:webHidden/>
          </w:rPr>
          <w:fldChar w:fldCharType="separate"/>
        </w:r>
        <w:r w:rsidR="00FF6398">
          <w:rPr>
            <w:noProof/>
            <w:webHidden/>
          </w:rPr>
          <w:t>40</w:t>
        </w:r>
        <w:r w:rsidR="00F20535">
          <w:rPr>
            <w:noProof/>
            <w:webHidden/>
          </w:rPr>
          <w:fldChar w:fldCharType="end"/>
        </w:r>
      </w:hyperlink>
      <w:r w:rsidR="00F20535">
        <w:fldChar w:fldCharType="end"/>
      </w:r>
    </w:p>
    <w:p w:rsidR="00F20535" w:rsidRPr="009C4BB3" w:rsidRDefault="00F20535" w:rsidP="000C30FB">
      <w:pPr>
        <w:sectPr w:rsidR="00F20535" w:rsidRPr="009C4BB3" w:rsidSect="000C30FB">
          <w:type w:val="continuous"/>
          <w:pgSz w:w="11907" w:h="16839" w:code="9"/>
          <w:pgMar w:top="1134" w:right="1134" w:bottom="1134" w:left="1134" w:header="624" w:footer="567" w:gutter="0"/>
          <w:cols w:num="2" w:space="567"/>
          <w:docGrid w:linePitch="360"/>
        </w:sectPr>
      </w:pPr>
    </w:p>
    <w:p w:rsidR="00F20535" w:rsidRDefault="00F20535" w:rsidP="007A2EDF">
      <w:pPr>
        <w:pStyle w:val="Heading2"/>
        <w:numPr>
          <w:ilvl w:val="1"/>
          <w:numId w:val="22"/>
        </w:numPr>
      </w:pPr>
      <w:bookmarkStart w:id="104" w:name="_Toc475960081"/>
      <w:r>
        <w:t>Consolidated fund receipts and payments</w:t>
      </w:r>
      <w:bookmarkEnd w:id="104"/>
    </w:p>
    <w:p w:rsidR="00F20535" w:rsidRPr="0051349C" w:rsidRDefault="00F20535" w:rsidP="007A2EDF">
      <w:pPr>
        <w:pStyle w:val="TableUnits"/>
        <w:rPr>
          <w:rFonts w:eastAsia="Times New Roman" w:cs="Times New Roman"/>
          <w:bCs/>
          <w:lang w:val="en-US"/>
        </w:rPr>
      </w:pPr>
      <w:r>
        <w:t>($ million)</w:t>
      </w:r>
    </w:p>
    <w:tbl>
      <w:tblPr>
        <w:tblStyle w:val="DTFTable"/>
        <w:tblW w:w="9638" w:type="dxa"/>
        <w:tblInd w:w="45" w:type="dxa"/>
        <w:tblLayout w:type="fixed"/>
        <w:tblCellMar>
          <w:left w:w="45" w:type="dxa"/>
          <w:right w:w="45" w:type="dxa"/>
        </w:tblCellMar>
        <w:tblLook w:val="06A0" w:firstRow="1" w:lastRow="0" w:firstColumn="1" w:lastColumn="0" w:noHBand="1" w:noVBand="1"/>
      </w:tblPr>
      <w:tblGrid>
        <w:gridCol w:w="907"/>
        <w:gridCol w:w="691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right"/>
              <w:rPr>
                <w:rFonts w:eastAsiaTheme="minorEastAsia" w:cs="Calibri"/>
                <w:iCs/>
                <w:color w:val="FFFFFF"/>
                <w:szCs w:val="22"/>
                <w:lang w:eastAsia="en-AU"/>
              </w:rPr>
            </w:pPr>
            <w:r w:rsidRPr="0051349C">
              <w:rPr>
                <w:rFonts w:eastAsiaTheme="minorEastAsia" w:cs="Calibri"/>
                <w:iCs/>
                <w:color w:val="FFFFFF"/>
                <w:szCs w:val="22"/>
                <w:lang w:eastAsia="en-AU"/>
              </w:rPr>
              <w:t>2016-17</w:t>
            </w:r>
          </w:p>
        </w:tc>
        <w:tc>
          <w:tcPr>
            <w:tcW w:w="691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2017-18</w:t>
            </w:r>
          </w:p>
        </w:tc>
      </w:tr>
      <w:tr w:rsidR="001B1600" w:rsidRPr="0051349C" w:rsidTr="001B1600">
        <w:trPr>
          <w:cnfStyle w:val="100000000000" w:firstRow="1" w:lastRow="0" w:firstColumn="0" w:lastColumn="0" w:oddVBand="0" w:evenVBand="0" w:oddHBand="0" w:evenHBand="0" w:firstRowFirstColumn="0" w:firstRowLastColumn="0" w:lastRowFirstColumn="0" w:lastRowLastColumn="0"/>
          <w:trHeight w:val="297"/>
          <w:tblHeader/>
        </w:trPr>
        <w:tc>
          <w:tcPr>
            <w:cnfStyle w:val="001000000000" w:firstRow="0" w:lastRow="0" w:firstColumn="1" w:lastColumn="0" w:oddVBand="0" w:evenVBand="0" w:oddHBand="0" w:evenHBand="0" w:firstRowFirstColumn="0" w:firstRowLastColumn="0" w:lastRowFirstColumn="0" w:lastRowLastColumn="0"/>
            <w:tcW w:w="90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jc w:val="right"/>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actual </w:t>
            </w:r>
          </w:p>
          <w:p w:rsidR="001B1600" w:rsidRPr="0051349C" w:rsidRDefault="001B1600" w:rsidP="001B1600">
            <w:pPr>
              <w:autoSpaceDE w:val="0"/>
              <w:autoSpaceDN w:val="0"/>
              <w:adjustRightInd w:val="0"/>
              <w:spacing w:before="0" w:after="0"/>
              <w:jc w:val="right"/>
              <w:rPr>
                <w:rFonts w:eastAsiaTheme="minorEastAsia" w:cs="Calibri"/>
                <w:iCs/>
                <w:color w:val="FFFFFF"/>
                <w:szCs w:val="22"/>
                <w:lang w:eastAsia="en-AU"/>
              </w:rPr>
            </w:pPr>
            <w:r w:rsidRPr="0051349C">
              <w:rPr>
                <w:rFonts w:eastAsiaTheme="minorEastAsia" w:cs="Calibri"/>
                <w:iCs/>
                <w:color w:val="FFFFFF"/>
                <w:szCs w:val="22"/>
                <w:lang w:eastAsia="en-AU"/>
              </w:rPr>
              <w:t>to Dec</w:t>
            </w:r>
          </w:p>
        </w:tc>
        <w:tc>
          <w:tcPr>
            <w:tcW w:w="691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jc w:val="left"/>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w:t>
            </w:r>
          </w:p>
          <w:p w:rsidR="001B1600" w:rsidRPr="0051349C" w:rsidRDefault="001B1600" w:rsidP="001B1600">
            <w:pPr>
              <w:autoSpaceDE w:val="0"/>
              <w:autoSpaceDN w:val="0"/>
              <w:adjustRightInd w:val="0"/>
              <w:spacing w:before="0" w:after="0"/>
              <w:jc w:val="left"/>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actual </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to Dec</w:t>
            </w:r>
          </w:p>
        </w:tc>
        <w:tc>
          <w:tcPr>
            <w:tcW w:w="90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22"/>
                <w:lang w:eastAsia="en-AU"/>
              </w:rPr>
            </w:pPr>
            <w:r w:rsidRPr="0051349C">
              <w:rPr>
                <w:rFonts w:eastAsiaTheme="minorEastAsia" w:cs="Calibri"/>
                <w:iCs/>
                <w:color w:val="FFFFFF"/>
                <w:szCs w:val="22"/>
                <w:lang w:eastAsia="en-AU"/>
              </w:rPr>
              <w:t>revised</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budget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i/>
                <w:iCs/>
                <w:color w:val="FFFFFF"/>
                <w:szCs w:val="22"/>
                <w:lang w:eastAsia="en-AU"/>
              </w:rPr>
            </w:pPr>
            <w:r w:rsidRPr="0051349C">
              <w:rPr>
                <w:rFonts w:eastAsiaTheme="minorEastAsia" w:cs="Calibri"/>
                <w:i/>
                <w:iCs/>
                <w:color w:val="FFFFFF"/>
                <w:szCs w:val="22"/>
                <w:lang w:eastAsia="en-AU"/>
              </w:rPr>
              <w:t xml:space="preserve"> </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Receipts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i/>
                <w:iCs/>
                <w:color w:val="FFFFFF"/>
                <w:szCs w:val="22"/>
                <w:lang w:eastAsia="en-AU"/>
              </w:rPr>
            </w:pPr>
            <w:r w:rsidRPr="0051349C">
              <w:rPr>
                <w:rFonts w:eastAsiaTheme="minorEastAsia" w:cs="Calibri"/>
                <w:i/>
                <w:iCs/>
                <w:color w:val="FFFFFF"/>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i/>
                <w:iCs/>
                <w:color w:val="FFFFFF"/>
                <w:szCs w:val="22"/>
                <w:lang w:eastAsia="en-AU"/>
              </w:rPr>
            </w:pPr>
            <w:r w:rsidRPr="0051349C">
              <w:rPr>
                <w:rFonts w:eastAsiaTheme="minorEastAsia" w:cs="Calibri"/>
                <w:i/>
                <w:iCs/>
                <w:color w:val="FFFFFF"/>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10 167</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Taxation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11 077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22 327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422</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Fines and regulatory fees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382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914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8 537</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Grants received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9 284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20 119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3 047</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Sales of goods and services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3 349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6 668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235</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Interest received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228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499</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Dividends, income tax equivalent and rate equivalent receipts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1 247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100</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Other receipts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101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365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sidRPr="0051349C">
              <w:rPr>
                <w:rFonts w:eastAsiaTheme="minorEastAsia" w:cs="Calibri"/>
                <w:b/>
                <w:bCs/>
                <w:color w:val="000000"/>
                <w:szCs w:val="22"/>
                <w:lang w:eastAsia="en-AU"/>
              </w:rPr>
              <w:t>23 008</w:t>
            </w:r>
          </w:p>
        </w:tc>
        <w:tc>
          <w:tcPr>
            <w:tcW w:w="6917" w:type="dxa"/>
            <w:tcBorders>
              <w:top w:val="single" w:sz="6" w:space="0" w:color="auto"/>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Total operating activities </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24 892</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52 147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9 717</w:t>
            </w:r>
          </w:p>
        </w:tc>
        <w:tc>
          <w:tcPr>
            <w:tcW w:w="6917" w:type="dxa"/>
            <w:tcBorders>
              <w:top w:val="nil"/>
              <w:left w:val="nil"/>
              <w:bottom w:val="single" w:sz="6" w:space="0" w:color="auto"/>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Total inflows from investing and financing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1 000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6 698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sidRPr="0051349C">
              <w:rPr>
                <w:rFonts w:eastAsiaTheme="minorEastAsia" w:cs="Calibri"/>
                <w:b/>
                <w:bCs/>
                <w:color w:val="000000"/>
                <w:szCs w:val="22"/>
                <w:lang w:eastAsia="en-AU"/>
              </w:rPr>
              <w:t>32 725</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Total receipts </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25 892</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58 845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Payments to departments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4 963</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Economic Development, Jobs, Transport and Resources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5 271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11 398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6 014</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Education and Training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6 913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13 326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1 046</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Environment, Land, Water and Planning</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1 063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2 358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7 820</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Health and Human Services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8 597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16 770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3 063</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Justice and Regulation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3 753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7 578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219</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Premier and Cabinet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683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7 727</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Treasury and Finance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3 156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8 835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95</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Parliament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117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252</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Courts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287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635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sidRPr="0051349C">
              <w:rPr>
                <w:rFonts w:eastAsiaTheme="minorEastAsia" w:cs="Calibri"/>
                <w:b/>
                <w:bCs/>
                <w:color w:val="000000"/>
                <w:szCs w:val="22"/>
                <w:lang w:eastAsia="en-AU"/>
              </w:rPr>
              <w:t>31 199</w:t>
            </w:r>
          </w:p>
        </w:tc>
        <w:tc>
          <w:tcPr>
            <w:tcW w:w="6917" w:type="dxa"/>
            <w:tcBorders>
              <w:top w:val="single" w:sz="6" w:space="0" w:color="auto"/>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Total payments</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29 394</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61 822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sidRPr="0051349C">
              <w:rPr>
                <w:rFonts w:eastAsiaTheme="minorEastAsia" w:cs="Calibri"/>
                <w:b/>
                <w:bCs/>
                <w:color w:val="000000"/>
                <w:szCs w:val="22"/>
                <w:lang w:eastAsia="en-AU"/>
              </w:rPr>
              <w:t>1 526</w:t>
            </w:r>
          </w:p>
        </w:tc>
        <w:tc>
          <w:tcPr>
            <w:tcW w:w="691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Net receipts/(payments)</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(3 501)</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(2 976)</w:t>
            </w:r>
          </w:p>
        </w:tc>
      </w:tr>
    </w:tbl>
    <w:p w:rsidR="00F20535" w:rsidRPr="00F00E15" w:rsidRDefault="00F20535" w:rsidP="007A2EDF">
      <w:pPr>
        <w:pStyle w:val="TableUnits"/>
        <w:rPr>
          <w:lang w:val="en-US"/>
        </w:rPr>
      </w:pPr>
    </w:p>
    <w:p w:rsidR="00F20535" w:rsidRDefault="00F20535" w:rsidP="000C30FB"/>
    <w:p w:rsidR="00F20535" w:rsidRDefault="00F20535">
      <w:pPr>
        <w:rPr>
          <w:rFonts w:asciiTheme="majorHAnsi" w:hAnsiTheme="majorHAnsi"/>
          <w:b/>
          <w:sz w:val="20"/>
        </w:rPr>
      </w:pPr>
      <w:r>
        <w:br w:type="page"/>
      </w:r>
    </w:p>
    <w:p w:rsidR="00F20535" w:rsidRDefault="00F20535" w:rsidP="007A2EDF">
      <w:pPr>
        <w:pStyle w:val="Heading2"/>
        <w:numPr>
          <w:ilvl w:val="1"/>
          <w:numId w:val="22"/>
        </w:numPr>
      </w:pPr>
      <w:bookmarkStart w:id="105" w:name="_Toc475960082"/>
      <w:r w:rsidRPr="000467E0">
        <w:t>Trust fund statement cash flows</w:t>
      </w:r>
      <w:bookmarkEnd w:id="105"/>
    </w:p>
    <w:p w:rsidR="00F20535" w:rsidRPr="0051349C" w:rsidRDefault="00F20535" w:rsidP="007A2EDF">
      <w:pPr>
        <w:pStyle w:val="TableUnits"/>
        <w:rPr>
          <w:rFonts w:eastAsia="Times New Roman" w:cs="Times New Roman"/>
          <w:bCs/>
          <w:lang w:val="en-US"/>
        </w:rPr>
      </w:pPr>
      <w:r>
        <w:tab/>
      </w:r>
      <w:r w:rsidRPr="000467E0">
        <w:t>($</w:t>
      </w:r>
      <w:r>
        <w:t> million</w:t>
      </w:r>
      <w:r w:rsidRPr="000467E0">
        <w:t>)</w:t>
      </w:r>
    </w:p>
    <w:tbl>
      <w:tblPr>
        <w:tblStyle w:val="DTFTable"/>
        <w:tblW w:w="9638" w:type="dxa"/>
        <w:tblInd w:w="45" w:type="dxa"/>
        <w:tblLayout w:type="fixed"/>
        <w:tblCellMar>
          <w:left w:w="45" w:type="dxa"/>
          <w:right w:w="45" w:type="dxa"/>
        </w:tblCellMar>
        <w:tblLook w:val="06A0" w:firstRow="1" w:lastRow="0" w:firstColumn="1" w:lastColumn="0" w:noHBand="1" w:noVBand="1"/>
      </w:tblPr>
      <w:tblGrid>
        <w:gridCol w:w="907"/>
        <w:gridCol w:w="691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right"/>
              <w:rPr>
                <w:rFonts w:eastAsiaTheme="minorEastAsia" w:cs="Calibri"/>
                <w:iCs/>
                <w:color w:val="FFFFFF"/>
                <w:szCs w:val="22"/>
                <w:lang w:eastAsia="en-AU"/>
              </w:rPr>
            </w:pPr>
            <w:r w:rsidRPr="0051349C">
              <w:rPr>
                <w:rFonts w:eastAsiaTheme="minorEastAsia" w:cs="Calibri"/>
                <w:iCs/>
                <w:color w:val="FFFFFF"/>
                <w:szCs w:val="22"/>
                <w:lang w:eastAsia="en-AU"/>
              </w:rPr>
              <w:t>2016-17</w:t>
            </w:r>
          </w:p>
        </w:tc>
        <w:tc>
          <w:tcPr>
            <w:tcW w:w="691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2017-18</w:t>
            </w:r>
          </w:p>
        </w:tc>
      </w:tr>
      <w:tr w:rsidR="001B1600" w:rsidRPr="0051349C" w:rsidTr="001B1600">
        <w:trPr>
          <w:cnfStyle w:val="100000000000" w:firstRow="1" w:lastRow="0" w:firstColumn="0" w:lastColumn="0" w:oddVBand="0" w:evenVBand="0" w:oddHBand="0" w:evenHBand="0" w:firstRowFirstColumn="0" w:firstRowLastColumn="0" w:lastRowFirstColumn="0" w:lastRowLastColumn="0"/>
          <w:trHeight w:val="234"/>
          <w:tblHeader/>
        </w:trPr>
        <w:tc>
          <w:tcPr>
            <w:cnfStyle w:val="001000000000" w:firstRow="0" w:lastRow="0" w:firstColumn="1" w:lastColumn="0" w:oddVBand="0" w:evenVBand="0" w:oddHBand="0" w:evenHBand="0" w:firstRowFirstColumn="0" w:firstRowLastColumn="0" w:lastRowFirstColumn="0" w:lastRowLastColumn="0"/>
            <w:tcW w:w="90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jc w:val="right"/>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actual </w:t>
            </w:r>
          </w:p>
          <w:p w:rsidR="001B1600" w:rsidRPr="0051349C" w:rsidRDefault="001B1600" w:rsidP="001B1600">
            <w:pPr>
              <w:autoSpaceDE w:val="0"/>
              <w:autoSpaceDN w:val="0"/>
              <w:adjustRightInd w:val="0"/>
              <w:spacing w:before="0" w:after="0"/>
              <w:jc w:val="right"/>
              <w:rPr>
                <w:rFonts w:eastAsiaTheme="minorEastAsia" w:cs="Calibri"/>
                <w:iCs/>
                <w:color w:val="FFFFFF"/>
                <w:szCs w:val="22"/>
                <w:lang w:eastAsia="en-AU"/>
              </w:rPr>
            </w:pPr>
            <w:r w:rsidRPr="0051349C">
              <w:rPr>
                <w:rFonts w:eastAsiaTheme="minorEastAsia" w:cs="Calibri"/>
                <w:iCs/>
                <w:color w:val="FFFFFF"/>
                <w:szCs w:val="22"/>
                <w:lang w:eastAsia="en-AU"/>
              </w:rPr>
              <w:t>to Dec</w:t>
            </w:r>
          </w:p>
        </w:tc>
        <w:tc>
          <w:tcPr>
            <w:tcW w:w="691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jc w:val="left"/>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w:t>
            </w:r>
          </w:p>
          <w:p w:rsidR="001B1600" w:rsidRPr="0051349C" w:rsidRDefault="001B1600" w:rsidP="001B1600">
            <w:pPr>
              <w:autoSpaceDE w:val="0"/>
              <w:autoSpaceDN w:val="0"/>
              <w:adjustRightInd w:val="0"/>
              <w:spacing w:before="0" w:after="0"/>
              <w:jc w:val="left"/>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actual </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to Dec</w:t>
            </w:r>
          </w:p>
        </w:tc>
        <w:tc>
          <w:tcPr>
            <w:tcW w:w="90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22"/>
                <w:lang w:eastAsia="en-AU"/>
              </w:rPr>
            </w:pPr>
            <w:r w:rsidRPr="0051349C">
              <w:rPr>
                <w:rFonts w:eastAsiaTheme="minorEastAsia" w:cs="Calibri"/>
                <w:iCs/>
                <w:color w:val="FFFFFF"/>
                <w:szCs w:val="22"/>
                <w:lang w:eastAsia="en-AU"/>
              </w:rPr>
              <w:t>revised</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budget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Cash flows from operating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Receipts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1 041</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Taxation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276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390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31</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Regulatory fees and fines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7 283</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Grants received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7 894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14 812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62</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Sale of goods and services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96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66</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Interest received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106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245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20</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vertAlign w:val="superscript"/>
                <w:lang w:eastAsia="en-AU"/>
              </w:rPr>
            </w:pPr>
            <w:r w:rsidRPr="0051349C">
              <w:rPr>
                <w:rFonts w:eastAsiaTheme="minorEastAsia" w:cs="Calibri"/>
                <w:color w:val="000000"/>
                <w:szCs w:val="22"/>
                <w:lang w:eastAsia="en-AU"/>
              </w:rPr>
              <w:t xml:space="preserve">Dividends received </w:t>
            </w:r>
            <w:r w:rsidRPr="0051349C">
              <w:rPr>
                <w:rFonts w:eastAsiaTheme="minorEastAsia" w:cs="Calibri"/>
                <w:color w:val="000000"/>
                <w:szCs w:val="22"/>
                <w:vertAlign w:val="superscript"/>
                <w:lang w:eastAsia="en-AU"/>
              </w:rPr>
              <w:t>(a)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1 496</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Net transfers from consolidated fund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1 851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3 105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39</w:t>
            </w:r>
          </w:p>
        </w:tc>
        <w:tc>
          <w:tcPr>
            <w:tcW w:w="6917" w:type="dxa"/>
            <w:tcBorders>
              <w:top w:val="nil"/>
              <w:left w:val="nil"/>
              <w:bottom w:val="single" w:sz="6" w:space="0" w:color="auto"/>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Other receipts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sidRPr="0051349C">
              <w:rPr>
                <w:rFonts w:eastAsiaTheme="minorEastAsia" w:cs="Calibri"/>
                <w:b/>
                <w:bCs/>
                <w:color w:val="000000"/>
                <w:szCs w:val="22"/>
                <w:lang w:eastAsia="en-AU"/>
              </w:rPr>
              <w:t>10 038</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vertAlign w:val="superscript"/>
                <w:lang w:eastAsia="en-AU"/>
              </w:rPr>
            </w:pPr>
            <w:r w:rsidRPr="0051349C">
              <w:rPr>
                <w:rFonts w:eastAsiaTheme="minorEastAsia" w:cs="Calibri"/>
                <w:b/>
                <w:bCs/>
                <w:color w:val="000000"/>
                <w:szCs w:val="22"/>
                <w:lang w:eastAsia="en-AU"/>
              </w:rPr>
              <w:t xml:space="preserve">Total receipts </w:t>
            </w:r>
            <w:r w:rsidRPr="0051349C">
              <w:rPr>
                <w:rFonts w:eastAsiaTheme="minorEastAsia" w:cs="Calibri"/>
                <w:b/>
                <w:bCs/>
                <w:color w:val="000000"/>
                <w:szCs w:val="22"/>
                <w:vertAlign w:val="superscript"/>
                <w:lang w:eastAsia="en-AU"/>
              </w:rPr>
              <w:t>(a)</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10 350</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18 840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Payments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(84)</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Employee benefits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(103)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(210)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(7)</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Superannuation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(8 102)</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Grants paid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(9 081)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(17 451)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(472)</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Supplies and consumables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(888)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(1 639)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(2)</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Interest paid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left w:val="nil"/>
              <w:bottom w:val="single" w:sz="6" w:space="0" w:color="auto"/>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sidRPr="0051349C">
              <w:rPr>
                <w:rFonts w:eastAsiaTheme="minorEastAsia" w:cs="Calibri"/>
                <w:b/>
                <w:bCs/>
                <w:color w:val="000000"/>
                <w:szCs w:val="22"/>
                <w:lang w:eastAsia="en-AU"/>
              </w:rPr>
              <w:t>(8 667)</w:t>
            </w:r>
          </w:p>
        </w:tc>
        <w:tc>
          <w:tcPr>
            <w:tcW w:w="6917" w:type="dxa"/>
            <w:tcBorders>
              <w:top w:val="single" w:sz="6" w:space="0" w:color="auto"/>
              <w:left w:val="nil"/>
              <w:bottom w:val="single" w:sz="6" w:space="0" w:color="auto"/>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Total payments </w:t>
            </w:r>
          </w:p>
        </w:tc>
        <w:tc>
          <w:tcPr>
            <w:tcW w:w="907" w:type="dxa"/>
            <w:tcBorders>
              <w:top w:val="single" w:sz="6" w:space="0" w:color="auto"/>
              <w:left w:val="nil"/>
              <w:bottom w:val="single" w:sz="6"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(10 082)</w:t>
            </w:r>
          </w:p>
        </w:tc>
        <w:tc>
          <w:tcPr>
            <w:tcW w:w="907" w:type="dxa"/>
            <w:tcBorders>
              <w:top w:val="single" w:sz="6" w:space="0" w:color="auto"/>
              <w:left w:val="nil"/>
              <w:bottom w:val="single" w:sz="6"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(19 321)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sidRPr="0051349C">
              <w:rPr>
                <w:rFonts w:eastAsiaTheme="minorEastAsia" w:cs="Calibri"/>
                <w:b/>
                <w:bCs/>
                <w:color w:val="000000"/>
                <w:szCs w:val="22"/>
                <w:lang w:eastAsia="en-AU"/>
              </w:rPr>
              <w:t>1 371</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vertAlign w:val="superscript"/>
                <w:lang w:eastAsia="en-AU"/>
              </w:rPr>
            </w:pPr>
            <w:r w:rsidRPr="0051349C">
              <w:rPr>
                <w:rFonts w:eastAsiaTheme="minorEastAsia" w:cs="Calibri"/>
                <w:b/>
                <w:bCs/>
                <w:color w:val="000000"/>
                <w:szCs w:val="22"/>
                <w:lang w:eastAsia="en-AU"/>
              </w:rPr>
              <w:t xml:space="preserve">Net cash flows from operating activities </w:t>
            </w:r>
            <w:r w:rsidRPr="0051349C">
              <w:rPr>
                <w:rFonts w:eastAsiaTheme="minorEastAsia" w:cs="Calibri"/>
                <w:b/>
                <w:bCs/>
                <w:color w:val="000000"/>
                <w:szCs w:val="22"/>
                <w:vertAlign w:val="superscript"/>
                <w:lang w:eastAsia="en-AU"/>
              </w:rPr>
              <w:t>(a)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268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(481)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Cash flows from investing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(113)</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Purchase of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(396)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26</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Sales of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(9 561)</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Net proceeds from customer loans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980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2 907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8 465</w:t>
            </w:r>
          </w:p>
        </w:tc>
        <w:tc>
          <w:tcPr>
            <w:tcW w:w="6917" w:type="dxa"/>
            <w:tcBorders>
              <w:top w:val="nil"/>
              <w:left w:val="nil"/>
              <w:bottom w:val="single" w:sz="6" w:space="0" w:color="auto"/>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Other investing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(985)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(2 404)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sidRPr="0051349C">
              <w:rPr>
                <w:rFonts w:eastAsiaTheme="minorEastAsia" w:cs="Calibri"/>
                <w:b/>
                <w:bCs/>
                <w:color w:val="000000"/>
                <w:szCs w:val="22"/>
                <w:lang w:eastAsia="en-AU"/>
              </w:rPr>
              <w:t>(1 183)</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Net cash flows from investing activities </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6</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141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Cash flows from financing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Pr>
                <w:rFonts w:eastAsiaTheme="minorEastAsia" w:cs="Calibri"/>
                <w:color w:val="000000"/>
                <w:szCs w:val="22"/>
                <w:lang w:eastAsia="en-AU"/>
              </w:rPr>
              <w:t>(25)</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Net proceeds (repayments) from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(427)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Pr>
                <w:rFonts w:eastAsiaTheme="minorEastAsia" w:cs="Calibri"/>
                <w:b/>
                <w:bCs/>
                <w:color w:val="000000"/>
                <w:szCs w:val="22"/>
                <w:lang w:eastAsia="en-AU"/>
              </w:rPr>
              <w:t>(25)</w:t>
            </w:r>
          </w:p>
        </w:tc>
        <w:tc>
          <w:tcPr>
            <w:tcW w:w="6917" w:type="dxa"/>
            <w:tcBorders>
              <w:top w:val="single" w:sz="6" w:space="0" w:color="auto"/>
              <w:left w:val="nil"/>
              <w:bottom w:val="single" w:sz="6" w:space="0" w:color="auto"/>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Net cash flows from financing activities </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(427)</w:t>
            </w:r>
          </w:p>
        </w:tc>
        <w:tc>
          <w:tcPr>
            <w:tcW w:w="90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Pr>
                <w:rFonts w:eastAsiaTheme="minorEastAsia" w:cs="Calibri"/>
                <w:b/>
                <w:bCs/>
                <w:color w:val="000000"/>
                <w:szCs w:val="22"/>
                <w:lang w:eastAsia="en-AU"/>
              </w:rPr>
              <w:t>163</w:t>
            </w:r>
          </w:p>
        </w:tc>
        <w:tc>
          <w:tcPr>
            <w:tcW w:w="691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vertAlign w:val="superscript"/>
                <w:lang w:eastAsia="en-AU"/>
              </w:rPr>
            </w:pPr>
            <w:r w:rsidRPr="0051349C">
              <w:rPr>
                <w:rFonts w:eastAsiaTheme="minorEastAsia" w:cs="Calibri"/>
                <w:b/>
                <w:bCs/>
                <w:color w:val="000000"/>
                <w:szCs w:val="22"/>
                <w:lang w:eastAsia="en-AU"/>
              </w:rPr>
              <w:t xml:space="preserve">Net cash inflow/(outflow) </w:t>
            </w:r>
            <w:r w:rsidRPr="0051349C">
              <w:rPr>
                <w:rFonts w:eastAsiaTheme="minorEastAsia" w:cs="Calibri"/>
                <w:b/>
                <w:bCs/>
                <w:color w:val="000000"/>
                <w:szCs w:val="22"/>
                <w:vertAlign w:val="superscript"/>
                <w:lang w:eastAsia="en-AU"/>
              </w:rPr>
              <w:t>(a)</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(152)</w:t>
            </w:r>
          </w:p>
        </w:tc>
        <w:tc>
          <w:tcPr>
            <w:tcW w:w="90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(364)</w:t>
            </w:r>
          </w:p>
        </w:tc>
      </w:tr>
    </w:tbl>
    <w:p w:rsidR="00F20535" w:rsidRDefault="00F20535" w:rsidP="007A2EDF">
      <w:pPr>
        <w:pStyle w:val="Note"/>
      </w:pPr>
      <w:r>
        <w:t>Note:</w:t>
      </w:r>
    </w:p>
    <w:p w:rsidR="00F20535" w:rsidRDefault="00F20535" w:rsidP="007A2EDF">
      <w:pPr>
        <w:pStyle w:val="Note"/>
        <w:rPr>
          <w:i w:val="0"/>
        </w:rPr>
      </w:pPr>
      <w:r>
        <w:t>(a)</w:t>
      </w:r>
      <w:r>
        <w:tab/>
        <w:t xml:space="preserve">December </w:t>
      </w:r>
      <w:r w:rsidRPr="005E1C50">
        <w:t xml:space="preserve">2016 comparative figures </w:t>
      </w:r>
      <w:r>
        <w:t>have been restated to reflect more current information.</w:t>
      </w:r>
    </w:p>
    <w:p w:rsidR="00F20535" w:rsidRPr="003C13CF" w:rsidRDefault="00F20535" w:rsidP="007A2EDF">
      <w:pPr>
        <w:pStyle w:val="TableUnits"/>
        <w:rPr>
          <w:lang w:val="en-US"/>
        </w:rPr>
      </w:pPr>
    </w:p>
    <w:p w:rsidR="00F20535" w:rsidRDefault="00F20535" w:rsidP="000C30FB">
      <w:pPr>
        <w:rPr>
          <w:rFonts w:asciiTheme="majorHAnsi" w:eastAsiaTheme="majorEastAsia" w:hAnsiTheme="majorHAnsi" w:cstheme="majorBidi"/>
          <w:b/>
          <w:sz w:val="26"/>
          <w:szCs w:val="26"/>
        </w:rPr>
      </w:pPr>
      <w:r>
        <w:br w:type="page"/>
      </w:r>
    </w:p>
    <w:p w:rsidR="00F20535" w:rsidRPr="009C4BB3" w:rsidRDefault="00F20535" w:rsidP="007A2EDF">
      <w:pPr>
        <w:pStyle w:val="Heading2"/>
        <w:numPr>
          <w:ilvl w:val="1"/>
          <w:numId w:val="22"/>
        </w:numPr>
        <w:rPr>
          <w:bCs/>
          <w:lang w:val="en-US"/>
        </w:rPr>
      </w:pPr>
      <w:bookmarkStart w:id="106" w:name="_Toc475960083"/>
      <w:r w:rsidRPr="000467E0">
        <w:t>Reconciliation of cash flows to balances held</w:t>
      </w:r>
      <w:bookmarkEnd w:id="106"/>
    </w:p>
    <w:p w:rsidR="00F20535" w:rsidRPr="0051349C" w:rsidRDefault="00F20535" w:rsidP="007A2EDF">
      <w:pPr>
        <w:pStyle w:val="TableUnits"/>
        <w:rPr>
          <w:rFonts w:eastAsia="Times New Roman" w:cs="Times New Roman"/>
          <w:bCs/>
          <w:lang w:val="en-US"/>
        </w:rPr>
      </w:pPr>
      <w:r w:rsidRPr="000467E0">
        <w:t>($</w:t>
      </w:r>
      <w:r>
        <w:t> million</w:t>
      </w:r>
      <w:r w:rsidRPr="000467E0">
        <w:t>)</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94"/>
        <w:gridCol w:w="1417"/>
        <w:gridCol w:w="992"/>
        <w:gridCol w:w="1134"/>
      </w:tblGrid>
      <w:tr w:rsidR="00FD1166" w:rsidRPr="0051349C" w:rsidTr="007A2EDF">
        <w:trPr>
          <w:cnfStyle w:val="100000000000" w:firstRow="1" w:lastRow="0" w:firstColumn="0" w:lastColumn="0" w:oddVBand="0" w:evenVBand="0" w:oddHBand="0" w:evenHBand="0" w:firstRowFirstColumn="0" w:firstRowLastColumn="0" w:lastRowFirstColumn="0" w:lastRowLastColumn="0"/>
          <w:trHeight w:val="675"/>
          <w:tblHeader/>
        </w:trPr>
        <w:tc>
          <w:tcPr>
            <w:cnfStyle w:val="001000000000" w:firstRow="0" w:lastRow="0" w:firstColumn="1" w:lastColumn="0" w:oddVBand="0" w:evenVBand="0" w:oddHBand="0" w:evenHBand="0" w:firstRowFirstColumn="0" w:firstRowLastColumn="0" w:lastRowFirstColumn="0" w:lastRowLastColumn="0"/>
            <w:tcW w:w="6094" w:type="dxa"/>
            <w:tcBorders>
              <w:top w:val="nil"/>
              <w:left w:val="nil"/>
              <w:right w:val="nil"/>
            </w:tcBorders>
            <w:shd w:val="solid" w:color="000000" w:fill="auto"/>
          </w:tcPr>
          <w:p w:rsidR="00FD1166" w:rsidRPr="0051349C" w:rsidRDefault="00FD1166" w:rsidP="00FD1166">
            <w:pPr>
              <w:autoSpaceDE w:val="0"/>
              <w:autoSpaceDN w:val="0"/>
              <w:adjustRightInd w:val="0"/>
              <w:rPr>
                <w:rFonts w:eastAsiaTheme="minorEastAsia" w:cs="Calibri"/>
                <w:iCs/>
                <w:color w:val="FFFFFF"/>
                <w:szCs w:val="22"/>
                <w:lang w:eastAsia="en-AU"/>
              </w:rPr>
            </w:pPr>
          </w:p>
        </w:tc>
        <w:tc>
          <w:tcPr>
            <w:tcW w:w="1417"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Balances </w:t>
            </w:r>
            <w:r>
              <w:rPr>
                <w:rFonts w:eastAsiaTheme="minorEastAsia" w:cs="Calibri"/>
                <w:iCs/>
                <w:color w:val="FFFFFF"/>
                <w:szCs w:val="22"/>
                <w:lang w:eastAsia="en-AU"/>
              </w:rPr>
              <w:br/>
            </w:r>
            <w:r w:rsidRPr="0051349C">
              <w:rPr>
                <w:rFonts w:eastAsiaTheme="minorEastAsia" w:cs="Calibri"/>
                <w:iCs/>
                <w:color w:val="FFFFFF"/>
                <w:szCs w:val="22"/>
                <w:lang w:eastAsia="en-AU"/>
              </w:rPr>
              <w:t>held at</w:t>
            </w:r>
            <w:r>
              <w:rPr>
                <w:rFonts w:eastAsiaTheme="minorEastAsia" w:cs="Calibri"/>
                <w:iCs/>
                <w:color w:val="FFFFFF"/>
                <w:szCs w:val="22"/>
                <w:lang w:eastAsia="en-AU"/>
              </w:rPr>
              <w:br/>
            </w:r>
            <w:r w:rsidRPr="0051349C">
              <w:rPr>
                <w:rFonts w:eastAsiaTheme="minorEastAsia" w:cs="Calibri"/>
                <w:iCs/>
                <w:color w:val="FFFFFF"/>
                <w:szCs w:val="22"/>
                <w:lang w:eastAsia="en-AU"/>
              </w:rPr>
              <w:t>30 Jun 2017</w:t>
            </w:r>
          </w:p>
        </w:tc>
        <w:tc>
          <w:tcPr>
            <w:tcW w:w="992"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Dec</w:t>
            </w:r>
            <w:r>
              <w:rPr>
                <w:rFonts w:eastAsiaTheme="minorEastAsia" w:cs="Calibri"/>
                <w:iCs/>
                <w:color w:val="FFFFFF"/>
                <w:szCs w:val="22"/>
                <w:lang w:eastAsia="en-AU"/>
              </w:rPr>
              <w:br/>
            </w:r>
            <w:r w:rsidRPr="0051349C">
              <w:rPr>
                <w:rFonts w:eastAsiaTheme="minorEastAsia" w:cs="Calibri"/>
                <w:iCs/>
                <w:color w:val="FFFFFF"/>
                <w:szCs w:val="22"/>
                <w:lang w:eastAsia="en-AU"/>
              </w:rPr>
              <w:t>movement</w:t>
            </w:r>
            <w:r>
              <w:rPr>
                <w:rFonts w:eastAsiaTheme="minorEastAsia" w:cs="Calibri"/>
                <w:iCs/>
                <w:color w:val="FFFFFF"/>
                <w:szCs w:val="22"/>
                <w:lang w:eastAsia="en-AU"/>
              </w:rPr>
              <w:br/>
            </w:r>
            <w:r w:rsidRPr="0051349C">
              <w:rPr>
                <w:rFonts w:eastAsiaTheme="minorEastAsia" w:cs="Calibri"/>
                <w:iCs/>
                <w:color w:val="FFFFFF"/>
                <w:szCs w:val="22"/>
                <w:lang w:eastAsia="en-AU"/>
              </w:rPr>
              <w:t>YTD</w:t>
            </w:r>
          </w:p>
        </w:tc>
        <w:tc>
          <w:tcPr>
            <w:tcW w:w="1134" w:type="dxa"/>
            <w:tcBorders>
              <w:top w:val="nil"/>
              <w:left w:val="nil"/>
              <w:right w:val="nil"/>
            </w:tcBorders>
            <w:shd w:val="solid" w:color="000000" w:fill="auto"/>
          </w:tcPr>
          <w:p w:rsidR="00FD1166" w:rsidRPr="0051349C" w:rsidRDefault="00FD1166" w:rsidP="00FD116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Balances </w:t>
            </w:r>
            <w:r>
              <w:rPr>
                <w:rFonts w:eastAsiaTheme="minorEastAsia" w:cs="Calibri"/>
                <w:iCs/>
                <w:color w:val="FFFFFF"/>
                <w:szCs w:val="22"/>
                <w:lang w:eastAsia="en-AU"/>
              </w:rPr>
              <w:br/>
            </w:r>
            <w:r w:rsidRPr="0051349C">
              <w:rPr>
                <w:rFonts w:eastAsiaTheme="minorEastAsia" w:cs="Calibri"/>
                <w:iCs/>
                <w:color w:val="FFFFFF"/>
                <w:szCs w:val="22"/>
                <w:lang w:eastAsia="en-AU"/>
              </w:rPr>
              <w:t>held at</w:t>
            </w:r>
            <w:r>
              <w:rPr>
                <w:rFonts w:eastAsiaTheme="minorEastAsia" w:cs="Calibri"/>
                <w:iCs/>
                <w:color w:val="FFFFFF"/>
                <w:szCs w:val="22"/>
                <w:lang w:eastAsia="en-AU"/>
              </w:rPr>
              <w:br/>
            </w:r>
            <w:r w:rsidRPr="0051349C">
              <w:rPr>
                <w:rFonts w:eastAsiaTheme="minorEastAsia" w:cs="Calibri"/>
                <w:iCs/>
                <w:color w:val="FFFFFF"/>
                <w:szCs w:val="22"/>
                <w:lang w:eastAsia="en-AU"/>
              </w:rPr>
              <w:t>31 Dec 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Cash and deposits</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9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Cash balances outside the Public Account</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99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Deposits held with the Public Account – specific trusts</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561</w:t>
            </w:r>
          </w:p>
        </w:tc>
        <w:tc>
          <w:tcPr>
            <w:tcW w:w="99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28</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589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single" w:sz="6" w:space="0" w:color="auto"/>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balances held in the Public Account</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3 328</w:t>
            </w:r>
          </w:p>
        </w:tc>
        <w:tc>
          <w:tcPr>
            <w:tcW w:w="99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(4 058)</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(730)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cash and deposits</w:t>
            </w:r>
          </w:p>
        </w:tc>
        <w:tc>
          <w:tcPr>
            <w:tcW w:w="1417"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3 888</w:t>
            </w:r>
          </w:p>
        </w:tc>
        <w:tc>
          <w:tcPr>
            <w:tcW w:w="992"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(4 026)</w:t>
            </w:r>
          </w:p>
        </w:tc>
        <w:tc>
          <w:tcPr>
            <w:tcW w:w="1134" w:type="dxa"/>
            <w:tcBorders>
              <w:top w:val="single" w:sz="6" w:space="0" w:color="auto"/>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(137)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Investments</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c>
          <w:tcPr>
            <w:tcW w:w="99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Investments held with the Public Account – specific trusts </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1 285</w:t>
            </w:r>
          </w:p>
        </w:tc>
        <w:tc>
          <w:tcPr>
            <w:tcW w:w="99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(83)</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1 202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investments</w:t>
            </w:r>
          </w:p>
        </w:tc>
        <w:tc>
          <w:tcPr>
            <w:tcW w:w="1417" w:type="dxa"/>
            <w:tcBorders>
              <w:top w:val="nil"/>
              <w:left w:val="nil"/>
              <w:bottom w:val="single" w:sz="6"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1 285</w:t>
            </w:r>
          </w:p>
        </w:tc>
        <w:tc>
          <w:tcPr>
            <w:tcW w:w="992" w:type="dxa"/>
            <w:tcBorders>
              <w:top w:val="nil"/>
              <w:left w:val="nil"/>
              <w:bottom w:val="single" w:sz="6"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(83)</w:t>
            </w:r>
          </w:p>
        </w:tc>
        <w:tc>
          <w:tcPr>
            <w:tcW w:w="1134" w:type="dxa"/>
            <w:tcBorders>
              <w:top w:val="nil"/>
              <w:left w:val="nil"/>
              <w:bottom w:val="single" w:sz="6"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1 202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single" w:sz="6" w:space="0" w:color="auto"/>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fund balances</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5 173</w:t>
            </w:r>
          </w:p>
        </w:tc>
        <w:tc>
          <w:tcPr>
            <w:tcW w:w="99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(4 109)</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1 065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Less funds held outside the Public Account</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c>
          <w:tcPr>
            <w:tcW w:w="99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Cash </w:t>
            </w:r>
          </w:p>
        </w:tc>
        <w:tc>
          <w:tcPr>
            <w:tcW w:w="141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99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w:t>
            </w:r>
          </w:p>
        </w:tc>
        <w:tc>
          <w:tcPr>
            <w:tcW w:w="113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fund balances held outside the Public Account</w:t>
            </w:r>
          </w:p>
        </w:tc>
        <w:tc>
          <w:tcPr>
            <w:tcW w:w="1417" w:type="dxa"/>
            <w:tcBorders>
              <w:top w:val="nil"/>
              <w:left w:val="nil"/>
              <w:bottom w:val="single" w:sz="6"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w:t>
            </w:r>
          </w:p>
        </w:tc>
        <w:tc>
          <w:tcPr>
            <w:tcW w:w="992" w:type="dxa"/>
            <w:tcBorders>
              <w:top w:val="nil"/>
              <w:left w:val="nil"/>
              <w:bottom w:val="single" w:sz="6"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4</w:t>
            </w:r>
          </w:p>
        </w:tc>
        <w:tc>
          <w:tcPr>
            <w:tcW w:w="1134" w:type="dxa"/>
            <w:tcBorders>
              <w:top w:val="nil"/>
              <w:left w:val="nil"/>
              <w:bottom w:val="single" w:sz="6"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94"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rPr>
                <w:rFonts w:eastAsiaTheme="minorEastAsia" w:cs="Calibri"/>
                <w:b/>
                <w:bCs/>
                <w:color w:val="000000"/>
                <w:szCs w:val="22"/>
                <w:vertAlign w:val="superscript"/>
                <w:lang w:eastAsia="en-AU"/>
              </w:rPr>
            </w:pPr>
            <w:r w:rsidRPr="0051349C">
              <w:rPr>
                <w:rFonts w:eastAsiaTheme="minorEastAsia" w:cs="Calibri"/>
                <w:b/>
                <w:bCs/>
                <w:color w:val="000000"/>
                <w:szCs w:val="22"/>
                <w:lang w:eastAsia="en-AU"/>
              </w:rPr>
              <w:t xml:space="preserve">Total funds held in the Public Account </w:t>
            </w:r>
            <w:r w:rsidRPr="0051349C">
              <w:rPr>
                <w:rFonts w:eastAsiaTheme="minorEastAsia" w:cs="Calibri"/>
                <w:b/>
                <w:bCs/>
                <w:color w:val="000000"/>
                <w:szCs w:val="22"/>
                <w:vertAlign w:val="superscript"/>
                <w:lang w:eastAsia="en-AU"/>
              </w:rPr>
              <w:t>(a)</w:t>
            </w:r>
          </w:p>
        </w:tc>
        <w:tc>
          <w:tcPr>
            <w:tcW w:w="1417"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5 174</w:t>
            </w:r>
          </w:p>
        </w:tc>
        <w:tc>
          <w:tcPr>
            <w:tcW w:w="992"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(4 113)</w:t>
            </w:r>
          </w:p>
        </w:tc>
        <w:tc>
          <w:tcPr>
            <w:tcW w:w="1134" w:type="dxa"/>
            <w:tcBorders>
              <w:top w:val="single" w:sz="6" w:space="0" w:color="auto"/>
              <w:left w:val="nil"/>
              <w:bottom w:val="single" w:sz="12" w:space="0" w:color="auto"/>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1 061</w:t>
            </w:r>
          </w:p>
        </w:tc>
      </w:tr>
    </w:tbl>
    <w:p w:rsidR="00F20535" w:rsidRPr="005F6DCE" w:rsidRDefault="00F20535" w:rsidP="007A2EDF">
      <w:pPr>
        <w:pStyle w:val="Note"/>
        <w:rPr>
          <w:bCs/>
          <w:lang w:val="en-US"/>
        </w:rPr>
      </w:pPr>
      <w:r>
        <w:t>Note:</w:t>
      </w:r>
    </w:p>
    <w:p w:rsidR="00F20535" w:rsidRDefault="00F20535" w:rsidP="000C30FB">
      <w:pPr>
        <w:pStyle w:val="Note"/>
      </w:pPr>
      <w:r>
        <w:t>(a)</w:t>
      </w:r>
      <w:r>
        <w:tab/>
        <w:t>See Note 8.4 below for details of securities and investments including amounts held in the Public Account on behalf of trust accounts.</w:t>
      </w:r>
    </w:p>
    <w:p w:rsidR="00F20535" w:rsidRDefault="00F20535" w:rsidP="000C30FB"/>
    <w:p w:rsidR="00F20535" w:rsidRDefault="00F20535" w:rsidP="000C30FB"/>
    <w:p w:rsidR="00F20535" w:rsidRDefault="00F20535" w:rsidP="007A2EDF">
      <w:pPr>
        <w:pStyle w:val="Heading2"/>
        <w:numPr>
          <w:ilvl w:val="1"/>
          <w:numId w:val="22"/>
        </w:numPr>
      </w:pPr>
      <w:bookmarkStart w:id="107" w:name="_Toc475960084"/>
      <w:r w:rsidRPr="000467E0">
        <w:t>Details of securities held in the Public Account</w:t>
      </w:r>
      <w:bookmarkEnd w:id="107"/>
    </w:p>
    <w:p w:rsidR="00F20535" w:rsidRPr="0051349C" w:rsidRDefault="00F20535" w:rsidP="007A2EDF">
      <w:pPr>
        <w:pStyle w:val="TableUnits"/>
        <w:rPr>
          <w:rFonts w:eastAsia="Times New Roman" w:cs="Times New Roman"/>
          <w:bCs/>
          <w:lang w:val="en-US"/>
        </w:rPr>
      </w:pPr>
      <w:r w:rsidRPr="000467E0">
        <w:t>($</w:t>
      </w:r>
      <w:r>
        <w:t> million</w:t>
      </w:r>
      <w:r w:rsidRPr="000467E0">
        <w:t>)</w:t>
      </w:r>
    </w:p>
    <w:tbl>
      <w:tblPr>
        <w:tblStyle w:val="DTFTable"/>
        <w:tblW w:w="9638" w:type="dxa"/>
        <w:tblInd w:w="45" w:type="dxa"/>
        <w:tblLayout w:type="fixed"/>
        <w:tblCellMar>
          <w:left w:w="45" w:type="dxa"/>
          <w:right w:w="45" w:type="dxa"/>
        </w:tblCellMar>
        <w:tblLook w:val="06E0" w:firstRow="1" w:lastRow="1" w:firstColumn="1" w:lastColumn="0" w:noHBand="1" w:noVBand="1"/>
      </w:tblPr>
      <w:tblGrid>
        <w:gridCol w:w="907"/>
        <w:gridCol w:w="691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right"/>
              <w:rPr>
                <w:rFonts w:eastAsiaTheme="minorEastAsia" w:cs="Calibri"/>
                <w:iCs/>
                <w:color w:val="FFFFFF"/>
                <w:szCs w:val="22"/>
                <w:lang w:eastAsia="en-AU"/>
              </w:rPr>
            </w:pPr>
            <w:r w:rsidRPr="0051349C">
              <w:rPr>
                <w:rFonts w:eastAsiaTheme="minorEastAsia" w:cs="Calibri"/>
                <w:iCs/>
                <w:color w:val="FFFFFF"/>
                <w:szCs w:val="22"/>
                <w:lang w:eastAsia="en-AU"/>
              </w:rPr>
              <w:t>2016-17</w:t>
            </w:r>
          </w:p>
        </w:tc>
        <w:tc>
          <w:tcPr>
            <w:tcW w:w="6917" w:type="dxa"/>
            <w:tcBorders>
              <w:top w:val="nil"/>
              <w:left w:val="nil"/>
              <w:bottom w:val="nil"/>
              <w:right w:val="nil"/>
            </w:tcBorders>
            <w:shd w:val="solid" w:color="000000" w:fill="auto"/>
          </w:tcPr>
          <w:p w:rsidR="00F20535" w:rsidRPr="0051349C" w:rsidRDefault="00F20535" w:rsidP="007A2EDF">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2017-18</w:t>
            </w:r>
          </w:p>
        </w:tc>
      </w:tr>
      <w:tr w:rsidR="001B1600" w:rsidRPr="0051349C" w:rsidTr="001B1600">
        <w:trPr>
          <w:cnfStyle w:val="100000000000" w:firstRow="1" w:lastRow="0" w:firstColumn="0" w:lastColumn="0" w:oddVBand="0" w:evenVBand="0" w:oddHBand="0" w:evenHBand="0" w:firstRowFirstColumn="0" w:firstRowLastColumn="0" w:lastRowFirstColumn="0" w:lastRowLastColumn="0"/>
          <w:trHeight w:val="342"/>
          <w:tblHeader/>
        </w:trPr>
        <w:tc>
          <w:tcPr>
            <w:cnfStyle w:val="001000000000" w:firstRow="0" w:lastRow="0" w:firstColumn="1" w:lastColumn="0" w:oddVBand="0" w:evenVBand="0" w:oddHBand="0" w:evenHBand="0" w:firstRowFirstColumn="0" w:firstRowLastColumn="0" w:lastRowFirstColumn="0" w:lastRowLastColumn="0"/>
            <w:tcW w:w="90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jc w:val="right"/>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actual </w:t>
            </w:r>
          </w:p>
          <w:p w:rsidR="001B1600" w:rsidRPr="0051349C" w:rsidRDefault="001B1600" w:rsidP="001B1600">
            <w:pPr>
              <w:autoSpaceDE w:val="0"/>
              <w:autoSpaceDN w:val="0"/>
              <w:adjustRightInd w:val="0"/>
              <w:spacing w:before="0" w:after="0"/>
              <w:jc w:val="right"/>
              <w:rPr>
                <w:rFonts w:eastAsiaTheme="minorEastAsia" w:cs="Calibri"/>
                <w:iCs/>
                <w:color w:val="FFFFFF"/>
                <w:szCs w:val="22"/>
                <w:lang w:eastAsia="en-AU"/>
              </w:rPr>
            </w:pPr>
            <w:r w:rsidRPr="0051349C">
              <w:rPr>
                <w:rFonts w:eastAsiaTheme="minorEastAsia" w:cs="Calibri"/>
                <w:iCs/>
                <w:color w:val="FFFFFF"/>
                <w:szCs w:val="22"/>
                <w:lang w:eastAsia="en-AU"/>
              </w:rPr>
              <w:t>to Dec</w:t>
            </w:r>
          </w:p>
        </w:tc>
        <w:tc>
          <w:tcPr>
            <w:tcW w:w="691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jc w:val="left"/>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w:t>
            </w:r>
          </w:p>
          <w:p w:rsidR="001B1600" w:rsidRPr="0051349C" w:rsidRDefault="001B1600" w:rsidP="001B1600">
            <w:pPr>
              <w:autoSpaceDE w:val="0"/>
              <w:autoSpaceDN w:val="0"/>
              <w:adjustRightInd w:val="0"/>
              <w:spacing w:before="0" w:after="0"/>
              <w:jc w:val="left"/>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22"/>
                <w:lang w:eastAsia="en-AU"/>
              </w:rPr>
            </w:pPr>
            <w:r w:rsidRPr="0051349C">
              <w:rPr>
                <w:rFonts w:eastAsiaTheme="minorEastAsia" w:cs="Calibri"/>
                <w:iCs/>
                <w:color w:val="FFFFFF"/>
                <w:szCs w:val="22"/>
                <w:lang w:eastAsia="en-AU"/>
              </w:rPr>
              <w:t>opening</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1 Jul</w:t>
            </w:r>
          </w:p>
        </w:tc>
        <w:tc>
          <w:tcPr>
            <w:tcW w:w="907" w:type="dxa"/>
            <w:tcBorders>
              <w:top w:val="nil"/>
              <w:left w:val="nil"/>
              <w:right w:val="nil"/>
            </w:tcBorders>
            <w:shd w:val="solid" w:color="000000" w:fill="auto"/>
          </w:tcPr>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 w:val="0"/>
                <w:iCs/>
                <w:color w:val="FFFFFF"/>
                <w:szCs w:val="22"/>
                <w:lang w:eastAsia="en-AU"/>
              </w:rPr>
            </w:pPr>
            <w:r w:rsidRPr="0051349C">
              <w:rPr>
                <w:rFonts w:eastAsiaTheme="minorEastAsia" w:cs="Calibri"/>
                <w:iCs/>
                <w:color w:val="FFFFFF"/>
                <w:szCs w:val="22"/>
                <w:lang w:eastAsia="en-AU"/>
              </w:rPr>
              <w:t xml:space="preserve"> actual </w:t>
            </w:r>
          </w:p>
          <w:p w:rsidR="001B1600" w:rsidRPr="0051349C" w:rsidRDefault="001B1600" w:rsidP="001B1600">
            <w:pPr>
              <w:autoSpaceDE w:val="0"/>
              <w:autoSpaceDN w:val="0"/>
              <w:adjustRightInd w:val="0"/>
              <w:spacing w:before="0"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31 Dec</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22"/>
                <w:lang w:eastAsia="en-AU"/>
              </w:rPr>
            </w:pPr>
            <w:r w:rsidRPr="0051349C">
              <w:rPr>
                <w:rFonts w:eastAsiaTheme="minorEastAsia" w:cs="Calibri"/>
                <w:b/>
                <w:bCs/>
                <w:color w:val="000000"/>
                <w:szCs w:val="22"/>
                <w:lang w:eastAsia="en-AU"/>
              </w:rPr>
              <w:t>6 486</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Total Public Account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5 174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1 061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Represented by:</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4 607</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Stock, securities, cash and investments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3 850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428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Add cash advanced for:</w:t>
            </w:r>
            <w:r w:rsidR="007F4ECD">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1 879</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i/>
                <w:iCs/>
                <w:color w:val="000000"/>
                <w:szCs w:val="22"/>
                <w:lang w:eastAsia="en-AU"/>
              </w:rPr>
            </w:pPr>
            <w:r w:rsidRPr="0051349C">
              <w:rPr>
                <w:rFonts w:eastAsiaTheme="minorEastAsia" w:cs="Calibri"/>
                <w:color w:val="000000"/>
                <w:szCs w:val="22"/>
                <w:lang w:eastAsia="en-AU"/>
              </w:rPr>
              <w:t xml:space="preserve">Advances pursuant to sections 36 and 37 of the </w:t>
            </w:r>
            <w:r w:rsidRPr="0051349C">
              <w:rPr>
                <w:rFonts w:eastAsiaTheme="minorEastAsia" w:cs="Calibri"/>
                <w:i/>
                <w:iCs/>
                <w:color w:val="000000"/>
                <w:szCs w:val="22"/>
                <w:lang w:eastAsia="en-AU"/>
              </w:rPr>
              <w:t>Financial Management Act 1994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874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633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907"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w:t>
            </w:r>
          </w:p>
        </w:tc>
        <w:tc>
          <w:tcPr>
            <w:tcW w:w="6917" w:type="dxa"/>
            <w:tcBorders>
              <w:top w:val="nil"/>
              <w:left w:val="nil"/>
              <w:bottom w:val="nil"/>
              <w:right w:val="nil"/>
            </w:tcBorders>
          </w:tcPr>
          <w:p w:rsidR="00F20535" w:rsidRPr="0051349C" w:rsidRDefault="00F20535" w:rsidP="007A2EDF">
            <w:pPr>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Calibri"/>
                <w:i/>
                <w:iCs/>
                <w:color w:val="000000"/>
                <w:szCs w:val="22"/>
                <w:lang w:eastAsia="en-AU"/>
              </w:rPr>
            </w:pPr>
            <w:r w:rsidRPr="0051349C">
              <w:rPr>
                <w:rFonts w:eastAsiaTheme="minorEastAsia" w:cs="Calibri"/>
                <w:color w:val="000000"/>
                <w:szCs w:val="22"/>
                <w:lang w:eastAsia="en-AU"/>
              </w:rPr>
              <w:t xml:space="preserve">Temporary Advance to the Consolidated Fund pursuant to Section 38 of the </w:t>
            </w:r>
            <w:r w:rsidRPr="0051349C">
              <w:rPr>
                <w:rFonts w:eastAsiaTheme="minorEastAsia" w:cs="Calibri"/>
                <w:i/>
                <w:iCs/>
                <w:color w:val="000000"/>
                <w:szCs w:val="22"/>
                <w:lang w:eastAsia="en-AU"/>
              </w:rPr>
              <w:t>Financial Management Act, No. 18 of 1994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450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tcBorders>
              <w:top w:val="single" w:sz="6" w:space="0" w:color="auto"/>
              <w:bottom w:val="single" w:sz="12" w:space="0" w:color="auto"/>
            </w:tcBorders>
          </w:tcPr>
          <w:p w:rsidR="00F20535" w:rsidRPr="0051349C" w:rsidRDefault="00F20535" w:rsidP="007A2EDF">
            <w:pPr>
              <w:autoSpaceDE w:val="0"/>
              <w:autoSpaceDN w:val="0"/>
              <w:adjustRightInd w:val="0"/>
              <w:jc w:val="right"/>
              <w:rPr>
                <w:rFonts w:eastAsiaTheme="minorEastAsia" w:cs="Calibri"/>
                <w:bCs/>
                <w:color w:val="000000"/>
                <w:szCs w:val="22"/>
                <w:lang w:eastAsia="en-AU"/>
              </w:rPr>
            </w:pPr>
            <w:r w:rsidRPr="0051349C">
              <w:rPr>
                <w:rFonts w:eastAsiaTheme="minorEastAsia" w:cs="Calibri"/>
                <w:bCs/>
                <w:color w:val="000000"/>
                <w:szCs w:val="22"/>
                <w:lang w:eastAsia="en-AU"/>
              </w:rPr>
              <w:t>6 486</w:t>
            </w:r>
          </w:p>
        </w:tc>
        <w:tc>
          <w:tcPr>
            <w:tcW w:w="6917" w:type="dxa"/>
            <w:tcBorders>
              <w:top w:val="single" w:sz="6" w:space="0" w:color="auto"/>
              <w:bottom w:val="single" w:sz="12" w:space="0" w:color="auto"/>
            </w:tcBorders>
          </w:tcPr>
          <w:p w:rsidR="00F20535" w:rsidRPr="0051349C" w:rsidRDefault="00F20535" w:rsidP="007A2EDF">
            <w:pPr>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 xml:space="preserve">Total Public Account </w:t>
            </w:r>
          </w:p>
        </w:tc>
        <w:tc>
          <w:tcPr>
            <w:tcW w:w="907" w:type="dxa"/>
            <w:tcBorders>
              <w:top w:val="single" w:sz="6" w:space="0" w:color="auto"/>
              <w:bottom w:val="single" w:sz="12" w:space="0" w:color="auto"/>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5 174</w:t>
            </w:r>
          </w:p>
        </w:tc>
        <w:tc>
          <w:tcPr>
            <w:tcW w:w="907" w:type="dxa"/>
            <w:tcBorders>
              <w:top w:val="single" w:sz="6" w:space="0" w:color="auto"/>
              <w:bottom w:val="single" w:sz="12" w:space="0" w:color="auto"/>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1 061</w:t>
            </w:r>
          </w:p>
        </w:tc>
      </w:tr>
    </w:tbl>
    <w:p w:rsidR="00F20535" w:rsidRPr="00F00E15" w:rsidRDefault="00F20535" w:rsidP="007A2EDF">
      <w:pPr>
        <w:pStyle w:val="TableUnits"/>
        <w:rPr>
          <w:lang w:val="en-US"/>
        </w:rPr>
      </w:pPr>
    </w:p>
    <w:p w:rsidR="00F20535" w:rsidRDefault="00F20535" w:rsidP="000C30FB"/>
    <w:bookmarkEnd w:id="102"/>
    <w:p w:rsidR="00F20535" w:rsidRDefault="00F20535">
      <w:pPr>
        <w:rPr>
          <w:rFonts w:asciiTheme="majorHAnsi" w:eastAsiaTheme="majorEastAsia" w:hAnsiTheme="majorHAnsi" w:cstheme="majorBidi"/>
          <w:b/>
          <w:bCs/>
          <w:caps/>
          <w:spacing w:val="-2"/>
          <w:sz w:val="26"/>
          <w:szCs w:val="28"/>
        </w:rPr>
      </w:pPr>
      <w:r>
        <w:br w:type="page"/>
      </w:r>
    </w:p>
    <w:p w:rsidR="00F20535" w:rsidRDefault="00F20535" w:rsidP="007A2EDF">
      <w:pPr>
        <w:pStyle w:val="Heading1"/>
        <w:numPr>
          <w:ilvl w:val="0"/>
          <w:numId w:val="22"/>
        </w:numPr>
      </w:pPr>
      <w:bookmarkStart w:id="108" w:name="_Toc473541498"/>
      <w:bookmarkStart w:id="109" w:name="_Toc508201406"/>
      <w:bookmarkStart w:id="110" w:name="Section9"/>
      <w:r>
        <w:t>Other disclosures</w:t>
      </w:r>
      <w:bookmarkEnd w:id="108"/>
      <w:bookmarkEnd w:id="109"/>
    </w:p>
    <w:p w:rsidR="00F20535" w:rsidRDefault="00F20535" w:rsidP="000C30FB">
      <w:pPr>
        <w:pStyle w:val="Heading20"/>
        <w:sectPr w:rsidR="00F20535" w:rsidSect="000C30FB">
          <w:type w:val="continuous"/>
          <w:pgSz w:w="11907" w:h="16839" w:code="9"/>
          <w:pgMar w:top="1134" w:right="1134" w:bottom="1134" w:left="1134" w:header="624" w:footer="567" w:gutter="0"/>
          <w:cols w:sep="1" w:space="567"/>
          <w:docGrid w:linePitch="360"/>
        </w:sectPr>
      </w:pPr>
    </w:p>
    <w:p w:rsidR="00F20535" w:rsidRDefault="00F20535" w:rsidP="000C30FB">
      <w:pPr>
        <w:pStyle w:val="Heading20"/>
      </w:pPr>
      <w:bookmarkStart w:id="111" w:name="_Toc473541499"/>
      <w:r>
        <w:t>Introduction</w:t>
      </w:r>
      <w:bookmarkEnd w:id="111"/>
    </w:p>
    <w:p w:rsidR="00F20535" w:rsidRDefault="00F20535" w:rsidP="000C30FB">
      <w:r>
        <w:t>This section includes several additional disclosures that assist the understanding of this financial report.</w:t>
      </w:r>
    </w:p>
    <w:p w:rsidR="00F20535" w:rsidRDefault="00F20535" w:rsidP="000C30FB">
      <w:pPr>
        <w:pStyle w:val="Heading20"/>
      </w:pPr>
      <w:r>
        <w:br w:type="column"/>
        <w:t>Structure</w:t>
      </w:r>
    </w:p>
    <w:p w:rsidR="00F20535" w:rsidRDefault="00F20535">
      <w:pPr>
        <w:pStyle w:val="TOC9"/>
        <w:rPr>
          <w:rFonts w:eastAsiaTheme="minorEastAsia"/>
          <w:noProof/>
          <w:spacing w:val="0"/>
          <w:lang w:eastAsia="en-AU"/>
        </w:rPr>
      </w:pPr>
      <w:r>
        <w:fldChar w:fldCharType="begin"/>
      </w:r>
      <w:r>
        <w:instrText xml:space="preserve"> TOC \h \z \t "Heading 2 (#),9" \b Section9 </w:instrText>
      </w:r>
      <w:r>
        <w:fldChar w:fldCharType="separate"/>
      </w:r>
      <w:hyperlink w:anchor="_Toc505587033" w:history="1">
        <w:r w:rsidRPr="00DE0B6F">
          <w:rPr>
            <w:rStyle w:val="Hyperlink"/>
            <w:noProof/>
          </w:rPr>
          <w:t>9.1</w:t>
        </w:r>
        <w:r>
          <w:rPr>
            <w:rFonts w:eastAsiaTheme="minorEastAsia"/>
            <w:noProof/>
            <w:spacing w:val="0"/>
            <w:lang w:eastAsia="en-AU"/>
          </w:rPr>
          <w:tab/>
        </w:r>
        <w:r w:rsidRPr="00DE0B6F">
          <w:rPr>
            <w:rStyle w:val="Hyperlink"/>
            <w:noProof/>
          </w:rPr>
          <w:t>Disaggregated information</w:t>
        </w:r>
        <w:r>
          <w:rPr>
            <w:noProof/>
            <w:webHidden/>
          </w:rPr>
          <w:tab/>
        </w:r>
        <w:r>
          <w:rPr>
            <w:noProof/>
            <w:webHidden/>
          </w:rPr>
          <w:fldChar w:fldCharType="begin"/>
        </w:r>
        <w:r>
          <w:rPr>
            <w:noProof/>
            <w:webHidden/>
          </w:rPr>
          <w:instrText xml:space="preserve"> PAGEREF _Toc505587033 \h </w:instrText>
        </w:r>
        <w:r>
          <w:rPr>
            <w:noProof/>
            <w:webHidden/>
          </w:rPr>
        </w:r>
        <w:r>
          <w:rPr>
            <w:noProof/>
            <w:webHidden/>
          </w:rPr>
          <w:fldChar w:fldCharType="separate"/>
        </w:r>
        <w:r w:rsidR="00FF6398">
          <w:rPr>
            <w:noProof/>
            <w:webHidden/>
          </w:rPr>
          <w:t>42</w:t>
        </w:r>
        <w:r>
          <w:rPr>
            <w:noProof/>
            <w:webHidden/>
          </w:rPr>
          <w:fldChar w:fldCharType="end"/>
        </w:r>
      </w:hyperlink>
    </w:p>
    <w:p w:rsidR="00F20535" w:rsidRDefault="00C0501E">
      <w:pPr>
        <w:pStyle w:val="TOC9"/>
        <w:rPr>
          <w:rFonts w:eastAsiaTheme="minorEastAsia"/>
          <w:noProof/>
          <w:spacing w:val="0"/>
          <w:lang w:eastAsia="en-AU"/>
        </w:rPr>
      </w:pPr>
      <w:hyperlink w:anchor="_Toc505587034" w:history="1">
        <w:r w:rsidR="00F20535" w:rsidRPr="00DE0B6F">
          <w:rPr>
            <w:rStyle w:val="Hyperlink"/>
            <w:bCs/>
            <w:noProof/>
            <w:lang w:val="en-US"/>
          </w:rPr>
          <w:t>9.2</w:t>
        </w:r>
        <w:r w:rsidR="00F20535">
          <w:rPr>
            <w:rFonts w:eastAsiaTheme="minorEastAsia"/>
            <w:noProof/>
            <w:spacing w:val="0"/>
            <w:lang w:eastAsia="en-AU"/>
          </w:rPr>
          <w:tab/>
        </w:r>
        <w:r w:rsidR="00F20535" w:rsidRPr="00DE0B6F">
          <w:rPr>
            <w:rStyle w:val="Hyperlink"/>
            <w:noProof/>
          </w:rPr>
          <w:t>Other gains/(losses) from other economic flows</w:t>
        </w:r>
        <w:r w:rsidR="00F20535">
          <w:rPr>
            <w:noProof/>
            <w:webHidden/>
          </w:rPr>
          <w:tab/>
        </w:r>
        <w:r w:rsidR="00F20535">
          <w:rPr>
            <w:noProof/>
            <w:webHidden/>
          </w:rPr>
          <w:fldChar w:fldCharType="begin"/>
        </w:r>
        <w:r w:rsidR="00F20535">
          <w:rPr>
            <w:noProof/>
            <w:webHidden/>
          </w:rPr>
          <w:instrText xml:space="preserve"> PAGEREF _Toc505587034 \h </w:instrText>
        </w:r>
        <w:r w:rsidR="00F20535">
          <w:rPr>
            <w:noProof/>
            <w:webHidden/>
          </w:rPr>
        </w:r>
        <w:r w:rsidR="00F20535">
          <w:rPr>
            <w:noProof/>
            <w:webHidden/>
          </w:rPr>
          <w:fldChar w:fldCharType="separate"/>
        </w:r>
        <w:r w:rsidR="00FF6398">
          <w:rPr>
            <w:noProof/>
            <w:webHidden/>
          </w:rPr>
          <w:t>50</w:t>
        </w:r>
        <w:r w:rsidR="00F20535">
          <w:rPr>
            <w:noProof/>
            <w:webHidden/>
          </w:rPr>
          <w:fldChar w:fldCharType="end"/>
        </w:r>
      </w:hyperlink>
    </w:p>
    <w:p w:rsidR="00F20535" w:rsidRDefault="00C0501E">
      <w:pPr>
        <w:pStyle w:val="TOC9"/>
        <w:rPr>
          <w:rFonts w:eastAsiaTheme="minorEastAsia"/>
          <w:noProof/>
          <w:spacing w:val="0"/>
          <w:lang w:eastAsia="en-AU"/>
        </w:rPr>
      </w:pPr>
      <w:hyperlink w:anchor="_Toc505587035" w:history="1">
        <w:r w:rsidR="00F20535" w:rsidRPr="00DE0B6F">
          <w:rPr>
            <w:rStyle w:val="Hyperlink"/>
            <w:noProof/>
          </w:rPr>
          <w:t>9.3</w:t>
        </w:r>
        <w:r w:rsidR="00F20535">
          <w:rPr>
            <w:rFonts w:eastAsiaTheme="minorEastAsia"/>
            <w:noProof/>
            <w:spacing w:val="0"/>
            <w:lang w:eastAsia="en-AU"/>
          </w:rPr>
          <w:tab/>
        </w:r>
        <w:r w:rsidR="00F20535" w:rsidRPr="00DE0B6F">
          <w:rPr>
            <w:rStyle w:val="Hyperlink"/>
            <w:noProof/>
          </w:rPr>
          <w:t>Controlled entities</w:t>
        </w:r>
        <w:r w:rsidR="00F20535">
          <w:rPr>
            <w:noProof/>
            <w:webHidden/>
          </w:rPr>
          <w:tab/>
        </w:r>
        <w:r w:rsidR="00F20535">
          <w:rPr>
            <w:noProof/>
            <w:webHidden/>
          </w:rPr>
          <w:fldChar w:fldCharType="begin"/>
        </w:r>
        <w:r w:rsidR="00F20535">
          <w:rPr>
            <w:noProof/>
            <w:webHidden/>
          </w:rPr>
          <w:instrText xml:space="preserve"> PAGEREF _Toc505587035 \h </w:instrText>
        </w:r>
        <w:r w:rsidR="00F20535">
          <w:rPr>
            <w:noProof/>
            <w:webHidden/>
          </w:rPr>
        </w:r>
        <w:r w:rsidR="00F20535">
          <w:rPr>
            <w:noProof/>
            <w:webHidden/>
          </w:rPr>
          <w:fldChar w:fldCharType="separate"/>
        </w:r>
        <w:r w:rsidR="00FF6398">
          <w:rPr>
            <w:noProof/>
            <w:webHidden/>
          </w:rPr>
          <w:t>50</w:t>
        </w:r>
        <w:r w:rsidR="00F20535">
          <w:rPr>
            <w:noProof/>
            <w:webHidden/>
          </w:rPr>
          <w:fldChar w:fldCharType="end"/>
        </w:r>
      </w:hyperlink>
    </w:p>
    <w:p w:rsidR="00F20535" w:rsidRDefault="00C0501E">
      <w:pPr>
        <w:pStyle w:val="TOC9"/>
        <w:rPr>
          <w:rFonts w:eastAsiaTheme="minorEastAsia"/>
          <w:noProof/>
          <w:spacing w:val="0"/>
          <w:lang w:eastAsia="en-AU"/>
        </w:rPr>
      </w:pPr>
      <w:hyperlink w:anchor="_Toc505587036" w:history="1">
        <w:r w:rsidR="00F20535" w:rsidRPr="00DE0B6F">
          <w:rPr>
            <w:rStyle w:val="Hyperlink"/>
            <w:noProof/>
          </w:rPr>
          <w:t>9.4</w:t>
        </w:r>
        <w:r w:rsidR="00F20535">
          <w:rPr>
            <w:rFonts w:eastAsiaTheme="minorEastAsia"/>
            <w:noProof/>
            <w:spacing w:val="0"/>
            <w:lang w:eastAsia="en-AU"/>
          </w:rPr>
          <w:tab/>
        </w:r>
        <w:r w:rsidR="00F20535" w:rsidRPr="00DE0B6F">
          <w:rPr>
            <w:rStyle w:val="Hyperlink"/>
            <w:noProof/>
          </w:rPr>
          <w:t>Glossary of technical terms</w:t>
        </w:r>
        <w:r w:rsidR="00F20535">
          <w:rPr>
            <w:noProof/>
            <w:webHidden/>
          </w:rPr>
          <w:tab/>
        </w:r>
        <w:r w:rsidR="00F20535">
          <w:rPr>
            <w:noProof/>
            <w:webHidden/>
          </w:rPr>
          <w:fldChar w:fldCharType="begin"/>
        </w:r>
        <w:r w:rsidR="00F20535">
          <w:rPr>
            <w:noProof/>
            <w:webHidden/>
          </w:rPr>
          <w:instrText xml:space="preserve"> PAGEREF _Toc505587036 \h </w:instrText>
        </w:r>
        <w:r w:rsidR="00F20535">
          <w:rPr>
            <w:noProof/>
            <w:webHidden/>
          </w:rPr>
        </w:r>
        <w:r w:rsidR="00F20535">
          <w:rPr>
            <w:noProof/>
            <w:webHidden/>
          </w:rPr>
          <w:fldChar w:fldCharType="separate"/>
        </w:r>
        <w:r w:rsidR="00FF6398">
          <w:rPr>
            <w:noProof/>
            <w:webHidden/>
          </w:rPr>
          <w:t>50</w:t>
        </w:r>
        <w:r w:rsidR="00F20535">
          <w:rPr>
            <w:noProof/>
            <w:webHidden/>
          </w:rPr>
          <w:fldChar w:fldCharType="end"/>
        </w:r>
      </w:hyperlink>
    </w:p>
    <w:p w:rsidR="00F20535" w:rsidRDefault="00F20535" w:rsidP="000C30FB">
      <w:pPr>
        <w:pStyle w:val="TOC9"/>
      </w:pPr>
      <w:r>
        <w:fldChar w:fldCharType="end"/>
      </w:r>
    </w:p>
    <w:p w:rsidR="00F20535" w:rsidRDefault="00F20535" w:rsidP="000C30FB">
      <w:pPr>
        <w:sectPr w:rsidR="00F20535" w:rsidSect="000C30FB">
          <w:type w:val="continuous"/>
          <w:pgSz w:w="11907" w:h="16839" w:code="9"/>
          <w:pgMar w:top="1134" w:right="1134" w:bottom="1134" w:left="1134" w:header="624" w:footer="567" w:gutter="0"/>
          <w:cols w:num="2" w:space="567"/>
          <w:docGrid w:linePitch="360"/>
        </w:sectPr>
      </w:pPr>
    </w:p>
    <w:p w:rsidR="00F20535" w:rsidRDefault="00F20535">
      <w:pPr>
        <w:rPr>
          <w:rFonts w:asciiTheme="majorHAnsi" w:eastAsiaTheme="majorEastAsia" w:hAnsiTheme="majorHAnsi" w:cstheme="majorBidi"/>
          <w:b/>
          <w:spacing w:val="-2"/>
          <w:sz w:val="26"/>
          <w:szCs w:val="26"/>
        </w:rPr>
      </w:pPr>
      <w:bookmarkStart w:id="112" w:name="_Toc473541500"/>
      <w:r>
        <w:br w:type="page"/>
      </w:r>
    </w:p>
    <w:p w:rsidR="00F20535" w:rsidRDefault="00F20535" w:rsidP="007A2EDF">
      <w:pPr>
        <w:pStyle w:val="Heading2"/>
        <w:numPr>
          <w:ilvl w:val="1"/>
          <w:numId w:val="22"/>
        </w:numPr>
      </w:pPr>
      <w:bookmarkStart w:id="113" w:name="_Toc505587033"/>
      <w:r>
        <w:t>Disaggregated information</w:t>
      </w:r>
      <w:bookmarkEnd w:id="112"/>
      <w:bookmarkEnd w:id="113"/>
    </w:p>
    <w:p w:rsidR="00F20535" w:rsidRPr="0051349C" w:rsidRDefault="00F20535" w:rsidP="007A2EDF">
      <w:pPr>
        <w:pStyle w:val="TableHeading"/>
        <w:rPr>
          <w:rFonts w:eastAsia="Times New Roman" w:cs="Times New Roman"/>
          <w:bCs/>
          <w:lang w:val="en-US"/>
        </w:rPr>
      </w:pPr>
      <w:r>
        <w:t>Disaggregated operating statement for the six months ended 31 December</w:t>
      </w:r>
      <w:r>
        <w:tab/>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General </w:t>
            </w:r>
            <w:r>
              <w:rPr>
                <w:rFonts w:eastAsiaTheme="minorEastAsia" w:cs="Calibri"/>
                <w:iCs/>
                <w:color w:val="FFFFFF"/>
                <w:szCs w:val="18"/>
                <w:lang w:eastAsia="en-AU"/>
              </w:rPr>
              <w:br/>
            </w:r>
            <w:r w:rsidRPr="0051349C">
              <w:rPr>
                <w:rFonts w:eastAsiaTheme="minorEastAsia" w:cs="Calibri"/>
                <w:iCs/>
                <w:color w:val="FFFFFF"/>
                <w:szCs w:val="18"/>
                <w:lang w:eastAsia="en-AU"/>
              </w:rPr>
              <w:t>government sector</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Public non-financial corporations</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Revenue from transactions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Taxation revenue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10 708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10 662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Interest revenue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Dividends, income tax equivalent and rate equivalent revenue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Sales of goods and services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3 637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3 416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3 007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2 948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Grant revenue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14 227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13 318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1 766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1 600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Other revenue</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1 170</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1 288</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417</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Total revenue from transactions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30 591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29 498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5 273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4 938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Expenses from transactions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Employee expenses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11 296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10 436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590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Net superannuation interest expense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Other superannuation</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1 255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1 148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Depreciation</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1 312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1 256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1 144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1 129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Interest expense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1 009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1 012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vertAlign w:val="superscript"/>
                <w:lang w:eastAsia="en-AU"/>
              </w:rPr>
            </w:pPr>
            <w:r w:rsidRPr="0051349C">
              <w:rPr>
                <w:rFonts w:eastAsiaTheme="minorEastAsia" w:cs="Calibri"/>
                <w:color w:val="000000"/>
                <w:szCs w:val="16"/>
                <w:lang w:eastAsia="en-AU"/>
              </w:rPr>
              <w:t xml:space="preserve">Grant expense </w:t>
            </w:r>
            <w:r w:rsidRPr="0051349C">
              <w:rPr>
                <w:rFonts w:eastAsiaTheme="minorEastAsia" w:cs="Calibri"/>
                <w:color w:val="000000"/>
                <w:szCs w:val="16"/>
                <w:vertAlign w:val="superscript"/>
                <w:lang w:eastAsia="en-AU"/>
              </w:rPr>
              <w:t>(a)</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5 064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4 924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vertAlign w:val="superscript"/>
                <w:lang w:eastAsia="en-AU"/>
              </w:rPr>
            </w:pPr>
            <w:r w:rsidRPr="0051349C">
              <w:rPr>
                <w:rFonts w:eastAsiaTheme="minorEastAsia" w:cs="Calibri"/>
                <w:color w:val="000000"/>
                <w:szCs w:val="16"/>
                <w:lang w:eastAsia="en-AU"/>
              </w:rPr>
              <w:t xml:space="preserve">Other operating expenses </w:t>
            </w:r>
            <w:r w:rsidRPr="0051349C">
              <w:rPr>
                <w:rFonts w:eastAsiaTheme="minorEastAsia" w:cs="Calibri"/>
                <w:color w:val="000000"/>
                <w:szCs w:val="16"/>
                <w:vertAlign w:val="superscript"/>
                <w:lang w:eastAsia="en-AU"/>
              </w:rPr>
              <w:t>(a)</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9 344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8 987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2 780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2 498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Other property expenses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Total expenses from transactions</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29 642</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28 111</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5 477</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5 265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Net result from transactions – net operating balance</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950</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1 387</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(204)</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Other economic flows included in net result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Net gain/(loss) on disposal of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Net gain/(loss) on financial assets or liabilities at fair value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Share of net profit/(loss) from associates/joint venture entities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Other gains/(losses) from other economic flows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Total other economic flows included in net result</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(81)</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(161)</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170</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122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Net result</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868</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1 226</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(34)</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(205)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Other economic flows – other comprehensive income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Items that will not be reclassified to net result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Changes in non-financial assets revaluation surplus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Remeasurement of superannuation defined benefits plans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759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2 984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Other movements in equity</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83</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Items that may be reclassified subsequently to net result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Net gain/(loss) on financial assets at fair value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Net gain/(loss) on equity investments in other sector entities at proportional share of the carrying amount of net assets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686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644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Total other economic flows – other comprehensive income</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1 360</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3 640</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w:t>
            </w:r>
          </w:p>
        </w:tc>
        <w:tc>
          <w:tcPr>
            <w:tcW w:w="907"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Comprehensive result – total change in net worth</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2 229</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4 866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(167)</w:t>
            </w:r>
          </w:p>
        </w:tc>
      </w:tr>
      <w:tr w:rsidR="00F20535" w:rsidRPr="0051349C"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FISCAL AGGREGRATES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Net operating balance</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950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1 387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(204)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(327)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Net acquisition of non-financial assets from transactions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Purchases of non-financial assets (including change in inventories)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4 571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3 118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1 020</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807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Less: Sales of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(65)</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(68)</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Less: Depreciation and amortisation</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(1 312)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(1 256)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(1 144)</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(1 129)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color w:val="000000"/>
                <w:szCs w:val="16"/>
                <w:lang w:eastAsia="en-AU"/>
              </w:rPr>
            </w:pPr>
            <w:r w:rsidRPr="0051349C">
              <w:rPr>
                <w:rFonts w:eastAsiaTheme="minorEastAsia" w:cs="Calibri"/>
                <w:color w:val="000000"/>
                <w:szCs w:val="16"/>
                <w:lang w:eastAsia="en-AU"/>
              </w:rPr>
              <w:t>Plus: Other movements in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(1 412)</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(1 626)</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1 909</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1 463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Less: Net acquisition of non-financial assets from transactions</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1 751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171</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1 717</w:t>
            </w:r>
          </w:p>
        </w:tc>
        <w:tc>
          <w:tcPr>
            <w:tcW w:w="907"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1 090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rPr>
                <w:rFonts w:eastAsiaTheme="minorEastAsia" w:cs="Calibri"/>
                <w:b/>
                <w:bCs/>
                <w:color w:val="000000"/>
                <w:szCs w:val="16"/>
                <w:lang w:eastAsia="en-AU"/>
              </w:rPr>
            </w:pPr>
            <w:r w:rsidRPr="0051349C">
              <w:rPr>
                <w:rFonts w:eastAsiaTheme="minorEastAsia" w:cs="Calibri"/>
                <w:b/>
                <w:bCs/>
                <w:color w:val="000000"/>
                <w:szCs w:val="16"/>
                <w:lang w:eastAsia="en-AU"/>
              </w:rPr>
              <w:t>Net lending/(borrowing)</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(801)</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1 216</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(1 921)</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(1 416)</w:t>
            </w:r>
          </w:p>
        </w:tc>
      </w:tr>
    </w:tbl>
    <w:p w:rsidR="00F20535" w:rsidRDefault="00F20535" w:rsidP="007A2EDF">
      <w:pPr>
        <w:pStyle w:val="Note"/>
      </w:pPr>
      <w:r>
        <w:t>Note:</w:t>
      </w:r>
    </w:p>
    <w:p w:rsidR="00F20535" w:rsidRDefault="00F20535" w:rsidP="007A2EDF">
      <w:pPr>
        <w:pStyle w:val="Note"/>
      </w:pPr>
      <w:r>
        <w:t>(a)</w:t>
      </w:r>
      <w:r>
        <w:tab/>
        <w:t>December</w:t>
      </w:r>
      <w:r w:rsidRPr="00A0521C">
        <w:t xml:space="preserve"> 2016 comparative figures have been restated to reclassify the Transport Accident Commission Safer Roads Infrastructure Program expenditure from other operating expenses to grant expense to more correctly reflect the nature of the expenditure.</w:t>
      </w:r>
    </w:p>
    <w:p w:rsidR="00F20535" w:rsidRPr="008C1FFD" w:rsidRDefault="00F20535" w:rsidP="007A2EDF">
      <w:pPr>
        <w:pStyle w:val="Note"/>
      </w:pPr>
    </w:p>
    <w:p w:rsidR="00F20535" w:rsidRDefault="00F20535" w:rsidP="007A2EDF">
      <w:pPr>
        <w:pStyle w:val="Heading10"/>
        <w:rPr>
          <w:rFonts w:eastAsiaTheme="minorHAnsi" w:cstheme="minorBidi"/>
          <w:sz w:val="20"/>
        </w:rPr>
      </w:pPr>
      <w:r>
        <w:br w:type="page"/>
      </w:r>
    </w:p>
    <w:p w:rsidR="00F20535" w:rsidRDefault="00F20535" w:rsidP="007A2EDF">
      <w:pPr>
        <w:pStyle w:val="Heading20"/>
        <w:rPr>
          <w:lang w:val="en-US"/>
        </w:rPr>
      </w:pPr>
    </w:p>
    <w:p w:rsidR="00F20535" w:rsidRPr="0051349C" w:rsidRDefault="00F20535" w:rsidP="007A2EDF">
      <w:pPr>
        <w:pStyle w:val="TableHeading"/>
        <w:rPr>
          <w:rFonts w:eastAsia="Times New Roman" w:cs="Times New Roman"/>
          <w:bCs/>
          <w:lang w:val="en-US"/>
        </w:rPr>
      </w:pPr>
    </w:p>
    <w:tbl>
      <w:tblPr>
        <w:tblStyle w:val="DTFTable"/>
        <w:tblW w:w="9624" w:type="dxa"/>
        <w:tblInd w:w="45" w:type="dxa"/>
        <w:tblLayout w:type="fixed"/>
        <w:tblCellMar>
          <w:left w:w="45" w:type="dxa"/>
          <w:right w:w="45" w:type="dxa"/>
        </w:tblCellMar>
        <w:tblLook w:val="06A0" w:firstRow="1" w:lastRow="0" w:firstColumn="1" w:lastColumn="0" w:noHBand="1" w:noVBand="1"/>
      </w:tblPr>
      <w:tblGrid>
        <w:gridCol w:w="1604"/>
        <w:gridCol w:w="1604"/>
        <w:gridCol w:w="1604"/>
        <w:gridCol w:w="1604"/>
        <w:gridCol w:w="1604"/>
        <w:gridCol w:w="1604"/>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08"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rPr>
                <w:rFonts w:eastAsiaTheme="minorEastAsia" w:cs="Calibri"/>
                <w:iCs/>
                <w:color w:val="FFFFFF"/>
                <w:szCs w:val="18"/>
                <w:lang w:eastAsia="en-AU"/>
              </w:rPr>
            </w:pPr>
            <w:r w:rsidRPr="0051349C">
              <w:rPr>
                <w:rFonts w:eastAsiaTheme="minorEastAsia" w:cs="Calibri"/>
                <w:iCs/>
                <w:color w:val="FFFFFF"/>
                <w:szCs w:val="18"/>
                <w:lang w:eastAsia="en-AU"/>
              </w:rPr>
              <w:t xml:space="preserve">Public </w:t>
            </w:r>
            <w:r>
              <w:rPr>
                <w:rFonts w:eastAsiaTheme="minorEastAsia" w:cs="Calibri"/>
                <w:iCs/>
                <w:color w:val="FFFFFF"/>
                <w:szCs w:val="18"/>
                <w:lang w:eastAsia="en-AU"/>
              </w:rPr>
              <w:br/>
            </w:r>
            <w:r w:rsidRPr="0051349C">
              <w:rPr>
                <w:rFonts w:eastAsiaTheme="minorEastAsia" w:cs="Calibri"/>
                <w:iCs/>
                <w:color w:val="FFFFFF"/>
                <w:szCs w:val="18"/>
                <w:lang w:eastAsia="en-AU"/>
              </w:rPr>
              <w:t>financial corporations</w:t>
            </w:r>
          </w:p>
        </w:tc>
        <w:tc>
          <w:tcPr>
            <w:tcW w:w="3208"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 xml:space="preserve">Inter-sector </w:t>
            </w:r>
            <w:r>
              <w:rPr>
                <w:rFonts w:eastAsiaTheme="minorEastAsia" w:cs="Calibri"/>
                <w:iCs/>
                <w:color w:val="FFFFFF"/>
                <w:szCs w:val="18"/>
                <w:lang w:eastAsia="en-AU"/>
              </w:rPr>
              <w:br/>
            </w:r>
            <w:r w:rsidRPr="0051349C">
              <w:rPr>
                <w:rFonts w:eastAsiaTheme="minorEastAsia" w:cs="Calibri"/>
                <w:iCs/>
                <w:color w:val="FFFFFF"/>
                <w:szCs w:val="18"/>
                <w:lang w:eastAsia="en-AU"/>
              </w:rPr>
              <w:t>eliminations</w:t>
            </w:r>
          </w:p>
        </w:tc>
        <w:tc>
          <w:tcPr>
            <w:tcW w:w="3208"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State of Victoria</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jc w:val="right"/>
              <w:rPr>
                <w:rFonts w:eastAsiaTheme="minorEastAsia" w:cs="Calibri"/>
                <w:iCs/>
                <w:color w:val="FFFFFF"/>
                <w:szCs w:val="18"/>
                <w:lang w:eastAsia="en-AU"/>
              </w:rPr>
            </w:pPr>
            <w:r w:rsidRPr="0051349C">
              <w:rPr>
                <w:rFonts w:eastAsiaTheme="minorEastAsia" w:cs="Calibri"/>
                <w:iCs/>
                <w:color w:val="FFFFFF"/>
                <w:szCs w:val="18"/>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2016</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2016</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51349C">
              <w:rPr>
                <w:rFonts w:eastAsiaTheme="minorEastAsia" w:cs="Calibri"/>
                <w:iCs/>
                <w:color w:val="FFFFFF"/>
                <w:szCs w:val="18"/>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10 524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10 467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961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1 041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(1 118)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(1 127)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337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843</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867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2 291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2 184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(1 597)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(1 485)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7 338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7 063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(1 875)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(1 633)</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14 119</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13 285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12</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142</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(132)</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1 599</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1 646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4 107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3 875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(5 189)</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(4 986)</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34 783</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33 325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172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(226)</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11 875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10 977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14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1 328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21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2 478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2 406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919</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964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(1 118)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(1 127)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1 346</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1 373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115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(1 929)</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(1 714)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3 446</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3 608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3 282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3 032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(1 501)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(1 526)</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13 905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12 991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362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932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(490)</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(1 042)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4 884</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5 157</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(5 264)</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(5 614)</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34 739</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32 919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Pr>
                <w:rFonts w:eastAsiaTheme="minorEastAsia" w:cs="Calibri"/>
                <w:b/>
                <w:bCs/>
                <w:color w:val="000000"/>
                <w:szCs w:val="18"/>
                <w:lang w:eastAsia="en-AU"/>
              </w:rPr>
              <w:t>(777)</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(1 283)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76</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628</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44</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1 544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2 783</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1 583</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2 782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514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2 574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(120)</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2 380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2 058</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5 358</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(120)</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(128)</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2 026</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5 190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1 280</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4 075</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(44)</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500</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2 070</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5 596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763</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2 979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Pr>
                <w:rFonts w:eastAsiaTheme="minorEastAsia" w:cs="Calibri"/>
                <w:color w:val="000000"/>
                <w:szCs w:val="18"/>
                <w:lang w:eastAsia="en-AU"/>
              </w:rPr>
              <w:t>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8"/>
                <w:lang w:eastAsia="en-AU"/>
              </w:rPr>
            </w:pPr>
            <w:r w:rsidRPr="0051349C">
              <w:rPr>
                <w:rFonts w:eastAsiaTheme="minorEastAsia" w:cs="Calibri"/>
                <w:color w:val="000000"/>
                <w:szCs w:val="18"/>
                <w:lang w:eastAsia="en-AU"/>
              </w:rPr>
              <w:t>..</w:t>
            </w:r>
            <w:r>
              <w:rPr>
                <w:rFonts w:eastAsiaTheme="minorEastAsia" w:cs="Calibri"/>
                <w:color w:val="000000"/>
                <w:szCs w:val="18"/>
                <w:lang w:eastAsia="en-AU"/>
              </w:rPr>
              <w:br/>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(686)</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(644)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Pr>
                <w:rFonts w:eastAsiaTheme="minorEastAsia" w:cs="Calibri"/>
                <w:b/>
                <w:bCs/>
                <w:color w:val="000000"/>
                <w:szCs w:val="18"/>
                <w:lang w:eastAsia="en-AU"/>
              </w:rPr>
              <w:t>2</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(691)</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(656)</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679</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3 023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8"/>
                <w:lang w:eastAsia="en-AU"/>
              </w:rPr>
            </w:pPr>
            <w:r w:rsidRPr="0051349C">
              <w:rPr>
                <w:rFonts w:eastAsiaTheme="minorEastAsia" w:cs="Calibri"/>
                <w:b/>
                <w:bCs/>
                <w:color w:val="000000"/>
                <w:szCs w:val="18"/>
                <w:lang w:eastAsia="en-AU"/>
              </w:rPr>
              <w:t>1 282</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4 076</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(736)</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(156)</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2 749</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8 619</w:t>
            </w:r>
          </w:p>
        </w:tc>
      </w:tr>
      <w:tr w:rsidR="00F20535" w:rsidRPr="0051349C"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6"/>
                <w:lang w:eastAsia="en-AU"/>
              </w:rPr>
            </w:pPr>
            <w:r>
              <w:rPr>
                <w:rFonts w:eastAsiaTheme="minorEastAsia" w:cs="Calibri"/>
                <w:b/>
                <w:bCs/>
                <w:color w:val="000000"/>
                <w:szCs w:val="16"/>
                <w:lang w:eastAsia="en-AU"/>
              </w:rPr>
              <w:t>(777)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(1 283)</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76</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628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44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406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6"/>
                <w:lang w:eastAsia="en-AU"/>
              </w:rPr>
            </w:pPr>
            <w:r>
              <w:rPr>
                <w:rFonts w:eastAsiaTheme="minorEastAsia" w:cs="Calibri"/>
                <w:color w:val="000000"/>
                <w:szCs w:val="16"/>
                <w:lang w:eastAsia="en-AU"/>
              </w:rPr>
              <w:t>37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16</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5 629</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3 940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6"/>
                <w:lang w:eastAsia="en-AU"/>
              </w:rPr>
            </w:pPr>
            <w:r>
              <w:rPr>
                <w:rFonts w:eastAsiaTheme="minorEastAsia" w:cs="Calibri"/>
                <w:color w:val="000000"/>
                <w:szCs w:val="16"/>
                <w:lang w:eastAsia="en-AU"/>
              </w:rPr>
              <w:t>(1)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(164)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6"/>
                <w:lang w:eastAsia="en-AU"/>
              </w:rPr>
            </w:pPr>
            <w:r>
              <w:rPr>
                <w:rFonts w:eastAsiaTheme="minorEastAsia" w:cs="Calibri"/>
                <w:color w:val="000000"/>
                <w:szCs w:val="16"/>
                <w:lang w:eastAsia="en-AU"/>
              </w:rPr>
              <w:t>(21)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(22)</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(2 478)</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(2 406)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497</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(163)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6"/>
                <w:lang w:eastAsia="en-AU"/>
              </w:rPr>
            </w:pPr>
            <w:r>
              <w:rPr>
                <w:rFonts w:eastAsiaTheme="minorEastAsia" w:cs="Calibri"/>
                <w:b/>
                <w:bCs/>
                <w:color w:val="000000"/>
                <w:szCs w:val="16"/>
                <w:lang w:eastAsia="en-AU"/>
              </w:rPr>
              <w:t>15</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(6)</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3 484</w:t>
            </w:r>
          </w:p>
        </w:tc>
        <w:tc>
          <w:tcPr>
            <w:tcW w:w="1604" w:type="dxa"/>
            <w:tcBorders>
              <w:top w:val="nil"/>
              <w:left w:val="nil"/>
              <w:bottom w:val="nil"/>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1 254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jc w:val="right"/>
              <w:rPr>
                <w:rFonts w:eastAsiaTheme="minorEastAsia" w:cs="Calibri"/>
                <w:b/>
                <w:bCs/>
                <w:color w:val="000000"/>
                <w:szCs w:val="16"/>
                <w:lang w:eastAsia="en-AU"/>
              </w:rPr>
            </w:pPr>
            <w:r>
              <w:rPr>
                <w:rFonts w:eastAsiaTheme="minorEastAsia" w:cs="Calibri"/>
                <w:b/>
                <w:bCs/>
                <w:color w:val="000000"/>
                <w:szCs w:val="16"/>
                <w:lang w:eastAsia="en-AU"/>
              </w:rPr>
              <w:t>(792)</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(1 276)</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75</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628</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(3 439)</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(848)</w:t>
            </w:r>
          </w:p>
        </w:tc>
      </w:tr>
    </w:tbl>
    <w:p w:rsidR="00F20535" w:rsidRPr="00641391" w:rsidRDefault="00F20535" w:rsidP="007A2EDF">
      <w:pPr>
        <w:pStyle w:val="Source"/>
        <w:rPr>
          <w:rFonts w:eastAsia="Times New Roman" w:cs="Times New Roman"/>
          <w:lang w:val="en-US"/>
        </w:rPr>
      </w:pPr>
    </w:p>
    <w:p w:rsidR="00F20535" w:rsidRDefault="00F20535" w:rsidP="007A2EDF">
      <w:pPr>
        <w:pStyle w:val="Note"/>
      </w:pPr>
    </w:p>
    <w:p w:rsidR="00F20535" w:rsidRDefault="00F20535">
      <w:pPr>
        <w:rPr>
          <w:rFonts w:asciiTheme="majorHAnsi" w:hAnsiTheme="majorHAnsi"/>
          <w:b/>
          <w:sz w:val="20"/>
        </w:rPr>
      </w:pPr>
      <w:r>
        <w:br w:type="page"/>
      </w:r>
    </w:p>
    <w:p w:rsidR="00F20535" w:rsidRPr="0051349C" w:rsidRDefault="00F20535" w:rsidP="007A2EDF">
      <w:pPr>
        <w:pStyle w:val="TableHeading"/>
        <w:rPr>
          <w:rFonts w:eastAsia="Times New Roman" w:cs="Times New Roman"/>
          <w:bCs/>
          <w:lang w:val="en-US"/>
        </w:rPr>
      </w:pPr>
      <w:r w:rsidRPr="000467E0">
        <w:t>Disaggregated balance sheet</w:t>
      </w:r>
      <w:r>
        <w:t xml:space="preserve"> as at 31 December</w:t>
      </w:r>
      <w:r w:rsidRPr="000467E0">
        <w:tab/>
        <w:t>($</w:t>
      </w:r>
      <w:r>
        <w:t> million</w:t>
      </w:r>
      <w:r w:rsidRPr="000467E0">
        <w:t>)</w:t>
      </w:r>
    </w:p>
    <w:tbl>
      <w:tblPr>
        <w:tblStyle w:val="DTFTable"/>
        <w:tblW w:w="9639" w:type="dxa"/>
        <w:tblInd w:w="45" w:type="dxa"/>
        <w:tblLayout w:type="fixed"/>
        <w:tblCellMar>
          <w:left w:w="45" w:type="dxa"/>
          <w:right w:w="45" w:type="dxa"/>
        </w:tblCellMar>
        <w:tblLook w:val="06A0" w:firstRow="1" w:lastRow="0" w:firstColumn="1" w:lastColumn="0" w:noHBand="1" w:noVBand="1"/>
      </w:tblPr>
      <w:tblGrid>
        <w:gridCol w:w="4813"/>
        <w:gridCol w:w="1202"/>
        <w:gridCol w:w="1208"/>
        <w:gridCol w:w="1208"/>
        <w:gridCol w:w="1208"/>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2409"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General </w:t>
            </w:r>
            <w:r>
              <w:rPr>
                <w:rFonts w:eastAsiaTheme="minorEastAsia" w:cs="Calibri"/>
                <w:iCs/>
                <w:color w:val="FFFFFF"/>
                <w:szCs w:val="16"/>
                <w:lang w:eastAsia="en-AU"/>
              </w:rPr>
              <w:br/>
            </w:r>
            <w:r w:rsidRPr="0051349C">
              <w:rPr>
                <w:rFonts w:eastAsiaTheme="minorEastAsia" w:cs="Calibri"/>
                <w:iCs/>
                <w:color w:val="FFFFFF"/>
                <w:szCs w:val="16"/>
                <w:lang w:eastAsia="en-AU"/>
              </w:rPr>
              <w:t>government sector</w:t>
            </w:r>
          </w:p>
        </w:tc>
        <w:tc>
          <w:tcPr>
            <w:tcW w:w="2416"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Public non-financial </w:t>
            </w:r>
            <w:r>
              <w:rPr>
                <w:rFonts w:eastAsiaTheme="minorEastAsia" w:cs="Calibri"/>
                <w:iCs/>
                <w:color w:val="FFFFFF"/>
                <w:szCs w:val="16"/>
                <w:lang w:eastAsia="en-AU"/>
              </w:rPr>
              <w:br/>
            </w:r>
            <w:r w:rsidRPr="0051349C">
              <w:rPr>
                <w:rFonts w:eastAsiaTheme="minorEastAsia" w:cs="Calibri"/>
                <w:iCs/>
                <w:color w:val="FFFFFF"/>
                <w:szCs w:val="16"/>
                <w:lang w:eastAsia="en-AU"/>
              </w:rPr>
              <w:t>corporations</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202"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1208"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1208"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1208"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202"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208"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208"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208"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Assets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Financial assets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Cash and deposits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3 992</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5 530</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1 261</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1 154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Advances paid</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11 986</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12 939</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7 334</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8 323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Receivables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5 807</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5 931</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1 815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1 688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Investments, loans and placements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4 159</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3 673</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1 258</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1 119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vertAlign w:val="superscript"/>
                <w:lang w:eastAsia="en-AU"/>
              </w:rPr>
            </w:pPr>
            <w:r w:rsidRPr="0051349C">
              <w:rPr>
                <w:rFonts w:eastAsiaTheme="minorEastAsia" w:cs="Calibri"/>
                <w:color w:val="000000"/>
                <w:szCs w:val="16"/>
                <w:lang w:eastAsia="en-AU"/>
              </w:rPr>
              <w:t xml:space="preserve">Loans receivable from non-financial public sector </w:t>
            </w:r>
            <w:r w:rsidRPr="0051349C">
              <w:rPr>
                <w:rFonts w:eastAsiaTheme="minorEastAsia" w:cs="Calibri"/>
                <w:color w:val="000000"/>
                <w:szCs w:val="16"/>
                <w:vertAlign w:val="superscript"/>
                <w:lang w:eastAsia="en-AU"/>
              </w:rPr>
              <w:t>(a)</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Investments accounted for using the equity method</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47</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47</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1 651</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1 651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Investments in other sector entities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95 297</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92 509</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financial assets</w:t>
            </w:r>
          </w:p>
        </w:tc>
        <w:tc>
          <w:tcPr>
            <w:tcW w:w="120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121 290</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120 630</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13 319</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13 934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Non-financial assets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Inventories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176</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173</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641</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Non-financial assets held for sale</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438</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405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17</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Land, buildings, infrastructure, plant and equipment</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123 323</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121 776</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118 573</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117 030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non-financial assets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1 763</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1 494</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1 322</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1 354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non-financial assets</w:t>
            </w:r>
          </w:p>
        </w:tc>
        <w:tc>
          <w:tcPr>
            <w:tcW w:w="120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125 700</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123 849</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120 554</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118 909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assets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246 990</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244 478</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133 873</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132 843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Liabilities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 xml:space="preserve">Deposits held and advances received </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8 252</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9 088</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7 803</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8 760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Payables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5 542</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5 815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10 015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10 158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Borrowings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30 995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28 816</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16 345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15 925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Employee benefits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6 555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6 506</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416</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421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Superannuation</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24 438</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24 900</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34</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provisions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953</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1 326</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8 285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8 415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single" w:sz="6" w:space="0" w:color="000000"/>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liabilities</w:t>
            </w:r>
          </w:p>
        </w:tc>
        <w:tc>
          <w:tcPr>
            <w:tcW w:w="1202"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76 734</w:t>
            </w:r>
          </w:p>
        </w:tc>
        <w:tc>
          <w:tcPr>
            <w:tcW w:w="1208"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76 451</w:t>
            </w:r>
          </w:p>
        </w:tc>
        <w:tc>
          <w:tcPr>
            <w:tcW w:w="1208"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42 898</w:t>
            </w:r>
          </w:p>
        </w:tc>
        <w:tc>
          <w:tcPr>
            <w:tcW w:w="1208"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43 717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vertAlign w:val="superscript"/>
                <w:lang w:eastAsia="en-AU"/>
              </w:rPr>
            </w:pPr>
            <w:r w:rsidRPr="0051349C">
              <w:rPr>
                <w:rFonts w:eastAsiaTheme="minorEastAsia" w:cs="Calibri"/>
                <w:b/>
                <w:bCs/>
                <w:color w:val="000000"/>
                <w:szCs w:val="16"/>
                <w:lang w:eastAsia="en-AU"/>
              </w:rPr>
              <w:t xml:space="preserve">Net assets </w:t>
            </w:r>
            <w:r w:rsidRPr="0051349C">
              <w:rPr>
                <w:rFonts w:eastAsiaTheme="minorEastAsia" w:cs="Calibri"/>
                <w:b/>
                <w:bCs/>
                <w:color w:val="000000"/>
                <w:szCs w:val="16"/>
                <w:vertAlign w:val="superscript"/>
                <w:lang w:eastAsia="en-AU"/>
              </w:rPr>
              <w:t>(b)</w:t>
            </w:r>
          </w:p>
        </w:tc>
        <w:tc>
          <w:tcPr>
            <w:tcW w:w="120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170 256</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168 027</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90 974</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89 126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Accumulated surplus/(deficit)</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52 965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51 464</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3 427</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3 747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Reserves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117 290</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116 563</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87 547</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85 379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vertAlign w:val="superscript"/>
                <w:lang w:eastAsia="en-AU"/>
              </w:rPr>
            </w:pPr>
            <w:r w:rsidRPr="0051349C">
              <w:rPr>
                <w:rFonts w:eastAsiaTheme="minorEastAsia" w:cs="Calibri"/>
                <w:b/>
                <w:bCs/>
                <w:color w:val="000000"/>
                <w:szCs w:val="16"/>
                <w:lang w:eastAsia="en-AU"/>
              </w:rPr>
              <w:t xml:space="preserve">Net worth </w:t>
            </w:r>
            <w:r w:rsidRPr="0051349C">
              <w:rPr>
                <w:rFonts w:eastAsiaTheme="minorEastAsia" w:cs="Calibri"/>
                <w:b/>
                <w:bCs/>
                <w:color w:val="000000"/>
                <w:szCs w:val="16"/>
                <w:vertAlign w:val="superscript"/>
                <w:lang w:eastAsia="en-AU"/>
              </w:rPr>
              <w:t>(b)</w:t>
            </w:r>
          </w:p>
        </w:tc>
        <w:tc>
          <w:tcPr>
            <w:tcW w:w="1202"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170 256</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168 027</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90 974</w:t>
            </w:r>
          </w:p>
        </w:tc>
        <w:tc>
          <w:tcPr>
            <w:tcW w:w="1208"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89 126</w:t>
            </w:r>
          </w:p>
        </w:tc>
      </w:tr>
      <w:tr w:rsidR="00F20535" w:rsidRPr="0051349C"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FISCAL AGGREGATES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financial worth</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44 555</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44 178</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(29 579)</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(29 783)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financial liabilities</w:t>
            </w:r>
          </w:p>
        </w:tc>
        <w:tc>
          <w:tcPr>
            <w:tcW w:w="1202"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50 742</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48 331</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29 579</w:t>
            </w:r>
          </w:p>
        </w:tc>
        <w:tc>
          <w:tcPr>
            <w:tcW w:w="1208"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29 783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3" w:type="dxa"/>
            <w:tcBorders>
              <w:top w:val="nil"/>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debt</w:t>
            </w:r>
          </w:p>
        </w:tc>
        <w:tc>
          <w:tcPr>
            <w:tcW w:w="1202"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19 109</w:t>
            </w:r>
          </w:p>
        </w:tc>
        <w:tc>
          <w:tcPr>
            <w:tcW w:w="1208"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15 762</w:t>
            </w:r>
          </w:p>
        </w:tc>
        <w:tc>
          <w:tcPr>
            <w:tcW w:w="1208"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14 295</w:t>
            </w:r>
          </w:p>
        </w:tc>
        <w:tc>
          <w:tcPr>
            <w:tcW w:w="1208"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14 090</w:t>
            </w:r>
          </w:p>
        </w:tc>
      </w:tr>
    </w:tbl>
    <w:p w:rsidR="00F20535" w:rsidRPr="001E269F" w:rsidRDefault="00F20535" w:rsidP="007A2EDF">
      <w:pPr>
        <w:pStyle w:val="Note"/>
        <w:rPr>
          <w:bCs/>
          <w:lang w:val="en-US"/>
        </w:rPr>
      </w:pPr>
      <w:r>
        <w:t>Notes:</w:t>
      </w:r>
    </w:p>
    <w:p w:rsidR="00F20535" w:rsidRDefault="00F20535" w:rsidP="000C30FB">
      <w:pPr>
        <w:pStyle w:val="Note"/>
      </w:pPr>
      <w:r>
        <w:t>(a)</w:t>
      </w:r>
      <w:r>
        <w:tab/>
        <w:t>Loans receivable from the non-public sector are reported at amortised cost.</w:t>
      </w:r>
    </w:p>
    <w:p w:rsidR="00F20535" w:rsidRDefault="00F20535" w:rsidP="000C30FB">
      <w:pPr>
        <w:pStyle w:val="Note"/>
      </w:pPr>
      <w:r>
        <w:t>(b)</w:t>
      </w:r>
      <w:r>
        <w:tab/>
        <w:t>The net assets and net worth of the public financial corporations sector incorporates the impact of Treasury Corporation of Victoria</w:t>
      </w:r>
      <w:r w:rsidR="007F4ECD">
        <w:t>’</w:t>
      </w:r>
      <w:r>
        <w:t>s external loan liabilities being reported at market value while the corresponding assets, that is lending to the non-financial public sector, being reported at amortised cost. This mismatch has contributed to the negative net asset position of the sector.</w:t>
      </w:r>
    </w:p>
    <w:p w:rsidR="00F20535" w:rsidRDefault="00F20535">
      <w:r>
        <w:br w:type="page"/>
      </w:r>
    </w:p>
    <w:p w:rsidR="00F20535" w:rsidRPr="0051349C" w:rsidRDefault="00F20535" w:rsidP="007A2EDF">
      <w:pPr>
        <w:pStyle w:val="TableHeading"/>
        <w:rPr>
          <w:rFonts w:eastAsia="Times New Roman" w:cs="Times New Roman"/>
          <w:bCs/>
          <w:lang w:val="en-US"/>
        </w:rPr>
      </w:pPr>
    </w:p>
    <w:tbl>
      <w:tblPr>
        <w:tblStyle w:val="DTFTable"/>
        <w:tblW w:w="9624" w:type="dxa"/>
        <w:tblInd w:w="45" w:type="dxa"/>
        <w:tblLayout w:type="fixed"/>
        <w:tblCellMar>
          <w:left w:w="45" w:type="dxa"/>
          <w:right w:w="45" w:type="dxa"/>
        </w:tblCellMar>
        <w:tblLook w:val="06A0" w:firstRow="1" w:lastRow="0" w:firstColumn="1" w:lastColumn="0" w:noHBand="1" w:noVBand="1"/>
      </w:tblPr>
      <w:tblGrid>
        <w:gridCol w:w="1604"/>
        <w:gridCol w:w="1604"/>
        <w:gridCol w:w="1604"/>
        <w:gridCol w:w="1604"/>
        <w:gridCol w:w="1604"/>
        <w:gridCol w:w="1604"/>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08"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rPr>
                <w:rFonts w:eastAsiaTheme="minorEastAsia" w:cs="Calibri"/>
                <w:iCs/>
                <w:color w:val="FFFFFF"/>
                <w:szCs w:val="16"/>
                <w:lang w:eastAsia="en-AU"/>
              </w:rPr>
            </w:pPr>
            <w:r w:rsidRPr="0051349C">
              <w:rPr>
                <w:rFonts w:eastAsiaTheme="minorEastAsia" w:cs="Calibri"/>
                <w:iCs/>
                <w:color w:val="FFFFFF"/>
                <w:szCs w:val="16"/>
                <w:lang w:eastAsia="en-AU"/>
              </w:rPr>
              <w:t xml:space="preserve">Public </w:t>
            </w:r>
            <w:r>
              <w:rPr>
                <w:rFonts w:eastAsiaTheme="minorEastAsia" w:cs="Calibri"/>
                <w:iCs/>
                <w:color w:val="FFFFFF"/>
                <w:szCs w:val="16"/>
                <w:lang w:eastAsia="en-AU"/>
              </w:rPr>
              <w:br/>
            </w:r>
            <w:r w:rsidRPr="0051349C">
              <w:rPr>
                <w:rFonts w:eastAsiaTheme="minorEastAsia" w:cs="Calibri"/>
                <w:iCs/>
                <w:color w:val="FFFFFF"/>
                <w:szCs w:val="16"/>
                <w:lang w:eastAsia="en-AU"/>
              </w:rPr>
              <w:t>financial corporations</w:t>
            </w:r>
          </w:p>
        </w:tc>
        <w:tc>
          <w:tcPr>
            <w:tcW w:w="3208"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Inter-sector </w:t>
            </w:r>
            <w:r>
              <w:rPr>
                <w:rFonts w:eastAsiaTheme="minorEastAsia" w:cs="Calibri"/>
                <w:iCs/>
                <w:color w:val="FFFFFF"/>
                <w:szCs w:val="16"/>
                <w:lang w:eastAsia="en-AU"/>
              </w:rPr>
              <w:br/>
            </w:r>
            <w:r w:rsidRPr="0051349C">
              <w:rPr>
                <w:rFonts w:eastAsiaTheme="minorEastAsia" w:cs="Calibri"/>
                <w:iCs/>
                <w:color w:val="FFFFFF"/>
                <w:szCs w:val="16"/>
                <w:lang w:eastAsia="en-AU"/>
              </w:rPr>
              <w:t>eliminations</w:t>
            </w:r>
          </w:p>
        </w:tc>
        <w:tc>
          <w:tcPr>
            <w:tcW w:w="3208"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jc w:val="right"/>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Dec</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Jun</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jc w:val="right"/>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4 508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4 229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(3 926)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(5 043)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5 835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5 869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(19 012)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(20 999)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309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1 860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1 516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(1 050)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(1 097)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8 432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8 038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38 275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40 182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(2 316)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(2 168)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41 375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42 806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31 641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29 695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(31 641)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(29 695)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488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488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2 187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2 187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(95 297)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(92 509)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76 284</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75 640</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(152 754)</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(151 023)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58 139</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59 180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817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671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455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432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98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241 994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238 886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454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780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(622)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(980)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2 917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2 648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Pr>
                <w:rFonts w:eastAsiaTheme="minorEastAsia" w:cs="Calibri"/>
                <w:b/>
                <w:bCs/>
                <w:color w:val="000000"/>
                <w:szCs w:val="16"/>
                <w:lang w:eastAsia="en-AU"/>
              </w:rPr>
              <w:t>552</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860</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(622)</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(980)</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246 185</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242 637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76 837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76 499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(153 376)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(152 004)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304 323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301 818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5 327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7 363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(19 841)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(23 270)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1 542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1 940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3 091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1 920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(652)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(659)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17 996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17 233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38 203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38 776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(37 089)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(34 670)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48 453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48 847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105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106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7 076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7 034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24 472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24 938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28 711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28 122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(8 146)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(8 271)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29 802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29 592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75 437</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76 287</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(65 729)</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(66 871)</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129 341</w:t>
            </w:r>
          </w:p>
        </w:tc>
        <w:tc>
          <w:tcPr>
            <w:tcW w:w="1604" w:type="dxa"/>
            <w:tcBorders>
              <w:top w:val="single" w:sz="6" w:space="0" w:color="000000"/>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129 584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1 400</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213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(87 648)</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(85 133)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174 983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172 234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sidRPr="0051349C">
              <w:rPr>
                <w:rFonts w:eastAsiaTheme="minorEastAsia" w:cs="Calibri"/>
                <w:color w:val="000000"/>
                <w:szCs w:val="16"/>
                <w:lang w:eastAsia="en-AU"/>
              </w:rPr>
              <w:t>1 327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143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20 087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19 783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77 806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75 137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73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(107 735)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(104 915)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97 176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97 096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1 400</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213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(87 648)</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(85 133)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174 983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172 234</w:t>
            </w:r>
          </w:p>
        </w:tc>
      </w:tr>
      <w:tr w:rsidR="00F20535" w:rsidRPr="0051349C"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848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(647)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(87 026)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(84 152)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(71 202)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(70 404)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(848)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647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(8 272)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(8 357)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71 202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70 404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604" w:type="dxa"/>
            <w:tcBorders>
              <w:top w:val="nil"/>
              <w:left w:val="nil"/>
              <w:bottom w:val="single" w:sz="12" w:space="0" w:color="000000"/>
              <w:right w:val="nil"/>
            </w:tcBorders>
          </w:tcPr>
          <w:p w:rsidR="00F20535" w:rsidRPr="0051349C" w:rsidRDefault="00F20535" w:rsidP="007A2EDF">
            <w:pPr>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(30 894)</w:t>
            </w:r>
          </w:p>
        </w:tc>
        <w:tc>
          <w:tcPr>
            <w:tcW w:w="1604"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(27 985)</w:t>
            </w:r>
          </w:p>
        </w:tc>
        <w:tc>
          <w:tcPr>
            <w:tcW w:w="1604"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(35)</w:t>
            </w:r>
          </w:p>
        </w:tc>
        <w:tc>
          <w:tcPr>
            <w:tcW w:w="1604"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(35)</w:t>
            </w:r>
          </w:p>
        </w:tc>
        <w:tc>
          <w:tcPr>
            <w:tcW w:w="1604"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2 475</w:t>
            </w:r>
          </w:p>
        </w:tc>
        <w:tc>
          <w:tcPr>
            <w:tcW w:w="1604" w:type="dxa"/>
            <w:tcBorders>
              <w:top w:val="nil"/>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1 833</w:t>
            </w:r>
          </w:p>
        </w:tc>
      </w:tr>
    </w:tbl>
    <w:p w:rsidR="00F20535" w:rsidRDefault="00F20535" w:rsidP="007A2EDF">
      <w:pPr>
        <w:pStyle w:val="Note"/>
        <w:rPr>
          <w:lang w:val="en-US"/>
        </w:rPr>
      </w:pPr>
    </w:p>
    <w:p w:rsidR="00F20535" w:rsidRDefault="00F20535" w:rsidP="007A2EDF">
      <w:pPr>
        <w:pStyle w:val="Note"/>
        <w:rPr>
          <w:lang w:val="en-US"/>
        </w:rPr>
      </w:pPr>
    </w:p>
    <w:p w:rsidR="00F20535" w:rsidRDefault="00F20535" w:rsidP="007A2EDF">
      <w:pPr>
        <w:pStyle w:val="Note"/>
        <w:rPr>
          <w:lang w:val="en-US"/>
        </w:rPr>
      </w:pPr>
    </w:p>
    <w:p w:rsidR="00F20535" w:rsidRDefault="00F20535" w:rsidP="007A2EDF">
      <w:pPr>
        <w:pStyle w:val="Note"/>
        <w:rPr>
          <w:lang w:val="en-US"/>
        </w:rPr>
      </w:pPr>
    </w:p>
    <w:p w:rsidR="00F20535" w:rsidRDefault="00F20535">
      <w:pPr>
        <w:rPr>
          <w:rFonts w:asciiTheme="majorHAnsi" w:hAnsiTheme="majorHAnsi"/>
          <w:b/>
          <w:sz w:val="20"/>
        </w:rPr>
      </w:pPr>
      <w:r>
        <w:br w:type="page"/>
      </w:r>
    </w:p>
    <w:p w:rsidR="00F20535" w:rsidRPr="0051349C" w:rsidRDefault="00F20535" w:rsidP="007A2EDF">
      <w:pPr>
        <w:pStyle w:val="TableHeading"/>
        <w:rPr>
          <w:rFonts w:eastAsia="Times New Roman" w:cs="Times New Roman"/>
          <w:bCs/>
          <w:lang w:val="en-US"/>
        </w:rPr>
      </w:pPr>
      <w:r w:rsidRPr="000467E0">
        <w:t>Disaggregated cash flow</w:t>
      </w:r>
      <w:r>
        <w:t xml:space="preserve"> statement for the six months ended 31 December</w:t>
      </w:r>
      <w:r w:rsidRPr="000467E0">
        <w:tab/>
        <w:t>($</w:t>
      </w:r>
      <w:r>
        <w:t> million</w:t>
      </w:r>
      <w:r w:rsidRPr="000467E0">
        <w:t>)</w:t>
      </w:r>
    </w:p>
    <w:tbl>
      <w:tblPr>
        <w:tblStyle w:val="DTFTable"/>
        <w:tblW w:w="9637" w:type="dxa"/>
        <w:tblInd w:w="45" w:type="dxa"/>
        <w:tblLayout w:type="fixed"/>
        <w:tblCellMar>
          <w:left w:w="45" w:type="dxa"/>
          <w:right w:w="45" w:type="dxa"/>
        </w:tblCellMar>
        <w:tblLook w:val="06E0" w:firstRow="1" w:lastRow="1"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General </w:t>
            </w:r>
            <w:r>
              <w:rPr>
                <w:rFonts w:eastAsiaTheme="minorEastAsia" w:cs="Calibri"/>
                <w:iCs/>
                <w:color w:val="FFFFFF"/>
                <w:szCs w:val="16"/>
                <w:lang w:eastAsia="en-AU"/>
              </w:rPr>
              <w:br/>
            </w:r>
            <w:r w:rsidRPr="0051349C">
              <w:rPr>
                <w:rFonts w:eastAsiaTheme="minorEastAsia" w:cs="Calibri"/>
                <w:iCs/>
                <w:color w:val="FFFFFF"/>
                <w:szCs w:val="16"/>
                <w:lang w:eastAsia="en-AU"/>
              </w:rPr>
              <w:t>government sector</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Public non-financial corporations</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flows from operating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 xml:space="preserve">Receipts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Taxes received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10 999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10 883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Grants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14 226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13 320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1 785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1 649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vertAlign w:val="superscript"/>
                <w:lang w:eastAsia="en-AU"/>
              </w:rPr>
            </w:pPr>
            <w:r w:rsidRPr="0051349C">
              <w:rPr>
                <w:rFonts w:eastAsiaTheme="minorEastAsia" w:cs="Calibri"/>
                <w:color w:val="000000"/>
                <w:szCs w:val="18"/>
                <w:lang w:eastAsia="en-AU"/>
              </w:rPr>
              <w:t xml:space="preserve">Sales of goods and services </w:t>
            </w:r>
            <w:r w:rsidRPr="0051349C">
              <w:rPr>
                <w:rFonts w:eastAsiaTheme="minorEastAsia" w:cs="Calibri"/>
                <w:color w:val="000000"/>
                <w:szCs w:val="18"/>
                <w:vertAlign w:val="superscript"/>
                <w:lang w:eastAsia="en-AU"/>
              </w:rPr>
              <w:t>(a)</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4 077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3 781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3 267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12 159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 xml:space="preserve">Interest received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Dividends, income tax equivalent and rate equivalent receipts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receipts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909</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833</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108</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receipts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31 104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29 715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5 242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14 044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Payments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Payments for employees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(11 228)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(10 286)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Superannuation</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(1 237)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Interest paid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(990)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(1 022)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(511)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vertAlign w:val="superscript"/>
                <w:lang w:eastAsia="en-AU"/>
              </w:rPr>
            </w:pPr>
            <w:r w:rsidRPr="0051349C">
              <w:rPr>
                <w:rFonts w:eastAsiaTheme="minorEastAsia" w:cs="Calibri"/>
                <w:color w:val="000000"/>
                <w:szCs w:val="18"/>
                <w:lang w:eastAsia="en-AU"/>
              </w:rPr>
              <w:t xml:space="preserve">Grants and subsidies </w:t>
            </w:r>
            <w:r w:rsidRPr="0051349C">
              <w:rPr>
                <w:rFonts w:eastAsiaTheme="minorEastAsia" w:cs="Calibri"/>
                <w:color w:val="000000"/>
                <w:szCs w:val="18"/>
                <w:vertAlign w:val="superscript"/>
                <w:lang w:eastAsia="en-AU"/>
              </w:rPr>
              <w:t>(b)</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(5 455)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(5 087)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vertAlign w:val="superscript"/>
                <w:lang w:eastAsia="en-AU"/>
              </w:rPr>
            </w:pPr>
            <w:r w:rsidRPr="0051349C">
              <w:rPr>
                <w:rFonts w:eastAsiaTheme="minorEastAsia" w:cs="Calibri"/>
                <w:color w:val="000000"/>
                <w:szCs w:val="18"/>
                <w:lang w:eastAsia="en-AU"/>
              </w:rPr>
              <w:t xml:space="preserve">Goods and services </w:t>
            </w:r>
            <w:r w:rsidRPr="0051349C">
              <w:rPr>
                <w:rFonts w:eastAsiaTheme="minorEastAsia" w:cs="Calibri"/>
                <w:color w:val="000000"/>
                <w:szCs w:val="18"/>
                <w:vertAlign w:val="superscript"/>
                <w:lang w:eastAsia="en-AU"/>
              </w:rPr>
              <w:t>(a)(b)</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(9 984)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(9 480)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(2 049)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(2 012)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payments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(1 224)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(1 236)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Total payments</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(29 368)</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(27 485)</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(4 544)</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(4 529)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Net cash flows from operating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1 736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2 230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698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9 515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flows from investing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flows from investments in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Purchases of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(4 570)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(3 121)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(1 019)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(802)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Sales of non-financial assets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96</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68</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Net cash flows from investments in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(4 473)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(3 056)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(751)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Net cash flows from investments in financial assets for policy purposes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718</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(850)</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1 008</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(9 517)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Sub-total</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(3 756)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(3 906)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(10 267)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Net cash flows from investments in financial assets for liquidity management purposes</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(426)</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(2 638)</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(82)</w:t>
            </w:r>
          </w:p>
        </w:tc>
        <w:tc>
          <w:tcPr>
            <w:tcW w:w="907"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Net cash flows from investing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(4 181)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(6 544)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(25)</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(10 424)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flows from financing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Advances received (net)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9 579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(984)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9 545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Net borrowings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1 744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(5 827)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Deposits received (net)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109</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Other financing (net)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(8 837)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Net cash flows from financing activities</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908</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3 860</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(565)</w:t>
            </w:r>
          </w:p>
        </w:tc>
        <w:tc>
          <w:tcPr>
            <w:tcW w:w="907"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1 006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 xml:space="preserve">Net increase/(decrease) in cash and cash equivalents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(1 537)</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108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8"/>
                <w:lang w:eastAsia="en-AU"/>
              </w:rPr>
            </w:pPr>
            <w:r w:rsidRPr="0051349C">
              <w:rPr>
                <w:rFonts w:eastAsiaTheme="minorEastAsia" w:cs="Calibri"/>
                <w:color w:val="000000"/>
                <w:szCs w:val="18"/>
                <w:lang w:eastAsia="en-AU"/>
              </w:rPr>
              <w:t>Cash and cash equivalents at beginning of reporting period</w:t>
            </w:r>
            <w:r>
              <w:rPr>
                <w:rFonts w:eastAsiaTheme="minorEastAsia" w:cs="Calibri"/>
                <w:color w:val="000000"/>
                <w:szCs w:val="18"/>
                <w:lang w:eastAsia="en-AU"/>
              </w:rPr>
              <w:t xml:space="preserve"> </w:t>
            </w:r>
            <w:r w:rsidRPr="004F74DB">
              <w:rPr>
                <w:rFonts w:eastAsiaTheme="minorEastAsia" w:cs="Calibri"/>
                <w:color w:val="000000"/>
                <w:szCs w:val="18"/>
                <w:vertAlign w:val="superscript"/>
                <w:lang w:eastAsia="en-AU"/>
              </w:rPr>
              <w:t>(c)</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5 530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4 772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1 153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802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8"/>
                <w:lang w:eastAsia="en-AU"/>
              </w:rPr>
            </w:pPr>
            <w:r w:rsidRPr="0051349C">
              <w:rPr>
                <w:rFonts w:eastAsiaTheme="minorEastAsia" w:cs="Calibri"/>
                <w:b/>
                <w:bCs/>
                <w:color w:val="000000"/>
                <w:szCs w:val="18"/>
                <w:lang w:eastAsia="en-AU"/>
              </w:rPr>
              <w:t>Cash and cash equivalents at end of the reporting period</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3 992</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4 319</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1 261</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900</w:t>
            </w:r>
          </w:p>
        </w:tc>
      </w:tr>
      <w:tr w:rsidR="00F20535" w:rsidRPr="0051349C"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FISCAL AGGREGATES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cash flows from operating activities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1 736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2 230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698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9 515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Dividends paid</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cash flows from investments in non-financial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(4 473)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(3 056)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(951)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(751)</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bottom w:val="single" w:sz="12" w:space="0" w:color="000000"/>
            </w:tcBorders>
          </w:tcPr>
          <w:p w:rsidR="00F20535" w:rsidRPr="0051349C" w:rsidRDefault="00F20535" w:rsidP="007A2EDF">
            <w:pPr>
              <w:autoSpaceDE w:val="0"/>
              <w:autoSpaceDN w:val="0"/>
              <w:adjustRightInd w:val="0"/>
              <w:rPr>
                <w:rFonts w:eastAsiaTheme="minorEastAsia" w:cs="Calibri"/>
                <w:bCs/>
                <w:color w:val="000000"/>
                <w:szCs w:val="16"/>
                <w:lang w:eastAsia="en-AU"/>
              </w:rPr>
            </w:pPr>
            <w:r w:rsidRPr="0051349C">
              <w:rPr>
                <w:rFonts w:eastAsiaTheme="minorEastAsia" w:cs="Calibri"/>
                <w:bCs/>
                <w:color w:val="000000"/>
                <w:szCs w:val="16"/>
                <w:lang w:eastAsia="en-AU"/>
              </w:rPr>
              <w:t>Cash surplus/(deficit)</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(2 738)</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(825)</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(481)</w:t>
            </w:r>
          </w:p>
        </w:tc>
        <w:tc>
          <w:tcPr>
            <w:tcW w:w="907"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8 643</w:t>
            </w:r>
          </w:p>
        </w:tc>
      </w:tr>
    </w:tbl>
    <w:p w:rsidR="00F20535" w:rsidRPr="003021A2" w:rsidRDefault="00F20535" w:rsidP="007A2EDF">
      <w:pPr>
        <w:pStyle w:val="Note"/>
        <w:rPr>
          <w:bCs/>
          <w:lang w:val="en-US"/>
        </w:rPr>
      </w:pPr>
      <w:r>
        <w:t>Notes:</w:t>
      </w:r>
    </w:p>
    <w:p w:rsidR="00F20535" w:rsidRDefault="00F20535" w:rsidP="000C30FB">
      <w:pPr>
        <w:pStyle w:val="Note"/>
      </w:pPr>
      <w:r>
        <w:t>(a)</w:t>
      </w:r>
      <w:r>
        <w:tab/>
        <w:t>These items are inclusive of goods and services tax.</w:t>
      </w:r>
    </w:p>
    <w:p w:rsidR="00F20535" w:rsidRDefault="00F20535" w:rsidP="007A2EDF">
      <w:pPr>
        <w:pStyle w:val="Note"/>
      </w:pPr>
      <w:r>
        <w:t>(b</w:t>
      </w:r>
      <w:r w:rsidRPr="00D42175">
        <w:t>)</w:t>
      </w:r>
      <w:r w:rsidRPr="00D42175">
        <w:tab/>
      </w:r>
      <w:r w:rsidRPr="00A0521C">
        <w:t xml:space="preserve">The </w:t>
      </w:r>
      <w:r>
        <w:t xml:space="preserve">December </w:t>
      </w:r>
      <w:r w:rsidRPr="00A0521C">
        <w:t xml:space="preserve">2016 comparative figures have been restated to reclassify the Transport Accident Commission Safer Roads </w:t>
      </w:r>
      <w:r>
        <w:t xml:space="preserve">Infrastructure Program payment from goods and services to grants and subsidies </w:t>
      </w:r>
      <w:r w:rsidRPr="00A0521C">
        <w:t>to more correctly refle</w:t>
      </w:r>
      <w:r>
        <w:t>ct the nature of the payment</w:t>
      </w:r>
      <w:r w:rsidRPr="00A0521C">
        <w:t>.</w:t>
      </w:r>
    </w:p>
    <w:p w:rsidR="00F20535" w:rsidRPr="006C1ED2" w:rsidRDefault="00F20535" w:rsidP="007A2EDF">
      <w:pPr>
        <w:spacing w:before="0"/>
        <w:ind w:left="284" w:hanging="284"/>
        <w:rPr>
          <w:rFonts w:asciiTheme="majorHAnsi" w:eastAsiaTheme="minorHAnsi" w:hAnsiTheme="majorHAnsi" w:cstheme="minorBidi"/>
          <w:i/>
          <w:spacing w:val="-2"/>
          <w:sz w:val="14"/>
          <w:szCs w:val="22"/>
        </w:rPr>
        <w:sectPr w:rsidR="00F20535" w:rsidRPr="006C1ED2" w:rsidSect="000C30FB">
          <w:headerReference w:type="even" r:id="rId78"/>
          <w:headerReference w:type="default" r:id="rId79"/>
          <w:footerReference w:type="even" r:id="rId80"/>
          <w:footerReference w:type="default" r:id="rId81"/>
          <w:headerReference w:type="first" r:id="rId82"/>
          <w:footerReference w:type="first" r:id="rId83"/>
          <w:type w:val="continuous"/>
          <w:pgSz w:w="11907" w:h="16839" w:code="9"/>
          <w:pgMar w:top="1134" w:right="1134" w:bottom="1134" w:left="1134" w:header="624" w:footer="567" w:gutter="0"/>
          <w:cols w:sep="1" w:space="567"/>
          <w:docGrid w:linePitch="360"/>
        </w:sectPr>
      </w:pPr>
      <w:r w:rsidRPr="006C1ED2">
        <w:rPr>
          <w:rFonts w:asciiTheme="majorHAnsi" w:eastAsiaTheme="minorHAnsi" w:hAnsiTheme="majorHAnsi" w:cstheme="minorBidi"/>
          <w:i/>
          <w:spacing w:val="-2"/>
          <w:sz w:val="14"/>
          <w:szCs w:val="22"/>
        </w:rPr>
        <w:t>(c)</w:t>
      </w:r>
      <w:r>
        <w:rPr>
          <w:rFonts w:asciiTheme="majorHAnsi" w:eastAsiaTheme="minorHAnsi" w:hAnsiTheme="majorHAnsi" w:cstheme="minorBidi"/>
          <w:i/>
          <w:spacing w:val="-2"/>
          <w:sz w:val="14"/>
          <w:szCs w:val="22"/>
        </w:rPr>
        <w:tab/>
        <w:t>Cash and cash equivalents at the beginning of the reporting period does not equal cash and deposits on the balance sheet for the Public non-financial corporations sector and State of Victoria. This is due to overdrafts being included in the cash flow statement balances.</w:t>
      </w:r>
    </w:p>
    <w:p w:rsidR="00F20535" w:rsidRDefault="00F20535" w:rsidP="007A2EDF">
      <w:pPr>
        <w:pStyle w:val="Note"/>
      </w:pPr>
    </w:p>
    <w:p w:rsidR="00F20535" w:rsidRDefault="00F20535" w:rsidP="000C30FB">
      <w:pPr>
        <w:pStyle w:val="Note"/>
      </w:pPr>
    </w:p>
    <w:p w:rsidR="00F20535" w:rsidRDefault="00F20535" w:rsidP="000C30FB">
      <w:pPr>
        <w:pStyle w:val="Heading10"/>
        <w:rPr>
          <w:sz w:val="20"/>
          <w:szCs w:val="20"/>
        </w:rPr>
      </w:pPr>
      <w:r>
        <w:br w:type="page"/>
      </w:r>
    </w:p>
    <w:p w:rsidR="00F20535" w:rsidRPr="0051349C" w:rsidRDefault="00F20535" w:rsidP="007A2EDF">
      <w:pPr>
        <w:pStyle w:val="TableHeading"/>
        <w:rPr>
          <w:rFonts w:eastAsia="Times New Roman" w:cs="Times New Roman"/>
          <w:bCs/>
          <w:lang w:val="en-US"/>
        </w:rPr>
      </w:pPr>
    </w:p>
    <w:tbl>
      <w:tblPr>
        <w:tblStyle w:val="DTFTable"/>
        <w:tblW w:w="9619" w:type="dxa"/>
        <w:tblInd w:w="45" w:type="dxa"/>
        <w:tblLayout w:type="fixed"/>
        <w:tblCellMar>
          <w:left w:w="45" w:type="dxa"/>
          <w:right w:w="45" w:type="dxa"/>
        </w:tblCellMar>
        <w:tblLook w:val="06E0" w:firstRow="1" w:lastRow="1" w:firstColumn="1" w:lastColumn="0" w:noHBand="1" w:noVBand="1"/>
      </w:tblPr>
      <w:tblGrid>
        <w:gridCol w:w="1599"/>
        <w:gridCol w:w="1604"/>
        <w:gridCol w:w="1604"/>
        <w:gridCol w:w="1604"/>
        <w:gridCol w:w="1604"/>
        <w:gridCol w:w="1604"/>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03"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rPr>
                <w:rFonts w:eastAsiaTheme="minorEastAsia" w:cs="Calibri"/>
                <w:iCs/>
                <w:color w:val="FFFFFF"/>
                <w:szCs w:val="16"/>
                <w:lang w:eastAsia="en-AU"/>
              </w:rPr>
            </w:pPr>
            <w:r w:rsidRPr="0051349C">
              <w:rPr>
                <w:rFonts w:eastAsiaTheme="minorEastAsia" w:cs="Calibri"/>
                <w:iCs/>
                <w:color w:val="FFFFFF"/>
                <w:szCs w:val="16"/>
                <w:lang w:eastAsia="en-AU"/>
              </w:rPr>
              <w:t xml:space="preserve">Public </w:t>
            </w:r>
            <w:r>
              <w:rPr>
                <w:rFonts w:eastAsiaTheme="minorEastAsia" w:cs="Calibri"/>
                <w:iCs/>
                <w:color w:val="FFFFFF"/>
                <w:szCs w:val="16"/>
                <w:lang w:eastAsia="en-AU"/>
              </w:rPr>
              <w:br/>
            </w:r>
            <w:r w:rsidRPr="0051349C">
              <w:rPr>
                <w:rFonts w:eastAsiaTheme="minorEastAsia" w:cs="Calibri"/>
                <w:iCs/>
                <w:color w:val="FFFFFF"/>
                <w:szCs w:val="16"/>
                <w:lang w:eastAsia="en-AU"/>
              </w:rPr>
              <w:t>financial corporations</w:t>
            </w:r>
          </w:p>
        </w:tc>
        <w:tc>
          <w:tcPr>
            <w:tcW w:w="3208"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Inter-sector </w:t>
            </w:r>
            <w:r>
              <w:rPr>
                <w:rFonts w:eastAsiaTheme="minorEastAsia" w:cs="Calibri"/>
                <w:iCs/>
                <w:color w:val="FFFFFF"/>
                <w:szCs w:val="16"/>
                <w:lang w:eastAsia="en-AU"/>
              </w:rPr>
              <w:br/>
            </w:r>
            <w:r w:rsidRPr="0051349C">
              <w:rPr>
                <w:rFonts w:eastAsiaTheme="minorEastAsia" w:cs="Calibri"/>
                <w:iCs/>
                <w:color w:val="FFFFFF"/>
                <w:szCs w:val="16"/>
                <w:lang w:eastAsia="en-AU"/>
              </w:rPr>
              <w:t>eliminations</w:t>
            </w:r>
          </w:p>
        </w:tc>
        <w:tc>
          <w:tcPr>
            <w:tcW w:w="3208"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shd w:val="solid" w:color="000000" w:fill="auto"/>
          </w:tcPr>
          <w:p w:rsidR="00F20535" w:rsidRPr="0051349C" w:rsidRDefault="00F20535" w:rsidP="007A2EDF">
            <w:pPr>
              <w:autoSpaceDE w:val="0"/>
              <w:autoSpaceDN w:val="0"/>
              <w:adjustRightInd w:val="0"/>
              <w:jc w:val="right"/>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160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10 815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10 688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(1 893)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(1 982)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14 118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13 288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sidRPr="0051349C">
              <w:rPr>
                <w:rFonts w:eastAsiaTheme="minorEastAsia" w:cs="Calibri"/>
                <w:color w:val="000000"/>
                <w:szCs w:val="18"/>
                <w:lang w:eastAsia="en-AU"/>
              </w:rPr>
              <w:t>3 351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3 361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(1 637)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(1 468)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9 058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17 833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848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962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(1 110)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(1 123)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843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867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166</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380</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(113)</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1 225</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1 306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5 208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5 512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(5 240)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(5 380)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36 314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43 891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(174)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(11 813)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(10 855)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(14)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(1 394)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(1 313)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(918)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(1 006)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1 110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1 123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(1 334)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(1 416)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(115)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1 893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1 984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(3 712)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(3 243)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(2 597)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(1 378)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551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(14 172)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(12 318)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1 231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1 208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Pr>
                <w:rFonts w:eastAsiaTheme="minorEastAsia" w:cs="Calibri"/>
                <w:b/>
                <w:bCs/>
                <w:color w:val="000000"/>
                <w:szCs w:val="18"/>
                <w:lang w:eastAsia="en-AU"/>
              </w:rPr>
              <w:t>(3 824)</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(2 607)</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4 918</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5 071</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(32 818)</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(29 549)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1 384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2 905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(321)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(309)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3 497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14 342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(37)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(5 625)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(3 938)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1</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164</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Pr>
                <w:rFonts w:eastAsiaTheme="minorEastAsia" w:cs="Calibri"/>
                <w:b/>
                <w:bCs/>
                <w:color w:val="000000"/>
                <w:szCs w:val="18"/>
                <w:lang w:eastAsia="en-AU"/>
              </w:rPr>
              <w:t>(36)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(5 462)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(3 821)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17</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(1 759)</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10 362</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Pr>
                <w:rFonts w:eastAsiaTheme="minorEastAsia" w:cs="Calibri"/>
                <w:b/>
                <w:bCs/>
                <w:color w:val="000000"/>
                <w:szCs w:val="18"/>
                <w:lang w:eastAsia="en-AU"/>
              </w:rPr>
              <w:t>(19)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(1 760)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10 362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(5 478)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(3 826)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sidRPr="0051349C">
              <w:rPr>
                <w:rFonts w:eastAsiaTheme="minorEastAsia" w:cs="Calibri"/>
                <w:color w:val="000000"/>
                <w:szCs w:val="18"/>
                <w:lang w:eastAsia="en-AU"/>
              </w:rPr>
              <w:t>1 229</w:t>
            </w:r>
            <w:r>
              <w:rPr>
                <w:rFonts w:eastAsiaTheme="minorEastAsia" w:cs="Calibri"/>
                <w:color w:val="000000"/>
                <w:szCs w:val="18"/>
                <w:lang w:eastAsia="en-AU"/>
              </w:rPr>
              <w:br/>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233</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2 049</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(3 062)</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2 772</w:t>
            </w:r>
          </w:p>
        </w:tc>
        <w:tc>
          <w:tcPr>
            <w:tcW w:w="1604" w:type="dxa"/>
            <w:tcBorders>
              <w:top w:val="nil"/>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(5 624)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1 210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217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290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7 300</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(2 707)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(9 450)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1 954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(19 103)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(184)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(4 045)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(2 374)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5 529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(4 092)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(2 028)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1 078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1 475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(2 166)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(932)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(94)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8 995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Pr>
                <w:rFonts w:eastAsiaTheme="minorEastAsia" w:cs="Calibri"/>
                <w:b/>
                <w:bCs/>
                <w:color w:val="000000"/>
                <w:szCs w:val="18"/>
                <w:lang w:eastAsia="en-AU"/>
              </w:rPr>
              <w:t>(2 315)</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(3 123)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1 149</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(6 745)</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(823)</w:t>
            </w:r>
          </w:p>
        </w:tc>
        <w:tc>
          <w:tcPr>
            <w:tcW w:w="1604" w:type="dxa"/>
            <w:tcBorders>
              <w:top w:val="single" w:sz="6" w:space="0" w:color="000000"/>
              <w:left w:val="nil"/>
              <w:bottom w:val="single" w:sz="6"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(5 001)</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Pr>
                <w:rFonts w:eastAsiaTheme="minorEastAsia" w:cs="Calibri"/>
                <w:b/>
                <w:bCs/>
                <w:color w:val="000000"/>
                <w:szCs w:val="18"/>
                <w:lang w:eastAsia="en-AU"/>
              </w:rPr>
              <w:t>279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1 117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246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(109)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sidRPr="0051349C">
              <w:rPr>
                <w:rFonts w:eastAsiaTheme="minorEastAsia" w:cs="Calibri"/>
                <w:color w:val="000000"/>
                <w:szCs w:val="18"/>
                <w:lang w:eastAsia="en-AU"/>
              </w:rPr>
              <w:t>4 229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4 654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(5 043)</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(3 552)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5 868</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6 676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4 508</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4 654</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(3 926)</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(3 305)</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5 835</w:t>
            </w:r>
          </w:p>
        </w:tc>
        <w:tc>
          <w:tcPr>
            <w:tcW w:w="1604"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6 567</w:t>
            </w:r>
          </w:p>
        </w:tc>
      </w:tr>
      <w:tr w:rsidR="00F20535" w:rsidRPr="0051349C"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51349C">
              <w:rPr>
                <w:rFonts w:eastAsiaTheme="minorEastAsia" w:cs="Calibri"/>
                <w:b/>
                <w:bCs/>
                <w:color w:val="000000"/>
                <w:szCs w:val="18"/>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sidRPr="0051349C">
              <w:rPr>
                <w:rFonts w:eastAsiaTheme="minorEastAsia" w:cs="Calibri"/>
                <w:color w:val="000000"/>
                <w:szCs w:val="18"/>
                <w:lang w:eastAsia="en-AU"/>
              </w:rPr>
              <w:t>1 384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2 905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(309)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3 497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14 342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(94)</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(157)</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279</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51349C">
              <w:rPr>
                <w:rFonts w:eastAsiaTheme="minorEastAsia" w:cs="Calibri"/>
                <w:color w:val="000000"/>
                <w:szCs w:val="18"/>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1599" w:type="dxa"/>
            <w:tcBorders>
              <w:top w:val="nil"/>
              <w:left w:val="nil"/>
              <w:bottom w:val="nil"/>
              <w:right w:val="nil"/>
            </w:tcBorders>
          </w:tcPr>
          <w:p w:rsidR="00F20535" w:rsidRPr="0051349C" w:rsidRDefault="00F20535" w:rsidP="007A2EDF">
            <w:pPr>
              <w:autoSpaceDE w:val="0"/>
              <w:autoSpaceDN w:val="0"/>
              <w:adjustRightInd w:val="0"/>
              <w:jc w:val="right"/>
              <w:rPr>
                <w:rFonts w:eastAsiaTheme="minorEastAsia" w:cs="Calibri"/>
                <w:color w:val="000000"/>
                <w:szCs w:val="18"/>
                <w:lang w:eastAsia="en-AU"/>
              </w:rPr>
            </w:pPr>
            <w:r>
              <w:rPr>
                <w:rFonts w:eastAsiaTheme="minorEastAsia" w:cs="Calibri"/>
                <w:color w:val="000000"/>
                <w:szCs w:val="18"/>
                <w:lang w:eastAsia="en-AU"/>
              </w:rPr>
              <w:t>(36)</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(15)</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(5 462)</w:t>
            </w:r>
          </w:p>
        </w:tc>
        <w:tc>
          <w:tcPr>
            <w:tcW w:w="1604"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(3 821)</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Borders>
              <w:top w:val="single" w:sz="6" w:space="0" w:color="000000"/>
              <w:bottom w:val="single" w:sz="12" w:space="0" w:color="000000"/>
            </w:tcBorders>
          </w:tcPr>
          <w:p w:rsidR="00F20535" w:rsidRPr="0051349C" w:rsidRDefault="00F20535" w:rsidP="007A2EDF">
            <w:pPr>
              <w:autoSpaceDE w:val="0"/>
              <w:autoSpaceDN w:val="0"/>
              <w:adjustRightInd w:val="0"/>
              <w:jc w:val="right"/>
              <w:rPr>
                <w:rFonts w:eastAsiaTheme="minorEastAsia" w:cs="Calibri"/>
                <w:bCs/>
                <w:color w:val="000000"/>
                <w:szCs w:val="18"/>
                <w:lang w:eastAsia="en-AU"/>
              </w:rPr>
            </w:pPr>
            <w:r w:rsidRPr="0051349C">
              <w:rPr>
                <w:rFonts w:eastAsiaTheme="minorEastAsia" w:cs="Calibri"/>
                <w:bCs/>
                <w:color w:val="000000"/>
                <w:szCs w:val="18"/>
                <w:lang w:eastAsia="en-AU"/>
              </w:rPr>
              <w:t>1 253</w:t>
            </w:r>
          </w:p>
        </w:tc>
        <w:tc>
          <w:tcPr>
            <w:tcW w:w="1604"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2 733</w:t>
            </w:r>
          </w:p>
        </w:tc>
        <w:tc>
          <w:tcPr>
            <w:tcW w:w="1604"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w:t>
            </w:r>
          </w:p>
        </w:tc>
        <w:tc>
          <w:tcPr>
            <w:tcW w:w="1604"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(30)</w:t>
            </w:r>
          </w:p>
        </w:tc>
        <w:tc>
          <w:tcPr>
            <w:tcW w:w="1604"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(1 965)</w:t>
            </w:r>
          </w:p>
        </w:tc>
        <w:tc>
          <w:tcPr>
            <w:tcW w:w="1604" w:type="dxa"/>
            <w:tcBorders>
              <w:top w:val="single" w:sz="6" w:space="0" w:color="000000"/>
              <w:bottom w:val="single" w:sz="12" w:space="0" w:color="000000"/>
            </w:tcBorders>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51349C">
              <w:rPr>
                <w:rFonts w:eastAsiaTheme="minorEastAsia" w:cs="Calibri"/>
                <w:bCs/>
                <w:color w:val="000000"/>
                <w:szCs w:val="18"/>
                <w:lang w:eastAsia="en-AU"/>
              </w:rPr>
              <w:t>10 521</w:t>
            </w:r>
          </w:p>
        </w:tc>
      </w:tr>
    </w:tbl>
    <w:p w:rsidR="00F20535" w:rsidRPr="000C2004" w:rsidRDefault="00F20535" w:rsidP="007A2EDF">
      <w:pPr>
        <w:pStyle w:val="TableHeading"/>
        <w:rPr>
          <w:lang w:val="en-US"/>
        </w:rPr>
      </w:pPr>
    </w:p>
    <w:p w:rsidR="00F20535" w:rsidRDefault="00F20535" w:rsidP="000C30FB"/>
    <w:p w:rsidR="00F20535" w:rsidRDefault="00F20535" w:rsidP="000C30FB">
      <w:pPr>
        <w:sectPr w:rsidR="00F20535" w:rsidSect="000C30FB">
          <w:type w:val="continuous"/>
          <w:pgSz w:w="11907" w:h="16839" w:code="9"/>
          <w:pgMar w:top="1134" w:right="1134" w:bottom="1134" w:left="1134" w:header="624" w:footer="567" w:gutter="0"/>
          <w:cols w:sep="1" w:space="567"/>
          <w:docGrid w:linePitch="360"/>
        </w:sectPr>
      </w:pPr>
    </w:p>
    <w:p w:rsidR="00F20535" w:rsidRPr="0051349C" w:rsidRDefault="00F20535" w:rsidP="007A2EDF">
      <w:pPr>
        <w:pStyle w:val="TableHeading"/>
        <w:spacing w:before="0"/>
        <w:rPr>
          <w:rFonts w:eastAsia="Times New Roman" w:cs="Times New Roman"/>
          <w:bCs/>
          <w:lang w:val="en-US"/>
        </w:rPr>
      </w:pPr>
      <w:r w:rsidRPr="00853B59">
        <w:t>Disaggregated statement of changes in equity</w:t>
      </w:r>
      <w:r>
        <w:t xml:space="preserve"> as at 31 December</w:t>
      </w:r>
      <w:r w:rsidRPr="00853B59">
        <w:tab/>
      </w:r>
      <w:r w:rsidRPr="00853B59">
        <w:tab/>
        <w:t>($</w:t>
      </w:r>
      <w:r>
        <w:t> million</w:t>
      </w:r>
      <w:r w:rsidRPr="00853B59">
        <w:t>)</w:t>
      </w:r>
    </w:p>
    <w:tbl>
      <w:tblPr>
        <w:tblStyle w:val="DTFTable"/>
        <w:tblW w:w="14578" w:type="dxa"/>
        <w:tblInd w:w="45" w:type="dxa"/>
        <w:tblLayout w:type="fixed"/>
        <w:tblCellMar>
          <w:left w:w="45" w:type="dxa"/>
          <w:right w:w="45" w:type="dxa"/>
        </w:tblCellMar>
        <w:tblLook w:val="06E0" w:firstRow="1" w:lastRow="1" w:firstColumn="1" w:lastColumn="0" w:noHBand="1" w:noVBand="1"/>
      </w:tblPr>
      <w:tblGrid>
        <w:gridCol w:w="4819"/>
        <w:gridCol w:w="1395"/>
        <w:gridCol w:w="1395"/>
        <w:gridCol w:w="1395"/>
        <w:gridCol w:w="1633"/>
        <w:gridCol w:w="1701"/>
        <w:gridCol w:w="1134"/>
        <w:gridCol w:w="1106"/>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2017 </w:t>
            </w:r>
          </w:p>
        </w:tc>
        <w:tc>
          <w:tcPr>
            <w:tcW w:w="139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Accumulated surplus/(deficit)</w:t>
            </w:r>
          </w:p>
        </w:tc>
        <w:tc>
          <w:tcPr>
            <w:tcW w:w="139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Contribution by owners</w:t>
            </w:r>
          </w:p>
        </w:tc>
        <w:tc>
          <w:tcPr>
            <w:tcW w:w="139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Non-controlling Interest</w:t>
            </w:r>
          </w:p>
        </w:tc>
        <w:tc>
          <w:tcPr>
            <w:tcW w:w="1633"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Non-financial assets revaluation surplus</w:t>
            </w:r>
          </w:p>
        </w:tc>
        <w:tc>
          <w:tcPr>
            <w:tcW w:w="1701"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Investment in other sector entities revaluation surplus</w:t>
            </w:r>
          </w:p>
        </w:tc>
        <w:tc>
          <w:tcPr>
            <w:tcW w:w="113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Other </w:t>
            </w:r>
            <w:r>
              <w:rPr>
                <w:rFonts w:eastAsiaTheme="minorEastAsia" w:cs="Calibri"/>
                <w:iCs/>
                <w:color w:val="FFFFFF"/>
                <w:szCs w:val="22"/>
                <w:lang w:eastAsia="en-AU"/>
              </w:rPr>
              <w:br/>
            </w:r>
            <w:r w:rsidRPr="0051349C">
              <w:rPr>
                <w:rFonts w:eastAsiaTheme="minorEastAsia" w:cs="Calibri"/>
                <w:iCs/>
                <w:color w:val="FFFFFF"/>
                <w:szCs w:val="22"/>
                <w:lang w:eastAsia="en-AU"/>
              </w:rPr>
              <w:t>reserves</w:t>
            </w:r>
          </w:p>
        </w:tc>
        <w:tc>
          <w:tcPr>
            <w:tcW w:w="1106"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Total</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General government sector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1"/>
                <w:lang w:eastAsia="en-AU"/>
              </w:rPr>
            </w:pPr>
            <w:r w:rsidRPr="0051349C">
              <w:rPr>
                <w:rFonts w:eastAsiaTheme="minorEastAsia" w:cs="Calibri"/>
                <w:color w:val="000000"/>
                <w:szCs w:val="21"/>
                <w:lang w:eastAsia="en-AU"/>
              </w:rPr>
              <w:t>Balance at 1 July 2017</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51 464</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55 745</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60 149</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669</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168 027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868</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868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633</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686</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44</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1 360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equity as at 31 December 2017</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52 965</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633"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55 743</w:t>
            </w:r>
          </w:p>
        </w:tc>
        <w:tc>
          <w:tcPr>
            <w:tcW w:w="1701"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60 835</w:t>
            </w:r>
          </w:p>
        </w:tc>
        <w:tc>
          <w:tcPr>
            <w:tcW w:w="1134"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712</w:t>
            </w:r>
          </w:p>
        </w:tc>
        <w:tc>
          <w:tcPr>
            <w:tcW w:w="1106"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170 256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PNFC sector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Balance at 1 July 2017</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3 747</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54 902</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29 985</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492</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89 126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(34)</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(58)</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35</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32</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Transfer to/(from) accumulated surplus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26</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(26)</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Dividends paid</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(228)</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(228)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Transactions with owners in their capacity as owners</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2 102</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2 102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equity as at 31 December 2017</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3 427</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57 030</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633"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29 994</w:t>
            </w:r>
          </w:p>
        </w:tc>
        <w:tc>
          <w:tcPr>
            <w:tcW w:w="1701"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134"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523</w:t>
            </w:r>
          </w:p>
        </w:tc>
        <w:tc>
          <w:tcPr>
            <w:tcW w:w="1106"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90 974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PFC sector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Balance at 1 July 2017</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143</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29</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39</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213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1 280</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1 280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Dividends paid</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(94)</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701"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(94)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equity as at 31 December 2017</w:t>
            </w:r>
          </w:p>
        </w:tc>
        <w:tc>
          <w:tcPr>
            <w:tcW w:w="1395"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1 327</w:t>
            </w:r>
          </w:p>
        </w:tc>
        <w:tc>
          <w:tcPr>
            <w:tcW w:w="1395"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29</w:t>
            </w:r>
          </w:p>
        </w:tc>
        <w:tc>
          <w:tcPr>
            <w:tcW w:w="1395"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633"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2</w:t>
            </w:r>
          </w:p>
        </w:tc>
        <w:tc>
          <w:tcPr>
            <w:tcW w:w="1701"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134"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42</w:t>
            </w:r>
          </w:p>
        </w:tc>
        <w:tc>
          <w:tcPr>
            <w:tcW w:w="1106"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1 400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single" w:sz="12" w:space="0" w:color="000000"/>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1"/>
                <w:lang w:eastAsia="en-AU"/>
              </w:rPr>
            </w:pPr>
            <w:r w:rsidRPr="0051349C">
              <w:rPr>
                <w:rFonts w:eastAsiaTheme="minorEastAsia" w:cs="Calibri"/>
                <w:color w:val="000000"/>
                <w:szCs w:val="21"/>
                <w:lang w:eastAsia="en-AU"/>
              </w:rPr>
              <w:t>Eliminations</w:t>
            </w:r>
          </w:p>
        </w:tc>
        <w:tc>
          <w:tcPr>
            <w:tcW w:w="1395"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20 087</w:t>
            </w:r>
          </w:p>
        </w:tc>
        <w:tc>
          <w:tcPr>
            <w:tcW w:w="1395"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(57 059)</w:t>
            </w:r>
          </w:p>
        </w:tc>
        <w:tc>
          <w:tcPr>
            <w:tcW w:w="1395"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3"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10 159</w:t>
            </w:r>
          </w:p>
        </w:tc>
        <w:tc>
          <w:tcPr>
            <w:tcW w:w="1701"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(60 835)</w:t>
            </w:r>
          </w:p>
        </w:tc>
        <w:tc>
          <w:tcPr>
            <w:tcW w:w="1134"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06"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(87 648)</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Total State of Victoria</w:t>
            </w:r>
          </w:p>
        </w:tc>
        <w:tc>
          <w:tcPr>
            <w:tcW w:w="1395"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77 806</w:t>
            </w:r>
          </w:p>
        </w:tc>
        <w:tc>
          <w:tcPr>
            <w:tcW w:w="1395"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w:t>
            </w:r>
          </w:p>
        </w:tc>
        <w:tc>
          <w:tcPr>
            <w:tcW w:w="1395"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w:t>
            </w:r>
          </w:p>
        </w:tc>
        <w:tc>
          <w:tcPr>
            <w:tcW w:w="1633"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95 899</w:t>
            </w:r>
          </w:p>
        </w:tc>
        <w:tc>
          <w:tcPr>
            <w:tcW w:w="1701"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Pr>
                <w:rFonts w:eastAsiaTheme="minorEastAsia" w:cs="Calibri"/>
                <w:bCs/>
                <w:color w:val="000000"/>
                <w:szCs w:val="22"/>
                <w:lang w:eastAsia="en-AU"/>
              </w:rPr>
              <w:t>..</w:t>
            </w:r>
          </w:p>
        </w:tc>
        <w:tc>
          <w:tcPr>
            <w:tcW w:w="1134"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1 277</w:t>
            </w:r>
          </w:p>
        </w:tc>
        <w:tc>
          <w:tcPr>
            <w:tcW w:w="1106"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174 983</w:t>
            </w:r>
          </w:p>
        </w:tc>
      </w:tr>
    </w:tbl>
    <w:p w:rsidR="00F20535" w:rsidRDefault="00F20535" w:rsidP="007A2EDF">
      <w:pPr>
        <w:pStyle w:val="Source"/>
      </w:pPr>
    </w:p>
    <w:p w:rsidR="00F20535" w:rsidRDefault="00F20535" w:rsidP="007A2EDF">
      <w:pPr>
        <w:pStyle w:val="Note"/>
      </w:pPr>
    </w:p>
    <w:p w:rsidR="00F20535" w:rsidRDefault="00F20535">
      <w:r>
        <w:br w:type="page"/>
      </w:r>
    </w:p>
    <w:p w:rsidR="00F20535" w:rsidRPr="0051349C" w:rsidRDefault="00F20535" w:rsidP="007A2EDF">
      <w:pPr>
        <w:pStyle w:val="TableHeading"/>
        <w:rPr>
          <w:rFonts w:eastAsia="Times New Roman" w:cs="Times New Roman"/>
          <w:bCs/>
          <w:lang w:val="en-US"/>
        </w:rPr>
      </w:pPr>
      <w:r w:rsidRPr="00693277">
        <w:t xml:space="preserve">Disaggregated statement of changes in equity as at 31 December </w:t>
      </w:r>
      <w:r w:rsidRPr="00693277">
        <w:rPr>
          <w:i/>
        </w:rPr>
        <w:t>(continued)</w:t>
      </w:r>
      <w:r>
        <w:tab/>
      </w:r>
      <w:r>
        <w:tab/>
        <w:t>($ million)</w:t>
      </w:r>
    </w:p>
    <w:tbl>
      <w:tblPr>
        <w:tblStyle w:val="DTFTable"/>
        <w:tblW w:w="14577" w:type="dxa"/>
        <w:tblInd w:w="45" w:type="dxa"/>
        <w:tblLayout w:type="fixed"/>
        <w:tblCellMar>
          <w:left w:w="45" w:type="dxa"/>
          <w:right w:w="45" w:type="dxa"/>
        </w:tblCellMar>
        <w:tblLook w:val="06E0" w:firstRow="1" w:lastRow="1" w:firstColumn="1" w:lastColumn="0" w:noHBand="1" w:noVBand="1"/>
      </w:tblPr>
      <w:tblGrid>
        <w:gridCol w:w="4819"/>
        <w:gridCol w:w="1395"/>
        <w:gridCol w:w="1395"/>
        <w:gridCol w:w="1395"/>
        <w:gridCol w:w="1638"/>
        <w:gridCol w:w="1695"/>
        <w:gridCol w:w="1134"/>
        <w:gridCol w:w="1106"/>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2016 </w:t>
            </w:r>
          </w:p>
        </w:tc>
        <w:tc>
          <w:tcPr>
            <w:tcW w:w="139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Accumulated surplus/(deficit)</w:t>
            </w:r>
          </w:p>
        </w:tc>
        <w:tc>
          <w:tcPr>
            <w:tcW w:w="139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Contribution by owners</w:t>
            </w:r>
          </w:p>
        </w:tc>
        <w:tc>
          <w:tcPr>
            <w:tcW w:w="139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Non-controlling Interest</w:t>
            </w:r>
          </w:p>
        </w:tc>
        <w:tc>
          <w:tcPr>
            <w:tcW w:w="1638"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Non-financial assets revaluation surplus</w:t>
            </w:r>
          </w:p>
        </w:tc>
        <w:tc>
          <w:tcPr>
            <w:tcW w:w="1695"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Investment in other sector entities revaluation surplus</w:t>
            </w:r>
          </w:p>
        </w:tc>
        <w:tc>
          <w:tcPr>
            <w:tcW w:w="1134"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 xml:space="preserve">Other </w:t>
            </w:r>
            <w:r>
              <w:rPr>
                <w:rFonts w:eastAsiaTheme="minorEastAsia" w:cs="Calibri"/>
                <w:iCs/>
                <w:color w:val="FFFFFF"/>
                <w:szCs w:val="22"/>
                <w:lang w:eastAsia="en-AU"/>
              </w:rPr>
              <w:br/>
            </w:r>
            <w:r w:rsidRPr="0051349C">
              <w:rPr>
                <w:rFonts w:eastAsiaTheme="minorEastAsia" w:cs="Calibri"/>
                <w:iCs/>
                <w:color w:val="FFFFFF"/>
                <w:szCs w:val="22"/>
                <w:lang w:eastAsia="en-AU"/>
              </w:rPr>
              <w:t>reserves</w:t>
            </w:r>
          </w:p>
        </w:tc>
        <w:tc>
          <w:tcPr>
            <w:tcW w:w="1106"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2"/>
                <w:lang w:eastAsia="en-AU"/>
              </w:rPr>
            </w:pPr>
            <w:r w:rsidRPr="0051349C">
              <w:rPr>
                <w:rFonts w:eastAsiaTheme="minorEastAsia" w:cs="Calibri"/>
                <w:iCs/>
                <w:color w:val="FFFFFF"/>
                <w:szCs w:val="22"/>
                <w:lang w:eastAsia="en-AU"/>
              </w:rPr>
              <w:t>Total</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General government sector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21"/>
                <w:lang w:eastAsia="en-AU"/>
              </w:rPr>
            </w:pPr>
            <w:r w:rsidRPr="0051349C">
              <w:rPr>
                <w:rFonts w:eastAsiaTheme="minorEastAsia" w:cs="Calibri"/>
                <w:color w:val="000000"/>
                <w:szCs w:val="21"/>
                <w:lang w:eastAsia="en-AU"/>
              </w:rPr>
              <w:t xml:space="preserve">Balance at 1 July 2016 </w:t>
            </w:r>
            <w:r w:rsidRPr="0051349C">
              <w:rPr>
                <w:rFonts w:eastAsiaTheme="minorEastAsia" w:cs="Calibri"/>
                <w:color w:val="000000"/>
                <w:szCs w:val="21"/>
                <w:vertAlign w:val="superscript"/>
                <w:lang w:eastAsia="en-AU"/>
              </w:rPr>
              <w:t>(a)</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44 557</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49 613</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57 027</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551</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151 798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1 226</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1 226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3 035</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(89)</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644</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3 640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Transactions with owners in their capacity as owners</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(50)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vertAlign w:val="superscript"/>
                <w:lang w:eastAsia="en-AU"/>
              </w:rPr>
            </w:pPr>
            <w:r w:rsidRPr="0051349C">
              <w:rPr>
                <w:rFonts w:eastAsiaTheme="minorEastAsia" w:cs="Calibri"/>
                <w:b/>
                <w:bCs/>
                <w:color w:val="000000"/>
                <w:szCs w:val="22"/>
                <w:lang w:eastAsia="en-AU"/>
              </w:rPr>
              <w:t xml:space="preserve">Total equity as at 31 December 2016 </w:t>
            </w:r>
            <w:r w:rsidRPr="0051349C">
              <w:rPr>
                <w:rFonts w:eastAsiaTheme="minorEastAsia" w:cs="Calibri"/>
                <w:b/>
                <w:bCs/>
                <w:color w:val="000000"/>
                <w:szCs w:val="22"/>
                <w:vertAlign w:val="superscript"/>
                <w:lang w:eastAsia="en-AU"/>
              </w:rPr>
              <w:t>(a)</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48 817</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638"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49 524</w:t>
            </w:r>
          </w:p>
        </w:tc>
        <w:tc>
          <w:tcPr>
            <w:tcW w:w="16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57 671</w:t>
            </w:r>
          </w:p>
        </w:tc>
        <w:tc>
          <w:tcPr>
            <w:tcW w:w="1134"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602</w:t>
            </w:r>
          </w:p>
        </w:tc>
        <w:tc>
          <w:tcPr>
            <w:tcW w:w="1106"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156 614</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PNFC sector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Balance at 1 July 2016</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4 397</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52 166</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35 219</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451</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92 233</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(205)</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(205)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21</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17</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 xml:space="preserve">Transfer to/(from) accumulated surplus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(416)</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8 301</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(7 885)</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Dividends paid</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(122)</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(122)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Transactions with owners in their capacity as owners</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(7 167)</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(7 167)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equity as at 31 December 2016</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3 654</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53 300</w:t>
            </w:r>
          </w:p>
        </w:tc>
        <w:tc>
          <w:tcPr>
            <w:tcW w:w="13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638"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27 355</w:t>
            </w:r>
          </w:p>
        </w:tc>
        <w:tc>
          <w:tcPr>
            <w:tcW w:w="1695"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134"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468</w:t>
            </w:r>
          </w:p>
        </w:tc>
        <w:tc>
          <w:tcPr>
            <w:tcW w:w="1106" w:type="dxa"/>
            <w:tcBorders>
              <w:top w:val="single" w:sz="6" w:space="0" w:color="000000"/>
              <w:left w:val="nil"/>
              <w:bottom w:val="single" w:sz="12" w:space="0" w:color="000000"/>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84 777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PFC sector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 xml:space="preserve"> </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Balance at 1 July 2016</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(3 849)</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29</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2</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40</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(3 778)</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Net result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4 075</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4 075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Other comprehensive income for the year</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(3)</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4</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Dividends paid</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(157)</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3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95"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34"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106" w:type="dxa"/>
            <w:tcBorders>
              <w:top w:val="nil"/>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(157)</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b/>
                <w:bCs/>
                <w:color w:val="000000"/>
                <w:szCs w:val="22"/>
                <w:lang w:eastAsia="en-AU"/>
              </w:rPr>
            </w:pPr>
            <w:r w:rsidRPr="0051349C">
              <w:rPr>
                <w:rFonts w:eastAsiaTheme="minorEastAsia" w:cs="Calibri"/>
                <w:b/>
                <w:bCs/>
                <w:color w:val="000000"/>
                <w:szCs w:val="22"/>
                <w:lang w:eastAsia="en-AU"/>
              </w:rPr>
              <w:t>Total equity as at 31 December 2016</w:t>
            </w:r>
          </w:p>
        </w:tc>
        <w:tc>
          <w:tcPr>
            <w:tcW w:w="1395"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65</w:t>
            </w:r>
          </w:p>
        </w:tc>
        <w:tc>
          <w:tcPr>
            <w:tcW w:w="1395"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29</w:t>
            </w:r>
          </w:p>
        </w:tc>
        <w:tc>
          <w:tcPr>
            <w:tcW w:w="1395"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638"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2</w:t>
            </w:r>
          </w:p>
        </w:tc>
        <w:tc>
          <w:tcPr>
            <w:tcW w:w="1695"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51349C">
              <w:rPr>
                <w:rFonts w:eastAsiaTheme="minorEastAsia" w:cs="Calibri"/>
                <w:b/>
                <w:bCs/>
                <w:color w:val="000000"/>
                <w:szCs w:val="22"/>
                <w:lang w:eastAsia="en-AU"/>
              </w:rPr>
              <w:t>..</w:t>
            </w:r>
          </w:p>
        </w:tc>
        <w:tc>
          <w:tcPr>
            <w:tcW w:w="1134"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44</w:t>
            </w:r>
          </w:p>
        </w:tc>
        <w:tc>
          <w:tcPr>
            <w:tcW w:w="1106" w:type="dxa"/>
            <w:tcBorders>
              <w:top w:val="single" w:sz="6"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Pr>
                <w:rFonts w:eastAsiaTheme="minorEastAsia" w:cs="Calibri"/>
                <w:b/>
                <w:bCs/>
                <w:color w:val="000000"/>
                <w:szCs w:val="22"/>
                <w:lang w:eastAsia="en-AU"/>
              </w:rPr>
              <w:t>140</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4819"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rPr>
                <w:rFonts w:eastAsiaTheme="minorEastAsia" w:cs="Calibri"/>
                <w:color w:val="000000"/>
                <w:szCs w:val="22"/>
                <w:lang w:eastAsia="en-AU"/>
              </w:rPr>
            </w:pPr>
            <w:r w:rsidRPr="0051349C">
              <w:rPr>
                <w:rFonts w:eastAsiaTheme="minorEastAsia" w:cs="Calibri"/>
                <w:color w:val="000000"/>
                <w:szCs w:val="22"/>
                <w:lang w:eastAsia="en-AU"/>
              </w:rPr>
              <w:t>Eliminations</w:t>
            </w:r>
          </w:p>
        </w:tc>
        <w:tc>
          <w:tcPr>
            <w:tcW w:w="1395"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20 304</w:t>
            </w:r>
          </w:p>
        </w:tc>
        <w:tc>
          <w:tcPr>
            <w:tcW w:w="1395"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(53 328)</w:t>
            </w:r>
          </w:p>
        </w:tc>
        <w:tc>
          <w:tcPr>
            <w:tcW w:w="1395"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Pr>
                <w:rFonts w:eastAsiaTheme="minorEastAsia" w:cs="Calibri"/>
                <w:color w:val="000000"/>
                <w:szCs w:val="22"/>
                <w:lang w:eastAsia="en-AU"/>
              </w:rPr>
              <w:t>..</w:t>
            </w:r>
          </w:p>
        </w:tc>
        <w:tc>
          <w:tcPr>
            <w:tcW w:w="1638"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10 120</w:t>
            </w:r>
          </w:p>
        </w:tc>
        <w:tc>
          <w:tcPr>
            <w:tcW w:w="1695"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(57 671)</w:t>
            </w:r>
          </w:p>
        </w:tc>
        <w:tc>
          <w:tcPr>
            <w:tcW w:w="1134"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w:t>
            </w:r>
          </w:p>
        </w:tc>
        <w:tc>
          <w:tcPr>
            <w:tcW w:w="1106" w:type="dxa"/>
            <w:tcBorders>
              <w:top w:val="single" w:sz="12" w:space="0" w:color="000000"/>
              <w:left w:val="nil"/>
              <w:bottom w:val="nil"/>
              <w:right w:val="nil"/>
            </w:tcBorders>
            <w:shd w:val="solid" w:color="FFFFFF" w:fill="auto"/>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51349C">
              <w:rPr>
                <w:rFonts w:eastAsiaTheme="minorEastAsia" w:cs="Calibri"/>
                <w:color w:val="000000"/>
                <w:szCs w:val="22"/>
                <w:lang w:eastAsia="en-AU"/>
              </w:rPr>
              <w:t>(80 576)</w:t>
            </w:r>
          </w:p>
        </w:tc>
      </w:tr>
      <w:tr w:rsidR="00F20535" w:rsidRPr="0051349C" w:rsidTr="007A2E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rPr>
                <w:rFonts w:eastAsiaTheme="minorEastAsia" w:cs="Calibri"/>
                <w:color w:val="000000"/>
                <w:szCs w:val="22"/>
                <w:vertAlign w:val="superscript"/>
                <w:lang w:eastAsia="en-AU"/>
              </w:rPr>
            </w:pPr>
            <w:r w:rsidRPr="0051349C">
              <w:rPr>
                <w:rFonts w:eastAsiaTheme="minorEastAsia" w:cs="Calibri"/>
                <w:color w:val="000000"/>
                <w:szCs w:val="22"/>
                <w:lang w:eastAsia="en-AU"/>
              </w:rPr>
              <w:t xml:space="preserve">Total State of Victoria </w:t>
            </w:r>
            <w:r w:rsidRPr="0051349C">
              <w:rPr>
                <w:rFonts w:eastAsiaTheme="minorEastAsia" w:cs="Calibri"/>
                <w:color w:val="000000"/>
                <w:szCs w:val="22"/>
                <w:vertAlign w:val="superscript"/>
                <w:lang w:eastAsia="en-AU"/>
              </w:rPr>
              <w:t>(a)</w:t>
            </w:r>
          </w:p>
        </w:tc>
        <w:tc>
          <w:tcPr>
            <w:tcW w:w="1395"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72 840</w:t>
            </w:r>
          </w:p>
        </w:tc>
        <w:tc>
          <w:tcPr>
            <w:tcW w:w="1395"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w:t>
            </w:r>
          </w:p>
        </w:tc>
        <w:tc>
          <w:tcPr>
            <w:tcW w:w="1395"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w:t>
            </w:r>
          </w:p>
        </w:tc>
        <w:tc>
          <w:tcPr>
            <w:tcW w:w="1638"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87 001</w:t>
            </w:r>
          </w:p>
        </w:tc>
        <w:tc>
          <w:tcPr>
            <w:tcW w:w="1695"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Pr>
                <w:rFonts w:eastAsiaTheme="minorEastAsia" w:cs="Calibri"/>
                <w:bCs/>
                <w:color w:val="000000"/>
                <w:szCs w:val="22"/>
                <w:lang w:eastAsia="en-AU"/>
              </w:rPr>
              <w:t>..</w:t>
            </w:r>
          </w:p>
        </w:tc>
        <w:tc>
          <w:tcPr>
            <w:tcW w:w="1134"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1 114</w:t>
            </w:r>
          </w:p>
        </w:tc>
        <w:tc>
          <w:tcPr>
            <w:tcW w:w="1106" w:type="dxa"/>
            <w:tcBorders>
              <w:top w:val="single" w:sz="6" w:space="0" w:color="000000"/>
              <w:bottom w:val="single" w:sz="12" w:space="0" w:color="000000"/>
            </w:tcBorders>
            <w:shd w:val="solid" w:color="FFFFFF" w:fill="auto"/>
          </w:tcPr>
          <w:p w:rsidR="00F20535" w:rsidRPr="0051349C" w:rsidRDefault="00F20535" w:rsidP="007A2EDF">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22"/>
                <w:lang w:eastAsia="en-AU"/>
              </w:rPr>
            </w:pPr>
            <w:r w:rsidRPr="0051349C">
              <w:rPr>
                <w:rFonts w:eastAsiaTheme="minorEastAsia" w:cs="Calibri"/>
                <w:bCs/>
                <w:color w:val="000000"/>
                <w:szCs w:val="22"/>
                <w:lang w:eastAsia="en-AU"/>
              </w:rPr>
              <w:t>160 955</w:t>
            </w:r>
          </w:p>
        </w:tc>
      </w:tr>
    </w:tbl>
    <w:p w:rsidR="00F20535" w:rsidRPr="00EF091A" w:rsidRDefault="00F20535" w:rsidP="007A2EDF">
      <w:pPr>
        <w:pStyle w:val="Note"/>
        <w:rPr>
          <w:bCs/>
          <w:lang w:val="en-US"/>
        </w:rPr>
      </w:pPr>
      <w:r>
        <w:t>Note:</w:t>
      </w:r>
    </w:p>
    <w:p w:rsidR="00F20535" w:rsidRDefault="00F20535" w:rsidP="000C30FB">
      <w:pPr>
        <w:pStyle w:val="Note"/>
        <w:rPr>
          <w:i w:val="0"/>
        </w:rPr>
      </w:pPr>
      <w:r>
        <w:t>(a)</w:t>
      </w:r>
      <w:r>
        <w:tab/>
        <w:t xml:space="preserve">December </w:t>
      </w:r>
      <w:r w:rsidRPr="005E1C50">
        <w:t xml:space="preserve">2016 comparative figures </w:t>
      </w:r>
      <w:r>
        <w:t>have been restated to reflect a subsequent</w:t>
      </w:r>
      <w:r w:rsidRPr="005E1C50">
        <w:t xml:space="preserve"> adjustment to the Department of Environment, Land, Water and Planning</w:t>
      </w:r>
      <w:r w:rsidR="007F4ECD">
        <w:t>’</w:t>
      </w:r>
      <w:r w:rsidRPr="005E1C50">
        <w:t>s intangible produced assets and opening accumulated surplus</w:t>
      </w:r>
      <w:r>
        <w:t>/</w:t>
      </w:r>
      <w:r w:rsidRPr="005E1C50">
        <w:t xml:space="preserve">(deficit) balances due to the first-time recognition </w:t>
      </w:r>
      <w:r>
        <w:t xml:space="preserve">of Renewable Energy Certificates in 2016-17. </w:t>
      </w:r>
    </w:p>
    <w:p w:rsidR="00F20535" w:rsidRDefault="00F20535" w:rsidP="000C30FB"/>
    <w:p w:rsidR="00F20535" w:rsidRDefault="00F20535" w:rsidP="000C30FB">
      <w:pPr>
        <w:sectPr w:rsidR="00F20535" w:rsidSect="000C30FB">
          <w:headerReference w:type="even" r:id="rId84"/>
          <w:headerReference w:type="default" r:id="rId85"/>
          <w:footerReference w:type="even" r:id="rId86"/>
          <w:footerReference w:type="default" r:id="rId87"/>
          <w:pgSz w:w="16839" w:h="11907" w:orient="landscape" w:code="9"/>
          <w:pgMar w:top="1134" w:right="1134" w:bottom="1134" w:left="1134" w:header="624" w:footer="567" w:gutter="0"/>
          <w:cols w:sep="1" w:space="567"/>
          <w:docGrid w:linePitch="360"/>
        </w:sectPr>
      </w:pPr>
    </w:p>
    <w:p w:rsidR="00F20535" w:rsidRPr="009C4BB3" w:rsidRDefault="00F20535" w:rsidP="007A2EDF">
      <w:pPr>
        <w:pStyle w:val="Heading2"/>
        <w:numPr>
          <w:ilvl w:val="1"/>
          <w:numId w:val="22"/>
        </w:numPr>
        <w:rPr>
          <w:bCs/>
          <w:lang w:val="en-US"/>
        </w:rPr>
      </w:pPr>
      <w:bookmarkStart w:id="114" w:name="_Toc505587034"/>
      <w:bookmarkStart w:id="115" w:name="_Toc473541501"/>
      <w:r w:rsidRPr="00853B59">
        <w:t>Other gains/(losses) from other economic flows</w:t>
      </w:r>
      <w:bookmarkEnd w:id="114"/>
    </w:p>
    <w:p w:rsidR="00F20535" w:rsidRPr="0051349C" w:rsidRDefault="00F20535" w:rsidP="007A2EDF">
      <w:pPr>
        <w:pStyle w:val="TableUnits"/>
        <w:rPr>
          <w:rFonts w:eastAsia="Times New Roman" w:cs="Times New Roman"/>
          <w:bCs/>
          <w:lang w:val="en-US"/>
        </w:rPr>
      </w:pPr>
      <w:r w:rsidRPr="00853B59">
        <w:t>($</w:t>
      </w:r>
      <w:r>
        <w:t> million</w:t>
      </w:r>
      <w:r w:rsidRPr="00853B59">
        <w:t>)</w:t>
      </w:r>
      <w:bookmarkEnd w:id="115"/>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6009"/>
        <w:gridCol w:w="907"/>
        <w:gridCol w:w="907"/>
        <w:gridCol w:w="907"/>
        <w:gridCol w:w="907"/>
      </w:tblGrid>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State of Victoria</w:t>
            </w:r>
          </w:p>
        </w:tc>
        <w:tc>
          <w:tcPr>
            <w:tcW w:w="1814" w:type="dxa"/>
            <w:gridSpan w:val="2"/>
            <w:tcBorders>
              <w:top w:val="nil"/>
              <w:left w:val="nil"/>
              <w:bottom w:val="nil"/>
              <w:right w:val="nil"/>
            </w:tcBorders>
            <w:shd w:val="solid" w:color="000000" w:fill="auto"/>
          </w:tcPr>
          <w:p w:rsidR="00F20535" w:rsidRPr="0051349C"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 xml:space="preserve">General </w:t>
            </w:r>
            <w:r>
              <w:rPr>
                <w:rFonts w:eastAsiaTheme="minorEastAsia" w:cs="Calibri"/>
                <w:iCs/>
                <w:color w:val="FFFFFF"/>
                <w:szCs w:val="16"/>
                <w:lang w:eastAsia="en-AU"/>
              </w:rPr>
              <w:br/>
            </w:r>
            <w:r w:rsidRPr="0051349C">
              <w:rPr>
                <w:rFonts w:eastAsiaTheme="minorEastAsia" w:cs="Calibri"/>
                <w:iCs/>
                <w:color w:val="FFFFFF"/>
                <w:szCs w:val="16"/>
                <w:lang w:eastAsia="en-AU"/>
              </w:rPr>
              <w:t>government sector</w:t>
            </w:r>
          </w:p>
        </w:tc>
      </w:tr>
      <w:tr w:rsidR="00F20535" w:rsidRPr="0051349C"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shd w:val="solid" w:color="000000" w:fill="auto"/>
          </w:tcPr>
          <w:p w:rsidR="00F20535" w:rsidRPr="0051349C" w:rsidRDefault="00F20535" w:rsidP="007A2EDF">
            <w:pPr>
              <w:autoSpaceDE w:val="0"/>
              <w:autoSpaceDN w:val="0"/>
              <w:adjustRightInd w:val="0"/>
              <w:rPr>
                <w:rFonts w:eastAsiaTheme="minorEastAsia" w:cs="Calibri"/>
                <w:iCs/>
                <w:color w:val="FFFFFF"/>
                <w:szCs w:val="22"/>
                <w:lang w:eastAsia="en-AU"/>
              </w:rPr>
            </w:pPr>
            <w:r w:rsidRPr="0051349C">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2017</w:t>
            </w:r>
          </w:p>
        </w:tc>
        <w:tc>
          <w:tcPr>
            <w:tcW w:w="907" w:type="dxa"/>
            <w:tcBorders>
              <w:top w:val="nil"/>
              <w:left w:val="nil"/>
              <w:bottom w:val="nil"/>
              <w:right w:val="nil"/>
            </w:tcBorders>
            <w:shd w:val="solid" w:color="000000" w:fill="auto"/>
          </w:tcPr>
          <w:p w:rsidR="00F20535" w:rsidRPr="0051349C"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51349C">
              <w:rPr>
                <w:rFonts w:eastAsiaTheme="minorEastAsia" w:cs="Calibri"/>
                <w:iCs/>
                <w:color w:val="FFFFFF"/>
                <w:szCs w:val="16"/>
                <w:lang w:eastAsia="en-AU"/>
              </w:rPr>
              <w:t>2016</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(increase)/decrease in provision for doubtful receivables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(121)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(162)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(120)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(162)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Amortisation of intangible non-produced assets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Net swap interest revenue/(expense)</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Bad debts written off</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(43)</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(49)</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nil"/>
              <w:left w:val="nil"/>
              <w:bottom w:val="nil"/>
              <w:right w:val="nil"/>
            </w:tcBorders>
          </w:tcPr>
          <w:p w:rsidR="00F20535" w:rsidRPr="0051349C" w:rsidRDefault="00F20535" w:rsidP="007A2EDF">
            <w:pPr>
              <w:autoSpaceDE w:val="0"/>
              <w:autoSpaceDN w:val="0"/>
              <w:adjustRightInd w:val="0"/>
              <w:rPr>
                <w:rFonts w:eastAsiaTheme="minorEastAsia" w:cs="Calibri"/>
                <w:color w:val="000000"/>
                <w:szCs w:val="16"/>
                <w:lang w:eastAsia="en-AU"/>
              </w:rPr>
            </w:pPr>
            <w:r w:rsidRPr="0051349C">
              <w:rPr>
                <w:rFonts w:eastAsiaTheme="minorEastAsia" w:cs="Calibri"/>
                <w:color w:val="000000"/>
                <w:szCs w:val="16"/>
                <w:lang w:eastAsia="en-AU"/>
              </w:rPr>
              <w:t>Other gains/(losses)</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558</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51349C">
              <w:rPr>
                <w:rFonts w:eastAsiaTheme="minorEastAsia" w:cs="Calibri"/>
                <w:color w:val="000000"/>
                <w:szCs w:val="16"/>
                <w:lang w:eastAsia="en-AU"/>
              </w:rPr>
              <w:t>2 620</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24</w:t>
            </w:r>
          </w:p>
        </w:tc>
        <w:tc>
          <w:tcPr>
            <w:tcW w:w="907" w:type="dxa"/>
            <w:tcBorders>
              <w:top w:val="nil"/>
              <w:left w:val="nil"/>
              <w:bottom w:val="nil"/>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25</w:t>
            </w:r>
          </w:p>
        </w:tc>
      </w:tr>
      <w:tr w:rsidR="00F20535" w:rsidRPr="0051349C" w:rsidTr="007A2EDF">
        <w:tc>
          <w:tcPr>
            <w:cnfStyle w:val="001000000000" w:firstRow="0" w:lastRow="0" w:firstColumn="1" w:lastColumn="0" w:oddVBand="0" w:evenVBand="0" w:oddHBand="0" w:evenHBand="0" w:firstRowFirstColumn="0" w:firstRowLastColumn="0" w:lastRowFirstColumn="0" w:lastRowLastColumn="0"/>
            <w:tcW w:w="6009"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rPr>
                <w:rFonts w:eastAsiaTheme="minorEastAsia" w:cs="Calibri"/>
                <w:b/>
                <w:bCs/>
                <w:color w:val="000000"/>
                <w:szCs w:val="16"/>
                <w:lang w:eastAsia="en-AU"/>
              </w:rPr>
            </w:pPr>
            <w:r w:rsidRPr="0051349C">
              <w:rPr>
                <w:rFonts w:eastAsiaTheme="minorEastAsia" w:cs="Calibri"/>
                <w:b/>
                <w:bCs/>
                <w:color w:val="000000"/>
                <w:szCs w:val="16"/>
                <w:lang w:eastAsia="en-AU"/>
              </w:rPr>
              <w:t>Total other gains/(losses) from other economic flows</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371</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51349C">
              <w:rPr>
                <w:rFonts w:eastAsiaTheme="minorEastAsia" w:cs="Calibri"/>
                <w:b/>
                <w:bCs/>
                <w:color w:val="000000"/>
                <w:szCs w:val="16"/>
                <w:lang w:eastAsia="en-AU"/>
              </w:rPr>
              <w:t>2 380</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(141)</w:t>
            </w:r>
          </w:p>
        </w:tc>
        <w:tc>
          <w:tcPr>
            <w:tcW w:w="907" w:type="dxa"/>
            <w:tcBorders>
              <w:top w:val="single" w:sz="6" w:space="0" w:color="000000"/>
              <w:left w:val="nil"/>
              <w:bottom w:val="single" w:sz="12" w:space="0" w:color="000000"/>
              <w:right w:val="nil"/>
            </w:tcBorders>
          </w:tcPr>
          <w:p w:rsidR="00F20535" w:rsidRPr="0051349C"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(187)</w:t>
            </w:r>
          </w:p>
        </w:tc>
      </w:tr>
    </w:tbl>
    <w:p w:rsidR="00F20535" w:rsidRPr="00F00E15" w:rsidRDefault="00F20535" w:rsidP="007A2EDF">
      <w:pPr>
        <w:pStyle w:val="TableUnits"/>
        <w:rPr>
          <w:lang w:val="en-US"/>
        </w:rPr>
      </w:pPr>
    </w:p>
    <w:p w:rsidR="00F20535" w:rsidRDefault="00F20535" w:rsidP="000C30FB">
      <w:pPr>
        <w:pStyle w:val="Note"/>
      </w:pPr>
    </w:p>
    <w:p w:rsidR="00F20535" w:rsidRDefault="00F20535" w:rsidP="000C30FB">
      <w:pPr>
        <w:pStyle w:val="Note"/>
      </w:pPr>
    </w:p>
    <w:p w:rsidR="00F20535" w:rsidRDefault="00F20535" w:rsidP="007A2EDF">
      <w:pPr>
        <w:pStyle w:val="Heading2"/>
        <w:keepNext w:val="0"/>
        <w:numPr>
          <w:ilvl w:val="1"/>
          <w:numId w:val="22"/>
        </w:numPr>
        <w:ind w:left="619" w:hanging="619"/>
        <w:sectPr w:rsidR="00F20535" w:rsidSect="00A13F11">
          <w:footerReference w:type="even" r:id="rId88"/>
          <w:footerReference w:type="default" r:id="rId89"/>
          <w:type w:val="continuous"/>
          <w:pgSz w:w="11906" w:h="16838" w:code="9"/>
          <w:pgMar w:top="1134" w:right="1134" w:bottom="1134" w:left="1134" w:header="624" w:footer="567" w:gutter="0"/>
          <w:cols w:sep="1" w:space="567"/>
          <w:docGrid w:linePitch="360"/>
        </w:sectPr>
      </w:pPr>
      <w:bookmarkStart w:id="116" w:name="_Toc505587035"/>
      <w:r w:rsidRPr="00CB5C8B">
        <w:t>Controlled entities</w:t>
      </w:r>
      <w:bookmarkEnd w:id="116"/>
    </w:p>
    <w:p w:rsidR="00F20535" w:rsidRDefault="00F20535" w:rsidP="007A2EDF">
      <w:r>
        <w:t xml:space="preserve">Note 9.8 </w:t>
      </w:r>
      <w:r w:rsidRPr="00E012A3">
        <w:rPr>
          <w:i/>
        </w:rPr>
        <w:t>Controlled entities</w:t>
      </w:r>
      <w:r>
        <w:t xml:space="preserve"> in the </w:t>
      </w:r>
      <w:r w:rsidRPr="00CB5C8B">
        <w:rPr>
          <w:i/>
        </w:rPr>
        <w:t>2016-17 Financial Report</w:t>
      </w:r>
      <w:r>
        <w:t xml:space="preserve"> for the State of Victoria contains a list of significant controlled entities, which have been consolidated for the purposes of the financial report. </w:t>
      </w:r>
    </w:p>
    <w:p w:rsidR="00F20535" w:rsidRDefault="00F20535" w:rsidP="007A2EDF">
      <w:pPr>
        <w:sectPr w:rsidR="00F20535" w:rsidSect="007A2EDF">
          <w:type w:val="continuous"/>
          <w:pgSz w:w="11906" w:h="16838" w:code="9"/>
          <w:pgMar w:top="1134" w:right="1134" w:bottom="1134" w:left="1134" w:header="624" w:footer="567" w:gutter="0"/>
          <w:cols w:num="2" w:space="562"/>
          <w:docGrid w:linePitch="360"/>
        </w:sectPr>
      </w:pPr>
      <w:r>
        <w:t xml:space="preserve">The following are changes from 1 July 2017, of general government sector and public non-financial corporation entities, which have been consolidated for the purposes of the financial report: </w:t>
      </w:r>
    </w:p>
    <w:p w:rsidR="00F20535" w:rsidRDefault="00F20535" w:rsidP="007A2EDF">
      <w:pPr>
        <w:pStyle w:val="TableUnits"/>
      </w:pPr>
    </w:p>
    <w:tbl>
      <w:tblPr>
        <w:tblStyle w:val="DTFTable"/>
        <w:tblW w:w="9850" w:type="dxa"/>
        <w:tblLayout w:type="fixed"/>
        <w:tblCellMar>
          <w:left w:w="113" w:type="dxa"/>
          <w:right w:w="198" w:type="dxa"/>
        </w:tblCellMar>
        <w:tblLook w:val="0680" w:firstRow="0" w:lastRow="0" w:firstColumn="1" w:lastColumn="0" w:noHBand="1" w:noVBand="1"/>
      </w:tblPr>
      <w:tblGrid>
        <w:gridCol w:w="4945"/>
        <w:gridCol w:w="4905"/>
      </w:tblGrid>
      <w:tr w:rsidR="00F20535" w:rsidRPr="0029647E" w:rsidTr="007A2EDF">
        <w:trPr>
          <w:trHeight w:val="17"/>
        </w:trPr>
        <w:tc>
          <w:tcPr>
            <w:cnfStyle w:val="001000000000" w:firstRow="0" w:lastRow="0" w:firstColumn="1" w:lastColumn="0" w:oddVBand="0" w:evenVBand="0" w:oddHBand="0" w:evenHBand="0" w:firstRowFirstColumn="0" w:firstRowLastColumn="0" w:lastRowFirstColumn="0" w:lastRowLastColumn="0"/>
            <w:tcW w:w="9850" w:type="dxa"/>
            <w:gridSpan w:val="2"/>
          </w:tcPr>
          <w:p w:rsidR="00F20535" w:rsidRPr="0029647E" w:rsidRDefault="00F20535" w:rsidP="007A2EDF">
            <w:pPr>
              <w:pStyle w:val="ControlledEntitiesSector"/>
              <w:keepNext/>
            </w:pPr>
            <w:r w:rsidRPr="0029647E">
              <w:t>General government</w:t>
            </w:r>
          </w:p>
        </w:tc>
      </w:tr>
      <w:tr w:rsidR="00F20535" w:rsidRPr="0029647E" w:rsidTr="007A2EDF">
        <w:tc>
          <w:tcPr>
            <w:cnfStyle w:val="001000000000" w:firstRow="0" w:lastRow="0" w:firstColumn="1" w:lastColumn="0" w:oddVBand="0" w:evenVBand="0" w:oddHBand="0" w:evenHBand="0" w:firstRowFirstColumn="0" w:firstRowLastColumn="0" w:lastRowFirstColumn="0" w:lastRowLastColumn="0"/>
            <w:tcW w:w="4945" w:type="dxa"/>
          </w:tcPr>
          <w:p w:rsidR="00F20535" w:rsidRPr="0029647E" w:rsidRDefault="00F20535" w:rsidP="007A2EDF">
            <w:pPr>
              <w:pStyle w:val="ControlledEntitiesDepartment"/>
              <w:keepNext/>
            </w:pPr>
            <w:r w:rsidRPr="0029647E">
              <w:t>Department of Health and Human Services</w:t>
            </w:r>
          </w:p>
          <w:p w:rsidR="00F20535" w:rsidRDefault="00F20535" w:rsidP="007A2EDF">
            <w:pPr>
              <w:keepNext/>
              <w:ind w:left="0" w:firstLine="0"/>
              <w:rPr>
                <w:vertAlign w:val="superscript"/>
              </w:rPr>
            </w:pPr>
            <w:r>
              <w:t xml:space="preserve">Corryong Health </w:t>
            </w:r>
            <w:r w:rsidRPr="00C03B5D">
              <w:rPr>
                <w:vertAlign w:val="superscript"/>
              </w:rPr>
              <w:t>(a)</w:t>
            </w:r>
          </w:p>
          <w:p w:rsidR="00F20535" w:rsidRPr="0029647E" w:rsidRDefault="00F20535" w:rsidP="007A2EDF">
            <w:pPr>
              <w:pStyle w:val="ControlledEntitiesDepartment"/>
              <w:keepNext/>
            </w:pPr>
            <w:r w:rsidRPr="0029647E">
              <w:t xml:space="preserve">Department of </w:t>
            </w:r>
            <w:r>
              <w:t>Premier and Cabinet</w:t>
            </w:r>
          </w:p>
          <w:p w:rsidR="00F20535" w:rsidRPr="0029647E" w:rsidRDefault="00F20535" w:rsidP="007A2EDF">
            <w:pPr>
              <w:keepNext/>
              <w:ind w:left="0" w:firstLine="0"/>
            </w:pPr>
            <w:r>
              <w:t xml:space="preserve">Victorian Information Commissioner </w:t>
            </w:r>
            <w:r>
              <w:rPr>
                <w:vertAlign w:val="superscript"/>
              </w:rPr>
              <w:t>(b</w:t>
            </w:r>
            <w:r w:rsidRPr="00C03B5D">
              <w:rPr>
                <w:vertAlign w:val="superscript"/>
              </w:rPr>
              <w:t>)</w:t>
            </w:r>
          </w:p>
        </w:tc>
        <w:tc>
          <w:tcPr>
            <w:tcW w:w="4905" w:type="dxa"/>
          </w:tcPr>
          <w:p w:rsidR="00F20535" w:rsidRPr="0029647E" w:rsidRDefault="00F20535" w:rsidP="007A2EDF">
            <w:pPr>
              <w:pStyle w:val="ControlledEntitiesDepartment"/>
              <w:keepNext/>
              <w:jc w:val="left"/>
              <w:cnfStyle w:val="000000000000" w:firstRow="0" w:lastRow="0" w:firstColumn="0" w:lastColumn="0" w:oddVBand="0" w:evenVBand="0" w:oddHBand="0" w:evenHBand="0" w:firstRowFirstColumn="0" w:firstRowLastColumn="0" w:lastRowFirstColumn="0" w:lastRowLastColumn="0"/>
            </w:pPr>
            <w:r w:rsidRPr="0029647E">
              <w:t>Department of Economic Development, Jobs, Transport and Resources</w:t>
            </w:r>
          </w:p>
          <w:p w:rsidR="00F20535" w:rsidRPr="0029647E" w:rsidRDefault="00F20535" w:rsidP="007A2EDF">
            <w:pPr>
              <w:keepNext/>
              <w:jc w:val="left"/>
              <w:cnfStyle w:val="000000000000" w:firstRow="0" w:lastRow="0" w:firstColumn="0" w:lastColumn="0" w:oddVBand="0" w:evenVBand="0" w:oddHBand="0" w:evenHBand="0" w:firstRowFirstColumn="0" w:firstRowLastColumn="0" w:lastRowFirstColumn="0" w:lastRowLastColumn="0"/>
            </w:pPr>
            <w:r>
              <w:t>Victorian Fisheries Authority</w:t>
            </w:r>
            <w:r w:rsidRPr="0029647E">
              <w:t xml:space="preserve"> </w:t>
            </w:r>
            <w:r w:rsidRPr="0029647E">
              <w:rPr>
                <w:vertAlign w:val="superscript"/>
              </w:rPr>
              <w:t>(c)</w:t>
            </w:r>
          </w:p>
          <w:p w:rsidR="00F20535" w:rsidRPr="0029647E" w:rsidRDefault="00F20535" w:rsidP="007A2EDF">
            <w:pPr>
              <w:pStyle w:val="ControlledEntitiesDepartment"/>
              <w:keepNext/>
              <w:jc w:val="left"/>
              <w:cnfStyle w:val="000000000000" w:firstRow="0" w:lastRow="0" w:firstColumn="0" w:lastColumn="0" w:oddVBand="0" w:evenVBand="0" w:oddHBand="0" w:evenHBand="0" w:firstRowFirstColumn="0" w:firstRowLastColumn="0" w:lastRowFirstColumn="0" w:lastRowLastColumn="0"/>
            </w:pPr>
            <w:r>
              <w:t>Courts</w:t>
            </w:r>
          </w:p>
          <w:p w:rsidR="00F20535" w:rsidRPr="0029647E" w:rsidRDefault="00F20535" w:rsidP="007A2EDF">
            <w:pPr>
              <w:keepNext/>
              <w:jc w:val="left"/>
              <w:cnfStyle w:val="000000000000" w:firstRow="0" w:lastRow="0" w:firstColumn="0" w:lastColumn="0" w:oddVBand="0" w:evenVBand="0" w:oddHBand="0" w:evenHBand="0" w:firstRowFirstColumn="0" w:firstRowLastColumn="0" w:lastRowFirstColumn="0" w:lastRowLastColumn="0"/>
            </w:pPr>
            <w:r>
              <w:t>Judicial Commission of Victoria</w:t>
            </w:r>
            <w:r w:rsidRPr="0029647E">
              <w:t xml:space="preserve"> </w:t>
            </w:r>
            <w:r>
              <w:rPr>
                <w:vertAlign w:val="superscript"/>
              </w:rPr>
              <w:t>(d</w:t>
            </w:r>
            <w:r w:rsidRPr="0029647E">
              <w:rPr>
                <w:vertAlign w:val="superscript"/>
              </w:rPr>
              <w:t>)</w:t>
            </w:r>
          </w:p>
          <w:p w:rsidR="00F20535" w:rsidRPr="00D66888" w:rsidRDefault="00F20535" w:rsidP="007A2EDF">
            <w:pPr>
              <w:keepNext/>
              <w:jc w:val="left"/>
              <w:cnfStyle w:val="000000000000" w:firstRow="0" w:lastRow="0" w:firstColumn="0" w:lastColumn="0" w:oddVBand="0" w:evenVBand="0" w:oddHBand="0" w:evenHBand="0" w:firstRowFirstColumn="0" w:firstRowLastColumn="0" w:lastRowFirstColumn="0" w:lastRowLastColumn="0"/>
              <w:rPr>
                <w:vertAlign w:val="superscript"/>
              </w:rPr>
            </w:pPr>
          </w:p>
        </w:tc>
      </w:tr>
      <w:tr w:rsidR="00F20535" w:rsidRPr="0029647E" w:rsidTr="007A2EDF">
        <w:tc>
          <w:tcPr>
            <w:cnfStyle w:val="001000000000" w:firstRow="0" w:lastRow="0" w:firstColumn="1" w:lastColumn="0" w:oddVBand="0" w:evenVBand="0" w:oddHBand="0" w:evenHBand="0" w:firstRowFirstColumn="0" w:firstRowLastColumn="0" w:lastRowFirstColumn="0" w:lastRowLastColumn="0"/>
            <w:tcW w:w="9850" w:type="dxa"/>
            <w:gridSpan w:val="2"/>
          </w:tcPr>
          <w:p w:rsidR="00F20535" w:rsidRPr="0029647E" w:rsidRDefault="00F20535" w:rsidP="007A2EDF">
            <w:pPr>
              <w:pStyle w:val="ControlledEntitiesSector"/>
              <w:keepNext/>
            </w:pPr>
            <w:r w:rsidRPr="0029647E">
              <w:t>Public non-financial corporation</w:t>
            </w:r>
          </w:p>
        </w:tc>
      </w:tr>
      <w:tr w:rsidR="00F20535" w:rsidRPr="0029647E" w:rsidTr="007A2EDF">
        <w:trPr>
          <w:trHeight w:val="659"/>
        </w:trPr>
        <w:tc>
          <w:tcPr>
            <w:cnfStyle w:val="001000000000" w:firstRow="0" w:lastRow="0" w:firstColumn="1" w:lastColumn="0" w:oddVBand="0" w:evenVBand="0" w:oddHBand="0" w:evenHBand="0" w:firstRowFirstColumn="0" w:firstRowLastColumn="0" w:lastRowFirstColumn="0" w:lastRowLastColumn="0"/>
            <w:tcW w:w="4945" w:type="dxa"/>
          </w:tcPr>
          <w:p w:rsidR="00F20535" w:rsidRPr="0029647E" w:rsidRDefault="00F20535" w:rsidP="007A2EDF">
            <w:pPr>
              <w:pStyle w:val="ControlledEntitiesDepartment"/>
              <w:keepNext/>
            </w:pPr>
            <w:r w:rsidRPr="0029647E">
              <w:t>Department of Health and Human Services</w:t>
            </w:r>
          </w:p>
          <w:p w:rsidR="00F20535" w:rsidRPr="0029647E" w:rsidRDefault="00F20535" w:rsidP="007A2EDF">
            <w:pPr>
              <w:keepNext/>
              <w:ind w:left="0" w:firstLine="0"/>
            </w:pPr>
            <w:r w:rsidRPr="00D2601D">
              <w:t>Queen Victoria Women</w:t>
            </w:r>
            <w:r w:rsidR="007F4ECD">
              <w:t>’</w:t>
            </w:r>
            <w:r w:rsidRPr="00D2601D">
              <w:t>s Centre Trust</w:t>
            </w:r>
            <w:r>
              <w:t xml:space="preserve"> </w:t>
            </w:r>
            <w:r w:rsidRPr="00D2601D">
              <w:rPr>
                <w:vertAlign w:val="superscript"/>
              </w:rPr>
              <w:t>(e)</w:t>
            </w:r>
          </w:p>
        </w:tc>
        <w:tc>
          <w:tcPr>
            <w:tcW w:w="4905" w:type="dxa"/>
          </w:tcPr>
          <w:p w:rsidR="00F20535" w:rsidRPr="00D66888" w:rsidRDefault="00F20535" w:rsidP="007A2EDF">
            <w:pPr>
              <w:keepNext/>
              <w:cnfStyle w:val="000000000000" w:firstRow="0" w:lastRow="0" w:firstColumn="0" w:lastColumn="0" w:oddVBand="0" w:evenVBand="0" w:oddHBand="0" w:evenHBand="0" w:firstRowFirstColumn="0" w:firstRowLastColumn="0" w:lastRowFirstColumn="0" w:lastRowLastColumn="0"/>
              <w:rPr>
                <w:vertAlign w:val="superscript"/>
              </w:rPr>
            </w:pPr>
          </w:p>
        </w:tc>
      </w:tr>
    </w:tbl>
    <w:p w:rsidR="00F20535" w:rsidRDefault="00F20535" w:rsidP="007A2EDF">
      <w:pPr>
        <w:pStyle w:val="Note"/>
      </w:pPr>
      <w:r>
        <w:t>Notes:</w:t>
      </w:r>
    </w:p>
    <w:p w:rsidR="00F20535" w:rsidRDefault="00F20535" w:rsidP="007A2EDF">
      <w:pPr>
        <w:pStyle w:val="Note"/>
      </w:pPr>
      <w:r>
        <w:t>(a)</w:t>
      </w:r>
      <w:r>
        <w:tab/>
        <w:t>On 4 July 2017, Upper Murray Health and Community Services changed its name to Corryong Health.</w:t>
      </w:r>
    </w:p>
    <w:p w:rsidR="00F20535" w:rsidRDefault="00F20535" w:rsidP="000C30FB">
      <w:pPr>
        <w:pStyle w:val="Note"/>
      </w:pPr>
      <w:r>
        <w:t>(b)</w:t>
      </w:r>
      <w:r>
        <w:tab/>
        <w:t>Effective from 1 September 2017, the Office of the Victorian Information Commissioner commenced operations and took over the responsibilities of the Freedom of Information Commissioner and the Office of the Commissioner for Privacy and Data Protection.</w:t>
      </w:r>
    </w:p>
    <w:p w:rsidR="00F20535" w:rsidRDefault="00F20535" w:rsidP="000C30FB">
      <w:pPr>
        <w:pStyle w:val="Note"/>
      </w:pPr>
      <w:r>
        <w:t>(c)</w:t>
      </w:r>
      <w:r>
        <w:tab/>
        <w:t>The Victorian Fisheries Authority is an independent statutory authority established on 1 July 2017 to effectively manage Victoria</w:t>
      </w:r>
      <w:r w:rsidR="007F4ECD">
        <w:t>’</w:t>
      </w:r>
      <w:r>
        <w:t xml:space="preserve">s fisheries resources. </w:t>
      </w:r>
    </w:p>
    <w:p w:rsidR="00F20535" w:rsidRPr="008E62D0" w:rsidRDefault="00F20535" w:rsidP="000C30FB">
      <w:pPr>
        <w:pStyle w:val="Note"/>
      </w:pPr>
      <w:r>
        <w:t>(d)</w:t>
      </w:r>
      <w:r>
        <w:tab/>
        <w:t xml:space="preserve">Effective from 1 July 2017, the Judicial Commission of Victoria commenced operations under the </w:t>
      </w:r>
      <w:r w:rsidRPr="008E62D0">
        <w:rPr>
          <w:i w:val="0"/>
        </w:rPr>
        <w:t>Judicial Commission of Victoria Act 2016.</w:t>
      </w:r>
    </w:p>
    <w:p w:rsidR="00F20535" w:rsidRDefault="00F20535" w:rsidP="000C30FB">
      <w:pPr>
        <w:pStyle w:val="Note"/>
      </w:pPr>
      <w:r>
        <w:t>(e)</w:t>
      </w:r>
      <w:r>
        <w:tab/>
        <w:t>Effective from 1 July 2017, portfolio responsibility for the Queen Victoria Women</w:t>
      </w:r>
      <w:r w:rsidR="007F4ECD">
        <w:t>’</w:t>
      </w:r>
      <w:r>
        <w:t>s Centre Trust was transferred from the Department of Premier and Cabinet to the Department of Health and Human Services.</w:t>
      </w:r>
    </w:p>
    <w:p w:rsidR="00F20535" w:rsidRDefault="00F20535" w:rsidP="000C30FB"/>
    <w:p w:rsidR="00F20535" w:rsidRDefault="00F20535" w:rsidP="000C30FB"/>
    <w:p w:rsidR="00F20535" w:rsidRDefault="00F20535" w:rsidP="007A2EDF">
      <w:pPr>
        <w:pStyle w:val="Heading2"/>
        <w:numPr>
          <w:ilvl w:val="1"/>
          <w:numId w:val="22"/>
        </w:numPr>
      </w:pPr>
      <w:bookmarkStart w:id="117" w:name="_Toc473541504"/>
      <w:bookmarkStart w:id="118" w:name="_Toc505587036"/>
      <w:r>
        <w:t>Glossary of technical terms</w:t>
      </w:r>
      <w:bookmarkEnd w:id="117"/>
      <w:bookmarkEnd w:id="118"/>
    </w:p>
    <w:p w:rsidR="00F20535" w:rsidRDefault="00F20535" w:rsidP="007A2EDF">
      <w:r>
        <w:t xml:space="preserve">The </w:t>
      </w:r>
      <w:r>
        <w:rPr>
          <w:i/>
        </w:rPr>
        <w:t>2016-17</w:t>
      </w:r>
      <w:r w:rsidRPr="00B04046">
        <w:rPr>
          <w:i/>
        </w:rPr>
        <w:t xml:space="preserve"> Financial Report</w:t>
      </w:r>
      <w:r>
        <w:t xml:space="preserve"> for the State of Victoria (Note 9.9) contains a summary of the major technical terms used in this repor</w:t>
      </w:r>
      <w:bookmarkEnd w:id="110"/>
      <w:r>
        <w:t>t.</w:t>
      </w:r>
    </w:p>
    <w:p w:rsidR="00F20535" w:rsidRPr="005F056D" w:rsidRDefault="00F20535" w:rsidP="007A2EDF"/>
    <w:p w:rsidR="00F20535" w:rsidRDefault="00F20535" w:rsidP="00BB4492"/>
    <w:p w:rsidR="00F20535" w:rsidRDefault="00F20535" w:rsidP="00BB4492">
      <w:pPr>
        <w:sectPr w:rsidR="00F20535" w:rsidSect="009A52F5">
          <w:headerReference w:type="even" r:id="rId90"/>
          <w:headerReference w:type="default" r:id="rId91"/>
          <w:footerReference w:type="even" r:id="rId92"/>
          <w:footerReference w:type="default" r:id="rId93"/>
          <w:type w:val="continuous"/>
          <w:pgSz w:w="11906" w:h="16838" w:code="9"/>
          <w:pgMar w:top="1138" w:right="1138" w:bottom="1138" w:left="1138" w:header="619" w:footer="562" w:gutter="0"/>
          <w:cols w:sep="1" w:space="567"/>
          <w:docGrid w:linePitch="360"/>
        </w:sectPr>
      </w:pPr>
    </w:p>
    <w:p w:rsidR="00F20535" w:rsidRDefault="00F20535" w:rsidP="00A13F11">
      <w:pPr>
        <w:pStyle w:val="ChapterHeading"/>
      </w:pPr>
      <w:bookmarkStart w:id="119" w:name="_Toc508201407"/>
      <w:r>
        <w:t>Appendix A – General government sector quarterly financial report</w:t>
      </w:r>
      <w:bookmarkEnd w:id="119"/>
    </w:p>
    <w:p w:rsidR="00F20535" w:rsidRDefault="00F20535" w:rsidP="000C30FB">
      <w:r>
        <w:t xml:space="preserve">This section includes the comprehensive operating statement, balance sheet and cash flow statement for the past five quarters in accordance with the requirements of the </w:t>
      </w:r>
      <w:r w:rsidRPr="00DB0877">
        <w:rPr>
          <w:i/>
        </w:rPr>
        <w:t>Financial Management Act 1994</w:t>
      </w:r>
      <w:r>
        <w:t>.</w:t>
      </w:r>
    </w:p>
    <w:p w:rsidR="00F20535" w:rsidRPr="00CC7C79" w:rsidRDefault="00F20535" w:rsidP="007A2EDF">
      <w:pPr>
        <w:pStyle w:val="TableHeading"/>
        <w:rPr>
          <w:rFonts w:eastAsia="Times New Roman" w:cs="Times New Roman"/>
          <w:bCs/>
          <w:lang w:val="en-US"/>
        </w:rPr>
      </w:pPr>
      <w:r w:rsidRPr="00DB0877">
        <w:t>Consolidated comprehensive operating statement for the past five quarters</w:t>
      </w:r>
      <w:r w:rsidRPr="00DB0877">
        <w:tab/>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5102"/>
        <w:gridCol w:w="907"/>
        <w:gridCol w:w="907"/>
        <w:gridCol w:w="907"/>
        <w:gridCol w:w="907"/>
        <w:gridCol w:w="907"/>
      </w:tblGrid>
      <w:tr w:rsidR="00F20535" w:rsidRPr="00CC7C79"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shd w:val="solid" w:color="000000" w:fill="auto"/>
          </w:tcPr>
          <w:p w:rsidR="00F20535" w:rsidRPr="00CC7C79" w:rsidRDefault="00F20535" w:rsidP="007A2EDF">
            <w:pPr>
              <w:autoSpaceDE w:val="0"/>
              <w:autoSpaceDN w:val="0"/>
              <w:adjustRightInd w:val="0"/>
              <w:spacing w:after="0"/>
              <w:rPr>
                <w:rFonts w:eastAsiaTheme="minorEastAsia" w:cs="Calibri"/>
                <w:iCs/>
                <w:color w:val="FFFFFF"/>
                <w:szCs w:val="22"/>
                <w:lang w:eastAsia="en-AU"/>
              </w:rPr>
            </w:pPr>
            <w:r w:rsidRPr="00CC7C79">
              <w:rPr>
                <w:rFonts w:eastAsiaTheme="minorEastAsia" w:cs="Calibri"/>
                <w:iCs/>
                <w:color w:val="FFFFFF"/>
                <w:szCs w:val="22"/>
                <w:lang w:eastAsia="en-AU"/>
              </w:rPr>
              <w:t xml:space="preserve"> </w:t>
            </w:r>
          </w:p>
        </w:tc>
        <w:tc>
          <w:tcPr>
            <w:tcW w:w="2721" w:type="dxa"/>
            <w:gridSpan w:val="3"/>
            <w:tcBorders>
              <w:top w:val="nil"/>
              <w:left w:val="nil"/>
              <w:bottom w:val="nil"/>
              <w:right w:val="nil"/>
            </w:tcBorders>
            <w:shd w:val="solid" w:color="000000" w:fill="auto"/>
          </w:tcPr>
          <w:p w:rsidR="00F20535" w:rsidRPr="00CC7C79"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2016-17</w:t>
            </w:r>
          </w:p>
        </w:tc>
        <w:tc>
          <w:tcPr>
            <w:tcW w:w="1814" w:type="dxa"/>
            <w:gridSpan w:val="2"/>
            <w:tcBorders>
              <w:top w:val="nil"/>
              <w:left w:val="nil"/>
              <w:bottom w:val="nil"/>
              <w:right w:val="nil"/>
            </w:tcBorders>
            <w:shd w:val="solid" w:color="000000" w:fill="auto"/>
          </w:tcPr>
          <w:p w:rsidR="00F20535" w:rsidRPr="00CC7C79" w:rsidRDefault="00F20535" w:rsidP="007A2ED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2017-18</w:t>
            </w:r>
          </w:p>
        </w:tc>
      </w:tr>
      <w:tr w:rsidR="00F20535" w:rsidRPr="00CC7C79"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shd w:val="solid" w:color="000000" w:fill="auto"/>
          </w:tcPr>
          <w:p w:rsidR="00F20535" w:rsidRPr="00CC7C79" w:rsidRDefault="00F20535" w:rsidP="007A2EDF">
            <w:pPr>
              <w:autoSpaceDE w:val="0"/>
              <w:autoSpaceDN w:val="0"/>
              <w:adjustRightInd w:val="0"/>
              <w:spacing w:after="0"/>
              <w:rPr>
                <w:rFonts w:eastAsiaTheme="minorEastAsia" w:cs="Calibri"/>
                <w:iCs/>
                <w:color w:val="FFFFFF"/>
                <w:szCs w:val="22"/>
                <w:lang w:eastAsia="en-AU"/>
              </w:rPr>
            </w:pPr>
            <w:r w:rsidRPr="00CC7C79">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Dec</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Mar</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Jun</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Sep</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Dec</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Revenue from transactions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Taxation revenue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5 397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6 880</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4 730</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5 722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4 986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Interest revenue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230</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258</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210</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Dividends, income tax equivalent and rate equivalent revenue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376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Sales of goods and services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1 744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1 736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1 786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1 766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1 871</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Grant revenue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6 620</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7 556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6 667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6 899</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7 328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single" w:sz="6" w:space="0" w:color="000000"/>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Other revenue</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779</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570</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786</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544</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626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Total revenue from transactions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15 107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17 029</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14 391</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15 198</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15 393</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Expenses from transactions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Employee expenses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5 257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5 249</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5 812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5 581</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5 715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Net superannuation interest expense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149</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171</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Other superannuation</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596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581</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603</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598</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657</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Depreciation</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629</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639</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722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655</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657</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Interest expense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540</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498</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517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555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Grant expense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2 337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3 006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2 541</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2 559</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2 505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Other operating expenses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4 692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4 313</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5 274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4 604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4 741</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Total expenses from transactions</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14 200</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14 456</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15 643</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14 643</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14 998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Net result from transactions – net operating balance</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907</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2 573</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(1 251)</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555</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395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Other economic flows included in net result</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Net gain/(loss) on disposal of non-financial assets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Net gain/(loss) on financial assets or liabilities at fair value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Share of net profit/(loss) from associates/joint venture entities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Other gains/(losses) from other economic flows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(80)</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 xml:space="preserve">Total other economic flows included in net result </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(51)</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(41)</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52</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(58)</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(23)</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Net result</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856</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2 532</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(1 199)</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497</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371</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Other economic flows – other comprehensive income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Items that will not be reclassified to net result</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Changes in non-financial assets revaluation surplus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6 154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Remeasurement of superannuation defined benefits plans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2 729</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617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765</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1 259</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Other movements in equity</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(43)</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Items that may be reclassified subsequently to net result</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Net gain/(loss) on financial assets at fair value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31</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8"/>
                <w:lang w:eastAsia="en-AU"/>
              </w:rPr>
            </w:pPr>
            <w:r w:rsidRPr="00CC7C79">
              <w:rPr>
                <w:rFonts w:eastAsiaTheme="minorEastAsia" w:cs="Calibri"/>
                <w:color w:val="000000"/>
                <w:szCs w:val="18"/>
                <w:lang w:eastAsia="en-AU"/>
              </w:rPr>
              <w:t>Net gain/(loss) on equity investments in other sector entities at proportional share of the carrying amount of net assets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644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2 478</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686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Total other economic flows – other comprehensive income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3 404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684</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9 396</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1 165</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195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rPr>
                <w:rFonts w:eastAsiaTheme="minorEastAsia" w:cs="Calibri"/>
                <w:b/>
                <w:bCs/>
                <w:color w:val="000000"/>
                <w:szCs w:val="18"/>
                <w:lang w:eastAsia="en-AU"/>
              </w:rPr>
            </w:pPr>
            <w:r w:rsidRPr="00CC7C79">
              <w:rPr>
                <w:rFonts w:eastAsiaTheme="minorEastAsia" w:cs="Calibri"/>
                <w:b/>
                <w:bCs/>
                <w:color w:val="000000"/>
                <w:szCs w:val="18"/>
                <w:lang w:eastAsia="en-AU"/>
              </w:rPr>
              <w:t>Comprehensive result – total change in net worth</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4 260</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3 216</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8 197</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1 662</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567</w:t>
            </w:r>
          </w:p>
        </w:tc>
      </w:tr>
      <w:tr w:rsidR="00F20535" w:rsidRPr="00CC7C79"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6"/>
                <w:lang w:eastAsia="en-AU"/>
              </w:rPr>
            </w:pPr>
            <w:r w:rsidRPr="00CC7C79">
              <w:rPr>
                <w:rFonts w:eastAsiaTheme="minorEastAsia" w:cs="Calibri"/>
                <w:b/>
                <w:bCs/>
                <w:color w:val="000000"/>
                <w:szCs w:val="16"/>
                <w:lang w:eastAsia="en-AU"/>
              </w:rPr>
              <w:t>KEY FISCAL AGGREGATES</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CC7C79">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CC7C79">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CC7C79">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CC7C79">
              <w:rPr>
                <w:rFonts w:eastAsiaTheme="minorEastAsia" w:cs="Calibri"/>
                <w:b/>
                <w:bCs/>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2"/>
                <w:lang w:eastAsia="en-AU"/>
              </w:rPr>
            </w:pPr>
            <w:r w:rsidRPr="00CC7C79">
              <w:rPr>
                <w:rFonts w:eastAsiaTheme="minorEastAsia" w:cs="Calibri"/>
                <w:b/>
                <w:bCs/>
                <w:color w:val="000000"/>
                <w:szCs w:val="22"/>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spacing w:after="0"/>
              <w:rPr>
                <w:rFonts w:eastAsiaTheme="minorEastAsia" w:cs="Calibri"/>
                <w:b/>
                <w:bCs/>
                <w:color w:val="000000"/>
                <w:szCs w:val="16"/>
                <w:lang w:eastAsia="en-AU"/>
              </w:rPr>
            </w:pPr>
            <w:r w:rsidRPr="00CC7C79">
              <w:rPr>
                <w:rFonts w:eastAsiaTheme="minorEastAsia" w:cs="Calibri"/>
                <w:b/>
                <w:bCs/>
                <w:color w:val="000000"/>
                <w:szCs w:val="16"/>
                <w:lang w:eastAsia="en-AU"/>
              </w:rPr>
              <w:t>Net operating balance</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907</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CC7C79">
              <w:rPr>
                <w:rFonts w:eastAsiaTheme="minorEastAsia" w:cs="Calibri"/>
                <w:b/>
                <w:bCs/>
                <w:color w:val="000000"/>
                <w:szCs w:val="16"/>
                <w:lang w:eastAsia="en-AU"/>
              </w:rPr>
              <w:t>2 573</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(1 251)</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555</w:t>
            </w:r>
          </w:p>
        </w:tc>
        <w:tc>
          <w:tcPr>
            <w:tcW w:w="907" w:type="dxa"/>
            <w:tcBorders>
              <w:top w:val="nil"/>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395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rPr>
                <w:rFonts w:eastAsiaTheme="minorEastAsia" w:cs="Calibri"/>
                <w:color w:val="000000"/>
                <w:szCs w:val="16"/>
                <w:lang w:eastAsia="en-AU"/>
              </w:rPr>
            </w:pPr>
            <w:r w:rsidRPr="00CC7C79">
              <w:rPr>
                <w:rFonts w:eastAsiaTheme="minorEastAsia" w:cs="Calibri"/>
                <w:color w:val="000000"/>
                <w:szCs w:val="16"/>
                <w:lang w:eastAsia="en-AU"/>
              </w:rPr>
              <w:t>Less: Net acquisition of non-financial assets from transactions</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163</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956</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527</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283</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CC7C79">
              <w:rPr>
                <w:rFonts w:eastAsiaTheme="minorEastAsia" w:cs="Calibri"/>
                <w:color w:val="000000"/>
                <w:szCs w:val="16"/>
                <w:lang w:eastAsia="en-AU"/>
              </w:rPr>
              <w:t>1 468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rPr>
                <w:rFonts w:eastAsiaTheme="minorEastAsia" w:cs="Calibri"/>
                <w:b/>
                <w:bCs/>
                <w:color w:val="000000"/>
                <w:szCs w:val="16"/>
                <w:lang w:eastAsia="en-AU"/>
              </w:rPr>
            </w:pPr>
            <w:r w:rsidRPr="00CC7C79">
              <w:rPr>
                <w:rFonts w:eastAsiaTheme="minorEastAsia" w:cs="Calibri"/>
                <w:b/>
                <w:bCs/>
                <w:color w:val="000000"/>
                <w:szCs w:val="16"/>
                <w:lang w:eastAsia="en-AU"/>
              </w:rPr>
              <w:t>Net lending/(borrowing)</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744</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CC7C79">
              <w:rPr>
                <w:rFonts w:eastAsiaTheme="minorEastAsia" w:cs="Calibri"/>
                <w:b/>
                <w:bCs/>
                <w:color w:val="000000"/>
                <w:szCs w:val="16"/>
                <w:lang w:eastAsia="en-AU"/>
              </w:rPr>
              <w:t>1 617</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(1 778)</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272</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Pr>
                <w:rFonts w:eastAsiaTheme="minorEastAsia" w:cs="Calibri"/>
                <w:b/>
                <w:bCs/>
                <w:color w:val="000000"/>
                <w:szCs w:val="16"/>
                <w:lang w:eastAsia="en-AU"/>
              </w:rPr>
              <w:t>(1 073)</w:t>
            </w:r>
          </w:p>
        </w:tc>
      </w:tr>
    </w:tbl>
    <w:p w:rsidR="00F20535" w:rsidRPr="000A6ED4" w:rsidRDefault="00F20535" w:rsidP="007A2EDF">
      <w:pPr>
        <w:pStyle w:val="Note"/>
      </w:pPr>
    </w:p>
    <w:p w:rsidR="00F20535" w:rsidRPr="00CC7C79" w:rsidRDefault="00F20535" w:rsidP="007A2EDF">
      <w:pPr>
        <w:pStyle w:val="TableHeading"/>
        <w:rPr>
          <w:rFonts w:eastAsia="Times New Roman" w:cs="Times New Roman"/>
          <w:bCs/>
          <w:lang w:val="en-US"/>
        </w:rPr>
      </w:pPr>
      <w:r>
        <w:t>C</w:t>
      </w:r>
      <w:r w:rsidRPr="00CC5F93">
        <w:t>onsolidated balance sheet as at the end of the past five quarters</w:t>
      </w:r>
      <w:r w:rsidRPr="00CC5F93">
        <w:tab/>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5102"/>
        <w:gridCol w:w="907"/>
        <w:gridCol w:w="907"/>
        <w:gridCol w:w="907"/>
        <w:gridCol w:w="907"/>
        <w:gridCol w:w="907"/>
      </w:tblGrid>
      <w:tr w:rsidR="00F20535" w:rsidRPr="00CC7C79"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shd w:val="solid" w:color="000000" w:fill="auto"/>
          </w:tcPr>
          <w:p w:rsidR="00F20535" w:rsidRPr="00CC7C79" w:rsidRDefault="00F20535" w:rsidP="007A2EDF">
            <w:pPr>
              <w:autoSpaceDE w:val="0"/>
              <w:autoSpaceDN w:val="0"/>
              <w:adjustRightInd w:val="0"/>
              <w:rPr>
                <w:rFonts w:eastAsiaTheme="minorEastAsia" w:cs="Calibri"/>
                <w:iCs/>
                <w:color w:val="FFFFFF"/>
                <w:szCs w:val="22"/>
                <w:lang w:eastAsia="en-AU"/>
              </w:rPr>
            </w:pPr>
            <w:r w:rsidRPr="00CC7C79">
              <w:rPr>
                <w:rFonts w:eastAsiaTheme="minorEastAsia" w:cs="Calibri"/>
                <w:iCs/>
                <w:color w:val="FFFFFF"/>
                <w:szCs w:val="22"/>
                <w:lang w:eastAsia="en-AU"/>
              </w:rPr>
              <w:t xml:space="preserve"> </w:t>
            </w:r>
          </w:p>
        </w:tc>
        <w:tc>
          <w:tcPr>
            <w:tcW w:w="2721" w:type="dxa"/>
            <w:gridSpan w:val="3"/>
            <w:tcBorders>
              <w:top w:val="nil"/>
              <w:left w:val="nil"/>
              <w:bottom w:val="nil"/>
              <w:right w:val="nil"/>
            </w:tcBorders>
            <w:shd w:val="solid" w:color="000000" w:fill="auto"/>
          </w:tcPr>
          <w:p w:rsidR="00F20535" w:rsidRPr="00CC7C79"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2016-17</w:t>
            </w:r>
          </w:p>
        </w:tc>
        <w:tc>
          <w:tcPr>
            <w:tcW w:w="1814" w:type="dxa"/>
            <w:gridSpan w:val="2"/>
            <w:tcBorders>
              <w:top w:val="nil"/>
              <w:left w:val="nil"/>
              <w:bottom w:val="nil"/>
              <w:right w:val="nil"/>
            </w:tcBorders>
            <w:shd w:val="solid" w:color="000000" w:fill="auto"/>
          </w:tcPr>
          <w:p w:rsidR="00F20535" w:rsidRPr="00CC7C79"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2017-18</w:t>
            </w:r>
          </w:p>
        </w:tc>
      </w:tr>
      <w:tr w:rsidR="00F20535" w:rsidRPr="00CC7C79"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shd w:val="solid" w:color="000000" w:fill="auto"/>
          </w:tcPr>
          <w:p w:rsidR="00F20535" w:rsidRPr="00CC7C79" w:rsidRDefault="00F20535" w:rsidP="007A2EDF">
            <w:pPr>
              <w:autoSpaceDE w:val="0"/>
              <w:autoSpaceDN w:val="0"/>
              <w:adjustRightInd w:val="0"/>
              <w:rPr>
                <w:rFonts w:eastAsiaTheme="minorEastAsia" w:cs="Calibri"/>
                <w:iCs/>
                <w:color w:val="FFFFFF"/>
                <w:szCs w:val="22"/>
                <w:lang w:eastAsia="en-AU"/>
              </w:rPr>
            </w:pPr>
            <w:r w:rsidRPr="00CC7C79">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Dec</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Mar</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Jun</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Sep</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Dec</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Financial 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Cash and deposits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4 319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3 900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5 530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4 146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3 992</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Advances paid</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14 156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13 648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12 939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12 179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11 986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Receivables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5 469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7 108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5 931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6 281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5 807</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Investments, loans and placements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5 516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5 720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3 673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3 895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4 159</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Investments accounted for using the equity method</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47</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single" w:sz="6" w:space="0" w:color="000000"/>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Investments in other sector entities</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88 196</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89 043</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92 509</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93 484</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95 297</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Total financial 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117 701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119 462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120 630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120 033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121 290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Non-financial 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Inventories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186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187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173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173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176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Non-financial assets held for sale</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183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182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405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405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438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Land, buildings, infrastructure, plant and equipment</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114 148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115 219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121 776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122 018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123 323</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Other non-financial 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1 535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1 456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1 494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1 944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1 763</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Total non-financial assets</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116 052</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117 044</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123 849</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124 539</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125 700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Total 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233 753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236 506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244 478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244 573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246 990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Liabilities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 xml:space="preserve">Deposits held and advances received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10 393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9 913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9 088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8 403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8 252</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Payables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5 084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5 227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5 815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5 722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5 542</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 xml:space="preserve">Borrowings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27 986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28 684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28 816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29 485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30 995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Employee benefits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6 244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6 050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6 506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6 329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6 555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Superannuation</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26 566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25 944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24 900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23 903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24 438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Other provisions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866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858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1 326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1 043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Pr>
                <w:rFonts w:eastAsiaTheme="minorEastAsia" w:cs="Arial"/>
                <w:color w:val="000000"/>
                <w:szCs w:val="16"/>
                <w:lang w:eastAsia="en-AU"/>
              </w:rPr>
              <w:t>953</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nil"/>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Total liabilities</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77 139</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76 676</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76 451</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74 884</w:t>
            </w:r>
          </w:p>
        </w:tc>
        <w:tc>
          <w:tcPr>
            <w:tcW w:w="907" w:type="dxa"/>
            <w:tcBorders>
              <w:top w:val="single" w:sz="6" w:space="0" w:color="000000"/>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76 734</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Net assets</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156 614</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159 831</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168 027</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169 689</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170 256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Accumulated surplus/(deficit)</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48 817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51 977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51 464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53 145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52 965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Reserves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107 797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107 853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116 563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116 544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117 290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Net worth</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156 614</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159 831</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168 027</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169 689</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170 256</w:t>
            </w:r>
          </w:p>
        </w:tc>
      </w:tr>
      <w:tr w:rsidR="00F20535" w:rsidRPr="00CC7C79"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b/>
                <w:bCs/>
                <w:color w:val="000000"/>
                <w:szCs w:val="16"/>
                <w:lang w:eastAsia="en-AU"/>
              </w:rPr>
            </w:pPr>
            <w:r w:rsidRPr="00CC7C79">
              <w:rPr>
                <w:rFonts w:eastAsiaTheme="minorEastAsia" w:cs="Arial"/>
                <w:b/>
                <w:bCs/>
                <w:color w:val="000000"/>
                <w:szCs w:val="16"/>
                <w:lang w:eastAsia="en-AU"/>
              </w:rPr>
              <w:t>FISCAL AGGREGATES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6"/>
                <w:lang w:eastAsia="en-AU"/>
              </w:rPr>
            </w:pPr>
            <w:r w:rsidRPr="00CC7C79">
              <w:rPr>
                <w:rFonts w:eastAsiaTheme="minorEastAsia" w:cs="Arial"/>
                <w:b/>
                <w:bCs/>
                <w:color w:val="000000"/>
                <w:szCs w:val="16"/>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Net financial worth</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40 562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42 787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44 178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45 150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44 555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Net financial liabilities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47 634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46 256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48 331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48 335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50 742</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single" w:sz="12" w:space="0" w:color="000000"/>
              <w:right w:val="nil"/>
            </w:tcBorders>
          </w:tcPr>
          <w:p w:rsidR="00F20535" w:rsidRPr="00CC7C79" w:rsidRDefault="00F20535" w:rsidP="007A2EDF">
            <w:pPr>
              <w:autoSpaceDE w:val="0"/>
              <w:autoSpaceDN w:val="0"/>
              <w:adjustRightInd w:val="0"/>
              <w:rPr>
                <w:rFonts w:eastAsiaTheme="minorEastAsia" w:cs="Arial"/>
                <w:color w:val="000000"/>
                <w:szCs w:val="16"/>
                <w:lang w:eastAsia="en-AU"/>
              </w:rPr>
            </w:pPr>
            <w:r w:rsidRPr="00CC7C79">
              <w:rPr>
                <w:rFonts w:eastAsiaTheme="minorEastAsia" w:cs="Arial"/>
                <w:color w:val="000000"/>
                <w:szCs w:val="16"/>
                <w:lang w:eastAsia="en-AU"/>
              </w:rPr>
              <w:t>Net debt</w:t>
            </w:r>
          </w:p>
        </w:tc>
        <w:tc>
          <w:tcPr>
            <w:tcW w:w="907" w:type="dxa"/>
            <w:tcBorders>
              <w:top w:val="nil"/>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14 387</w:t>
            </w:r>
          </w:p>
        </w:tc>
        <w:tc>
          <w:tcPr>
            <w:tcW w:w="907" w:type="dxa"/>
            <w:tcBorders>
              <w:top w:val="nil"/>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15 330</w:t>
            </w:r>
          </w:p>
        </w:tc>
        <w:tc>
          <w:tcPr>
            <w:tcW w:w="907" w:type="dxa"/>
            <w:tcBorders>
              <w:top w:val="nil"/>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15 762</w:t>
            </w:r>
          </w:p>
        </w:tc>
        <w:tc>
          <w:tcPr>
            <w:tcW w:w="907" w:type="dxa"/>
            <w:tcBorders>
              <w:top w:val="nil"/>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17 667</w:t>
            </w:r>
          </w:p>
        </w:tc>
        <w:tc>
          <w:tcPr>
            <w:tcW w:w="907" w:type="dxa"/>
            <w:tcBorders>
              <w:top w:val="nil"/>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6"/>
                <w:lang w:eastAsia="en-AU"/>
              </w:rPr>
            </w:pPr>
            <w:r w:rsidRPr="00CC7C79">
              <w:rPr>
                <w:rFonts w:eastAsiaTheme="minorEastAsia" w:cs="Arial"/>
                <w:color w:val="000000"/>
                <w:szCs w:val="16"/>
                <w:lang w:eastAsia="en-AU"/>
              </w:rPr>
              <w:t>19 109</w:t>
            </w:r>
          </w:p>
        </w:tc>
      </w:tr>
    </w:tbl>
    <w:p w:rsidR="00F20535" w:rsidRDefault="00F20535" w:rsidP="007A2EDF">
      <w:pPr>
        <w:pStyle w:val="TableHeading"/>
      </w:pPr>
    </w:p>
    <w:p w:rsidR="00F20535" w:rsidRDefault="00F20535"/>
    <w:p w:rsidR="00F20535" w:rsidRDefault="00F20535">
      <w:r>
        <w:br w:type="page"/>
      </w:r>
    </w:p>
    <w:p w:rsidR="00F20535" w:rsidRPr="00CC7C79" w:rsidRDefault="00F20535" w:rsidP="007A2EDF">
      <w:pPr>
        <w:pStyle w:val="TableHeading"/>
        <w:rPr>
          <w:rFonts w:eastAsia="Times New Roman" w:cs="Times New Roman"/>
          <w:bCs/>
          <w:lang w:val="en-US"/>
        </w:rPr>
      </w:pPr>
      <w:r w:rsidRPr="00CC5F93">
        <w:t>Consolidated cash flow statement for the past five quarters</w:t>
      </w:r>
      <w:r w:rsidRPr="00CC5F93">
        <w:tab/>
        <w:t>($ million)</w:t>
      </w:r>
    </w:p>
    <w:tbl>
      <w:tblPr>
        <w:tblStyle w:val="DTFTable"/>
        <w:tblW w:w="9637" w:type="dxa"/>
        <w:tblInd w:w="45" w:type="dxa"/>
        <w:tblLayout w:type="fixed"/>
        <w:tblCellMar>
          <w:left w:w="45" w:type="dxa"/>
          <w:right w:w="45" w:type="dxa"/>
        </w:tblCellMar>
        <w:tblLook w:val="06A0" w:firstRow="1" w:lastRow="0" w:firstColumn="1" w:lastColumn="0" w:noHBand="1" w:noVBand="1"/>
      </w:tblPr>
      <w:tblGrid>
        <w:gridCol w:w="5102"/>
        <w:gridCol w:w="907"/>
        <w:gridCol w:w="907"/>
        <w:gridCol w:w="907"/>
        <w:gridCol w:w="907"/>
        <w:gridCol w:w="907"/>
      </w:tblGrid>
      <w:tr w:rsidR="00F20535" w:rsidRPr="00CC7C79"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shd w:val="solid" w:color="000000" w:fill="auto"/>
          </w:tcPr>
          <w:p w:rsidR="00F20535" w:rsidRPr="00CC7C79" w:rsidRDefault="00F20535" w:rsidP="007A2EDF">
            <w:pPr>
              <w:autoSpaceDE w:val="0"/>
              <w:autoSpaceDN w:val="0"/>
              <w:adjustRightInd w:val="0"/>
              <w:rPr>
                <w:rFonts w:eastAsiaTheme="minorEastAsia" w:cs="Calibri"/>
                <w:iCs/>
                <w:color w:val="FFFFFF"/>
                <w:szCs w:val="22"/>
                <w:lang w:eastAsia="en-AU"/>
              </w:rPr>
            </w:pPr>
            <w:r w:rsidRPr="00CC7C79">
              <w:rPr>
                <w:rFonts w:eastAsiaTheme="minorEastAsia" w:cs="Calibri"/>
                <w:iCs/>
                <w:color w:val="FFFFFF"/>
                <w:szCs w:val="22"/>
                <w:lang w:eastAsia="en-AU"/>
              </w:rPr>
              <w:t xml:space="preserve"> </w:t>
            </w:r>
          </w:p>
        </w:tc>
        <w:tc>
          <w:tcPr>
            <w:tcW w:w="2721" w:type="dxa"/>
            <w:gridSpan w:val="3"/>
            <w:tcBorders>
              <w:top w:val="nil"/>
              <w:left w:val="nil"/>
              <w:bottom w:val="nil"/>
              <w:right w:val="nil"/>
            </w:tcBorders>
            <w:shd w:val="solid" w:color="000000" w:fill="auto"/>
          </w:tcPr>
          <w:p w:rsidR="00F20535" w:rsidRPr="00CC7C79"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2016-17</w:t>
            </w:r>
          </w:p>
        </w:tc>
        <w:tc>
          <w:tcPr>
            <w:tcW w:w="1814" w:type="dxa"/>
            <w:gridSpan w:val="2"/>
            <w:tcBorders>
              <w:top w:val="nil"/>
              <w:left w:val="nil"/>
              <w:bottom w:val="nil"/>
              <w:right w:val="nil"/>
            </w:tcBorders>
            <w:shd w:val="solid" w:color="000000" w:fill="auto"/>
          </w:tcPr>
          <w:p w:rsidR="00F20535" w:rsidRPr="00CC7C79" w:rsidRDefault="00F20535" w:rsidP="007A2ED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CC7C79">
              <w:rPr>
                <w:rFonts w:eastAsiaTheme="minorEastAsia" w:cs="Calibri"/>
                <w:iCs/>
                <w:color w:val="FFFFFF"/>
                <w:szCs w:val="16"/>
                <w:lang w:eastAsia="en-AU"/>
              </w:rPr>
              <w:t>2017-18</w:t>
            </w:r>
          </w:p>
        </w:tc>
      </w:tr>
      <w:tr w:rsidR="00F20535" w:rsidRPr="00CC7C79" w:rsidTr="007A2E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shd w:val="solid" w:color="000000" w:fill="auto"/>
          </w:tcPr>
          <w:p w:rsidR="00F20535" w:rsidRPr="00CC7C79" w:rsidRDefault="00F20535" w:rsidP="007A2EDF">
            <w:pPr>
              <w:autoSpaceDE w:val="0"/>
              <w:autoSpaceDN w:val="0"/>
              <w:adjustRightInd w:val="0"/>
              <w:rPr>
                <w:rFonts w:eastAsiaTheme="minorEastAsia" w:cs="Calibri"/>
                <w:iCs/>
                <w:color w:val="FFFFFF"/>
                <w:szCs w:val="22"/>
                <w:lang w:eastAsia="en-AU"/>
              </w:rPr>
            </w:pPr>
            <w:r w:rsidRPr="00CC7C79">
              <w:rPr>
                <w:rFonts w:eastAsiaTheme="minorEastAsia" w:cs="Calibri"/>
                <w:iCs/>
                <w:color w:val="FFFFFF"/>
                <w:szCs w:val="22"/>
                <w:lang w:eastAsia="en-AU"/>
              </w:rPr>
              <w:t xml:space="preserve"> </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Dec</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Mar</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Jun</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Sep</w:t>
            </w:r>
          </w:p>
        </w:tc>
        <w:tc>
          <w:tcPr>
            <w:tcW w:w="907" w:type="dxa"/>
            <w:tcBorders>
              <w:top w:val="nil"/>
              <w:left w:val="nil"/>
              <w:bottom w:val="nil"/>
              <w:right w:val="nil"/>
            </w:tcBorders>
            <w:shd w:val="solid" w:color="000000" w:fill="auto"/>
          </w:tcPr>
          <w:p w:rsidR="00F20535" w:rsidRPr="00CC7C79" w:rsidRDefault="00F20535" w:rsidP="007A2ED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CC7C79">
              <w:rPr>
                <w:rFonts w:eastAsiaTheme="minorEastAsia" w:cs="Calibri"/>
                <w:iCs/>
                <w:color w:val="FFFFFF"/>
                <w:szCs w:val="18"/>
                <w:lang w:eastAsia="en-AU"/>
              </w:rPr>
              <w:t>Dec</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Cash flows from operating activities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 xml:space="preserve">Receipts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Taxes received</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5 805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5 121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5 782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5 491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5 508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Grants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6 621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7 552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6 670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6 902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7 325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 xml:space="preserve">Sales of goods and services </w:t>
            </w:r>
            <w:r w:rsidRPr="00CC7C79">
              <w:rPr>
                <w:rFonts w:eastAsiaTheme="minorEastAsia" w:cs="Calibri"/>
                <w:color w:val="000000"/>
                <w:szCs w:val="16"/>
                <w:vertAlign w:val="superscript"/>
                <w:lang w:eastAsia="en-AU"/>
              </w:rPr>
              <w:t>(a)</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1 890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2 031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1 926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1 984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2 092</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 xml:space="preserve">Interest received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257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Dividends, income tax equivalent and rate equivalent receipts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single" w:sz="6" w:space="0" w:color="000000"/>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Other receipts</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515</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360</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543</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469</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440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Total receipts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15 456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15 348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15 341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15 114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15 990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 xml:space="preserve">Payments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Payments for employees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(5 060)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(5 391)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(5 288)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(5 748)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(5 480)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Superannuation</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(756)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(1 054)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(790)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Interest paid</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(515)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Grants and subsidies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(2 417)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(3 013)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(2 103)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(2 947)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(2 508)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 xml:space="preserve">Goods and services </w:t>
            </w:r>
            <w:r w:rsidRPr="00CC7C79">
              <w:rPr>
                <w:rFonts w:eastAsiaTheme="minorEastAsia" w:cs="Calibri"/>
                <w:color w:val="000000"/>
                <w:szCs w:val="16"/>
                <w:vertAlign w:val="superscript"/>
                <w:lang w:eastAsia="en-AU"/>
              </w:rPr>
              <w:t>(a)</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(4 917)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(4 106)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(4 462)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(5 179)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(4 805)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Other payments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(167)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Total payments</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(13 595)</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(13 932)</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(13 463)</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(15 086)</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(14 282)</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Net cash flows from operating activities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1 861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1 416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1 878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1 708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Cash flows from investing activities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Cash flows from investments in non-financial 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Purchases of non-financial 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(1 556)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(1 963)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(2 195)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(1 881)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(2 689)</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single" w:sz="6" w:space="0" w:color="000000"/>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Sales of non-financial assets</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173</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51</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Net cash flows from investments in non-financial 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(1 516)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(1 914)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(2 022)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(1 835)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(2 638)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single" w:sz="6" w:space="0" w:color="000000"/>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Net cash flows from investments in financial assets for policy purposes</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(760)</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485</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499</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672</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Sub-total</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(2 276)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(1 429)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(1 523)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(1 163)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(2 593)</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single" w:sz="6" w:space="0" w:color="000000"/>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Net cash flows from investments in financial assets for liquidity management purposes</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(2 454)</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(141)</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2 029</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(232)</w:t>
            </w:r>
          </w:p>
        </w:tc>
        <w:tc>
          <w:tcPr>
            <w:tcW w:w="907" w:type="dxa"/>
            <w:tcBorders>
              <w:top w:val="nil"/>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(193)</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Net cash flows from investment activities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(4 730)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(1 570)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506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(1 395)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(2 786)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Cash flows from financing activities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Advances received (net)</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9 592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(483)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(718)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(707)</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(230)</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Net borrowings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(6 566)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214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669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1 075</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Deposits received (net)</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79</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Net cash flows from financing activities</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3 110</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(265)</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(754)</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(16)</w:t>
            </w:r>
          </w:p>
        </w:tc>
        <w:tc>
          <w:tcPr>
            <w:tcW w:w="907" w:type="dxa"/>
            <w:tcBorders>
              <w:top w:val="single" w:sz="6" w:space="0" w:color="000000"/>
              <w:left w:val="nil"/>
              <w:bottom w:val="single" w:sz="6"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924</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 xml:space="preserve">Net increase/(decrease) in cash and cash equivalents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240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(419)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1 630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(1 384)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(153)</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Cash and cash equivalents at beginning of reporting period</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4 079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4 319</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3 900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5 530</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4 146</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Cash and cash equivalents at end of the reporting period</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4 319</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3 900</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5 530</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4 146</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3 992</w:t>
            </w:r>
          </w:p>
        </w:tc>
      </w:tr>
      <w:tr w:rsidR="00F20535" w:rsidRPr="00CC7C79" w:rsidTr="007A2EDF">
        <w:trPr>
          <w:trHeight w:hRule="exact" w:val="120"/>
        </w:trPr>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2"/>
                <w:lang w:eastAsia="en-AU"/>
              </w:rPr>
            </w:pPr>
            <w:r w:rsidRPr="00CC7C79">
              <w:rPr>
                <w:rFonts w:eastAsiaTheme="minorEastAsia" w:cs="Calibri"/>
                <w:color w:val="000000"/>
                <w:szCs w:val="22"/>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FISCAL AGGREGATES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CC7C79">
              <w:rPr>
                <w:rFonts w:eastAsiaTheme="minorEastAsia" w:cs="Calibri"/>
                <w:b/>
                <w:bCs/>
                <w:color w:val="000000"/>
                <w:szCs w:val="18"/>
                <w:lang w:eastAsia="en-AU"/>
              </w:rPr>
              <w:t xml:space="preserve"> </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Net cash flows from operating activities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1 861</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1 416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1 878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28</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CC7C79">
              <w:rPr>
                <w:rFonts w:eastAsiaTheme="minorEastAsia" w:cs="Calibri"/>
                <w:color w:val="000000"/>
                <w:szCs w:val="18"/>
                <w:lang w:eastAsia="en-AU"/>
              </w:rPr>
              <w:t>1 708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nil"/>
              <w:left w:val="nil"/>
              <w:bottom w:val="nil"/>
              <w:right w:val="nil"/>
            </w:tcBorders>
          </w:tcPr>
          <w:p w:rsidR="00F20535" w:rsidRPr="00CC7C79" w:rsidRDefault="00F20535" w:rsidP="007A2EDF">
            <w:pPr>
              <w:autoSpaceDE w:val="0"/>
              <w:autoSpaceDN w:val="0"/>
              <w:adjustRightInd w:val="0"/>
              <w:rPr>
                <w:rFonts w:eastAsiaTheme="minorEastAsia" w:cs="Calibri"/>
                <w:color w:val="000000"/>
                <w:szCs w:val="16"/>
                <w:lang w:eastAsia="en-AU"/>
              </w:rPr>
            </w:pPr>
            <w:r w:rsidRPr="00CC7C79">
              <w:rPr>
                <w:rFonts w:eastAsiaTheme="minorEastAsia" w:cs="Calibri"/>
                <w:color w:val="000000"/>
                <w:szCs w:val="16"/>
                <w:lang w:eastAsia="en-AU"/>
              </w:rPr>
              <w:t>Net cash flows from investments in non-financial assets</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(1 516)</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(1 914)</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(2 022)</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(1 835)</w:t>
            </w:r>
          </w:p>
        </w:tc>
        <w:tc>
          <w:tcPr>
            <w:tcW w:w="907" w:type="dxa"/>
            <w:tcBorders>
              <w:top w:val="nil"/>
              <w:left w:val="nil"/>
              <w:bottom w:val="nil"/>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(2 638)</w:t>
            </w:r>
          </w:p>
        </w:tc>
      </w:tr>
      <w:tr w:rsidR="00F20535" w:rsidRPr="00CC7C79" w:rsidTr="007A2EDF">
        <w:tc>
          <w:tcPr>
            <w:cnfStyle w:val="001000000000" w:firstRow="0" w:lastRow="0" w:firstColumn="1" w:lastColumn="0" w:oddVBand="0" w:evenVBand="0" w:oddHBand="0" w:evenHBand="0" w:firstRowFirstColumn="0" w:firstRowLastColumn="0" w:lastRowFirstColumn="0" w:lastRowLastColumn="0"/>
            <w:tcW w:w="5102"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rPr>
                <w:rFonts w:eastAsiaTheme="minorEastAsia" w:cs="Calibri"/>
                <w:b/>
                <w:bCs/>
                <w:color w:val="000000"/>
                <w:szCs w:val="16"/>
                <w:lang w:eastAsia="en-AU"/>
              </w:rPr>
            </w:pPr>
            <w:r w:rsidRPr="00CC7C79">
              <w:rPr>
                <w:rFonts w:eastAsiaTheme="minorEastAsia" w:cs="Calibri"/>
                <w:b/>
                <w:bCs/>
                <w:color w:val="000000"/>
                <w:szCs w:val="16"/>
                <w:lang w:eastAsia="en-AU"/>
              </w:rPr>
              <w:t>Cash surplus/(deficit)</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345</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(497)</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(144)</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(1 808)</w:t>
            </w:r>
          </w:p>
        </w:tc>
        <w:tc>
          <w:tcPr>
            <w:tcW w:w="907" w:type="dxa"/>
            <w:tcBorders>
              <w:top w:val="single" w:sz="6" w:space="0" w:color="000000"/>
              <w:left w:val="nil"/>
              <w:bottom w:val="single" w:sz="12" w:space="0" w:color="000000"/>
              <w:right w:val="nil"/>
            </w:tcBorders>
          </w:tcPr>
          <w:p w:rsidR="00F20535" w:rsidRPr="00CC7C79" w:rsidRDefault="00F20535" w:rsidP="007A2E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(930)</w:t>
            </w:r>
          </w:p>
        </w:tc>
      </w:tr>
    </w:tbl>
    <w:p w:rsidR="00F20535" w:rsidRPr="00B37F4C" w:rsidRDefault="00F20535" w:rsidP="007A2EDF">
      <w:pPr>
        <w:pStyle w:val="Note"/>
        <w:rPr>
          <w:bCs/>
          <w:lang w:val="en-US"/>
        </w:rPr>
      </w:pPr>
      <w:r>
        <w:t>Note:</w:t>
      </w:r>
    </w:p>
    <w:p w:rsidR="00F20535" w:rsidRDefault="00F20535" w:rsidP="007A2EDF">
      <w:pPr>
        <w:pStyle w:val="Note"/>
      </w:pPr>
      <w:r>
        <w:t>(a)</w:t>
      </w:r>
      <w:r>
        <w:tab/>
        <w:t xml:space="preserve">These items are inclusive of goods and services tax. </w:t>
      </w:r>
    </w:p>
    <w:p w:rsidR="00F20535" w:rsidRDefault="00F20535" w:rsidP="007A2EDF">
      <w:pPr>
        <w:pStyle w:val="Note"/>
      </w:pPr>
    </w:p>
    <w:p w:rsidR="00F20535" w:rsidRDefault="00F20535">
      <w:pPr>
        <w:rPr>
          <w:rFonts w:asciiTheme="majorHAnsi" w:eastAsiaTheme="minorHAnsi" w:hAnsiTheme="majorHAnsi" w:cstheme="minorBidi"/>
          <w:i/>
          <w:spacing w:val="-2"/>
          <w:sz w:val="14"/>
          <w:szCs w:val="22"/>
        </w:rPr>
      </w:pPr>
      <w:r>
        <w:br w:type="page"/>
      </w:r>
    </w:p>
    <w:p w:rsidR="00F20535" w:rsidRDefault="00F20535" w:rsidP="007A2EDF"/>
    <w:p w:rsidR="00F20535" w:rsidRPr="005F056D" w:rsidRDefault="00F20535" w:rsidP="007A2EDF"/>
    <w:p w:rsidR="00F20535" w:rsidRDefault="00F20535" w:rsidP="00BB4492">
      <w:pPr>
        <w:sectPr w:rsidR="00F20535" w:rsidSect="009F30D0">
          <w:footerReference w:type="even" r:id="rId94"/>
          <w:footerReference w:type="default" r:id="rId95"/>
          <w:type w:val="oddPage"/>
          <w:pgSz w:w="11906" w:h="16838" w:code="9"/>
          <w:pgMar w:top="1138" w:right="1138" w:bottom="1138" w:left="1138" w:header="619" w:footer="562" w:gutter="0"/>
          <w:cols w:sep="1" w:space="567"/>
          <w:docGrid w:linePitch="360"/>
        </w:sectPr>
      </w:pPr>
    </w:p>
    <w:p w:rsidR="00F20535" w:rsidRDefault="00F20535" w:rsidP="00A13F11">
      <w:pPr>
        <w:pStyle w:val="ChapterHeading"/>
      </w:pPr>
      <w:bookmarkStart w:id="120" w:name="_Toc508201408"/>
      <w:r>
        <w:t xml:space="preserve">Appendix B – </w:t>
      </w:r>
      <w:r w:rsidRPr="00024D2B">
        <w:rPr>
          <w:i/>
        </w:rPr>
        <w:t>Financial Management Act 1994</w:t>
      </w:r>
      <w:r>
        <w:t xml:space="preserve"> compliance index</w:t>
      </w:r>
      <w:bookmarkEnd w:id="120"/>
    </w:p>
    <w:p w:rsidR="00F20535" w:rsidRPr="0032526F" w:rsidRDefault="00F20535" w:rsidP="000C30FB">
      <w:r>
        <w:t xml:space="preserve">The </w:t>
      </w:r>
      <w:r w:rsidRPr="00024D2B">
        <w:rPr>
          <w:i/>
        </w:rPr>
        <w:t>Financial Management Act 1994</w:t>
      </w:r>
      <w:r>
        <w:rPr>
          <w:i/>
        </w:rPr>
        <w:t xml:space="preserve"> </w:t>
      </w:r>
      <w:r w:rsidRPr="00655FEA">
        <w:t>(</w:t>
      </w:r>
      <w:r>
        <w:t>FMA</w:t>
      </w:r>
      <w:r w:rsidRPr="00655FEA">
        <w:t>)</w:t>
      </w:r>
      <w:r>
        <w:t xml:space="preserve"> requires the Minister to prepare a mid-year financial report and a quarterly financial report for tabling in Parliament. These reports have been prepared in accordance with applicable Australian Accounting Standards and the</w:t>
      </w:r>
      <w:r>
        <w:rPr>
          <w:i/>
        </w:rPr>
        <w:t xml:space="preserve"> </w:t>
      </w:r>
      <w:r>
        <w:t>FMA</w:t>
      </w:r>
      <w:r w:rsidRPr="0032526F">
        <w:t>.</w:t>
      </w:r>
    </w:p>
    <w:p w:rsidR="00F20535" w:rsidRDefault="00F20535" w:rsidP="000C30FB">
      <w:r>
        <w:t>The FMA specifies that these reports must meet certain requirements. The following compliance index explains how these requirements are met, together with appropriate references in this document.</w:t>
      </w:r>
    </w:p>
    <w:p w:rsidR="00F20535" w:rsidRDefault="00F20535" w:rsidP="000C30FB"/>
    <w:tbl>
      <w:tblPr>
        <w:tblStyle w:val="DTFTextTable"/>
        <w:tblW w:w="9854" w:type="dxa"/>
        <w:tblLayout w:type="fixed"/>
        <w:tblLook w:val="0620" w:firstRow="1" w:lastRow="0" w:firstColumn="0" w:lastColumn="0" w:noHBand="1" w:noVBand="1"/>
      </w:tblPr>
      <w:tblGrid>
        <w:gridCol w:w="1589"/>
        <w:gridCol w:w="4961"/>
        <w:gridCol w:w="3304"/>
      </w:tblGrid>
      <w:tr w:rsidR="00F20535" w:rsidRPr="00D065C2" w:rsidTr="00BB4492">
        <w:trPr>
          <w:cnfStyle w:val="100000000000" w:firstRow="1" w:lastRow="0" w:firstColumn="0" w:lastColumn="0" w:oddVBand="0" w:evenVBand="0" w:oddHBand="0" w:evenHBand="0" w:firstRowFirstColumn="0" w:firstRowLastColumn="0" w:lastRowFirstColumn="0" w:lastRowLastColumn="0"/>
          <w:tblHeader/>
        </w:trPr>
        <w:tc>
          <w:tcPr>
            <w:tcW w:w="1589" w:type="dxa"/>
          </w:tcPr>
          <w:p w:rsidR="00F20535" w:rsidRPr="00D065C2" w:rsidRDefault="00F20535" w:rsidP="000C30FB">
            <w:pPr>
              <w:rPr>
                <w:sz w:val="18"/>
                <w:szCs w:val="18"/>
              </w:rPr>
            </w:pPr>
            <w:r w:rsidRPr="00D065C2">
              <w:rPr>
                <w:sz w:val="18"/>
                <w:szCs w:val="18"/>
              </w:rPr>
              <w:t>Financial Management Act reference</w:t>
            </w:r>
          </w:p>
        </w:tc>
        <w:tc>
          <w:tcPr>
            <w:tcW w:w="4961" w:type="dxa"/>
          </w:tcPr>
          <w:p w:rsidR="00F20535" w:rsidRPr="00D065C2" w:rsidRDefault="00F20535" w:rsidP="000C30FB">
            <w:pPr>
              <w:rPr>
                <w:sz w:val="18"/>
                <w:szCs w:val="18"/>
              </w:rPr>
            </w:pPr>
            <w:r w:rsidRPr="00D065C2">
              <w:rPr>
                <w:sz w:val="18"/>
                <w:szCs w:val="18"/>
              </w:rPr>
              <w:t>Requirement</w:t>
            </w:r>
          </w:p>
        </w:tc>
        <w:tc>
          <w:tcPr>
            <w:tcW w:w="3304" w:type="dxa"/>
          </w:tcPr>
          <w:p w:rsidR="00F20535" w:rsidRPr="00D065C2" w:rsidRDefault="00F20535" w:rsidP="000C30FB">
            <w:pPr>
              <w:rPr>
                <w:sz w:val="18"/>
                <w:szCs w:val="18"/>
              </w:rPr>
            </w:pPr>
            <w:r w:rsidRPr="00D065C2">
              <w:rPr>
                <w:sz w:val="18"/>
                <w:szCs w:val="18"/>
              </w:rPr>
              <w:t>Comments/reference</w:t>
            </w:r>
          </w:p>
        </w:tc>
      </w:tr>
      <w:tr w:rsidR="00F20535" w:rsidRPr="00D065C2" w:rsidTr="00BB4492">
        <w:tc>
          <w:tcPr>
            <w:tcW w:w="1589" w:type="dxa"/>
          </w:tcPr>
          <w:p w:rsidR="00F20535" w:rsidRPr="00D065C2" w:rsidRDefault="00F20535" w:rsidP="000C30FB">
            <w:pPr>
              <w:spacing w:after="60"/>
              <w:rPr>
                <w:sz w:val="18"/>
                <w:szCs w:val="18"/>
              </w:rPr>
            </w:pPr>
            <w:r w:rsidRPr="00D065C2">
              <w:rPr>
                <w:sz w:val="18"/>
                <w:szCs w:val="18"/>
              </w:rPr>
              <w:t>Section 25(1)</w:t>
            </w:r>
          </w:p>
        </w:tc>
        <w:tc>
          <w:tcPr>
            <w:tcW w:w="4961" w:type="dxa"/>
          </w:tcPr>
          <w:p w:rsidR="00F20535" w:rsidRPr="00D065C2" w:rsidRDefault="00F20535" w:rsidP="000C30FB">
            <w:pPr>
              <w:spacing w:after="60"/>
              <w:rPr>
                <w:sz w:val="18"/>
                <w:szCs w:val="18"/>
              </w:rPr>
            </w:pPr>
            <w:r w:rsidRPr="00D065C2">
              <w:rPr>
                <w:sz w:val="18"/>
                <w:szCs w:val="18"/>
              </w:rPr>
              <w:t>The Minister must prepare a mid-year report for each financial year.</w:t>
            </w:r>
          </w:p>
        </w:tc>
        <w:tc>
          <w:tcPr>
            <w:tcW w:w="3304" w:type="dxa"/>
          </w:tcPr>
          <w:p w:rsidR="00F20535" w:rsidRPr="00AF638C" w:rsidRDefault="00F20535" w:rsidP="000C30FB">
            <w:pPr>
              <w:spacing w:after="60"/>
              <w:rPr>
                <w:sz w:val="18"/>
                <w:szCs w:val="18"/>
              </w:rPr>
            </w:pPr>
            <w:r w:rsidRPr="00AF638C">
              <w:rPr>
                <w:sz w:val="18"/>
                <w:szCs w:val="18"/>
              </w:rPr>
              <w:t>Refer to Chapter 2.</w:t>
            </w:r>
          </w:p>
        </w:tc>
      </w:tr>
      <w:tr w:rsidR="00F20535" w:rsidRPr="00D065C2" w:rsidTr="00BB4492">
        <w:tc>
          <w:tcPr>
            <w:tcW w:w="1589" w:type="dxa"/>
          </w:tcPr>
          <w:p w:rsidR="00F20535" w:rsidRPr="00D065C2" w:rsidRDefault="00F20535" w:rsidP="000C30FB">
            <w:pPr>
              <w:spacing w:after="60"/>
              <w:rPr>
                <w:sz w:val="18"/>
                <w:szCs w:val="18"/>
              </w:rPr>
            </w:pPr>
            <w:r w:rsidRPr="00D065C2">
              <w:rPr>
                <w:sz w:val="18"/>
                <w:szCs w:val="18"/>
              </w:rPr>
              <w:t>Section 25(2)</w:t>
            </w:r>
          </w:p>
        </w:tc>
        <w:tc>
          <w:tcPr>
            <w:tcW w:w="4961" w:type="dxa"/>
          </w:tcPr>
          <w:p w:rsidR="00F20535" w:rsidRPr="00D065C2" w:rsidRDefault="00F20535" w:rsidP="000C30FB">
            <w:pPr>
              <w:spacing w:after="60"/>
              <w:rPr>
                <w:sz w:val="18"/>
                <w:szCs w:val="18"/>
              </w:rPr>
            </w:pPr>
            <w:r w:rsidRPr="00D065C2">
              <w:rPr>
                <w:sz w:val="18"/>
                <w:szCs w:val="18"/>
              </w:rPr>
              <w:t>The mid-year report:</w:t>
            </w:r>
          </w:p>
        </w:tc>
        <w:tc>
          <w:tcPr>
            <w:tcW w:w="3304" w:type="dxa"/>
          </w:tcPr>
          <w:p w:rsidR="00F20535" w:rsidRPr="00AF638C" w:rsidRDefault="00F20535" w:rsidP="000C30FB">
            <w:pPr>
              <w:spacing w:after="60"/>
              <w:rPr>
                <w:sz w:val="18"/>
                <w:szCs w:val="18"/>
              </w:rPr>
            </w:pPr>
          </w:p>
        </w:tc>
      </w:tr>
      <w:tr w:rsidR="00F20535" w:rsidRPr="00D065C2" w:rsidTr="00BB4492">
        <w:tc>
          <w:tcPr>
            <w:tcW w:w="1589" w:type="dxa"/>
          </w:tcPr>
          <w:p w:rsidR="00F20535" w:rsidRPr="00D065C2" w:rsidRDefault="00F20535" w:rsidP="000C30FB">
            <w:pPr>
              <w:spacing w:after="60"/>
              <w:rPr>
                <w:sz w:val="18"/>
                <w:szCs w:val="18"/>
              </w:rPr>
            </w:pPr>
          </w:p>
        </w:tc>
        <w:tc>
          <w:tcPr>
            <w:tcW w:w="4961" w:type="dxa"/>
          </w:tcPr>
          <w:p w:rsidR="00F20535" w:rsidRPr="00D065C2" w:rsidRDefault="00F20535" w:rsidP="000C30FB">
            <w:pPr>
              <w:spacing w:after="60"/>
              <w:ind w:left="284" w:hanging="284"/>
              <w:rPr>
                <w:sz w:val="18"/>
                <w:szCs w:val="18"/>
              </w:rPr>
            </w:pPr>
            <w:r w:rsidRPr="00D065C2">
              <w:rPr>
                <w:sz w:val="18"/>
                <w:szCs w:val="18"/>
              </w:rPr>
              <w:t>(a)</w:t>
            </w:r>
            <w:r w:rsidRPr="00D065C2">
              <w:rPr>
                <w:sz w:val="18"/>
                <w:szCs w:val="18"/>
              </w:rPr>
              <w:tab/>
              <w:t>must be prepared in the manner and form determined by the Minister, having regard to appropriate financial reporting frameworks;</w:t>
            </w:r>
          </w:p>
        </w:tc>
        <w:tc>
          <w:tcPr>
            <w:tcW w:w="3304" w:type="dxa"/>
          </w:tcPr>
          <w:p w:rsidR="00F20535" w:rsidRPr="00AF638C" w:rsidRDefault="00F20535" w:rsidP="000C30FB">
            <w:pPr>
              <w:spacing w:after="60"/>
              <w:rPr>
                <w:sz w:val="18"/>
                <w:szCs w:val="18"/>
              </w:rPr>
            </w:pPr>
            <w:r w:rsidRPr="00AF638C">
              <w:rPr>
                <w:sz w:val="18"/>
                <w:szCs w:val="18"/>
              </w:rPr>
              <w:t>Manner is in accordance with Australian Accounting Standards and Ministerial Directions. Form is operating statement, balance sheet, statement of cash flows, statement of changes in equity and accompanying notes. Refer to Chapter 2.</w:t>
            </w:r>
          </w:p>
        </w:tc>
      </w:tr>
      <w:tr w:rsidR="00F20535" w:rsidRPr="00D065C2" w:rsidTr="00BB4492">
        <w:tc>
          <w:tcPr>
            <w:tcW w:w="1589" w:type="dxa"/>
          </w:tcPr>
          <w:p w:rsidR="00F20535" w:rsidRPr="00D065C2" w:rsidRDefault="00F20535" w:rsidP="000C30FB">
            <w:pPr>
              <w:spacing w:after="60"/>
              <w:rPr>
                <w:sz w:val="18"/>
                <w:szCs w:val="18"/>
              </w:rPr>
            </w:pPr>
          </w:p>
        </w:tc>
        <w:tc>
          <w:tcPr>
            <w:tcW w:w="4961" w:type="dxa"/>
          </w:tcPr>
          <w:p w:rsidR="00F20535" w:rsidRPr="00D065C2" w:rsidRDefault="00F20535" w:rsidP="000C30FB">
            <w:pPr>
              <w:spacing w:after="60"/>
              <w:ind w:left="284" w:hanging="284"/>
              <w:rPr>
                <w:sz w:val="18"/>
                <w:szCs w:val="18"/>
              </w:rPr>
            </w:pPr>
            <w:r w:rsidRPr="00D065C2">
              <w:rPr>
                <w:sz w:val="18"/>
                <w:szCs w:val="18"/>
              </w:rPr>
              <w:t>(b)</w:t>
            </w:r>
            <w:r w:rsidRPr="00D065C2">
              <w:rPr>
                <w:sz w:val="18"/>
                <w:szCs w:val="18"/>
              </w:rPr>
              <w:tab/>
              <w:t>must present fairly the financial position of the State and the Victorian general gove</w:t>
            </w:r>
            <w:r>
              <w:rPr>
                <w:sz w:val="18"/>
                <w:szCs w:val="18"/>
              </w:rPr>
              <w:t>rnment sector at midnight on 31 </w:t>
            </w:r>
            <w:r w:rsidRPr="00D065C2">
              <w:rPr>
                <w:sz w:val="18"/>
                <w:szCs w:val="18"/>
              </w:rPr>
              <w:t>December in the financial year and:</w:t>
            </w:r>
          </w:p>
        </w:tc>
        <w:tc>
          <w:tcPr>
            <w:tcW w:w="3304" w:type="dxa"/>
          </w:tcPr>
          <w:p w:rsidR="00F20535" w:rsidRPr="00AF638C" w:rsidRDefault="00F20535" w:rsidP="000C30FB">
            <w:pPr>
              <w:spacing w:after="60"/>
              <w:rPr>
                <w:sz w:val="18"/>
                <w:szCs w:val="18"/>
              </w:rPr>
            </w:pPr>
            <w:r w:rsidRPr="00AF638C">
              <w:rPr>
                <w:sz w:val="18"/>
                <w:szCs w:val="18"/>
              </w:rPr>
              <w:t xml:space="preserve">Refer </w:t>
            </w:r>
            <w:r>
              <w:rPr>
                <w:sz w:val="18"/>
                <w:szCs w:val="18"/>
              </w:rPr>
              <w:t xml:space="preserve">to </w:t>
            </w:r>
            <w:r w:rsidRPr="00AF638C">
              <w:rPr>
                <w:sz w:val="18"/>
                <w:szCs w:val="18"/>
              </w:rPr>
              <w:t>Chapter 2, balance sheet, page 10.</w:t>
            </w:r>
          </w:p>
        </w:tc>
      </w:tr>
      <w:tr w:rsidR="00F20535" w:rsidRPr="00D065C2" w:rsidTr="00BB4492">
        <w:tc>
          <w:tcPr>
            <w:tcW w:w="1589" w:type="dxa"/>
          </w:tcPr>
          <w:p w:rsidR="00F20535" w:rsidRPr="00D065C2" w:rsidRDefault="00F20535" w:rsidP="000C30FB">
            <w:pPr>
              <w:spacing w:after="60"/>
              <w:rPr>
                <w:sz w:val="18"/>
                <w:szCs w:val="18"/>
              </w:rPr>
            </w:pPr>
          </w:p>
        </w:tc>
        <w:tc>
          <w:tcPr>
            <w:tcW w:w="4961" w:type="dxa"/>
          </w:tcPr>
          <w:p w:rsidR="00F20535" w:rsidRPr="00D065C2" w:rsidRDefault="00F20535" w:rsidP="000C30FB">
            <w:pPr>
              <w:spacing w:after="60"/>
              <w:ind w:left="568" w:hanging="284"/>
              <w:rPr>
                <w:sz w:val="18"/>
                <w:szCs w:val="18"/>
              </w:rPr>
            </w:pPr>
            <w:r w:rsidRPr="00D065C2">
              <w:rPr>
                <w:sz w:val="18"/>
                <w:szCs w:val="18"/>
              </w:rPr>
              <w:t>(i)</w:t>
            </w:r>
            <w:r w:rsidRPr="00D065C2">
              <w:rPr>
                <w:sz w:val="18"/>
                <w:szCs w:val="18"/>
              </w:rPr>
              <w:tab/>
              <w:t>the transactions on the Public Account;</w:t>
            </w:r>
          </w:p>
        </w:tc>
        <w:tc>
          <w:tcPr>
            <w:tcW w:w="3304" w:type="dxa"/>
          </w:tcPr>
          <w:p w:rsidR="00F20535" w:rsidRPr="00AF638C" w:rsidRDefault="00F20535" w:rsidP="000C30FB">
            <w:pPr>
              <w:spacing w:after="60"/>
              <w:rPr>
                <w:sz w:val="18"/>
                <w:szCs w:val="18"/>
              </w:rPr>
            </w:pPr>
            <w:r w:rsidRPr="00AF638C">
              <w:rPr>
                <w:sz w:val="18"/>
                <w:szCs w:val="18"/>
              </w:rPr>
              <w:t xml:space="preserve">Refer </w:t>
            </w:r>
            <w:r>
              <w:rPr>
                <w:sz w:val="18"/>
                <w:szCs w:val="18"/>
              </w:rPr>
              <w:t xml:space="preserve">to </w:t>
            </w:r>
            <w:r w:rsidRPr="00AF638C">
              <w:rPr>
                <w:sz w:val="18"/>
                <w:szCs w:val="18"/>
              </w:rPr>
              <w:t>Chapter 2, Note 8, pages 38-40.</w:t>
            </w:r>
          </w:p>
        </w:tc>
      </w:tr>
      <w:tr w:rsidR="00F20535" w:rsidRPr="00D065C2" w:rsidTr="00BB4492">
        <w:tc>
          <w:tcPr>
            <w:tcW w:w="1589" w:type="dxa"/>
          </w:tcPr>
          <w:p w:rsidR="00F20535" w:rsidRPr="00D065C2" w:rsidRDefault="00F20535" w:rsidP="000C30FB">
            <w:pPr>
              <w:spacing w:after="60"/>
              <w:rPr>
                <w:sz w:val="18"/>
                <w:szCs w:val="18"/>
              </w:rPr>
            </w:pPr>
          </w:p>
        </w:tc>
        <w:tc>
          <w:tcPr>
            <w:tcW w:w="4961" w:type="dxa"/>
          </w:tcPr>
          <w:p w:rsidR="00F20535" w:rsidRPr="00D065C2" w:rsidRDefault="00F20535" w:rsidP="000C30FB">
            <w:pPr>
              <w:spacing w:after="60"/>
              <w:ind w:left="568" w:hanging="284"/>
              <w:rPr>
                <w:sz w:val="18"/>
                <w:szCs w:val="18"/>
              </w:rPr>
            </w:pPr>
            <w:r w:rsidRPr="00D065C2">
              <w:rPr>
                <w:sz w:val="18"/>
                <w:szCs w:val="18"/>
              </w:rPr>
              <w:t>(ii)</w:t>
            </w:r>
            <w:r w:rsidRPr="00D065C2">
              <w:rPr>
                <w:sz w:val="18"/>
                <w:szCs w:val="18"/>
              </w:rPr>
              <w:tab/>
              <w:t>the transactions of the Victorian general government sector; and</w:t>
            </w:r>
          </w:p>
        </w:tc>
        <w:tc>
          <w:tcPr>
            <w:tcW w:w="3304" w:type="dxa"/>
          </w:tcPr>
          <w:p w:rsidR="00F20535" w:rsidRPr="00AF638C" w:rsidRDefault="00F20535" w:rsidP="00DF133A">
            <w:pPr>
              <w:spacing w:after="60"/>
              <w:rPr>
                <w:sz w:val="18"/>
                <w:szCs w:val="18"/>
              </w:rPr>
            </w:pPr>
            <w:r w:rsidRPr="00AF638C">
              <w:rPr>
                <w:sz w:val="18"/>
                <w:szCs w:val="18"/>
              </w:rPr>
              <w:t xml:space="preserve">Refer </w:t>
            </w:r>
            <w:r>
              <w:rPr>
                <w:sz w:val="18"/>
                <w:szCs w:val="18"/>
              </w:rPr>
              <w:t xml:space="preserve">to </w:t>
            </w:r>
            <w:r w:rsidRPr="00AF638C">
              <w:rPr>
                <w:sz w:val="18"/>
                <w:szCs w:val="18"/>
              </w:rPr>
              <w:t xml:space="preserve">Chapter 2, operating statement, page 9, statement of cash flows, page 11 and </w:t>
            </w:r>
            <w:r>
              <w:rPr>
                <w:sz w:val="18"/>
                <w:szCs w:val="18"/>
              </w:rPr>
              <w:t>related</w:t>
            </w:r>
            <w:r w:rsidRPr="00AF638C">
              <w:rPr>
                <w:sz w:val="18"/>
                <w:szCs w:val="18"/>
              </w:rPr>
              <w:t xml:space="preserve"> notes.</w:t>
            </w:r>
          </w:p>
        </w:tc>
      </w:tr>
      <w:tr w:rsidR="00F20535" w:rsidRPr="00D065C2" w:rsidTr="00BB4492">
        <w:tc>
          <w:tcPr>
            <w:tcW w:w="1589" w:type="dxa"/>
          </w:tcPr>
          <w:p w:rsidR="00F20535" w:rsidRPr="00D065C2" w:rsidRDefault="00F20535" w:rsidP="000C30FB">
            <w:pPr>
              <w:spacing w:after="60"/>
              <w:rPr>
                <w:sz w:val="18"/>
                <w:szCs w:val="18"/>
              </w:rPr>
            </w:pPr>
          </w:p>
        </w:tc>
        <w:tc>
          <w:tcPr>
            <w:tcW w:w="4961" w:type="dxa"/>
          </w:tcPr>
          <w:p w:rsidR="00F20535" w:rsidRPr="00D065C2" w:rsidRDefault="00F20535" w:rsidP="000C30FB">
            <w:pPr>
              <w:spacing w:after="60"/>
              <w:ind w:left="568" w:hanging="284"/>
              <w:rPr>
                <w:sz w:val="18"/>
                <w:szCs w:val="18"/>
              </w:rPr>
            </w:pPr>
            <w:r w:rsidRPr="00D065C2">
              <w:rPr>
                <w:sz w:val="18"/>
                <w:szCs w:val="18"/>
              </w:rPr>
              <w:t>(iii)</w:t>
            </w:r>
            <w:r w:rsidRPr="00D065C2">
              <w:rPr>
                <w:sz w:val="18"/>
                <w:szCs w:val="18"/>
              </w:rPr>
              <w:tab/>
              <w:t>other financial transactions of the State in respect of the period of six months ending on that day.</w:t>
            </w:r>
          </w:p>
        </w:tc>
        <w:tc>
          <w:tcPr>
            <w:tcW w:w="3304" w:type="dxa"/>
          </w:tcPr>
          <w:p w:rsidR="00F20535" w:rsidRPr="00AF638C" w:rsidRDefault="00F20535" w:rsidP="00DF133A">
            <w:pPr>
              <w:spacing w:after="60"/>
              <w:rPr>
                <w:sz w:val="18"/>
                <w:szCs w:val="18"/>
              </w:rPr>
            </w:pPr>
            <w:r w:rsidRPr="00AF638C">
              <w:rPr>
                <w:sz w:val="18"/>
                <w:szCs w:val="18"/>
              </w:rPr>
              <w:t xml:space="preserve">Refer </w:t>
            </w:r>
            <w:r>
              <w:rPr>
                <w:sz w:val="18"/>
                <w:szCs w:val="18"/>
              </w:rPr>
              <w:t xml:space="preserve">to </w:t>
            </w:r>
            <w:r w:rsidRPr="00AF638C">
              <w:rPr>
                <w:sz w:val="18"/>
                <w:szCs w:val="18"/>
              </w:rPr>
              <w:t xml:space="preserve">Chapter 2, operating statement, page 9, statement of cash flows, page 11 and </w:t>
            </w:r>
            <w:r>
              <w:rPr>
                <w:sz w:val="18"/>
                <w:szCs w:val="18"/>
              </w:rPr>
              <w:t>related</w:t>
            </w:r>
            <w:r w:rsidRPr="00AF638C">
              <w:rPr>
                <w:sz w:val="18"/>
                <w:szCs w:val="18"/>
              </w:rPr>
              <w:t xml:space="preserve"> notes.</w:t>
            </w:r>
          </w:p>
        </w:tc>
      </w:tr>
      <w:tr w:rsidR="00F20535" w:rsidRPr="00D065C2" w:rsidTr="00BB4492">
        <w:tc>
          <w:tcPr>
            <w:tcW w:w="1589" w:type="dxa"/>
          </w:tcPr>
          <w:p w:rsidR="00F20535" w:rsidRPr="00D065C2" w:rsidRDefault="00F20535" w:rsidP="000C30FB">
            <w:pPr>
              <w:spacing w:after="60"/>
              <w:rPr>
                <w:sz w:val="18"/>
                <w:szCs w:val="18"/>
              </w:rPr>
            </w:pPr>
            <w:r w:rsidRPr="00D065C2">
              <w:rPr>
                <w:sz w:val="18"/>
                <w:szCs w:val="18"/>
              </w:rPr>
              <w:t>Section 26(1)</w:t>
            </w:r>
          </w:p>
        </w:tc>
        <w:tc>
          <w:tcPr>
            <w:tcW w:w="4961" w:type="dxa"/>
          </w:tcPr>
          <w:p w:rsidR="00F20535" w:rsidRPr="00D065C2" w:rsidRDefault="00F20535" w:rsidP="000C30FB">
            <w:pPr>
              <w:spacing w:after="60"/>
              <w:rPr>
                <w:sz w:val="18"/>
                <w:szCs w:val="18"/>
              </w:rPr>
            </w:pPr>
            <w:r w:rsidRPr="00D065C2">
              <w:rPr>
                <w:sz w:val="18"/>
                <w:szCs w:val="18"/>
              </w:rPr>
              <w:t>The Minister must prepare a quarterly financial report for each quarter of each financial year.</w:t>
            </w:r>
          </w:p>
        </w:tc>
        <w:tc>
          <w:tcPr>
            <w:tcW w:w="3304" w:type="dxa"/>
          </w:tcPr>
          <w:p w:rsidR="00F20535" w:rsidRPr="00AF638C" w:rsidRDefault="00F20535" w:rsidP="000C30FB">
            <w:pPr>
              <w:spacing w:after="60"/>
              <w:rPr>
                <w:sz w:val="18"/>
                <w:szCs w:val="18"/>
              </w:rPr>
            </w:pPr>
            <w:r w:rsidRPr="00AF638C">
              <w:rPr>
                <w:sz w:val="18"/>
                <w:szCs w:val="18"/>
              </w:rPr>
              <w:t xml:space="preserve">Refer </w:t>
            </w:r>
            <w:r>
              <w:rPr>
                <w:sz w:val="18"/>
                <w:szCs w:val="18"/>
              </w:rPr>
              <w:t xml:space="preserve">to </w:t>
            </w:r>
            <w:r w:rsidRPr="00AF638C">
              <w:rPr>
                <w:sz w:val="18"/>
                <w:szCs w:val="18"/>
              </w:rPr>
              <w:t>Appendix A, pages 51-53.</w:t>
            </w:r>
          </w:p>
        </w:tc>
      </w:tr>
      <w:tr w:rsidR="00F20535" w:rsidRPr="00D065C2" w:rsidTr="00BB4492">
        <w:tc>
          <w:tcPr>
            <w:tcW w:w="1589" w:type="dxa"/>
          </w:tcPr>
          <w:p w:rsidR="00F20535" w:rsidRPr="00D065C2" w:rsidRDefault="00F20535" w:rsidP="000C30FB">
            <w:pPr>
              <w:spacing w:after="60"/>
              <w:rPr>
                <w:sz w:val="18"/>
                <w:szCs w:val="18"/>
              </w:rPr>
            </w:pPr>
            <w:r w:rsidRPr="00D065C2">
              <w:rPr>
                <w:sz w:val="18"/>
                <w:szCs w:val="18"/>
              </w:rPr>
              <w:t>Section 26(2)</w:t>
            </w:r>
          </w:p>
        </w:tc>
        <w:tc>
          <w:tcPr>
            <w:tcW w:w="4961" w:type="dxa"/>
          </w:tcPr>
          <w:p w:rsidR="00F20535" w:rsidRPr="00D065C2" w:rsidRDefault="00F20535" w:rsidP="000C30FB">
            <w:pPr>
              <w:spacing w:after="60"/>
              <w:rPr>
                <w:sz w:val="18"/>
                <w:szCs w:val="18"/>
              </w:rPr>
            </w:pPr>
            <w:r w:rsidRPr="00D065C2">
              <w:rPr>
                <w:sz w:val="18"/>
                <w:szCs w:val="18"/>
              </w:rPr>
              <w:t>A quarterly financial report comprises:</w:t>
            </w:r>
          </w:p>
        </w:tc>
        <w:tc>
          <w:tcPr>
            <w:tcW w:w="3304" w:type="dxa"/>
          </w:tcPr>
          <w:p w:rsidR="00F20535" w:rsidRPr="00AF638C" w:rsidRDefault="00F20535" w:rsidP="000C30FB">
            <w:pPr>
              <w:spacing w:after="60"/>
              <w:rPr>
                <w:sz w:val="18"/>
                <w:szCs w:val="18"/>
              </w:rPr>
            </w:pPr>
          </w:p>
        </w:tc>
      </w:tr>
      <w:tr w:rsidR="00F20535" w:rsidRPr="00D065C2" w:rsidTr="00BB4492">
        <w:tc>
          <w:tcPr>
            <w:tcW w:w="1589" w:type="dxa"/>
          </w:tcPr>
          <w:p w:rsidR="00F20535" w:rsidRPr="00D065C2" w:rsidRDefault="00F20535" w:rsidP="000C30FB">
            <w:pPr>
              <w:spacing w:after="60"/>
              <w:rPr>
                <w:sz w:val="18"/>
                <w:szCs w:val="18"/>
              </w:rPr>
            </w:pPr>
          </w:p>
        </w:tc>
        <w:tc>
          <w:tcPr>
            <w:tcW w:w="4961" w:type="dxa"/>
          </w:tcPr>
          <w:p w:rsidR="00F20535" w:rsidRPr="00D065C2" w:rsidRDefault="00F20535" w:rsidP="000C30FB">
            <w:pPr>
              <w:spacing w:after="60"/>
              <w:ind w:left="284" w:hanging="284"/>
              <w:rPr>
                <w:sz w:val="18"/>
                <w:szCs w:val="18"/>
              </w:rPr>
            </w:pPr>
            <w:r w:rsidRPr="00D065C2">
              <w:rPr>
                <w:sz w:val="18"/>
                <w:szCs w:val="18"/>
              </w:rPr>
              <w:t>(a)</w:t>
            </w:r>
            <w:r w:rsidRPr="00D065C2">
              <w:rPr>
                <w:sz w:val="18"/>
                <w:szCs w:val="18"/>
              </w:rPr>
              <w:tab/>
              <w:t>a statement of financial performance of the Victorian general government sector for the quarter;</w:t>
            </w:r>
          </w:p>
        </w:tc>
        <w:tc>
          <w:tcPr>
            <w:tcW w:w="3304" w:type="dxa"/>
          </w:tcPr>
          <w:p w:rsidR="00F20535" w:rsidRPr="00AF638C" w:rsidRDefault="00F20535" w:rsidP="000C30FB">
            <w:pPr>
              <w:spacing w:after="60"/>
              <w:rPr>
                <w:sz w:val="18"/>
                <w:szCs w:val="18"/>
              </w:rPr>
            </w:pPr>
            <w:r w:rsidRPr="00AF638C">
              <w:rPr>
                <w:sz w:val="18"/>
                <w:szCs w:val="18"/>
              </w:rPr>
              <w:t xml:space="preserve">Refer </w:t>
            </w:r>
            <w:r>
              <w:rPr>
                <w:sz w:val="18"/>
                <w:szCs w:val="18"/>
              </w:rPr>
              <w:t xml:space="preserve">to </w:t>
            </w:r>
            <w:r w:rsidRPr="00AF638C">
              <w:rPr>
                <w:sz w:val="18"/>
                <w:szCs w:val="18"/>
              </w:rPr>
              <w:t>Appendix A, operating statement, page 51.</w:t>
            </w:r>
          </w:p>
        </w:tc>
      </w:tr>
      <w:tr w:rsidR="00F20535" w:rsidRPr="00D065C2" w:rsidTr="00BB4492">
        <w:tc>
          <w:tcPr>
            <w:tcW w:w="1589" w:type="dxa"/>
          </w:tcPr>
          <w:p w:rsidR="00F20535" w:rsidRPr="00D065C2" w:rsidRDefault="00F20535" w:rsidP="000C30FB">
            <w:pPr>
              <w:spacing w:after="60"/>
              <w:rPr>
                <w:sz w:val="18"/>
                <w:szCs w:val="18"/>
              </w:rPr>
            </w:pPr>
          </w:p>
        </w:tc>
        <w:tc>
          <w:tcPr>
            <w:tcW w:w="4961" w:type="dxa"/>
          </w:tcPr>
          <w:p w:rsidR="00F20535" w:rsidRPr="00D065C2" w:rsidRDefault="00F20535" w:rsidP="000C30FB">
            <w:pPr>
              <w:spacing w:after="60"/>
              <w:ind w:left="284" w:hanging="284"/>
              <w:rPr>
                <w:sz w:val="18"/>
                <w:szCs w:val="18"/>
              </w:rPr>
            </w:pPr>
            <w:r w:rsidRPr="00D065C2">
              <w:rPr>
                <w:sz w:val="18"/>
                <w:szCs w:val="18"/>
              </w:rPr>
              <w:t>(b)</w:t>
            </w:r>
            <w:r w:rsidRPr="00D065C2">
              <w:rPr>
                <w:sz w:val="18"/>
                <w:szCs w:val="18"/>
              </w:rPr>
              <w:tab/>
              <w:t>a statement of the financial position of the Victorian general government sector at the end of the quarter;</w:t>
            </w:r>
          </w:p>
        </w:tc>
        <w:tc>
          <w:tcPr>
            <w:tcW w:w="3304" w:type="dxa"/>
          </w:tcPr>
          <w:p w:rsidR="00F20535" w:rsidRPr="00AF638C" w:rsidRDefault="00F20535" w:rsidP="00AF638C">
            <w:pPr>
              <w:spacing w:after="60"/>
              <w:rPr>
                <w:sz w:val="18"/>
                <w:szCs w:val="18"/>
              </w:rPr>
            </w:pPr>
            <w:r w:rsidRPr="00AF638C">
              <w:rPr>
                <w:sz w:val="18"/>
                <w:szCs w:val="18"/>
              </w:rPr>
              <w:t xml:space="preserve">Refer </w:t>
            </w:r>
            <w:r>
              <w:rPr>
                <w:sz w:val="18"/>
                <w:szCs w:val="18"/>
              </w:rPr>
              <w:t>to Appendix A, balance sheet, page </w:t>
            </w:r>
            <w:r w:rsidRPr="00AF638C">
              <w:rPr>
                <w:sz w:val="18"/>
                <w:szCs w:val="18"/>
              </w:rPr>
              <w:t>52.</w:t>
            </w:r>
          </w:p>
        </w:tc>
      </w:tr>
      <w:tr w:rsidR="00F20535" w:rsidRPr="00D065C2" w:rsidTr="00BB4492">
        <w:tc>
          <w:tcPr>
            <w:tcW w:w="1589" w:type="dxa"/>
          </w:tcPr>
          <w:p w:rsidR="00F20535" w:rsidRPr="00D065C2" w:rsidRDefault="00F20535" w:rsidP="000C30FB">
            <w:pPr>
              <w:spacing w:after="60"/>
              <w:rPr>
                <w:sz w:val="18"/>
                <w:szCs w:val="18"/>
              </w:rPr>
            </w:pPr>
          </w:p>
        </w:tc>
        <w:tc>
          <w:tcPr>
            <w:tcW w:w="4961" w:type="dxa"/>
          </w:tcPr>
          <w:p w:rsidR="00F20535" w:rsidRPr="00D065C2" w:rsidRDefault="00F20535" w:rsidP="000C30FB">
            <w:pPr>
              <w:spacing w:after="60"/>
              <w:ind w:left="284" w:hanging="284"/>
              <w:rPr>
                <w:sz w:val="18"/>
                <w:szCs w:val="18"/>
              </w:rPr>
            </w:pPr>
            <w:r w:rsidRPr="00D065C2">
              <w:rPr>
                <w:sz w:val="18"/>
                <w:szCs w:val="18"/>
              </w:rPr>
              <w:t>(c)</w:t>
            </w:r>
            <w:r w:rsidRPr="00D065C2">
              <w:rPr>
                <w:sz w:val="18"/>
                <w:szCs w:val="18"/>
              </w:rPr>
              <w:tab/>
              <w:t>a statement of cash flows of the Victorian general government sector for the quarter; and</w:t>
            </w:r>
          </w:p>
        </w:tc>
        <w:tc>
          <w:tcPr>
            <w:tcW w:w="3304" w:type="dxa"/>
          </w:tcPr>
          <w:p w:rsidR="00F20535" w:rsidRPr="00AF638C" w:rsidRDefault="00F20535" w:rsidP="000C30FB">
            <w:pPr>
              <w:spacing w:after="60"/>
              <w:rPr>
                <w:sz w:val="18"/>
                <w:szCs w:val="18"/>
              </w:rPr>
            </w:pPr>
            <w:r w:rsidRPr="00AF638C">
              <w:rPr>
                <w:sz w:val="18"/>
                <w:szCs w:val="18"/>
              </w:rPr>
              <w:t xml:space="preserve">Refer </w:t>
            </w:r>
            <w:r>
              <w:rPr>
                <w:sz w:val="18"/>
                <w:szCs w:val="18"/>
              </w:rPr>
              <w:t xml:space="preserve">to </w:t>
            </w:r>
            <w:r w:rsidRPr="00AF638C">
              <w:rPr>
                <w:sz w:val="18"/>
                <w:szCs w:val="18"/>
              </w:rPr>
              <w:t>Appendix A, st</w:t>
            </w:r>
            <w:r>
              <w:rPr>
                <w:sz w:val="18"/>
                <w:szCs w:val="18"/>
              </w:rPr>
              <w:t>atement of cash flows,</w:t>
            </w:r>
            <w:r w:rsidRPr="00AF638C">
              <w:rPr>
                <w:sz w:val="18"/>
                <w:szCs w:val="18"/>
              </w:rPr>
              <w:t xml:space="preserve"> page 53.</w:t>
            </w:r>
          </w:p>
        </w:tc>
      </w:tr>
      <w:tr w:rsidR="00F20535" w:rsidRPr="00D065C2" w:rsidTr="00BB4492">
        <w:tc>
          <w:tcPr>
            <w:tcW w:w="1589" w:type="dxa"/>
          </w:tcPr>
          <w:p w:rsidR="00F20535" w:rsidRPr="00D065C2" w:rsidRDefault="00F20535" w:rsidP="000C30FB">
            <w:pPr>
              <w:spacing w:after="60"/>
              <w:rPr>
                <w:sz w:val="18"/>
                <w:szCs w:val="18"/>
              </w:rPr>
            </w:pPr>
          </w:p>
        </w:tc>
        <w:tc>
          <w:tcPr>
            <w:tcW w:w="4961" w:type="dxa"/>
          </w:tcPr>
          <w:p w:rsidR="00F20535" w:rsidRPr="00D065C2" w:rsidRDefault="00F20535" w:rsidP="000C30FB">
            <w:pPr>
              <w:spacing w:after="60"/>
              <w:ind w:left="284" w:hanging="284"/>
              <w:rPr>
                <w:sz w:val="18"/>
                <w:szCs w:val="18"/>
              </w:rPr>
            </w:pPr>
            <w:r w:rsidRPr="00D065C2">
              <w:rPr>
                <w:sz w:val="18"/>
                <w:szCs w:val="18"/>
              </w:rPr>
              <w:t>(d)</w:t>
            </w:r>
            <w:r w:rsidRPr="00D065C2">
              <w:rPr>
                <w:sz w:val="18"/>
                <w:szCs w:val="18"/>
              </w:rPr>
              <w:tab/>
              <w:t>a statement of the accounting policies on which the statements required by paragraphs (a), (b) and (c) are based.</w:t>
            </w:r>
          </w:p>
        </w:tc>
        <w:tc>
          <w:tcPr>
            <w:tcW w:w="3304" w:type="dxa"/>
          </w:tcPr>
          <w:p w:rsidR="00F20535" w:rsidRPr="00AF638C" w:rsidRDefault="00F20535" w:rsidP="000C30FB">
            <w:pPr>
              <w:spacing w:after="60"/>
              <w:rPr>
                <w:sz w:val="18"/>
                <w:szCs w:val="18"/>
              </w:rPr>
            </w:pPr>
            <w:r w:rsidRPr="00AF638C">
              <w:rPr>
                <w:sz w:val="18"/>
                <w:szCs w:val="18"/>
              </w:rPr>
              <w:t>Refer</w:t>
            </w:r>
            <w:r>
              <w:rPr>
                <w:sz w:val="18"/>
                <w:szCs w:val="18"/>
              </w:rPr>
              <w:t xml:space="preserve"> to</w:t>
            </w:r>
            <w:r w:rsidRPr="00AF638C">
              <w:rPr>
                <w:sz w:val="18"/>
                <w:szCs w:val="18"/>
              </w:rPr>
              <w:t xml:space="preserve"> Chapter 2, Note 1, pages 14-16.</w:t>
            </w:r>
          </w:p>
        </w:tc>
      </w:tr>
      <w:tr w:rsidR="00F20535" w:rsidRPr="00D065C2" w:rsidTr="00BB4492">
        <w:tc>
          <w:tcPr>
            <w:tcW w:w="1589" w:type="dxa"/>
          </w:tcPr>
          <w:p w:rsidR="00F20535" w:rsidRPr="00D065C2" w:rsidRDefault="00F20535" w:rsidP="000C30FB">
            <w:pPr>
              <w:spacing w:after="60"/>
              <w:rPr>
                <w:sz w:val="18"/>
                <w:szCs w:val="18"/>
              </w:rPr>
            </w:pPr>
            <w:r w:rsidRPr="00D065C2">
              <w:rPr>
                <w:sz w:val="18"/>
                <w:szCs w:val="18"/>
              </w:rPr>
              <w:t>Section 26(2A)</w:t>
            </w:r>
          </w:p>
        </w:tc>
        <w:tc>
          <w:tcPr>
            <w:tcW w:w="4961" w:type="dxa"/>
          </w:tcPr>
          <w:p w:rsidR="00F20535" w:rsidRPr="00D065C2" w:rsidRDefault="00F20535" w:rsidP="000C30FB">
            <w:pPr>
              <w:spacing w:after="60"/>
              <w:rPr>
                <w:sz w:val="18"/>
                <w:szCs w:val="18"/>
              </w:rPr>
            </w:pPr>
            <w:r w:rsidRPr="00D065C2">
              <w:rPr>
                <w:sz w:val="18"/>
                <w:szCs w:val="18"/>
              </w:rPr>
              <w:t>A quarterly financial report must be prepared in the manner and form determined by the Minister, having regard to appropriate financial reporting frameworks.</w:t>
            </w:r>
          </w:p>
        </w:tc>
        <w:tc>
          <w:tcPr>
            <w:tcW w:w="3304" w:type="dxa"/>
          </w:tcPr>
          <w:p w:rsidR="00F20535" w:rsidRPr="00AF638C" w:rsidRDefault="00F20535" w:rsidP="000C30FB">
            <w:pPr>
              <w:spacing w:after="60"/>
              <w:rPr>
                <w:sz w:val="18"/>
                <w:szCs w:val="18"/>
              </w:rPr>
            </w:pPr>
            <w:r w:rsidRPr="00AF638C">
              <w:rPr>
                <w:sz w:val="18"/>
                <w:szCs w:val="18"/>
              </w:rPr>
              <w:t>Manner is a financial report for the general government sector. Form is operating statement, balance sheet, statement of cash flows.</w:t>
            </w:r>
            <w:r>
              <w:rPr>
                <w:sz w:val="18"/>
                <w:szCs w:val="18"/>
              </w:rPr>
              <w:t xml:space="preserve"> </w:t>
            </w:r>
            <w:r w:rsidRPr="00AF638C">
              <w:rPr>
                <w:sz w:val="18"/>
                <w:szCs w:val="18"/>
              </w:rPr>
              <w:t>Refer to Appendix A.</w:t>
            </w:r>
          </w:p>
        </w:tc>
      </w:tr>
      <w:tr w:rsidR="00F20535" w:rsidRPr="00D065C2" w:rsidTr="00BB4492">
        <w:tc>
          <w:tcPr>
            <w:tcW w:w="1589" w:type="dxa"/>
          </w:tcPr>
          <w:p w:rsidR="00F20535" w:rsidRPr="00D065C2" w:rsidRDefault="00F20535" w:rsidP="000C30FB">
            <w:pPr>
              <w:spacing w:after="60"/>
              <w:rPr>
                <w:sz w:val="18"/>
                <w:szCs w:val="18"/>
              </w:rPr>
            </w:pPr>
            <w:r w:rsidRPr="00D065C2">
              <w:rPr>
                <w:sz w:val="18"/>
                <w:szCs w:val="18"/>
              </w:rPr>
              <w:t>Section 26(2B)</w:t>
            </w:r>
          </w:p>
        </w:tc>
        <w:tc>
          <w:tcPr>
            <w:tcW w:w="4961" w:type="dxa"/>
          </w:tcPr>
          <w:p w:rsidR="00F20535" w:rsidRPr="00D065C2" w:rsidRDefault="00F20535" w:rsidP="000C30FB">
            <w:pPr>
              <w:spacing w:after="60"/>
              <w:rPr>
                <w:sz w:val="18"/>
                <w:szCs w:val="18"/>
              </w:rPr>
            </w:pPr>
            <w:r w:rsidRPr="00D065C2">
              <w:rPr>
                <w:sz w:val="18"/>
                <w:szCs w:val="18"/>
              </w:rPr>
              <w:t>The quarterly financial report for the quarter ending on 31 December in a financial year must include, in addition to the statements referred to in subsection (2)(a) to (d) for that quarter, those statements for the period of six months ending on that 31 December.</w:t>
            </w:r>
          </w:p>
        </w:tc>
        <w:tc>
          <w:tcPr>
            <w:tcW w:w="3304" w:type="dxa"/>
          </w:tcPr>
          <w:p w:rsidR="00F20535" w:rsidRPr="00AF638C" w:rsidRDefault="00F20535" w:rsidP="000C30FB">
            <w:pPr>
              <w:spacing w:after="60"/>
              <w:rPr>
                <w:sz w:val="18"/>
                <w:szCs w:val="18"/>
              </w:rPr>
            </w:pPr>
            <w:r w:rsidRPr="00AF638C">
              <w:rPr>
                <w:sz w:val="18"/>
                <w:szCs w:val="18"/>
              </w:rPr>
              <w:t>Refer to Chapter 2, operating statement, page 9, balance sheet, page 10 and statement of cash flows, page 11.</w:t>
            </w:r>
          </w:p>
        </w:tc>
      </w:tr>
    </w:tbl>
    <w:p w:rsidR="00F20535" w:rsidRDefault="00F20535" w:rsidP="007A2EDF">
      <w:pPr>
        <w:pStyle w:val="Note"/>
      </w:pPr>
    </w:p>
    <w:p w:rsidR="00F20535" w:rsidRDefault="00F20535" w:rsidP="007A2EDF">
      <w:pPr>
        <w:pStyle w:val="Note"/>
      </w:pPr>
    </w:p>
    <w:p w:rsidR="00F20535" w:rsidRDefault="00F20535" w:rsidP="007A2EDF"/>
    <w:p w:rsidR="00F20535" w:rsidRDefault="00F20535" w:rsidP="005C7E7D"/>
    <w:p w:rsidR="00F20535" w:rsidRDefault="00F20535" w:rsidP="005C7E7D"/>
    <w:p w:rsidR="00F20535" w:rsidRDefault="00F20535" w:rsidP="005C7E7D">
      <w:pPr>
        <w:sectPr w:rsidR="00F20535" w:rsidSect="00B64690">
          <w:footerReference w:type="even" r:id="rId96"/>
          <w:footerReference w:type="default" r:id="rId97"/>
          <w:type w:val="oddPage"/>
          <w:pgSz w:w="11906" w:h="16838" w:code="9"/>
          <w:pgMar w:top="1138" w:right="1138" w:bottom="1138" w:left="1138" w:header="619" w:footer="562" w:gutter="0"/>
          <w:cols w:sep="1" w:space="567"/>
          <w:docGrid w:linePitch="360"/>
        </w:sectPr>
      </w:pPr>
    </w:p>
    <w:p w:rsidR="00F20535" w:rsidRDefault="00F20535" w:rsidP="000C30FB">
      <w:pPr>
        <w:pStyle w:val="ChapterHeading"/>
      </w:pPr>
      <w:bookmarkStart w:id="121" w:name="_Toc508192227"/>
      <w:bookmarkStart w:id="122" w:name="_Toc508201409"/>
      <w:r>
        <w:t>Style conventions</w:t>
      </w:r>
      <w:bookmarkEnd w:id="121"/>
      <w:bookmarkEnd w:id="122"/>
    </w:p>
    <w:p w:rsidR="00F20535" w:rsidRDefault="00F20535" w:rsidP="000C30FB">
      <w:r>
        <w:t>Figures in the tables and in the text have been rounded. Discrepancies in tables between totals and sums of components reflect rounding. Percentage variations in all tables are based on the underlying unrounded amounts.</w:t>
      </w:r>
    </w:p>
    <w:p w:rsidR="00F20535" w:rsidRDefault="00F20535" w:rsidP="000C30FB">
      <w:pPr>
        <w:spacing w:after="240"/>
      </w:pPr>
      <w:r>
        <w:t>The notation used in the tables is as follows:</w:t>
      </w:r>
    </w:p>
    <w:p w:rsidR="00F20535" w:rsidRDefault="00F20535" w:rsidP="000C30FB">
      <w:pPr>
        <w:tabs>
          <w:tab w:val="left" w:pos="2268"/>
        </w:tabs>
        <w:ind w:left="567"/>
      </w:pPr>
      <w:r>
        <w:t>n.a.</w:t>
      </w:r>
      <w:r>
        <w:tab/>
        <w:t>not available or not applicable</w:t>
      </w:r>
    </w:p>
    <w:p w:rsidR="00F20535" w:rsidRDefault="00F20535" w:rsidP="000C30FB">
      <w:pPr>
        <w:tabs>
          <w:tab w:val="left" w:pos="2268"/>
        </w:tabs>
        <w:ind w:left="567"/>
      </w:pPr>
      <w:r>
        <w:t>1 billion</w:t>
      </w:r>
      <w:r>
        <w:tab/>
        <w:t>1 000 million</w:t>
      </w:r>
    </w:p>
    <w:p w:rsidR="00F20535" w:rsidRDefault="00F20535" w:rsidP="000C30FB">
      <w:pPr>
        <w:tabs>
          <w:tab w:val="left" w:pos="2268"/>
        </w:tabs>
        <w:ind w:left="567"/>
      </w:pPr>
      <w:r>
        <w:t>1 basis point</w:t>
      </w:r>
      <w:r>
        <w:tab/>
        <w:t>0.01 per cent</w:t>
      </w:r>
    </w:p>
    <w:p w:rsidR="00F20535" w:rsidRDefault="00F20535" w:rsidP="000C30FB">
      <w:pPr>
        <w:tabs>
          <w:tab w:val="left" w:pos="2268"/>
        </w:tabs>
        <w:ind w:left="567"/>
      </w:pPr>
      <w:r>
        <w:t>..</w:t>
      </w:r>
      <w:r>
        <w:tab/>
        <w:t>zero, or rounded to zero</w:t>
      </w:r>
    </w:p>
    <w:p w:rsidR="00F20535" w:rsidRDefault="00F20535" w:rsidP="000C30FB">
      <w:pPr>
        <w:tabs>
          <w:tab w:val="left" w:pos="2268"/>
        </w:tabs>
        <w:ind w:left="567"/>
      </w:pPr>
      <w:r>
        <w:t>(x xxx.x)</w:t>
      </w:r>
      <w:r>
        <w:tab/>
        <w:t>negative amount</w:t>
      </w:r>
    </w:p>
    <w:p w:rsidR="00F20535" w:rsidRDefault="00F20535" w:rsidP="000C30FB">
      <w:pPr>
        <w:tabs>
          <w:tab w:val="left" w:pos="2268"/>
        </w:tabs>
        <w:ind w:left="567"/>
      </w:pPr>
      <w:r>
        <w:t>x xxx.0</w:t>
      </w:r>
      <w:r>
        <w:tab/>
        <w:t>rounded amount</w:t>
      </w:r>
    </w:p>
    <w:p w:rsidR="00F20535" w:rsidRDefault="00F20535" w:rsidP="000C30FB"/>
    <w:p w:rsidR="00F20535" w:rsidRDefault="00F20535" w:rsidP="000C30FB"/>
    <w:p w:rsidR="00F20535" w:rsidRDefault="00F20535" w:rsidP="000C30FB">
      <w:r>
        <w:t xml:space="preserve">Please refer to the </w:t>
      </w:r>
      <w:r w:rsidRPr="00463DB0">
        <w:rPr>
          <w:b/>
        </w:rPr>
        <w:t>Treasury and Finance glossary for budget and financial reports</w:t>
      </w:r>
      <w:r>
        <w:t xml:space="preserve"> at </w:t>
      </w:r>
      <w:r w:rsidRPr="00463DB0">
        <w:t>dtf.vic.gov.au</w:t>
      </w:r>
      <w:r>
        <w:t xml:space="preserve"> for additional terms and references.</w:t>
      </w:r>
    </w:p>
    <w:p w:rsidR="00F20535" w:rsidRDefault="00F20535" w:rsidP="00F71032"/>
    <w:p w:rsidR="00F20535" w:rsidRPr="005F056D" w:rsidRDefault="00F20535" w:rsidP="00F71032"/>
    <w:sectPr w:rsidR="00F20535" w:rsidRPr="005F056D" w:rsidSect="00563282">
      <w:footerReference w:type="even" r:id="rId98"/>
      <w:footerReference w:type="default" r:id="rId99"/>
      <w:pgSz w:w="11906" w:h="16838" w:code="9"/>
      <w:pgMar w:top="1138" w:right="1138" w:bottom="1138" w:left="1138" w:header="619" w:footer="562" w:gutter="0"/>
      <w:cols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DD4" w:rsidRDefault="00A80DD4">
      <w:pPr>
        <w:spacing w:before="0"/>
      </w:pPr>
      <w:r>
        <w:separator/>
      </w:r>
    </w:p>
  </w:endnote>
  <w:endnote w:type="continuationSeparator" w:id="0">
    <w:p w:rsidR="00A80DD4" w:rsidRDefault="00A80DD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92" w:rsidRDefault="00B07E9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2</w:t>
    </w:r>
    <w:r w:rsidRPr="000C30FB">
      <w:rPr>
        <w:rStyle w:val="PageNumber"/>
        <w:rFonts w:asciiTheme="majorHAnsi" w:hAnsiTheme="majorHAnsi"/>
      </w:rPr>
      <w:fldChar w:fldCharType="end"/>
    </w:r>
    <w:r w:rsidRPr="000C30FB">
      <w:tab/>
      <w:t>Chapter 1</w:t>
    </w:r>
    <w:r w:rsidRPr="000C30FB">
      <w:tab/>
    </w:r>
    <w:r w:rsidRPr="000C30FB">
      <w:rPr>
        <w:rStyle w:val="PageNumber"/>
        <w:rFonts w:asciiTheme="majorHAnsi" w:hAnsiTheme="majorHAnsi"/>
      </w:rPr>
      <w:t>201</w:t>
    </w:r>
    <w:r>
      <w:rPr>
        <w:rStyle w:val="PageNumber"/>
        <w:rFonts w:asciiTheme="majorHAnsi" w:hAnsiTheme="majorHAnsi"/>
      </w:rPr>
      <w:t>7</w:t>
    </w:r>
    <w:r w:rsidRPr="000C30FB">
      <w:rPr>
        <w:rStyle w:val="PageNumber"/>
        <w:rFonts w:asciiTheme="majorHAnsi" w:hAnsiTheme="majorHAnsi"/>
      </w:rPr>
      <w:noBreakHyphen/>
      <w:t>1</w:t>
    </w:r>
    <w:r>
      <w:rPr>
        <w:rStyle w:val="PageNumber"/>
        <w:rFonts w:asciiTheme="majorHAnsi" w:hAnsiTheme="majorHAnsi"/>
      </w:rPr>
      <w:t>8</w:t>
    </w:r>
    <w:r w:rsidRPr="000C30FB">
      <w:rPr>
        <w:rStyle w:val="PageNumber"/>
        <w:rFonts w:asciiTheme="majorHAnsi" w:hAnsiTheme="majorHAnsi"/>
      </w:rPr>
      <w:t xml:space="preserve"> Mid-Year Financial Report</w:t>
    </w:r>
    <w:r w:rsidRPr="000C30F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sidRPr="000C30FB">
      <w:rPr>
        <w:rStyle w:val="PageNumber"/>
        <w:rFonts w:asciiTheme="majorHAnsi" w:hAnsiTheme="majorHAnsi"/>
      </w:rPr>
      <w:t>201</w:t>
    </w:r>
    <w:r>
      <w:rPr>
        <w:rStyle w:val="PageNumber"/>
        <w:rFonts w:asciiTheme="majorHAnsi" w:hAnsiTheme="majorHAnsi"/>
      </w:rPr>
      <w:t>7</w:t>
    </w:r>
    <w:r w:rsidRPr="000C30FB">
      <w:rPr>
        <w:rStyle w:val="PageNumber"/>
        <w:rFonts w:asciiTheme="majorHAnsi" w:hAnsiTheme="majorHAnsi"/>
      </w:rPr>
      <w:noBreakHyphen/>
      <w:t>1</w:t>
    </w:r>
    <w:r>
      <w:rPr>
        <w:rStyle w:val="PageNumber"/>
        <w:rFonts w:asciiTheme="majorHAnsi" w:hAnsiTheme="majorHAnsi"/>
      </w:rPr>
      <w:t>8</w:t>
    </w:r>
    <w:r w:rsidRPr="000C30FB">
      <w:rPr>
        <w:rStyle w:val="PageNumber"/>
        <w:rFonts w:asciiTheme="majorHAnsi" w:hAnsiTheme="majorHAnsi"/>
      </w:rPr>
      <w:t xml:space="preserve"> Mid-Year Financial Report</w:t>
    </w:r>
    <w:r w:rsidRPr="000C30FB">
      <w:tab/>
      <w:t>Chapter 1</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3</w:t>
    </w:r>
    <w:r w:rsidRPr="000C30FB">
      <w:rPr>
        <w:rStyle w:val="PageNumber"/>
        <w:rFonts w:asciiTheme="majorHAnsi" w:hAnsiTheme="majorHAns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6</w:t>
    </w:r>
    <w:r w:rsidRPr="000C30FB">
      <w:rPr>
        <w:rStyle w:val="PageNumber"/>
        <w:rFonts w:asciiTheme="majorHAnsi" w:hAnsiTheme="majorHAnsi"/>
      </w:rPr>
      <w:fldChar w:fldCharType="end"/>
    </w:r>
    <w:r w:rsidRPr="000C30FB">
      <w:tab/>
      <w:t>Chapter 1</w:t>
    </w:r>
    <w:r w:rsidRPr="000C30FB">
      <w:tab/>
    </w:r>
    <w:r w:rsidRPr="000C30FB">
      <w:rPr>
        <w:rStyle w:val="PageNumber"/>
        <w:rFonts w:asciiTheme="majorHAnsi" w:hAnsiTheme="majorHAnsi"/>
      </w:rPr>
      <w:t>201</w:t>
    </w:r>
    <w:r>
      <w:rPr>
        <w:rStyle w:val="PageNumber"/>
        <w:rFonts w:asciiTheme="majorHAnsi" w:hAnsiTheme="majorHAnsi"/>
      </w:rPr>
      <w:t>7</w:t>
    </w:r>
    <w:r w:rsidRPr="000C30FB">
      <w:rPr>
        <w:rStyle w:val="PageNumber"/>
        <w:rFonts w:asciiTheme="majorHAnsi" w:hAnsiTheme="majorHAnsi"/>
      </w:rPr>
      <w:noBreakHyphen/>
      <w:t>1</w:t>
    </w:r>
    <w:r>
      <w:rPr>
        <w:rStyle w:val="PageNumber"/>
        <w:rFonts w:asciiTheme="majorHAnsi" w:hAnsiTheme="majorHAnsi"/>
      </w:rPr>
      <w:t>8</w:t>
    </w:r>
    <w:r w:rsidRPr="000C30FB">
      <w:rPr>
        <w:rStyle w:val="PageNumber"/>
        <w:rFonts w:asciiTheme="majorHAnsi" w:hAnsiTheme="majorHAnsi"/>
      </w:rPr>
      <w:t xml:space="preserve"> Mid-Year Financial Report</w:t>
    </w:r>
    <w:r w:rsidRPr="000C30FB">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sidRPr="000C30FB">
      <w:rPr>
        <w:rStyle w:val="PageNumber"/>
        <w:rFonts w:asciiTheme="majorHAnsi" w:hAnsiTheme="majorHAnsi"/>
      </w:rPr>
      <w:t>201</w:t>
    </w:r>
    <w:r>
      <w:rPr>
        <w:rStyle w:val="PageNumber"/>
        <w:rFonts w:asciiTheme="majorHAnsi" w:hAnsiTheme="majorHAnsi"/>
      </w:rPr>
      <w:t>7</w:t>
    </w:r>
    <w:r w:rsidRPr="000C30FB">
      <w:rPr>
        <w:rStyle w:val="PageNumber"/>
        <w:rFonts w:asciiTheme="majorHAnsi" w:hAnsiTheme="majorHAnsi"/>
      </w:rPr>
      <w:noBreakHyphen/>
      <w:t>1</w:t>
    </w:r>
    <w:r>
      <w:rPr>
        <w:rStyle w:val="PageNumber"/>
        <w:rFonts w:asciiTheme="majorHAnsi" w:hAnsiTheme="majorHAnsi"/>
      </w:rPr>
      <w:t>8</w:t>
    </w:r>
    <w:r w:rsidRPr="000C30FB">
      <w:rPr>
        <w:rStyle w:val="PageNumber"/>
        <w:rFonts w:asciiTheme="majorHAnsi" w:hAnsiTheme="majorHAnsi"/>
      </w:rPr>
      <w:t xml:space="preserve"> Mid-Year Financial Report</w:t>
    </w:r>
    <w:r w:rsidRPr="000C30FB">
      <w:tab/>
      <w:t>Chapter 1</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5</w:t>
    </w:r>
    <w:r w:rsidRPr="000C30FB">
      <w:rPr>
        <w:rStyle w:val="PageNumber"/>
        <w:rFonts w:asciiTheme="majorHAnsi" w:hAnsiTheme="majorHAnsi"/>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sidRPr="000C30FB">
      <w:rPr>
        <w:rStyle w:val="PageNumber"/>
        <w:rFonts w:asciiTheme="majorHAnsi" w:hAnsiTheme="majorHAnsi"/>
      </w:rPr>
      <w:t>201</w:t>
    </w:r>
    <w:r>
      <w:rPr>
        <w:rStyle w:val="PageNumber"/>
        <w:rFonts w:asciiTheme="majorHAnsi" w:hAnsiTheme="majorHAnsi"/>
      </w:rPr>
      <w:t>7</w:t>
    </w:r>
    <w:r w:rsidRPr="000C30FB">
      <w:rPr>
        <w:rStyle w:val="PageNumber"/>
        <w:rFonts w:asciiTheme="majorHAnsi" w:hAnsiTheme="majorHAnsi"/>
      </w:rPr>
      <w:noBreakHyphen/>
      <w:t>1</w:t>
    </w:r>
    <w:r>
      <w:rPr>
        <w:rStyle w:val="PageNumber"/>
        <w:rFonts w:asciiTheme="majorHAnsi" w:hAnsiTheme="majorHAnsi"/>
      </w:rPr>
      <w:t>8</w:t>
    </w:r>
    <w:r w:rsidRPr="000C30FB">
      <w:rPr>
        <w:rStyle w:val="PageNumber"/>
        <w:rFonts w:asciiTheme="majorHAnsi" w:hAnsiTheme="majorHAnsi"/>
      </w:rPr>
      <w:t xml:space="preserve"> Mid-Year Financial Report</w:t>
    </w:r>
    <w:r w:rsidRPr="000C30FB">
      <w:tab/>
      <w:t>Chapter 1</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7</w:t>
    </w:r>
    <w:r w:rsidRPr="000C30FB">
      <w:rPr>
        <w:rStyle w:val="PageNumber"/>
        <w:rFonts w:asciiTheme="majorHAnsi" w:hAnsiTheme="majorHAnsi"/>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8</w:t>
    </w:r>
    <w:r w:rsidRPr="000C30FB">
      <w:rPr>
        <w:rStyle w:val="PageNumber"/>
        <w:rFonts w:asciiTheme="majorHAnsi" w:hAnsiTheme="majorHAnsi"/>
      </w:rPr>
      <w:fldChar w:fldCharType="end"/>
    </w:r>
    <w:r w:rsidRPr="000C30FB">
      <w:tab/>
      <w:t>Chapter 1</w:t>
    </w:r>
    <w:r w:rsidRPr="000C30FB">
      <w:tab/>
    </w:r>
    <w:r w:rsidRPr="000C30FB">
      <w:rPr>
        <w:rStyle w:val="PageNumber"/>
        <w:rFonts w:asciiTheme="majorHAnsi" w:hAnsiTheme="majorHAnsi"/>
      </w:rPr>
      <w:t>201</w:t>
    </w:r>
    <w:r>
      <w:rPr>
        <w:rStyle w:val="PageNumber"/>
        <w:rFonts w:asciiTheme="majorHAnsi" w:hAnsiTheme="majorHAnsi"/>
      </w:rPr>
      <w:t>7</w:t>
    </w:r>
    <w:r w:rsidRPr="000C30FB">
      <w:rPr>
        <w:rStyle w:val="PageNumber"/>
        <w:rFonts w:asciiTheme="majorHAnsi" w:hAnsiTheme="majorHAnsi"/>
      </w:rPr>
      <w:noBreakHyphen/>
      <w:t>1</w:t>
    </w:r>
    <w:r>
      <w:rPr>
        <w:rStyle w:val="PageNumber"/>
        <w:rFonts w:asciiTheme="majorHAnsi" w:hAnsiTheme="majorHAnsi"/>
      </w:rPr>
      <w:t>8</w:t>
    </w:r>
    <w:r w:rsidRPr="000C30FB">
      <w:rPr>
        <w:rStyle w:val="PageNumber"/>
        <w:rFonts w:asciiTheme="majorHAnsi" w:hAnsiTheme="majorHAnsi"/>
      </w:rPr>
      <w:t xml:space="preserve"> Mid-Year Financial Report</w:t>
    </w:r>
    <w:r w:rsidRPr="000C30FB">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rsidP="00BA26F2">
    <w:pPr>
      <w:pStyle w:val="Footereven"/>
    </w:pPr>
    <w:r w:rsidRPr="00FF3B45">
      <w:rPr>
        <w:rStyle w:val="PageNumber"/>
      </w:rPr>
      <w:fldChar w:fldCharType="begin"/>
    </w:r>
    <w:r w:rsidRPr="00FF3B45">
      <w:rPr>
        <w:rStyle w:val="PageNumber"/>
      </w:rPr>
      <w:instrText xml:space="preserve"> PAGE </w:instrText>
    </w:r>
    <w:r w:rsidRPr="00FF3B45">
      <w:rPr>
        <w:rStyle w:val="PageNumber"/>
      </w:rPr>
      <w:fldChar w:fldCharType="separate"/>
    </w:r>
    <w:r>
      <w:rPr>
        <w:rStyle w:val="PageNumber"/>
        <w:noProof/>
      </w:rPr>
      <w:t>10</w:t>
    </w:r>
    <w:r w:rsidRPr="00FF3B45">
      <w:rPr>
        <w:rStyle w:val="PageNumber"/>
      </w:rPr>
      <w:fldChar w:fldCharType="end"/>
    </w:r>
    <w:r w:rsidRPr="00FF3B45">
      <w:tab/>
    </w:r>
    <w:r>
      <w:t>Style conventions</w:t>
    </w:r>
    <w:r w:rsidRPr="00FF3B45">
      <w:tab/>
    </w:r>
    <w:r>
      <w:rPr>
        <w:rStyle w:val="PageNumber"/>
      </w:rPr>
      <w:t>2017</w:t>
    </w:r>
    <w:r>
      <w:rPr>
        <w:rStyle w:val="PageNumber"/>
      </w:rPr>
      <w:noBreakHyphen/>
      <w:t>17 Mid-Year Financial Report</w:t>
    </w:r>
    <w: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C76F06" w:rsidRDefault="00A80DD4" w:rsidP="007A2EDF">
    <w:pPr>
      <w:pStyle w:val="Footerodd"/>
    </w:pPr>
    <w:r w:rsidRPr="00C76F06">
      <w:rPr>
        <w:rStyle w:val="PageNumber"/>
        <w:rFonts w:asciiTheme="majorHAnsi" w:hAnsiTheme="majorHAnsi"/>
      </w:rPr>
      <w:t>2017</w:t>
    </w:r>
    <w:r w:rsidRPr="00C76F06">
      <w:rPr>
        <w:rStyle w:val="PageNumber"/>
        <w:rFonts w:asciiTheme="majorHAnsi" w:hAnsiTheme="majorHAnsi"/>
      </w:rPr>
      <w:noBreakHyphen/>
      <w:t>17 Mid-Year Financial Report</w:t>
    </w:r>
    <w:r w:rsidRPr="00C76F06">
      <w:tab/>
      <w:t>Style conventions</w:t>
    </w:r>
    <w:r w:rsidRPr="00C76F06">
      <w:tab/>
    </w:r>
    <w:r w:rsidRPr="00C76F06">
      <w:rPr>
        <w:rStyle w:val="PageNumber"/>
        <w:rFonts w:asciiTheme="majorHAnsi" w:hAnsiTheme="majorHAnsi"/>
      </w:rPr>
      <w:fldChar w:fldCharType="begin"/>
    </w:r>
    <w:r w:rsidRPr="00C76F06">
      <w:rPr>
        <w:rStyle w:val="PageNumber"/>
        <w:rFonts w:asciiTheme="majorHAnsi" w:hAnsiTheme="majorHAnsi"/>
      </w:rPr>
      <w:instrText xml:space="preserve"> PAGE </w:instrText>
    </w:r>
    <w:r w:rsidRPr="00C76F06">
      <w:rPr>
        <w:rStyle w:val="PageNumber"/>
        <w:rFonts w:asciiTheme="majorHAnsi" w:hAnsiTheme="majorHAnsi"/>
      </w:rPr>
      <w:fldChar w:fldCharType="separate"/>
    </w:r>
    <w:r>
      <w:rPr>
        <w:rStyle w:val="PageNumber"/>
        <w:rFonts w:asciiTheme="majorHAnsi" w:hAnsiTheme="majorHAnsi"/>
        <w:noProof/>
      </w:rPr>
      <w:t>9</w:t>
    </w:r>
    <w:r w:rsidRPr="00C76F06">
      <w:rPr>
        <w:rStyle w:val="PageNumber"/>
        <w:rFonts w:asciiTheme="majorHAnsi" w:hAnsiTheme="majorHAnsi"/>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5C7E7D" w:rsidRDefault="00A80DD4" w:rsidP="005C7E7D">
    <w:pPr>
      <w:pStyle w:val="Footerodd"/>
    </w:pPr>
    <w:r w:rsidRPr="005C7E7D">
      <w:rPr>
        <w:rStyle w:val="PageNumber"/>
      </w:rPr>
      <w:t>2016</w:t>
    </w:r>
    <w:r w:rsidRPr="005C7E7D">
      <w:rPr>
        <w:rStyle w:val="PageNumber"/>
      </w:rPr>
      <w:noBreakHyphen/>
      <w:t>17 Mid-Year Financial Report</w:t>
    </w:r>
    <w:r w:rsidRPr="005C7E7D">
      <w:tab/>
      <w:t>Appendix A</w:t>
    </w:r>
    <w:r w:rsidRPr="005C7E7D">
      <w:tab/>
    </w:r>
    <w:r w:rsidRPr="005C7E7D">
      <w:rPr>
        <w:rStyle w:val="PageNumber"/>
      </w:rPr>
      <w:fldChar w:fldCharType="begin"/>
    </w:r>
    <w:r w:rsidRPr="005C7E7D">
      <w:rPr>
        <w:rStyle w:val="PageNumber"/>
      </w:rPr>
      <w:instrText xml:space="preserve"> PAGE </w:instrText>
    </w:r>
    <w:r w:rsidRPr="005C7E7D">
      <w:rPr>
        <w:rStyle w:val="PageNumber"/>
      </w:rPr>
      <w:fldChar w:fldCharType="separate"/>
    </w:r>
    <w:r>
      <w:rPr>
        <w:rStyle w:val="PageNumber"/>
        <w:noProof/>
      </w:rPr>
      <w:t>9</w:t>
    </w:r>
    <w:r w:rsidRPr="005C7E7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92" w:rsidRDefault="00B07E92">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10</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11</w:t>
    </w:r>
    <w:r w:rsidRPr="000C30FB">
      <w:rPr>
        <w:rStyle w:val="PageNumber"/>
        <w:rFonts w:asciiTheme="majorHAnsi" w:hAnsiTheme="majorHAnsi"/>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AF493B" w:rsidRDefault="00A80DD4" w:rsidP="000C30FB">
    <w:r>
      <w:rPr>
        <w:noProof/>
        <w:lang w:eastAsia="en-AU"/>
      </w:rPr>
      <mc:AlternateContent>
        <mc:Choice Requires="wps">
          <w:drawing>
            <wp:anchor distT="0" distB="0" distL="114300" distR="114300" simplePos="0" relativeHeight="251660288" behindDoc="0" locked="0" layoutInCell="1" allowOverlap="1" wp14:anchorId="5F0C40AE" wp14:editId="741A3DFB">
              <wp:simplePos x="0" y="0"/>
              <wp:positionH relativeFrom="column">
                <wp:posOffset>-467995</wp:posOffset>
              </wp:positionH>
              <wp:positionV relativeFrom="paragraph">
                <wp:posOffset>-6294565</wp:posOffset>
              </wp:positionV>
              <wp:extent cx="432000" cy="61920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32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12</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p w:rsidR="00A80DD4" w:rsidRPr="000C30FB" w:rsidRDefault="00A80DD4" w:rsidP="000C30FB">
                          <w:pPr>
                            <w:pStyle w:val="Footereven"/>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margin-left:-36.85pt;margin-top:-495.65pt;width:34pt;height:4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" filled="f" stroked="f" strokeweight=".5pt">
              <v:textbox style="layout-flow:vertical">
                <w:txbxContent>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12</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p w:rsidR="00A80DD4" w:rsidRPr="000C30FB" w:rsidRDefault="00A80DD4" w:rsidP="000C30FB">
                    <w:pPr>
                      <w:pStyle w:val="Footereven"/>
                    </w:pP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AF493B" w:rsidRDefault="00A80DD4" w:rsidP="000C30FB">
    <w:r>
      <w:rPr>
        <w:noProof/>
        <w:lang w:eastAsia="en-AU"/>
      </w:rPr>
      <mc:AlternateContent>
        <mc:Choice Requires="wps">
          <w:drawing>
            <wp:anchor distT="0" distB="0" distL="114300" distR="114300" simplePos="0" relativeHeight="251659264" behindDoc="0" locked="0" layoutInCell="1" allowOverlap="1" wp14:anchorId="2DC8C02B" wp14:editId="09810060">
              <wp:simplePos x="0" y="0"/>
              <wp:positionH relativeFrom="column">
                <wp:posOffset>-467995</wp:posOffset>
              </wp:positionH>
              <wp:positionV relativeFrom="paragraph">
                <wp:posOffset>-6294565</wp:posOffset>
              </wp:positionV>
              <wp:extent cx="432000" cy="61920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32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13</w:t>
                          </w:r>
                          <w:r w:rsidRPr="000C30FB">
                            <w:rPr>
                              <w:rStyle w:val="PageNumber"/>
                              <w:rFonts w:asciiTheme="majorHAnsi" w:hAnsiTheme="majorHAnsi"/>
                            </w:rPr>
                            <w:fldChar w:fldCharType="end"/>
                          </w:r>
                        </w:p>
                        <w:p w:rsidR="00A80DD4" w:rsidRPr="000C30FB" w:rsidRDefault="00A80DD4" w:rsidP="000C30FB">
                          <w:pPr>
                            <w:pStyle w:val="Footerodd"/>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margin-left:-36.85pt;margin-top:-495.65pt;width:34pt;height:4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" filled="f" stroked="f" strokeweight=".5pt">
              <v:textbox style="layout-flow:vertical">
                <w:txbxContent>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13</w:t>
                    </w:r>
                    <w:r w:rsidRPr="000C30FB">
                      <w:rPr>
                        <w:rStyle w:val="PageNumber"/>
                        <w:rFonts w:asciiTheme="majorHAnsi" w:hAnsiTheme="majorHAnsi"/>
                      </w:rPr>
                      <w:fldChar w:fldCharType="end"/>
                    </w:r>
                  </w:p>
                  <w:p w:rsidR="00A80DD4" w:rsidRPr="000C30FB" w:rsidRDefault="00A80DD4" w:rsidP="000C30FB">
                    <w:pPr>
                      <w:pStyle w:val="Footerodd"/>
                    </w:pP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14</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Pr>
        <w:rStyle w:val="PageNumber"/>
        <w:rFonts w:asciiTheme="majorHAnsi" w:hAnsiTheme="majorHAnsi"/>
        <w:noProof/>
      </w:rPr>
      <w:t>15</w:t>
    </w:r>
    <w:r w:rsidRPr="000C30FB">
      <w:rPr>
        <w:rStyle w:val="PageNumber"/>
        <w:rFonts w:asciiTheme="majorHAnsi" w:hAnsiTheme="majorHAnsi"/>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E6916">
      <w:rPr>
        <w:rStyle w:val="PageNumber"/>
        <w:rFonts w:asciiTheme="majorHAnsi" w:hAnsiTheme="majorHAnsi"/>
        <w:noProof/>
      </w:rPr>
      <w:t>16</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17</w:t>
    </w:r>
    <w:r w:rsidRPr="000C30FB">
      <w:rPr>
        <w:rStyle w:val="PageNumber"/>
        <w:rFonts w:asciiTheme="majorHAnsi" w:hAnsiTheme="majorHAnsi"/>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Pr>
        <w:rStyle w:val="PageNumber"/>
        <w:rFonts w:asciiTheme="majorHAnsi" w:hAnsiTheme="majorHAnsi"/>
        <w:noProof/>
      </w:rPr>
      <w:t>18</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92" w:rsidRDefault="00B07E92">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20</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19</w:t>
    </w:r>
    <w:r w:rsidRPr="000C30FB">
      <w:rPr>
        <w:rStyle w:val="PageNumber"/>
        <w:rFonts w:asciiTheme="majorHAnsi" w:hAnsiTheme="majorHAnsi"/>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26</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25</w:t>
    </w:r>
    <w:r w:rsidRPr="000C30FB">
      <w:rPr>
        <w:rStyle w:val="PageNumber"/>
        <w:rFonts w:asciiTheme="majorHAnsi" w:hAnsiTheme="majorHAnsi"/>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5743DB" w:rsidRDefault="00A80DD4" w:rsidP="000C30FB">
    <w:r>
      <w:rPr>
        <w:noProof/>
        <w:lang w:eastAsia="en-AU"/>
      </w:rPr>
      <mc:AlternateContent>
        <mc:Choice Requires="wps">
          <w:drawing>
            <wp:anchor distT="0" distB="0" distL="114300" distR="114300" simplePos="0" relativeHeight="251664384" behindDoc="0" locked="0" layoutInCell="1" allowOverlap="1" wp14:anchorId="2DEC3895" wp14:editId="5A436898">
              <wp:simplePos x="0" y="0"/>
              <wp:positionH relativeFrom="column">
                <wp:posOffset>-467995</wp:posOffset>
              </wp:positionH>
              <wp:positionV relativeFrom="paragraph">
                <wp:posOffset>-6294565</wp:posOffset>
              </wp:positionV>
              <wp:extent cx="432000" cy="6192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32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28</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p w:rsidR="00A80DD4" w:rsidRPr="000C30FB" w:rsidRDefault="00A80DD4" w:rsidP="000C30FB">
                          <w:pPr>
                            <w:pStyle w:val="Footereven"/>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2" type="#_x0000_t202" style="position:absolute;margin-left:-36.85pt;margin-top:-495.65pt;width:34pt;height:48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" filled="f" stroked="f" strokeweight=".5pt">
              <v:textbox style="layout-flow:vertical">
                <w:txbxContent>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28</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p w:rsidR="00A80DD4" w:rsidRPr="000C30FB" w:rsidRDefault="00A80DD4" w:rsidP="000C30FB">
                    <w:pPr>
                      <w:pStyle w:val="Footereven"/>
                    </w:pP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5743DB" w:rsidRDefault="00A80DD4" w:rsidP="000C30FB">
    <w:r>
      <w:rPr>
        <w:noProof/>
        <w:lang w:eastAsia="en-AU"/>
      </w:rPr>
      <mc:AlternateContent>
        <mc:Choice Requires="wps">
          <w:drawing>
            <wp:anchor distT="0" distB="0" distL="114300" distR="114300" simplePos="0" relativeHeight="251663360" behindDoc="0" locked="0" layoutInCell="1" allowOverlap="1" wp14:anchorId="67107F76" wp14:editId="7EF6AF73">
              <wp:simplePos x="0" y="0"/>
              <wp:positionH relativeFrom="column">
                <wp:posOffset>-467995</wp:posOffset>
              </wp:positionH>
              <wp:positionV relativeFrom="paragraph">
                <wp:posOffset>-6294565</wp:posOffset>
              </wp:positionV>
              <wp:extent cx="432000" cy="6192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32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27</w:t>
                          </w:r>
                          <w:r w:rsidRPr="000C30FB">
                            <w:rPr>
                              <w:rStyle w:val="PageNumber"/>
                              <w:rFonts w:asciiTheme="majorHAnsi" w:hAnsiTheme="majorHAnsi"/>
                            </w:rPr>
                            <w:fldChar w:fldCharType="end"/>
                          </w:r>
                        </w:p>
                        <w:p w:rsidR="00A80DD4" w:rsidRPr="000C30FB" w:rsidRDefault="00A80DD4" w:rsidP="000C30FB">
                          <w:pPr>
                            <w:pStyle w:val="Footerodd"/>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3" type="#_x0000_t202" style="position:absolute;margin-left:-36.85pt;margin-top:-495.65pt;width:34pt;height:48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" filled="f" stroked="f" strokeweight=".5pt">
              <v:textbox style="layout-flow:vertical">
                <w:txbxContent>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27</w:t>
                    </w:r>
                    <w:r w:rsidRPr="000C30FB">
                      <w:rPr>
                        <w:rStyle w:val="PageNumber"/>
                        <w:rFonts w:asciiTheme="majorHAnsi" w:hAnsiTheme="majorHAnsi"/>
                      </w:rPr>
                      <w:fldChar w:fldCharType="end"/>
                    </w:r>
                  </w:p>
                  <w:p w:rsidR="00A80DD4" w:rsidRPr="000C30FB" w:rsidRDefault="00A80DD4" w:rsidP="000C30FB">
                    <w:pPr>
                      <w:pStyle w:val="Footerodd"/>
                    </w:pP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40</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31</w:t>
    </w:r>
    <w:r w:rsidRPr="000C30FB">
      <w:rPr>
        <w:rStyle w:val="PageNumber"/>
        <w:rFonts w:asciiTheme="majorHAnsi" w:hAnsiTheme="majorHAnsi"/>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46</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47</w:t>
    </w:r>
    <w:r w:rsidRPr="000C30FB">
      <w:rPr>
        <w:rStyle w:val="PageNumber"/>
        <w:rFonts w:asciiTheme="majorHAnsi" w:hAnsiTheme="majorHAns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853B59" w:rsidRDefault="00A80DD4" w:rsidP="000C30FB">
    <w:r>
      <w:rPr>
        <w:noProof/>
        <w:lang w:eastAsia="en-AU"/>
      </w:rPr>
      <mc:AlternateContent>
        <mc:Choice Requires="wps">
          <w:drawing>
            <wp:anchor distT="0" distB="0" distL="114300" distR="114300" simplePos="0" relativeHeight="251668480" behindDoc="0" locked="0" layoutInCell="1" allowOverlap="1" wp14:anchorId="5BD0E8E4" wp14:editId="788364A4">
              <wp:simplePos x="0" y="0"/>
              <wp:positionH relativeFrom="column">
                <wp:posOffset>-467995</wp:posOffset>
              </wp:positionH>
              <wp:positionV relativeFrom="paragraph">
                <wp:posOffset>-6294565</wp:posOffset>
              </wp:positionV>
              <wp:extent cx="432000" cy="61920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32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48</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p w:rsidR="00A80DD4" w:rsidRPr="000C30FB" w:rsidRDefault="00A80DD4" w:rsidP="000C30FB">
                          <w:pPr>
                            <w:pStyle w:val="Footereven"/>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36" type="#_x0000_t202" style="position:absolute;margin-left:-36.85pt;margin-top:-495.65pt;width:34pt;height:48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" filled="f" stroked="f" strokeweight=".5pt">
              <v:textbox style="layout-flow:vertical">
                <w:txbxContent>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48</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p w:rsidR="00A80DD4" w:rsidRPr="000C30FB" w:rsidRDefault="00A80DD4" w:rsidP="000C30FB">
                    <w:pPr>
                      <w:pStyle w:val="Footereven"/>
                    </w:pP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853B59" w:rsidRDefault="00A80DD4" w:rsidP="000C30FB">
    <w:r>
      <w:rPr>
        <w:noProof/>
        <w:lang w:eastAsia="en-AU"/>
      </w:rPr>
      <mc:AlternateContent>
        <mc:Choice Requires="wps">
          <w:drawing>
            <wp:anchor distT="0" distB="0" distL="114300" distR="114300" simplePos="0" relativeHeight="251667456" behindDoc="0" locked="0" layoutInCell="1" allowOverlap="1" wp14:anchorId="63B8E468" wp14:editId="471F5B26">
              <wp:simplePos x="0" y="0"/>
              <wp:positionH relativeFrom="column">
                <wp:posOffset>-467995</wp:posOffset>
              </wp:positionH>
              <wp:positionV relativeFrom="paragraph">
                <wp:posOffset>-6294565</wp:posOffset>
              </wp:positionV>
              <wp:extent cx="432000" cy="61920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2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49</w:t>
                          </w:r>
                          <w:r w:rsidRPr="000C30FB">
                            <w:rPr>
                              <w:rStyle w:val="PageNumber"/>
                              <w:rFonts w:asciiTheme="majorHAnsi" w:hAnsiTheme="majorHAnsi"/>
                            </w:rPr>
                            <w:fldChar w:fldCharType="end"/>
                          </w:r>
                        </w:p>
                        <w:p w:rsidR="00A80DD4" w:rsidRPr="000C30FB" w:rsidRDefault="00A80DD4" w:rsidP="000C30FB">
                          <w:pPr>
                            <w:pStyle w:val="Footerodd"/>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37" type="#_x0000_t202" style="position:absolute;margin-left:-36.85pt;margin-top:-495.65pt;width:34pt;height:48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" filled="f" stroked="f" strokeweight=".5pt">
              <v:textbox style="layout-flow:vertical">
                <w:txbxContent>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49</w:t>
                    </w:r>
                    <w:r w:rsidRPr="000C30FB">
                      <w:rPr>
                        <w:rStyle w:val="PageNumber"/>
                        <w:rFonts w:asciiTheme="majorHAnsi" w:hAnsiTheme="majorHAnsi"/>
                      </w:rPr>
                      <w:fldChar w:fldCharType="end"/>
                    </w:r>
                  </w:p>
                  <w:p w:rsidR="00A80DD4" w:rsidRPr="000C30FB" w:rsidRDefault="00A80DD4" w:rsidP="000C30FB">
                    <w:pPr>
                      <w:pStyle w:val="Footerodd"/>
                    </w:pP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7A2EDF">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50</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3061A9" w:rsidRDefault="00A80DD4" w:rsidP="007A2EDF">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Pr>
        <w:rStyle w:val="PageNumber"/>
        <w:rFonts w:asciiTheme="majorHAnsi" w:hAnsiTheme="majorHAnsi"/>
        <w:noProof/>
      </w:rPr>
      <w:t>51</w:t>
    </w:r>
    <w:r w:rsidRPr="000C30FB">
      <w:rPr>
        <w:rStyle w:val="PageNumber"/>
        <w:rFonts w:asciiTheme="majorHAnsi" w:hAnsiTheme="majorHAnsi"/>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Pr>
        <w:rStyle w:val="PageNumber"/>
        <w:rFonts w:asciiTheme="majorHAnsi" w:hAnsiTheme="majorHAnsi"/>
        <w:noProof/>
      </w:rPr>
      <w:t>52</w:t>
    </w:r>
    <w:r w:rsidRPr="000C30FB">
      <w:rPr>
        <w:rStyle w:val="PageNumber"/>
        <w:rFonts w:asciiTheme="majorHAnsi" w:hAnsiTheme="majorHAnsi"/>
      </w:rPr>
      <w:fldChar w:fldCharType="end"/>
    </w:r>
    <w:r w:rsidRPr="000C30FB">
      <w:tab/>
      <w:t>Chapter 2</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t>Chapter 2</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Pr>
        <w:rStyle w:val="PageNumber"/>
        <w:rFonts w:asciiTheme="majorHAnsi" w:hAnsiTheme="majorHAnsi"/>
        <w:noProof/>
      </w:rPr>
      <w:t>53</w:t>
    </w:r>
    <w:r w:rsidRPr="000C30FB">
      <w:rPr>
        <w:rStyle w:val="PageNumber"/>
        <w:rFonts w:asciiTheme="majorHAnsi" w:hAnsiTheme="majorHAnsi"/>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52</w:t>
    </w:r>
    <w:r w:rsidRPr="000C30FB">
      <w:rPr>
        <w:rStyle w:val="PageNumber"/>
        <w:rFonts w:asciiTheme="majorHAnsi" w:hAnsiTheme="majorHAnsi"/>
      </w:rPr>
      <w:fldChar w:fldCharType="end"/>
    </w:r>
    <w:r w:rsidRPr="000C30FB">
      <w:tab/>
    </w:r>
    <w:r>
      <w:t>Appendix A</w:t>
    </w:r>
    <w:r w:rsidRPr="000C30FB">
      <w:tab/>
    </w: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Pr>
        <w:rStyle w:val="PageNumber"/>
        <w:rFonts w:asciiTheme="majorHAnsi" w:hAnsiTheme="majorHAnsi"/>
      </w:rPr>
      <w:t>2017-18</w:t>
    </w:r>
    <w:r w:rsidRPr="000C30FB">
      <w:rPr>
        <w:rStyle w:val="PageNumber"/>
        <w:rFonts w:asciiTheme="majorHAnsi" w:hAnsiTheme="majorHAnsi"/>
      </w:rPr>
      <w:t xml:space="preserve"> Mid-Year Financial Report</w:t>
    </w:r>
    <w:r w:rsidRPr="000C30FB">
      <w:tab/>
    </w:r>
    <w:r>
      <w:t>Appendix A</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B07E92">
      <w:rPr>
        <w:rStyle w:val="PageNumber"/>
        <w:rFonts w:asciiTheme="majorHAnsi" w:hAnsiTheme="majorHAnsi"/>
        <w:noProof/>
      </w:rPr>
      <w:t>53</w:t>
    </w:r>
    <w:r w:rsidRPr="000C30FB">
      <w:rPr>
        <w:rStyle w:val="PageNumber"/>
        <w:rFonts w:asciiTheme="majorHAnsi" w:hAnsiTheme="majorHAnsi"/>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157024" w:rsidRDefault="00A80DD4" w:rsidP="007A2EDF">
    <w:pPr>
      <w:pStyle w:val="Footereven"/>
    </w:pPr>
    <w:r w:rsidRPr="00157024">
      <w:rPr>
        <w:rStyle w:val="PageNumber"/>
        <w:rFonts w:asciiTheme="majorHAnsi" w:hAnsiTheme="majorHAnsi"/>
      </w:rPr>
      <w:fldChar w:fldCharType="begin"/>
    </w:r>
    <w:r w:rsidRPr="00157024">
      <w:rPr>
        <w:rStyle w:val="PageNumber"/>
        <w:rFonts w:asciiTheme="majorHAnsi" w:hAnsiTheme="majorHAnsi"/>
      </w:rPr>
      <w:instrText xml:space="preserve"> PAGE </w:instrText>
    </w:r>
    <w:r w:rsidRPr="00157024">
      <w:rPr>
        <w:rStyle w:val="PageNumber"/>
        <w:rFonts w:asciiTheme="majorHAnsi" w:hAnsiTheme="majorHAnsi"/>
      </w:rPr>
      <w:fldChar w:fldCharType="separate"/>
    </w:r>
    <w:r w:rsidR="00BE6916">
      <w:rPr>
        <w:rStyle w:val="PageNumber"/>
        <w:rFonts w:asciiTheme="majorHAnsi" w:hAnsiTheme="majorHAnsi"/>
        <w:noProof/>
      </w:rPr>
      <w:t>56</w:t>
    </w:r>
    <w:r w:rsidRPr="00157024">
      <w:rPr>
        <w:rStyle w:val="PageNumber"/>
        <w:rFonts w:asciiTheme="majorHAnsi" w:hAnsiTheme="majorHAnsi"/>
      </w:rPr>
      <w:fldChar w:fldCharType="end"/>
    </w:r>
    <w:r w:rsidRPr="00157024">
      <w:tab/>
      <w:t>Appendix B</w:t>
    </w:r>
    <w:r w:rsidRPr="00157024">
      <w:tab/>
    </w:r>
    <w:r w:rsidRPr="00157024">
      <w:rPr>
        <w:rStyle w:val="PageNumber"/>
        <w:rFonts w:asciiTheme="majorHAnsi" w:hAnsiTheme="majorHAnsi"/>
      </w:rPr>
      <w:t>2017-18 Mid-Year Financial Report</w:t>
    </w:r>
    <w:r w:rsidRPr="00157024">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5C7E7D" w:rsidRDefault="00A80DD4" w:rsidP="005C7E7D"/>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157024" w:rsidRDefault="00A80DD4" w:rsidP="007A2EDF">
    <w:pPr>
      <w:pStyle w:val="Footerodd"/>
    </w:pPr>
    <w:r w:rsidRPr="00157024">
      <w:rPr>
        <w:rStyle w:val="PageNumber"/>
        <w:rFonts w:asciiTheme="majorHAnsi" w:hAnsiTheme="majorHAnsi"/>
      </w:rPr>
      <w:t>2017-18 Mid-Year Financial Report</w:t>
    </w:r>
    <w:r w:rsidRPr="00157024">
      <w:tab/>
      <w:t>Appendix B</w:t>
    </w:r>
    <w:r w:rsidRPr="00157024">
      <w:tab/>
    </w:r>
    <w:r w:rsidRPr="00157024">
      <w:rPr>
        <w:rStyle w:val="PageNumber"/>
        <w:rFonts w:asciiTheme="majorHAnsi" w:hAnsiTheme="majorHAnsi"/>
      </w:rPr>
      <w:fldChar w:fldCharType="begin"/>
    </w:r>
    <w:r w:rsidRPr="00157024">
      <w:rPr>
        <w:rStyle w:val="PageNumber"/>
        <w:rFonts w:asciiTheme="majorHAnsi" w:hAnsiTheme="majorHAnsi"/>
      </w:rPr>
      <w:instrText xml:space="preserve"> PAGE </w:instrText>
    </w:r>
    <w:r w:rsidRPr="00157024">
      <w:rPr>
        <w:rStyle w:val="PageNumber"/>
        <w:rFonts w:asciiTheme="majorHAnsi" w:hAnsiTheme="majorHAnsi"/>
      </w:rPr>
      <w:fldChar w:fldCharType="separate"/>
    </w:r>
    <w:r w:rsidR="00B07E92">
      <w:rPr>
        <w:rStyle w:val="PageNumber"/>
        <w:rFonts w:asciiTheme="majorHAnsi" w:hAnsiTheme="majorHAnsi"/>
        <w:noProof/>
      </w:rPr>
      <w:t>55</w:t>
    </w:r>
    <w:r w:rsidRPr="00157024">
      <w:rPr>
        <w:rStyle w:val="PageNumber"/>
        <w:rFonts w:asciiTheme="majorHAnsi" w:hAnsiTheme="majorHAnsi"/>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563282" w:rsidRDefault="00A80DD4" w:rsidP="00BA26F2">
    <w:pPr>
      <w:pStyle w:val="Footereven"/>
      <w:rPr>
        <w:rFonts w:ascii="Calibri" w:hAnsi="Calibri"/>
      </w:rPr>
    </w:pPr>
    <w:r w:rsidRPr="00563282">
      <w:rPr>
        <w:rStyle w:val="PageNumber"/>
        <w:rFonts w:ascii="Calibri" w:hAnsi="Calibri"/>
      </w:rPr>
      <w:fldChar w:fldCharType="begin"/>
    </w:r>
    <w:r w:rsidRPr="00563282">
      <w:rPr>
        <w:rStyle w:val="PageNumber"/>
        <w:rFonts w:ascii="Calibri" w:hAnsi="Calibri"/>
      </w:rPr>
      <w:instrText xml:space="preserve"> PAGE </w:instrText>
    </w:r>
    <w:r w:rsidRPr="00563282">
      <w:rPr>
        <w:rStyle w:val="PageNumber"/>
        <w:rFonts w:ascii="Calibri" w:hAnsi="Calibri"/>
      </w:rPr>
      <w:fldChar w:fldCharType="separate"/>
    </w:r>
    <w:r w:rsidR="00FF6398">
      <w:rPr>
        <w:rStyle w:val="PageNumber"/>
        <w:rFonts w:ascii="Calibri" w:hAnsi="Calibri"/>
        <w:noProof/>
      </w:rPr>
      <w:t>58</w:t>
    </w:r>
    <w:r w:rsidRPr="00563282">
      <w:rPr>
        <w:rStyle w:val="PageNumber"/>
        <w:rFonts w:ascii="Calibri" w:hAnsi="Calibri"/>
      </w:rPr>
      <w:fldChar w:fldCharType="end"/>
    </w:r>
    <w:r w:rsidRPr="00563282">
      <w:rPr>
        <w:rFonts w:ascii="Calibri" w:hAnsi="Calibri"/>
      </w:rPr>
      <w:tab/>
      <w:t>Style conventions</w:t>
    </w:r>
    <w:r w:rsidRPr="00563282">
      <w:rPr>
        <w:rFonts w:ascii="Calibri" w:hAnsi="Calibri"/>
      </w:rPr>
      <w:tab/>
    </w:r>
    <w:r w:rsidRPr="00563282">
      <w:rPr>
        <w:rStyle w:val="PageNumber"/>
        <w:rFonts w:ascii="Calibri" w:hAnsi="Calibri"/>
      </w:rPr>
      <w:t>2016</w:t>
    </w:r>
    <w:r w:rsidRPr="00563282">
      <w:rPr>
        <w:rStyle w:val="PageNumber"/>
        <w:rFonts w:ascii="Calibri" w:hAnsi="Calibri"/>
      </w:rPr>
      <w:noBreakHyphen/>
      <w:t>17 Mid-Year Financial Report</w:t>
    </w:r>
    <w:r w:rsidRPr="00563282">
      <w:rPr>
        <w:rFonts w:ascii="Calibri" w:hAnsi="Calibri"/>
      </w:rPr>
      <w:t xml:space="preserve">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FF6398" w:rsidRDefault="00A80DD4" w:rsidP="00FF6398">
    <w:pPr>
      <w:pStyle w:val="Footerodd"/>
    </w:pPr>
    <w:r w:rsidRPr="00FF6398">
      <w:t>2016</w:t>
    </w:r>
    <w:r w:rsidRPr="00FF6398">
      <w:noBreakHyphen/>
      <w:t>17 Mid-Year Financial Report</w:t>
    </w:r>
    <w:r w:rsidRPr="00FF6398">
      <w:tab/>
      <w:t>Style conventions</w:t>
    </w:r>
    <w:r w:rsidRPr="00FF6398">
      <w:tab/>
    </w:r>
    <w:r w:rsidRPr="00FF6398">
      <w:fldChar w:fldCharType="begin"/>
    </w:r>
    <w:r w:rsidRPr="00FF6398">
      <w:instrText xml:space="preserve"> PAGE </w:instrText>
    </w:r>
    <w:r w:rsidRPr="00FF6398">
      <w:fldChar w:fldCharType="separate"/>
    </w:r>
    <w:r w:rsidR="00BE6916">
      <w:rPr>
        <w:noProof/>
      </w:rPr>
      <w:t>57</w:t>
    </w:r>
    <w:r w:rsidRPr="00FF6398">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D90086" w:rsidRDefault="00A80DD4" w:rsidP="00D90086">
    <w:pPr>
      <w:pStyle w:val="Footereven"/>
    </w:pPr>
    <w:r w:rsidRPr="00D90086">
      <w:rPr>
        <w:rStyle w:val="PageNumber"/>
      </w:rPr>
      <w:fldChar w:fldCharType="begin"/>
    </w:r>
    <w:r w:rsidRPr="00D90086">
      <w:rPr>
        <w:rStyle w:val="PageNumber"/>
      </w:rPr>
      <w:instrText xml:space="preserve"> PAGE </w:instrText>
    </w:r>
    <w:r w:rsidRPr="00D90086">
      <w:rPr>
        <w:rStyle w:val="PageNumber"/>
      </w:rPr>
      <w:fldChar w:fldCharType="separate"/>
    </w:r>
    <w:r>
      <w:rPr>
        <w:rStyle w:val="PageNumber"/>
        <w:noProof/>
      </w:rPr>
      <w:t>6</w:t>
    </w:r>
    <w:r w:rsidRPr="00D90086">
      <w:rPr>
        <w:rStyle w:val="PageNumber"/>
      </w:rPr>
      <w:fldChar w:fldCharType="end"/>
    </w:r>
    <w:r w:rsidRPr="00D90086">
      <w:tab/>
    </w:r>
    <w:r>
      <w:t>Chapter 1</w:t>
    </w:r>
    <w:r w:rsidRPr="00D90086">
      <w:tab/>
    </w:r>
    <w:r>
      <w:rPr>
        <w:rStyle w:val="PageNumber"/>
      </w:rPr>
      <w:t>2017</w:t>
    </w:r>
    <w:r>
      <w:rPr>
        <w:rStyle w:val="PageNumber"/>
      </w:rPr>
      <w:noBreakHyphen/>
      <w:t>17 Mid-Year Financial Report</w:t>
    </w:r>
    <w:r w:rsidRPr="00D90086">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odd"/>
    </w:pPr>
    <w:r w:rsidRPr="000C30FB">
      <w:rPr>
        <w:rStyle w:val="PageNumber"/>
        <w:rFonts w:asciiTheme="majorHAnsi" w:hAnsiTheme="majorHAnsi"/>
      </w:rPr>
      <w:t>201</w:t>
    </w:r>
    <w:r>
      <w:rPr>
        <w:rStyle w:val="PageNumber"/>
        <w:rFonts w:asciiTheme="majorHAnsi" w:hAnsiTheme="majorHAnsi"/>
      </w:rPr>
      <w:t>7</w:t>
    </w:r>
    <w:r w:rsidRPr="000C30FB">
      <w:rPr>
        <w:rStyle w:val="PageNumber"/>
        <w:rFonts w:asciiTheme="majorHAnsi" w:hAnsiTheme="majorHAnsi"/>
      </w:rPr>
      <w:noBreakHyphen/>
      <w:t>1</w:t>
    </w:r>
    <w:r>
      <w:rPr>
        <w:rStyle w:val="PageNumber"/>
        <w:rFonts w:asciiTheme="majorHAnsi" w:hAnsiTheme="majorHAnsi"/>
      </w:rPr>
      <w:t>8</w:t>
    </w:r>
    <w:r w:rsidRPr="000C30FB">
      <w:rPr>
        <w:rStyle w:val="PageNumber"/>
        <w:rFonts w:asciiTheme="majorHAnsi" w:hAnsiTheme="majorHAnsi"/>
      </w:rPr>
      <w:t xml:space="preserve"> Mid-Year Financial Report</w:t>
    </w:r>
    <w:r w:rsidRPr="000C30FB">
      <w:tab/>
      <w:t>Chapter 1</w:t>
    </w:r>
    <w:r w:rsidRPr="000C30FB">
      <w:tab/>
    </w: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sidR="00C0501E">
      <w:rPr>
        <w:rStyle w:val="PageNumber"/>
        <w:rFonts w:asciiTheme="majorHAnsi" w:hAnsiTheme="majorHAnsi"/>
        <w:noProof/>
      </w:rPr>
      <w:t>1</w:t>
    </w:r>
    <w:r w:rsidRPr="000C30FB">
      <w:rPr>
        <w:rStyle w:val="PageNumber"/>
        <w:rFonts w:asciiTheme="majorHAnsi" w:hAnsiTheme="majorHAns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0C30FB" w:rsidRDefault="00A80DD4" w:rsidP="000C30FB">
    <w:pPr>
      <w:pStyle w:val="Footereven"/>
    </w:pPr>
    <w:r w:rsidRPr="000C30FB">
      <w:rPr>
        <w:rStyle w:val="PageNumber"/>
        <w:rFonts w:asciiTheme="majorHAnsi" w:hAnsiTheme="majorHAnsi"/>
      </w:rPr>
      <w:fldChar w:fldCharType="begin"/>
    </w:r>
    <w:r w:rsidRPr="000C30FB">
      <w:rPr>
        <w:rStyle w:val="PageNumber"/>
        <w:rFonts w:asciiTheme="majorHAnsi" w:hAnsiTheme="majorHAnsi"/>
      </w:rPr>
      <w:instrText xml:space="preserve"> PAGE </w:instrText>
    </w:r>
    <w:r w:rsidRPr="000C30FB">
      <w:rPr>
        <w:rStyle w:val="PageNumber"/>
        <w:rFonts w:asciiTheme="majorHAnsi" w:hAnsiTheme="majorHAnsi"/>
      </w:rPr>
      <w:fldChar w:fldCharType="separate"/>
    </w:r>
    <w:r>
      <w:rPr>
        <w:rStyle w:val="PageNumber"/>
        <w:rFonts w:asciiTheme="majorHAnsi" w:hAnsiTheme="majorHAnsi"/>
        <w:noProof/>
      </w:rPr>
      <w:t>2</w:t>
    </w:r>
    <w:r w:rsidRPr="000C30FB">
      <w:rPr>
        <w:rStyle w:val="PageNumber"/>
        <w:rFonts w:asciiTheme="majorHAnsi" w:hAnsiTheme="majorHAnsi"/>
      </w:rPr>
      <w:fldChar w:fldCharType="end"/>
    </w:r>
    <w:r w:rsidRPr="000C30FB">
      <w:tab/>
      <w:t>Chapter 1</w:t>
    </w:r>
    <w:r w:rsidRPr="000C30FB">
      <w:tab/>
    </w:r>
    <w:r w:rsidRPr="000C30FB">
      <w:rPr>
        <w:rStyle w:val="PageNumber"/>
        <w:rFonts w:asciiTheme="majorHAnsi" w:hAnsiTheme="majorHAnsi"/>
      </w:rPr>
      <w:t>201</w:t>
    </w:r>
    <w:r>
      <w:rPr>
        <w:rStyle w:val="PageNumber"/>
        <w:rFonts w:asciiTheme="majorHAnsi" w:hAnsiTheme="majorHAnsi"/>
      </w:rPr>
      <w:t>7</w:t>
    </w:r>
    <w:r w:rsidRPr="000C30FB">
      <w:rPr>
        <w:rStyle w:val="PageNumber"/>
        <w:rFonts w:asciiTheme="majorHAnsi" w:hAnsiTheme="majorHAnsi"/>
      </w:rPr>
      <w:noBreakHyphen/>
      <w:t>1</w:t>
    </w:r>
    <w:r>
      <w:rPr>
        <w:rStyle w:val="PageNumber"/>
        <w:rFonts w:asciiTheme="majorHAnsi" w:hAnsiTheme="majorHAnsi"/>
      </w:rPr>
      <w:t>8</w:t>
    </w:r>
    <w:r w:rsidRPr="000C30FB">
      <w:rPr>
        <w:rStyle w:val="PageNumber"/>
        <w:rFonts w:asciiTheme="majorHAnsi" w:hAnsiTheme="majorHAnsi"/>
      </w:rPr>
      <w:t xml:space="preserve"> Mid-Year Financial Report</w:t>
    </w:r>
    <w:r w:rsidRPr="000C30F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DD4" w:rsidRDefault="00A80DD4">
      <w:pPr>
        <w:spacing w:before="0"/>
      </w:pPr>
      <w:r>
        <w:separator/>
      </w:r>
    </w:p>
  </w:footnote>
  <w:footnote w:type="continuationSeparator" w:id="0">
    <w:p w:rsidR="00A80DD4" w:rsidRDefault="00A80DD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92" w:rsidRDefault="00B07E9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AF493B" w:rsidRDefault="00A80DD4" w:rsidP="000C30FB">
    <w:r>
      <w:rPr>
        <w:noProof/>
        <w:lang w:eastAsia="en-AU"/>
      </w:rPr>
      <mc:AlternateContent>
        <mc:Choice Requires="wps">
          <w:drawing>
            <wp:anchor distT="0" distB="0" distL="114300" distR="114300" simplePos="0" relativeHeight="251662336" behindDoc="0" locked="0" layoutInCell="1" allowOverlap="1" wp14:anchorId="3806E5B8" wp14:editId="7BA78F25">
              <wp:simplePos x="0" y="0"/>
              <wp:positionH relativeFrom="column">
                <wp:posOffset>9269910</wp:posOffset>
              </wp:positionH>
              <wp:positionV relativeFrom="paragraph">
                <wp:posOffset>276960</wp:posOffset>
              </wp:positionV>
              <wp:extent cx="396000" cy="6192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96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Default="00A80DD4" w:rsidP="000C30FB">
                          <w:pPr>
                            <w:pStyle w:val="Header"/>
                          </w:pPr>
                        </w:p>
                        <w:p w:rsidR="00A80DD4" w:rsidRDefault="00A80DD4" w:rsidP="000C30FB">
                          <w:pPr>
                            <w:pStyle w:val="Heade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29.9pt;margin-top:21.8pt;width:31.2pt;height:48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" filled="f" stroked="f" strokeweight=".5pt">
              <v:textbox style="layout-flow:vertical">
                <w:txbxContent>
                  <w:p w:rsidR="00A80DD4" w:rsidRDefault="00A80DD4" w:rsidP="000C30FB">
                    <w:pPr>
                      <w:pStyle w:val="Header"/>
                    </w:pPr>
                  </w:p>
                  <w:p w:rsidR="00A80DD4" w:rsidRDefault="00A80DD4" w:rsidP="000C30FB">
                    <w:pPr>
                      <w:pStyle w:val="Header"/>
                    </w:pP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AF493B" w:rsidRDefault="00A80DD4" w:rsidP="000C30FB">
    <w:r>
      <w:rPr>
        <w:noProof/>
        <w:lang w:eastAsia="en-AU"/>
      </w:rPr>
      <mc:AlternateContent>
        <mc:Choice Requires="wps">
          <w:drawing>
            <wp:anchor distT="0" distB="0" distL="114300" distR="114300" simplePos="0" relativeHeight="251661312" behindDoc="0" locked="0" layoutInCell="1" allowOverlap="1" wp14:anchorId="662B6D55" wp14:editId="2B0E4F7D">
              <wp:simplePos x="0" y="0"/>
              <wp:positionH relativeFrom="column">
                <wp:posOffset>9269910</wp:posOffset>
              </wp:positionH>
              <wp:positionV relativeFrom="paragraph">
                <wp:posOffset>276960</wp:posOffset>
              </wp:positionV>
              <wp:extent cx="396000" cy="61920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96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Default="00A80DD4" w:rsidP="000C30FB">
                          <w:pPr>
                            <w:pStyle w:val="Header"/>
                            <w:jc w:val="right"/>
                          </w:pPr>
                        </w:p>
                        <w:p w:rsidR="00A80DD4" w:rsidRDefault="00A80DD4" w:rsidP="000C30FB">
                          <w:pPr>
                            <w:pStyle w:val="Header"/>
                            <w:jc w:val="right"/>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729.9pt;margin-top:21.8pt;width:31.2pt;height:487.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" filled="f" stroked="f" strokeweight=".5pt">
              <v:textbox style="layout-flow:vertical">
                <w:txbxContent>
                  <w:p w:rsidR="00A80DD4" w:rsidRDefault="00A80DD4" w:rsidP="000C30FB">
                    <w:pPr>
                      <w:pStyle w:val="Header"/>
                      <w:jc w:val="right"/>
                    </w:pPr>
                  </w:p>
                  <w:p w:rsidR="00A80DD4" w:rsidRDefault="00A80DD4" w:rsidP="000C30FB">
                    <w:pPr>
                      <w:pStyle w:val="Header"/>
                      <w:jc w:val="right"/>
                    </w:pP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92" w:rsidRDefault="00B07E9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5743DB" w:rsidRDefault="00A80DD4" w:rsidP="000C30FB">
    <w:r>
      <w:rPr>
        <w:noProof/>
        <w:lang w:eastAsia="en-AU"/>
      </w:rPr>
      <mc:AlternateContent>
        <mc:Choice Requires="wps">
          <w:drawing>
            <wp:anchor distT="0" distB="0" distL="114300" distR="114300" simplePos="0" relativeHeight="251666432" behindDoc="0" locked="0" layoutInCell="1" allowOverlap="1" wp14:anchorId="0ED16EEF" wp14:editId="13998C96">
              <wp:simplePos x="0" y="0"/>
              <wp:positionH relativeFrom="column">
                <wp:posOffset>9269910</wp:posOffset>
              </wp:positionH>
              <wp:positionV relativeFrom="paragraph">
                <wp:posOffset>276960</wp:posOffset>
              </wp:positionV>
              <wp:extent cx="396000" cy="61920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96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Default="00A80DD4" w:rsidP="000C30FB">
                          <w:pPr>
                            <w:pStyle w:val="Header"/>
                          </w:pPr>
                        </w:p>
                        <w:p w:rsidR="00A80DD4" w:rsidRDefault="00A80DD4" w:rsidP="000C30FB">
                          <w:pPr>
                            <w:pStyle w:val="Heade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30" type="#_x0000_t202" style="position:absolute;margin-left:729.9pt;margin-top:21.8pt;width:31.2pt;height:487.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" filled="f" stroked="f" strokeweight=".5pt">
              <v:textbox style="layout-flow:vertical">
                <w:txbxContent>
                  <w:p w:rsidR="00A80DD4" w:rsidRDefault="00A80DD4" w:rsidP="000C30FB">
                    <w:pPr>
                      <w:pStyle w:val="Header"/>
                    </w:pPr>
                  </w:p>
                  <w:p w:rsidR="00A80DD4" w:rsidRDefault="00A80DD4" w:rsidP="000C30FB">
                    <w:pPr>
                      <w:pStyle w:val="Header"/>
                    </w:pPr>
                  </w:p>
                </w:txbxContent>
              </v:textbox>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5743DB" w:rsidRDefault="00A80DD4" w:rsidP="000C30FB">
    <w:r>
      <w:rPr>
        <w:noProof/>
        <w:lang w:eastAsia="en-AU"/>
      </w:rPr>
      <mc:AlternateContent>
        <mc:Choice Requires="wps">
          <w:drawing>
            <wp:anchor distT="0" distB="0" distL="114300" distR="114300" simplePos="0" relativeHeight="251665408" behindDoc="0" locked="0" layoutInCell="1" allowOverlap="1" wp14:anchorId="04B30E18" wp14:editId="643059A7">
              <wp:simplePos x="0" y="0"/>
              <wp:positionH relativeFrom="column">
                <wp:posOffset>9269910</wp:posOffset>
              </wp:positionH>
              <wp:positionV relativeFrom="paragraph">
                <wp:posOffset>276960</wp:posOffset>
              </wp:positionV>
              <wp:extent cx="396000" cy="6192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96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Default="00A80DD4" w:rsidP="000C30FB">
                          <w:pPr>
                            <w:pStyle w:val="Header"/>
                            <w:jc w:val="right"/>
                          </w:pPr>
                        </w:p>
                        <w:p w:rsidR="00A80DD4" w:rsidRDefault="00A80DD4" w:rsidP="000C30FB">
                          <w:pPr>
                            <w:pStyle w:val="Header"/>
                            <w:jc w:val="right"/>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729.9pt;margin-top:21.8pt;width:31.2pt;height:487.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" filled="f" stroked="f" strokeweight=".5pt">
              <v:textbox style="layout-flow:vertical">
                <w:txbxContent>
                  <w:p w:rsidR="00A80DD4" w:rsidRDefault="00A80DD4" w:rsidP="000C30FB">
                    <w:pPr>
                      <w:pStyle w:val="Header"/>
                      <w:jc w:val="right"/>
                    </w:pPr>
                  </w:p>
                  <w:p w:rsidR="00A80DD4" w:rsidRDefault="00A80DD4" w:rsidP="000C30FB">
                    <w:pPr>
                      <w:pStyle w:val="Header"/>
                      <w:jc w:val="right"/>
                    </w:pPr>
                  </w:p>
                </w:txbxContent>
              </v:textbox>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92" w:rsidRDefault="00B07E92">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853B59" w:rsidRDefault="00A80DD4" w:rsidP="000C30FB">
    <w:r>
      <w:rPr>
        <w:noProof/>
        <w:lang w:eastAsia="en-AU"/>
      </w:rPr>
      <mc:AlternateContent>
        <mc:Choice Requires="wps">
          <w:drawing>
            <wp:anchor distT="0" distB="0" distL="114300" distR="114300" simplePos="0" relativeHeight="251670528" behindDoc="0" locked="0" layoutInCell="1" allowOverlap="1" wp14:anchorId="58B5C9F5" wp14:editId="5111AD85">
              <wp:simplePos x="0" y="0"/>
              <wp:positionH relativeFrom="column">
                <wp:posOffset>9269910</wp:posOffset>
              </wp:positionH>
              <wp:positionV relativeFrom="paragraph">
                <wp:posOffset>276960</wp:posOffset>
              </wp:positionV>
              <wp:extent cx="396000" cy="61920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6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Default="00A80DD4" w:rsidP="000C30FB">
                          <w:pPr>
                            <w:pStyle w:val="Header"/>
                          </w:pPr>
                        </w:p>
                        <w:p w:rsidR="00A80DD4" w:rsidRDefault="00A80DD4" w:rsidP="000C30FB">
                          <w:pPr>
                            <w:pStyle w:val="Heade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34" type="#_x0000_t202" style="position:absolute;margin-left:729.9pt;margin-top:21.8pt;width:31.2pt;height:487.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" filled="f" stroked="f" strokeweight=".5pt">
              <v:textbox style="layout-flow:vertical">
                <w:txbxContent>
                  <w:p w:rsidR="00A80DD4" w:rsidRDefault="00A80DD4" w:rsidP="000C30FB">
                    <w:pPr>
                      <w:pStyle w:val="Header"/>
                    </w:pPr>
                  </w:p>
                  <w:p w:rsidR="00A80DD4" w:rsidRDefault="00A80DD4" w:rsidP="000C30FB">
                    <w:pPr>
                      <w:pStyle w:val="Header"/>
                    </w:pPr>
                  </w:p>
                </w:txbxContent>
              </v:textbox>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Pr="00853B59" w:rsidRDefault="00A80DD4" w:rsidP="000C30FB">
    <w:r>
      <w:rPr>
        <w:noProof/>
        <w:lang w:eastAsia="en-AU"/>
      </w:rPr>
      <mc:AlternateContent>
        <mc:Choice Requires="wps">
          <w:drawing>
            <wp:anchor distT="0" distB="0" distL="114300" distR="114300" simplePos="0" relativeHeight="251669504" behindDoc="0" locked="0" layoutInCell="1" allowOverlap="1" wp14:anchorId="2E3AA846" wp14:editId="1B5660EB">
              <wp:simplePos x="0" y="0"/>
              <wp:positionH relativeFrom="column">
                <wp:posOffset>9269910</wp:posOffset>
              </wp:positionH>
              <wp:positionV relativeFrom="paragraph">
                <wp:posOffset>276960</wp:posOffset>
              </wp:positionV>
              <wp:extent cx="396000" cy="6192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96000" cy="619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DD4" w:rsidRDefault="00A80DD4" w:rsidP="000C30FB">
                          <w:pPr>
                            <w:pStyle w:val="Header"/>
                            <w:jc w:val="right"/>
                          </w:pPr>
                        </w:p>
                        <w:p w:rsidR="00A80DD4" w:rsidRDefault="00A80DD4" w:rsidP="000C30FB">
                          <w:pPr>
                            <w:pStyle w:val="Header"/>
                            <w:jc w:val="right"/>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2" o:spid="_x0000_s1035" type="#_x0000_t202" style="position:absolute;margin-left:729.9pt;margin-top:21.8pt;width:31.2pt;height:487.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" filled="f" stroked="f" strokeweight=".5pt">
              <v:textbox style="layout-flow:vertical">
                <w:txbxContent>
                  <w:p w:rsidR="00A80DD4" w:rsidRDefault="00A80DD4" w:rsidP="000C30FB">
                    <w:pPr>
                      <w:pStyle w:val="Header"/>
                      <w:jc w:val="right"/>
                    </w:pPr>
                  </w:p>
                  <w:p w:rsidR="00A80DD4" w:rsidRDefault="00A80DD4" w:rsidP="000C30FB">
                    <w:pPr>
                      <w:pStyle w:val="Header"/>
                      <w:jc w:val="right"/>
                    </w:pPr>
                  </w:p>
                </w:txbxContent>
              </v:textbox>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D4" w:rsidRDefault="00A80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721065C2"/>
    <w:lvl w:ilvl="0">
      <w:start w:val="1"/>
      <w:numFmt w:val="bullet"/>
      <w:lvlText w:val=""/>
      <w:lvlJc w:val="left"/>
      <w:pPr>
        <w:tabs>
          <w:tab w:val="num" w:pos="643"/>
        </w:tabs>
        <w:ind w:left="643" w:hanging="360"/>
      </w:pPr>
      <w:rPr>
        <w:rFonts w:ascii="Symbol" w:hAnsi="Symbol" w:hint="default"/>
      </w:rPr>
    </w:lvl>
  </w:abstractNum>
  <w:abstractNum w:abstractNumId="3">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06EE77F9"/>
    <w:multiLevelType w:val="multilevel"/>
    <w:tmpl w:val="F104AB12"/>
    <w:numStyleLink w:val="NumberedHeadings"/>
  </w:abstractNum>
  <w:abstractNum w:abstractNumId="5">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7ED5E27"/>
    <w:multiLevelType w:val="hybridMultilevel"/>
    <w:tmpl w:val="7B04D76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nsid w:val="474F7386"/>
    <w:multiLevelType w:val="multilevel"/>
    <w:tmpl w:val="7500EB92"/>
    <w:styleLink w:val="Number"/>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B6367C4"/>
    <w:multiLevelType w:val="multilevel"/>
    <w:tmpl w:val="F104AB12"/>
    <w:styleLink w:val="NumberedHeadings"/>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B695180"/>
    <w:multiLevelType w:val="multilevel"/>
    <w:tmpl w:val="5E22C0F8"/>
    <w:numStyleLink w:val="Bullet"/>
  </w:abstractNum>
  <w:abstractNum w:abstractNumId="14">
    <w:nsid w:val="5B674EAE"/>
    <w:multiLevelType w:val="hybridMultilevel"/>
    <w:tmpl w:val="05109F24"/>
    <w:lvl w:ilvl="0" w:tplc="2DEE93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6CFF3731"/>
    <w:multiLevelType w:val="multilevel"/>
    <w:tmpl w:val="7500EB92"/>
    <w:numStyleLink w:val="Number"/>
  </w:abstractNum>
  <w:abstractNum w:abstractNumId="17">
    <w:nsid w:val="7E805A06"/>
    <w:multiLevelType w:val="hybridMultilevel"/>
    <w:tmpl w:val="07246A40"/>
    <w:lvl w:ilvl="0" w:tplc="F88CD3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8"/>
  </w:num>
  <w:num w:numId="5">
    <w:abstractNumId w:val="10"/>
  </w:num>
  <w:num w:numId="6">
    <w:abstractNumId w:val="12"/>
  </w:num>
  <w:num w:numId="7">
    <w:abstractNumId w:val="13"/>
  </w:num>
  <w:num w:numId="8">
    <w:abstractNumId w:val="16"/>
  </w:num>
  <w:num w:numId="9">
    <w:abstractNumId w:val="1"/>
  </w:num>
  <w:num w:numId="10">
    <w:abstractNumId w:val="0"/>
  </w:num>
  <w:num w:numId="11">
    <w:abstractNumId w:val="7"/>
  </w:num>
  <w:num w:numId="12">
    <w:abstractNumId w:val="5"/>
  </w:num>
  <w:num w:numId="13">
    <w:abstractNumId w:val="15"/>
  </w:num>
  <w:num w:numId="14">
    <w:abstractNumId w:val="4"/>
  </w:num>
  <w:num w:numId="15">
    <w:abstractNumId w:val="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7"/>
  </w:num>
  <w:num w:numId="22">
    <w:abstractNumId w:val="4"/>
    <w:lvlOverride w:ilvl="1">
      <w:lvl w:ilvl="1">
        <w:start w:val="1"/>
        <w:numFmt w:val="decimal"/>
        <w:pStyle w:val="Heading2"/>
        <w:lvlText w:val="%1.%2"/>
        <w:lvlJc w:val="left"/>
        <w:pPr>
          <w:ind w:left="624" w:hanging="624"/>
        </w:pPr>
        <w:rPr>
          <w:rFonts w:hint="default"/>
        </w:rPr>
      </w:lvl>
    </w:lvlOverride>
  </w:num>
  <w:num w:numId="23">
    <w:abstractNumId w:val="6"/>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isplayBackgroundShap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6D"/>
    <w:rsid w:val="0000093C"/>
    <w:rsid w:val="00001A3C"/>
    <w:rsid w:val="000068BC"/>
    <w:rsid w:val="00010AF0"/>
    <w:rsid w:val="00017EF2"/>
    <w:rsid w:val="000256AE"/>
    <w:rsid w:val="00042ABE"/>
    <w:rsid w:val="00055A63"/>
    <w:rsid w:val="00056736"/>
    <w:rsid w:val="00057EFB"/>
    <w:rsid w:val="00064F49"/>
    <w:rsid w:val="00073219"/>
    <w:rsid w:val="00073EFA"/>
    <w:rsid w:val="00082872"/>
    <w:rsid w:val="00082D1F"/>
    <w:rsid w:val="0009147C"/>
    <w:rsid w:val="000915C9"/>
    <w:rsid w:val="000A03F9"/>
    <w:rsid w:val="000A07AD"/>
    <w:rsid w:val="000A2CDF"/>
    <w:rsid w:val="000C1B0B"/>
    <w:rsid w:val="000C30FB"/>
    <w:rsid w:val="000C43CD"/>
    <w:rsid w:val="000C68FD"/>
    <w:rsid w:val="000C6A23"/>
    <w:rsid w:val="000D0ECF"/>
    <w:rsid w:val="000D53D5"/>
    <w:rsid w:val="000D5949"/>
    <w:rsid w:val="000E037E"/>
    <w:rsid w:val="000E04E7"/>
    <w:rsid w:val="000E1A6C"/>
    <w:rsid w:val="000E2126"/>
    <w:rsid w:val="000E28B3"/>
    <w:rsid w:val="000E5A1A"/>
    <w:rsid w:val="000F140B"/>
    <w:rsid w:val="000F34B0"/>
    <w:rsid w:val="000F361D"/>
    <w:rsid w:val="000F5BCA"/>
    <w:rsid w:val="001017D9"/>
    <w:rsid w:val="00103DE5"/>
    <w:rsid w:val="00104F1A"/>
    <w:rsid w:val="00113667"/>
    <w:rsid w:val="00113DA4"/>
    <w:rsid w:val="00120B97"/>
    <w:rsid w:val="001212DB"/>
    <w:rsid w:val="001213D6"/>
    <w:rsid w:val="00124F13"/>
    <w:rsid w:val="00132069"/>
    <w:rsid w:val="00150302"/>
    <w:rsid w:val="001506B1"/>
    <w:rsid w:val="00151D12"/>
    <w:rsid w:val="00157761"/>
    <w:rsid w:val="00157D89"/>
    <w:rsid w:val="00160DB5"/>
    <w:rsid w:val="00161713"/>
    <w:rsid w:val="00166699"/>
    <w:rsid w:val="001675E6"/>
    <w:rsid w:val="001808F7"/>
    <w:rsid w:val="001845E1"/>
    <w:rsid w:val="00185B60"/>
    <w:rsid w:val="001868D8"/>
    <w:rsid w:val="001A6C56"/>
    <w:rsid w:val="001B04ED"/>
    <w:rsid w:val="001B1600"/>
    <w:rsid w:val="001B3B72"/>
    <w:rsid w:val="001B7F95"/>
    <w:rsid w:val="001D7A51"/>
    <w:rsid w:val="001E6E6F"/>
    <w:rsid w:val="001F4F51"/>
    <w:rsid w:val="001F54C7"/>
    <w:rsid w:val="002024D4"/>
    <w:rsid w:val="002065D0"/>
    <w:rsid w:val="00210496"/>
    <w:rsid w:val="00212222"/>
    <w:rsid w:val="00214AB1"/>
    <w:rsid w:val="00220042"/>
    <w:rsid w:val="00220E35"/>
    <w:rsid w:val="00222883"/>
    <w:rsid w:val="002354FE"/>
    <w:rsid w:val="00237563"/>
    <w:rsid w:val="00241BC9"/>
    <w:rsid w:val="00247670"/>
    <w:rsid w:val="00253619"/>
    <w:rsid w:val="00255A9A"/>
    <w:rsid w:val="0025669F"/>
    <w:rsid w:val="00257E89"/>
    <w:rsid w:val="00260DE7"/>
    <w:rsid w:val="00271E79"/>
    <w:rsid w:val="00273D61"/>
    <w:rsid w:val="00287D6D"/>
    <w:rsid w:val="00294556"/>
    <w:rsid w:val="00295E0F"/>
    <w:rsid w:val="00296CF7"/>
    <w:rsid w:val="002971B8"/>
    <w:rsid w:val="002A0391"/>
    <w:rsid w:val="002A57BB"/>
    <w:rsid w:val="002B3B71"/>
    <w:rsid w:val="002B3E8C"/>
    <w:rsid w:val="002B526C"/>
    <w:rsid w:val="002B7DE4"/>
    <w:rsid w:val="002C2200"/>
    <w:rsid w:val="002C3386"/>
    <w:rsid w:val="002C3B94"/>
    <w:rsid w:val="002C3F78"/>
    <w:rsid w:val="002C5BE1"/>
    <w:rsid w:val="002C6EA8"/>
    <w:rsid w:val="002D040C"/>
    <w:rsid w:val="002D47C9"/>
    <w:rsid w:val="002E09DA"/>
    <w:rsid w:val="002E628D"/>
    <w:rsid w:val="002F7BBC"/>
    <w:rsid w:val="00301106"/>
    <w:rsid w:val="00306EAE"/>
    <w:rsid w:val="0031771D"/>
    <w:rsid w:val="0033621D"/>
    <w:rsid w:val="003371B4"/>
    <w:rsid w:val="00337317"/>
    <w:rsid w:val="0034185B"/>
    <w:rsid w:val="00343667"/>
    <w:rsid w:val="00343C23"/>
    <w:rsid w:val="00347922"/>
    <w:rsid w:val="00356BB3"/>
    <w:rsid w:val="00357C4E"/>
    <w:rsid w:val="00360393"/>
    <w:rsid w:val="00363B60"/>
    <w:rsid w:val="003703D1"/>
    <w:rsid w:val="003741F4"/>
    <w:rsid w:val="0037430B"/>
    <w:rsid w:val="00377B81"/>
    <w:rsid w:val="003805EF"/>
    <w:rsid w:val="003825F8"/>
    <w:rsid w:val="00390A50"/>
    <w:rsid w:val="0039234B"/>
    <w:rsid w:val="00395FF7"/>
    <w:rsid w:val="00397E96"/>
    <w:rsid w:val="003A0816"/>
    <w:rsid w:val="003A1578"/>
    <w:rsid w:val="003A1BBB"/>
    <w:rsid w:val="003A5819"/>
    <w:rsid w:val="003A751E"/>
    <w:rsid w:val="003C5DBD"/>
    <w:rsid w:val="003C75BF"/>
    <w:rsid w:val="003D279B"/>
    <w:rsid w:val="003D7FD7"/>
    <w:rsid w:val="003E58E4"/>
    <w:rsid w:val="003E68E6"/>
    <w:rsid w:val="003E7CD9"/>
    <w:rsid w:val="00402880"/>
    <w:rsid w:val="00403881"/>
    <w:rsid w:val="00407B77"/>
    <w:rsid w:val="00407F41"/>
    <w:rsid w:val="004112E6"/>
    <w:rsid w:val="0042008E"/>
    <w:rsid w:val="00423170"/>
    <w:rsid w:val="00424473"/>
    <w:rsid w:val="00424959"/>
    <w:rsid w:val="00432BD8"/>
    <w:rsid w:val="004419CD"/>
    <w:rsid w:val="00441FC3"/>
    <w:rsid w:val="00450141"/>
    <w:rsid w:val="00454513"/>
    <w:rsid w:val="00474C53"/>
    <w:rsid w:val="00475D53"/>
    <w:rsid w:val="0048771F"/>
    <w:rsid w:val="00493C2E"/>
    <w:rsid w:val="00493DE3"/>
    <w:rsid w:val="004964EC"/>
    <w:rsid w:val="00496B0F"/>
    <w:rsid w:val="004A59F9"/>
    <w:rsid w:val="004A7AA4"/>
    <w:rsid w:val="004B1258"/>
    <w:rsid w:val="004B1F1F"/>
    <w:rsid w:val="004C1F0B"/>
    <w:rsid w:val="004C59E7"/>
    <w:rsid w:val="004D30AE"/>
    <w:rsid w:val="004D3B72"/>
    <w:rsid w:val="004E578E"/>
    <w:rsid w:val="004E5C31"/>
    <w:rsid w:val="004F2F5C"/>
    <w:rsid w:val="004F3EFD"/>
    <w:rsid w:val="004F5AD4"/>
    <w:rsid w:val="004F6DBA"/>
    <w:rsid w:val="004F738A"/>
    <w:rsid w:val="00500DAE"/>
    <w:rsid w:val="005126A3"/>
    <w:rsid w:val="005243EA"/>
    <w:rsid w:val="005271FE"/>
    <w:rsid w:val="005307AA"/>
    <w:rsid w:val="0053103E"/>
    <w:rsid w:val="00531EF1"/>
    <w:rsid w:val="00535247"/>
    <w:rsid w:val="00536ACD"/>
    <w:rsid w:val="00541C6D"/>
    <w:rsid w:val="00542B89"/>
    <w:rsid w:val="00545C39"/>
    <w:rsid w:val="005549CD"/>
    <w:rsid w:val="00555EB0"/>
    <w:rsid w:val="005563E9"/>
    <w:rsid w:val="00556B3E"/>
    <w:rsid w:val="00560E01"/>
    <w:rsid w:val="005617B5"/>
    <w:rsid w:val="00563282"/>
    <w:rsid w:val="005657B2"/>
    <w:rsid w:val="00566049"/>
    <w:rsid w:val="00566692"/>
    <w:rsid w:val="00573F75"/>
    <w:rsid w:val="00574728"/>
    <w:rsid w:val="00576C73"/>
    <w:rsid w:val="00580399"/>
    <w:rsid w:val="005852CA"/>
    <w:rsid w:val="0058536D"/>
    <w:rsid w:val="005903BA"/>
    <w:rsid w:val="005A0BEB"/>
    <w:rsid w:val="005A15A0"/>
    <w:rsid w:val="005A3B07"/>
    <w:rsid w:val="005B6476"/>
    <w:rsid w:val="005C0288"/>
    <w:rsid w:val="005C09D4"/>
    <w:rsid w:val="005C62C6"/>
    <w:rsid w:val="005C7E7D"/>
    <w:rsid w:val="005D108E"/>
    <w:rsid w:val="005D363B"/>
    <w:rsid w:val="005F056D"/>
    <w:rsid w:val="00600277"/>
    <w:rsid w:val="00600C46"/>
    <w:rsid w:val="00605A27"/>
    <w:rsid w:val="00606611"/>
    <w:rsid w:val="00612683"/>
    <w:rsid w:val="006135D1"/>
    <w:rsid w:val="0061407E"/>
    <w:rsid w:val="00614EBF"/>
    <w:rsid w:val="00617210"/>
    <w:rsid w:val="00617936"/>
    <w:rsid w:val="0062070B"/>
    <w:rsid w:val="006243FE"/>
    <w:rsid w:val="0062613A"/>
    <w:rsid w:val="00626CD2"/>
    <w:rsid w:val="00627C2B"/>
    <w:rsid w:val="00635722"/>
    <w:rsid w:val="00641391"/>
    <w:rsid w:val="00644B4A"/>
    <w:rsid w:val="00646137"/>
    <w:rsid w:val="006479D1"/>
    <w:rsid w:val="006517D1"/>
    <w:rsid w:val="00651946"/>
    <w:rsid w:val="006521FF"/>
    <w:rsid w:val="0065280D"/>
    <w:rsid w:val="00664667"/>
    <w:rsid w:val="0066512E"/>
    <w:rsid w:val="00665179"/>
    <w:rsid w:val="00671538"/>
    <w:rsid w:val="0067228F"/>
    <w:rsid w:val="00674D90"/>
    <w:rsid w:val="00676AAC"/>
    <w:rsid w:val="006773B4"/>
    <w:rsid w:val="00677990"/>
    <w:rsid w:val="0068427F"/>
    <w:rsid w:val="00692864"/>
    <w:rsid w:val="006A1F6F"/>
    <w:rsid w:val="006A35C1"/>
    <w:rsid w:val="006C00EB"/>
    <w:rsid w:val="006C505F"/>
    <w:rsid w:val="006D4F41"/>
    <w:rsid w:val="006E1EEA"/>
    <w:rsid w:val="006E2ADF"/>
    <w:rsid w:val="006E2BC5"/>
    <w:rsid w:val="006E400E"/>
    <w:rsid w:val="006E6F37"/>
    <w:rsid w:val="006F1D47"/>
    <w:rsid w:val="006F1F28"/>
    <w:rsid w:val="006F23B1"/>
    <w:rsid w:val="00705B7B"/>
    <w:rsid w:val="007116A2"/>
    <w:rsid w:val="00715885"/>
    <w:rsid w:val="00720053"/>
    <w:rsid w:val="00720B4C"/>
    <w:rsid w:val="00722E77"/>
    <w:rsid w:val="00725696"/>
    <w:rsid w:val="00725906"/>
    <w:rsid w:val="00726975"/>
    <w:rsid w:val="00726F1F"/>
    <w:rsid w:val="00727E4F"/>
    <w:rsid w:val="00731598"/>
    <w:rsid w:val="007346C0"/>
    <w:rsid w:val="007349CB"/>
    <w:rsid w:val="00734D92"/>
    <w:rsid w:val="007352B3"/>
    <w:rsid w:val="00737FCE"/>
    <w:rsid w:val="00741825"/>
    <w:rsid w:val="00743CE4"/>
    <w:rsid w:val="00751550"/>
    <w:rsid w:val="00753E64"/>
    <w:rsid w:val="007575FF"/>
    <w:rsid w:val="0076376B"/>
    <w:rsid w:val="007648C6"/>
    <w:rsid w:val="007676F1"/>
    <w:rsid w:val="00771A05"/>
    <w:rsid w:val="007737F4"/>
    <w:rsid w:val="00773F07"/>
    <w:rsid w:val="00782128"/>
    <w:rsid w:val="00790E40"/>
    <w:rsid w:val="00790FB8"/>
    <w:rsid w:val="007919BA"/>
    <w:rsid w:val="00792107"/>
    <w:rsid w:val="007925EF"/>
    <w:rsid w:val="00794C4A"/>
    <w:rsid w:val="0079507A"/>
    <w:rsid w:val="00797CD1"/>
    <w:rsid w:val="007A0D8B"/>
    <w:rsid w:val="007A2EDF"/>
    <w:rsid w:val="007A4996"/>
    <w:rsid w:val="007A5BD1"/>
    <w:rsid w:val="007A7975"/>
    <w:rsid w:val="007B3B93"/>
    <w:rsid w:val="007B51DD"/>
    <w:rsid w:val="007C425D"/>
    <w:rsid w:val="007D14AB"/>
    <w:rsid w:val="007D6D1A"/>
    <w:rsid w:val="007E09FE"/>
    <w:rsid w:val="007E775E"/>
    <w:rsid w:val="007F1AAF"/>
    <w:rsid w:val="007F4ECD"/>
    <w:rsid w:val="00801B7F"/>
    <w:rsid w:val="0080479F"/>
    <w:rsid w:val="00813A48"/>
    <w:rsid w:val="00814A7C"/>
    <w:rsid w:val="008155D0"/>
    <w:rsid w:val="00820AFD"/>
    <w:rsid w:val="00831AE5"/>
    <w:rsid w:val="008340EF"/>
    <w:rsid w:val="0083463B"/>
    <w:rsid w:val="00837B8C"/>
    <w:rsid w:val="00853909"/>
    <w:rsid w:val="00863841"/>
    <w:rsid w:val="0086442A"/>
    <w:rsid w:val="0086647D"/>
    <w:rsid w:val="00867FB0"/>
    <w:rsid w:val="00886DF7"/>
    <w:rsid w:val="0089207D"/>
    <w:rsid w:val="00893855"/>
    <w:rsid w:val="008A5A91"/>
    <w:rsid w:val="008A5CA4"/>
    <w:rsid w:val="008A5F0E"/>
    <w:rsid w:val="008D0383"/>
    <w:rsid w:val="008D128E"/>
    <w:rsid w:val="008D29E5"/>
    <w:rsid w:val="008D37BD"/>
    <w:rsid w:val="008D5DD6"/>
    <w:rsid w:val="008E1571"/>
    <w:rsid w:val="008E3105"/>
    <w:rsid w:val="008E469A"/>
    <w:rsid w:val="008E554D"/>
    <w:rsid w:val="00900DF0"/>
    <w:rsid w:val="0090134D"/>
    <w:rsid w:val="00901B8C"/>
    <w:rsid w:val="00903544"/>
    <w:rsid w:val="009046BD"/>
    <w:rsid w:val="009103EC"/>
    <w:rsid w:val="009144DF"/>
    <w:rsid w:val="009174A7"/>
    <w:rsid w:val="00917D22"/>
    <w:rsid w:val="00924B15"/>
    <w:rsid w:val="00934FFB"/>
    <w:rsid w:val="00943EAD"/>
    <w:rsid w:val="00947417"/>
    <w:rsid w:val="009479BF"/>
    <w:rsid w:val="00950409"/>
    <w:rsid w:val="00950FB1"/>
    <w:rsid w:val="00952665"/>
    <w:rsid w:val="00953503"/>
    <w:rsid w:val="009556A3"/>
    <w:rsid w:val="0096440F"/>
    <w:rsid w:val="00967C1E"/>
    <w:rsid w:val="009754F2"/>
    <w:rsid w:val="0098338B"/>
    <w:rsid w:val="00983AF0"/>
    <w:rsid w:val="009862B3"/>
    <w:rsid w:val="009A52F5"/>
    <w:rsid w:val="009B080A"/>
    <w:rsid w:val="009B185C"/>
    <w:rsid w:val="009B7B27"/>
    <w:rsid w:val="009C7E23"/>
    <w:rsid w:val="009D44E6"/>
    <w:rsid w:val="009D5ED9"/>
    <w:rsid w:val="009E1F58"/>
    <w:rsid w:val="009E302E"/>
    <w:rsid w:val="009E4D30"/>
    <w:rsid w:val="009E6EDF"/>
    <w:rsid w:val="009F07A5"/>
    <w:rsid w:val="009F160B"/>
    <w:rsid w:val="009F186E"/>
    <w:rsid w:val="009F30D0"/>
    <w:rsid w:val="009F6886"/>
    <w:rsid w:val="009F6D73"/>
    <w:rsid w:val="00A015F0"/>
    <w:rsid w:val="00A105F2"/>
    <w:rsid w:val="00A119C9"/>
    <w:rsid w:val="00A13F11"/>
    <w:rsid w:val="00A171DC"/>
    <w:rsid w:val="00A20782"/>
    <w:rsid w:val="00A2094F"/>
    <w:rsid w:val="00A20F1E"/>
    <w:rsid w:val="00A21C10"/>
    <w:rsid w:val="00A264FE"/>
    <w:rsid w:val="00A30D6D"/>
    <w:rsid w:val="00A40680"/>
    <w:rsid w:val="00A42771"/>
    <w:rsid w:val="00A47629"/>
    <w:rsid w:val="00A50C8B"/>
    <w:rsid w:val="00A545AB"/>
    <w:rsid w:val="00A63051"/>
    <w:rsid w:val="00A637FA"/>
    <w:rsid w:val="00A6591A"/>
    <w:rsid w:val="00A72634"/>
    <w:rsid w:val="00A75888"/>
    <w:rsid w:val="00A75FEE"/>
    <w:rsid w:val="00A80DD4"/>
    <w:rsid w:val="00A85FA2"/>
    <w:rsid w:val="00A9345E"/>
    <w:rsid w:val="00A94E87"/>
    <w:rsid w:val="00A977EF"/>
    <w:rsid w:val="00AA6D37"/>
    <w:rsid w:val="00AB0C55"/>
    <w:rsid w:val="00AB5202"/>
    <w:rsid w:val="00AB5FA5"/>
    <w:rsid w:val="00AB724F"/>
    <w:rsid w:val="00AC4001"/>
    <w:rsid w:val="00AF5018"/>
    <w:rsid w:val="00AF6157"/>
    <w:rsid w:val="00AF638C"/>
    <w:rsid w:val="00AF7DCE"/>
    <w:rsid w:val="00B04832"/>
    <w:rsid w:val="00B07E92"/>
    <w:rsid w:val="00B10346"/>
    <w:rsid w:val="00B1169C"/>
    <w:rsid w:val="00B121BD"/>
    <w:rsid w:val="00B146AC"/>
    <w:rsid w:val="00B17122"/>
    <w:rsid w:val="00B34A89"/>
    <w:rsid w:val="00B4755F"/>
    <w:rsid w:val="00B56791"/>
    <w:rsid w:val="00B56B25"/>
    <w:rsid w:val="00B56C73"/>
    <w:rsid w:val="00B61DEC"/>
    <w:rsid w:val="00B64690"/>
    <w:rsid w:val="00B70D99"/>
    <w:rsid w:val="00B72498"/>
    <w:rsid w:val="00B77344"/>
    <w:rsid w:val="00B809CD"/>
    <w:rsid w:val="00B83597"/>
    <w:rsid w:val="00B862F0"/>
    <w:rsid w:val="00B91C7F"/>
    <w:rsid w:val="00B936B8"/>
    <w:rsid w:val="00BA26F2"/>
    <w:rsid w:val="00BB2087"/>
    <w:rsid w:val="00BB2F64"/>
    <w:rsid w:val="00BB4492"/>
    <w:rsid w:val="00BC1376"/>
    <w:rsid w:val="00BC6329"/>
    <w:rsid w:val="00BC6724"/>
    <w:rsid w:val="00BD0D9B"/>
    <w:rsid w:val="00BD2A8E"/>
    <w:rsid w:val="00BD2AB3"/>
    <w:rsid w:val="00BD454D"/>
    <w:rsid w:val="00BE12EA"/>
    <w:rsid w:val="00BE2FBB"/>
    <w:rsid w:val="00BE6916"/>
    <w:rsid w:val="00BF07FE"/>
    <w:rsid w:val="00BF08BC"/>
    <w:rsid w:val="00BF6BC9"/>
    <w:rsid w:val="00BF6E17"/>
    <w:rsid w:val="00C00568"/>
    <w:rsid w:val="00C0462D"/>
    <w:rsid w:val="00C04F08"/>
    <w:rsid w:val="00C0501E"/>
    <w:rsid w:val="00C134E2"/>
    <w:rsid w:val="00C2116C"/>
    <w:rsid w:val="00C32D27"/>
    <w:rsid w:val="00C36FCD"/>
    <w:rsid w:val="00C461A9"/>
    <w:rsid w:val="00C4714D"/>
    <w:rsid w:val="00C573F8"/>
    <w:rsid w:val="00C65BE3"/>
    <w:rsid w:val="00C661B9"/>
    <w:rsid w:val="00C72D96"/>
    <w:rsid w:val="00C7688A"/>
    <w:rsid w:val="00C77D7E"/>
    <w:rsid w:val="00C80D95"/>
    <w:rsid w:val="00C8749B"/>
    <w:rsid w:val="00C90B98"/>
    <w:rsid w:val="00C93F95"/>
    <w:rsid w:val="00CA41CF"/>
    <w:rsid w:val="00CA4410"/>
    <w:rsid w:val="00CA4F8B"/>
    <w:rsid w:val="00CA6435"/>
    <w:rsid w:val="00CA6CEE"/>
    <w:rsid w:val="00CB43A2"/>
    <w:rsid w:val="00CC3DD5"/>
    <w:rsid w:val="00CD1FEA"/>
    <w:rsid w:val="00CD6B20"/>
    <w:rsid w:val="00CD6F54"/>
    <w:rsid w:val="00CE30BD"/>
    <w:rsid w:val="00CE4B69"/>
    <w:rsid w:val="00CE5CF8"/>
    <w:rsid w:val="00CE6A19"/>
    <w:rsid w:val="00CE763C"/>
    <w:rsid w:val="00CF2B70"/>
    <w:rsid w:val="00CF5E6F"/>
    <w:rsid w:val="00D07E7D"/>
    <w:rsid w:val="00D11A1E"/>
    <w:rsid w:val="00D341DE"/>
    <w:rsid w:val="00D3519E"/>
    <w:rsid w:val="00D379C4"/>
    <w:rsid w:val="00D40AEA"/>
    <w:rsid w:val="00D429FE"/>
    <w:rsid w:val="00D451B9"/>
    <w:rsid w:val="00D63655"/>
    <w:rsid w:val="00D71612"/>
    <w:rsid w:val="00D7231C"/>
    <w:rsid w:val="00D75608"/>
    <w:rsid w:val="00D75A85"/>
    <w:rsid w:val="00D760FE"/>
    <w:rsid w:val="00D827B1"/>
    <w:rsid w:val="00D90086"/>
    <w:rsid w:val="00D92842"/>
    <w:rsid w:val="00D97443"/>
    <w:rsid w:val="00D977CF"/>
    <w:rsid w:val="00DA769F"/>
    <w:rsid w:val="00DB2A52"/>
    <w:rsid w:val="00DB7BB3"/>
    <w:rsid w:val="00DD1082"/>
    <w:rsid w:val="00DE3014"/>
    <w:rsid w:val="00DE38D7"/>
    <w:rsid w:val="00DE55D5"/>
    <w:rsid w:val="00DE7ED9"/>
    <w:rsid w:val="00DF133A"/>
    <w:rsid w:val="00DF14C0"/>
    <w:rsid w:val="00DF4B2E"/>
    <w:rsid w:val="00E0371F"/>
    <w:rsid w:val="00E108FF"/>
    <w:rsid w:val="00E11EC5"/>
    <w:rsid w:val="00E173B6"/>
    <w:rsid w:val="00E244F1"/>
    <w:rsid w:val="00E32FD9"/>
    <w:rsid w:val="00E33617"/>
    <w:rsid w:val="00E34095"/>
    <w:rsid w:val="00E36DAC"/>
    <w:rsid w:val="00E40EDA"/>
    <w:rsid w:val="00E41328"/>
    <w:rsid w:val="00E42052"/>
    <w:rsid w:val="00E44850"/>
    <w:rsid w:val="00E46DD4"/>
    <w:rsid w:val="00E46E4F"/>
    <w:rsid w:val="00E52A0F"/>
    <w:rsid w:val="00E64CBF"/>
    <w:rsid w:val="00E65539"/>
    <w:rsid w:val="00E709BA"/>
    <w:rsid w:val="00E7185E"/>
    <w:rsid w:val="00E73BF7"/>
    <w:rsid w:val="00E75212"/>
    <w:rsid w:val="00E815F9"/>
    <w:rsid w:val="00E8244C"/>
    <w:rsid w:val="00EA069C"/>
    <w:rsid w:val="00EA4E6B"/>
    <w:rsid w:val="00EA535F"/>
    <w:rsid w:val="00EA5C59"/>
    <w:rsid w:val="00EB2DF9"/>
    <w:rsid w:val="00EB4924"/>
    <w:rsid w:val="00EB68A5"/>
    <w:rsid w:val="00EC3EAA"/>
    <w:rsid w:val="00EC7040"/>
    <w:rsid w:val="00ED06E6"/>
    <w:rsid w:val="00ED07D6"/>
    <w:rsid w:val="00ED3271"/>
    <w:rsid w:val="00ED5415"/>
    <w:rsid w:val="00ED5DFC"/>
    <w:rsid w:val="00EE0ACF"/>
    <w:rsid w:val="00EE3840"/>
    <w:rsid w:val="00EF04F6"/>
    <w:rsid w:val="00EF0A16"/>
    <w:rsid w:val="00EF0A38"/>
    <w:rsid w:val="00EF2E9A"/>
    <w:rsid w:val="00EF3C02"/>
    <w:rsid w:val="00F0128E"/>
    <w:rsid w:val="00F03B3A"/>
    <w:rsid w:val="00F110B5"/>
    <w:rsid w:val="00F12718"/>
    <w:rsid w:val="00F15DE6"/>
    <w:rsid w:val="00F20535"/>
    <w:rsid w:val="00F270C7"/>
    <w:rsid w:val="00F3421F"/>
    <w:rsid w:val="00F36C92"/>
    <w:rsid w:val="00F40D87"/>
    <w:rsid w:val="00F4185A"/>
    <w:rsid w:val="00F476D0"/>
    <w:rsid w:val="00F511FF"/>
    <w:rsid w:val="00F55D36"/>
    <w:rsid w:val="00F6286D"/>
    <w:rsid w:val="00F65FF9"/>
    <w:rsid w:val="00F71032"/>
    <w:rsid w:val="00F74BC1"/>
    <w:rsid w:val="00F83173"/>
    <w:rsid w:val="00F858E5"/>
    <w:rsid w:val="00F875F5"/>
    <w:rsid w:val="00F91FC1"/>
    <w:rsid w:val="00F9559A"/>
    <w:rsid w:val="00FA3262"/>
    <w:rsid w:val="00FA68DF"/>
    <w:rsid w:val="00FB1BDF"/>
    <w:rsid w:val="00FB2A00"/>
    <w:rsid w:val="00FC05D4"/>
    <w:rsid w:val="00FC5E1B"/>
    <w:rsid w:val="00FD1166"/>
    <w:rsid w:val="00FD279A"/>
    <w:rsid w:val="00FD4336"/>
    <w:rsid w:val="00FF3B45"/>
    <w:rsid w:val="00FF6031"/>
    <w:rsid w:val="00FF6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semiHidden="0" w:uiPriority="9" w:unhideWhenUsed="0"/>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91" w:unhideWhenUsed="0"/>
    <w:lsdException w:name="toc 4" w:uiPriority="96" w:unhideWhenUsed="0"/>
    <w:lsdException w:name="toc 5" w:uiPriority="96" w:unhideWhenUsed="0"/>
    <w:lsdException w:name="toc 6" w:uiPriority="96" w:unhideWhenUsed="0"/>
    <w:lsdException w:name="toc 7" w:uiPriority="96" w:unhideWhenUsed="0"/>
    <w:lsdException w:name="toc 8" w:uiPriority="96" w:unhideWhenUsed="0"/>
    <w:lsdException w:name="toc 9" w:uiPriority="39"/>
    <w:lsdException w:name="header" w:uiPriority="85"/>
    <w:lsdException w:name="footer" w:uiPriority="84"/>
    <w:lsdException w:name="caption" w:uiPriority="35"/>
    <w:lsdException w:name="page number" w:uiPriority="0"/>
    <w:lsdException w:name="List" w:semiHidden="0" w:uiPriority="29" w:unhideWhenUsed="0"/>
    <w:lsdException w:name="List Bullet" w:uiPriority="19" w:qFormat="1"/>
    <w:lsdException w:name="List Number" w:semiHidden="0" w:uiPriority="19" w:unhideWhenUsed="0" w:qFormat="1"/>
    <w:lsdException w:name="List 2" w:uiPriority="29" w:unhideWhenUsed="0"/>
    <w:lsdException w:name="List 3" w:uiPriority="29"/>
    <w:lsdException w:name="List 4" w:uiPriority="29"/>
    <w:lsdException w:name="List 5" w:uiPriority="29"/>
    <w:lsdException w:name="List Bullet 2" w:uiPriority="19"/>
    <w:lsdException w:name="List Bullet 3" w:uiPriority="19"/>
    <w:lsdException w:name="List Bullet 4" w:uiPriority="19"/>
    <w:lsdException w:name="List Bullet 5" w:uiPriority="19"/>
    <w:lsdException w:name="List Number 2" w:semiHidden="0" w:uiPriority="19" w:unhideWhenUsed="0"/>
    <w:lsdException w:name="List Number 3" w:uiPriority="19"/>
    <w:lsdException w:name="List Number 4" w:uiPriority="19"/>
    <w:lsdException w:name="List Number 5" w:uiPriority="19"/>
    <w:lsdException w:name="Title" w:uiPriority="10" w:unhideWhenUsed="0"/>
    <w:lsdException w:name="Default Paragraph Font" w:uiPriority="1"/>
    <w:lsdException w:name="Body Text" w:uiPriority="4"/>
    <w:lsdException w:name="List Continue" w:semiHidden="0" w:uiPriority="24" w:unhideWhenUsed="0" w:qFormat="1"/>
    <w:lsdException w:name="List Continue 2" w:semiHidden="0" w:uiPriority="24" w:unhideWhenUsed="0"/>
    <w:lsdException w:name="List Continue 3" w:uiPriority="24"/>
    <w:lsdException w:name="List Continue 4" w:uiPriority="24"/>
    <w:lsdException w:name="List Continue 5" w:uiPriority="24"/>
    <w:lsdException w:name="Subtitle" w:uiPriority="11" w:unhideWhenUsed="0"/>
    <w:lsdException w:name="Strong" w:uiPriority="98" w:unhideWhenUsed="0"/>
    <w:lsdException w:name="Emphasis" w:uiPriority="98"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uiPriority="98"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90"/>
  </w:latentStyles>
  <w:style w:type="paragraph" w:default="1" w:styleId="Normal">
    <w:name w:val="Normal"/>
    <w:uiPriority w:val="1"/>
    <w:qFormat/>
    <w:rsid w:val="00563282"/>
    <w:rPr>
      <w:rFonts w:eastAsia="Times New Roman" w:cs="Times New Roman"/>
      <w:szCs w:val="20"/>
    </w:rPr>
  </w:style>
  <w:style w:type="paragraph" w:styleId="Heading10">
    <w:name w:val="heading 1"/>
    <w:next w:val="Normal"/>
    <w:link w:val="Heading1Char"/>
    <w:uiPriority w:val="9"/>
    <w:qFormat/>
    <w:rsid w:val="00E46E4F"/>
    <w:pPr>
      <w:keepNext/>
      <w:keepLines/>
      <w:spacing w:before="360"/>
      <w:outlineLvl w:val="0"/>
    </w:pPr>
    <w:rPr>
      <w:rFonts w:asciiTheme="majorHAnsi" w:eastAsiaTheme="majorEastAsia" w:hAnsiTheme="majorHAnsi" w:cstheme="majorBidi"/>
      <w:b/>
      <w:bCs/>
      <w:caps/>
      <w:spacing w:val="-2"/>
      <w:sz w:val="26"/>
      <w:szCs w:val="28"/>
    </w:rPr>
  </w:style>
  <w:style w:type="paragraph" w:styleId="Heading20">
    <w:name w:val="heading 2"/>
    <w:basedOn w:val="Heading10"/>
    <w:next w:val="Normal"/>
    <w:link w:val="Heading2Char"/>
    <w:uiPriority w:val="9"/>
    <w:qFormat/>
    <w:rsid w:val="00612683"/>
    <w:pPr>
      <w:numPr>
        <w:ilvl w:val="1"/>
      </w:numPr>
      <w:tabs>
        <w:tab w:val="right" w:pos="9582"/>
      </w:tabs>
      <w:spacing w:before="240"/>
      <w:outlineLvl w:val="1"/>
    </w:pPr>
    <w:rPr>
      <w:bCs w:val="0"/>
      <w:caps w:val="0"/>
      <w:szCs w:val="26"/>
    </w:rPr>
  </w:style>
  <w:style w:type="paragraph" w:styleId="Heading30">
    <w:name w:val="heading 3"/>
    <w:basedOn w:val="Heading20"/>
    <w:next w:val="Normal"/>
    <w:link w:val="Heading3Char"/>
    <w:uiPriority w:val="9"/>
    <w:qFormat/>
    <w:rsid w:val="0037430B"/>
    <w:pPr>
      <w:numPr>
        <w:ilvl w:val="2"/>
      </w:numPr>
      <w:outlineLvl w:val="2"/>
    </w:pPr>
    <w:rPr>
      <w:bCs/>
      <w:sz w:val="22"/>
    </w:rPr>
  </w:style>
  <w:style w:type="paragraph" w:styleId="Heading4">
    <w:name w:val="heading 4"/>
    <w:basedOn w:val="Heading30"/>
    <w:next w:val="Normal"/>
    <w:link w:val="Heading4Char"/>
    <w:uiPriority w:val="9"/>
    <w:rsid w:val="003741F4"/>
    <w:pPr>
      <w:numPr>
        <w:ilvl w:val="3"/>
      </w:numPr>
      <w:spacing w:before="180"/>
      <w:outlineLvl w:val="3"/>
    </w:pPr>
    <w:rPr>
      <w:b w:val="0"/>
      <w:bCs w:val="0"/>
      <w:i/>
      <w:iCs/>
      <w:spacing w:val="0"/>
    </w:rPr>
  </w:style>
  <w:style w:type="paragraph" w:styleId="Heading5">
    <w:name w:val="heading 5"/>
    <w:basedOn w:val="Heading4"/>
    <w:next w:val="Normal"/>
    <w:link w:val="Heading5Char"/>
    <w:uiPriority w:val="9"/>
    <w:semiHidden/>
    <w:unhideWhenUsed/>
    <w:rsid w:val="00DE3014"/>
    <w:pPr>
      <w:numPr>
        <w:ilvl w:val="4"/>
      </w:numPr>
      <w:outlineLvl w:val="4"/>
    </w:pPr>
    <w:rPr>
      <w:b/>
      <w:i w:val="0"/>
    </w:rPr>
  </w:style>
  <w:style w:type="paragraph" w:styleId="Heading6">
    <w:name w:val="heading 6"/>
    <w:basedOn w:val="Normal"/>
    <w:next w:val="Normal"/>
    <w:link w:val="Heading6Char"/>
    <w:uiPriority w:val="9"/>
    <w:semiHidden/>
    <w:unhideWhenUsed/>
    <w:rsid w:val="00E36DAC"/>
    <w:pPr>
      <w:keepNext/>
      <w:keepLines/>
      <w:numPr>
        <w:ilvl w:val="5"/>
        <w:numId w:val="4"/>
      </w:numPr>
      <w:spacing w:before="200"/>
      <w:outlineLvl w:val="5"/>
    </w:pPr>
    <w:rPr>
      <w:rFonts w:asciiTheme="majorHAnsi" w:eastAsiaTheme="majorEastAsia" w:hAnsiTheme="majorHAnsi" w:cstheme="majorBidi"/>
      <w:i/>
      <w:iCs/>
      <w:color w:val="003152" w:themeColor="accent1" w:themeShade="7F"/>
      <w:szCs w:val="22"/>
    </w:rPr>
  </w:style>
  <w:style w:type="paragraph" w:styleId="Heading7">
    <w:name w:val="heading 7"/>
    <w:basedOn w:val="Normal"/>
    <w:next w:val="Normal"/>
    <w:link w:val="Heading7Char"/>
    <w:uiPriority w:val="9"/>
    <w:semiHidden/>
    <w:unhideWhenUsed/>
    <w:rsid w:val="00E36DAC"/>
    <w:pPr>
      <w:keepNext/>
      <w:keepLines/>
      <w:numPr>
        <w:ilvl w:val="6"/>
        <w:numId w:val="4"/>
      </w:numPr>
      <w:spacing w:before="20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rsid w:val="00E36DAC"/>
    <w:pPr>
      <w:keepNext/>
      <w:keepLines/>
      <w:numPr>
        <w:ilvl w:val="7"/>
        <w:numId w:val="4"/>
      </w:numPr>
      <w:spacing w:before="200"/>
      <w:outlineLvl w:val="7"/>
    </w:pPr>
    <w:rPr>
      <w:rFonts w:asciiTheme="majorHAnsi" w:eastAsiaTheme="majorEastAsia" w:hAnsiTheme="majorHAnsi" w:cstheme="majorBidi"/>
      <w:color w:val="404040" w:themeColor="text1" w:themeTint="BF"/>
      <w:szCs w:val="22"/>
    </w:rPr>
  </w:style>
  <w:style w:type="paragraph" w:styleId="Heading9">
    <w:name w:val="heading 9"/>
    <w:basedOn w:val="Normal"/>
    <w:next w:val="Normal"/>
    <w:link w:val="Heading9Char"/>
    <w:uiPriority w:val="9"/>
    <w:semiHidden/>
    <w:unhideWhenUsed/>
    <w:rsid w:val="00E36DAC"/>
    <w:pPr>
      <w:keepNext/>
      <w:keepLines/>
      <w:numPr>
        <w:ilvl w:val="8"/>
        <w:numId w:val="4"/>
      </w:numPr>
      <w:spacing w:before="200"/>
      <w:outlineLvl w:val="8"/>
    </w:pPr>
    <w:rPr>
      <w:rFonts w:asciiTheme="majorHAnsi" w:eastAsiaTheme="majorEastAsia" w:hAnsiTheme="majorHAnsi" w:cstheme="majorBidi"/>
      <w:i/>
      <w:iCs/>
      <w:color w:val="404040" w:themeColor="text1" w:themeTint="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E46E4F"/>
    <w:rPr>
      <w:rFonts w:asciiTheme="majorHAnsi" w:eastAsiaTheme="majorEastAsia" w:hAnsiTheme="majorHAnsi" w:cstheme="majorBidi"/>
      <w:b/>
      <w:bCs/>
      <w:caps/>
      <w:spacing w:val="-2"/>
      <w:sz w:val="26"/>
      <w:szCs w:val="28"/>
    </w:rPr>
  </w:style>
  <w:style w:type="character" w:customStyle="1" w:styleId="Heading3Char">
    <w:name w:val="Heading 3 Char"/>
    <w:basedOn w:val="DefaultParagraphFont"/>
    <w:link w:val="Heading30"/>
    <w:uiPriority w:val="9"/>
    <w:rsid w:val="0037430B"/>
    <w:rPr>
      <w:rFonts w:asciiTheme="majorHAnsi" w:eastAsiaTheme="majorEastAsia" w:hAnsiTheme="majorHAnsi" w:cstheme="majorBidi"/>
      <w:b/>
      <w:bCs/>
      <w:spacing w:val="-2"/>
      <w:szCs w:val="26"/>
    </w:rPr>
  </w:style>
  <w:style w:type="character" w:customStyle="1" w:styleId="Heading2Char">
    <w:name w:val="Heading 2 Char"/>
    <w:basedOn w:val="DefaultParagraphFont"/>
    <w:link w:val="Heading20"/>
    <w:uiPriority w:val="9"/>
    <w:rsid w:val="00612683"/>
    <w:rPr>
      <w:rFonts w:asciiTheme="majorHAnsi" w:eastAsiaTheme="majorEastAsia" w:hAnsiTheme="majorHAnsi" w:cstheme="majorBidi"/>
      <w:b/>
      <w:spacing w:val="-2"/>
      <w:sz w:val="26"/>
      <w:szCs w:val="26"/>
    </w:rPr>
  </w:style>
  <w:style w:type="character" w:customStyle="1" w:styleId="Heading4Char">
    <w:name w:val="Heading 4 Char"/>
    <w:basedOn w:val="DefaultParagraphFont"/>
    <w:link w:val="Heading4"/>
    <w:uiPriority w:val="9"/>
    <w:rsid w:val="003741F4"/>
    <w:rPr>
      <w:rFonts w:asciiTheme="majorHAnsi" w:eastAsiaTheme="majorEastAsia" w:hAnsiTheme="majorHAnsi" w:cstheme="majorBidi"/>
      <w:i/>
      <w:iCs/>
      <w:szCs w:val="26"/>
    </w:rPr>
  </w:style>
  <w:style w:type="character" w:customStyle="1" w:styleId="Heading2Char0">
    <w:name w:val="Heading 2 (#) Char"/>
    <w:basedOn w:val="Heading2Char"/>
    <w:link w:val="Heading2"/>
    <w:uiPriority w:val="14"/>
    <w:rsid w:val="0037430B"/>
    <w:rPr>
      <w:rFonts w:asciiTheme="majorHAnsi" w:eastAsiaTheme="majorEastAsia" w:hAnsiTheme="majorHAnsi" w:cstheme="majorBidi"/>
      <w:b/>
      <w:spacing w:val="-2"/>
      <w:sz w:val="26"/>
      <w:szCs w:val="26"/>
    </w:rPr>
  </w:style>
  <w:style w:type="paragraph" w:customStyle="1" w:styleId="Source">
    <w:name w:val="Source"/>
    <w:basedOn w:val="Normal"/>
    <w:next w:val="Note"/>
    <w:uiPriority w:val="51"/>
    <w:qFormat/>
    <w:rsid w:val="006F23B1"/>
    <w:pPr>
      <w:keepLines/>
      <w:spacing w:before="20" w:after="60"/>
    </w:pPr>
    <w:rPr>
      <w:rFonts w:asciiTheme="majorHAnsi" w:eastAsiaTheme="minorHAnsi" w:hAnsiTheme="majorHAnsi" w:cstheme="minorBidi"/>
      <w:i/>
      <w:spacing w:val="-2"/>
      <w:sz w:val="14"/>
      <w:szCs w:val="22"/>
    </w:rPr>
  </w:style>
  <w:style w:type="paragraph" w:customStyle="1" w:styleId="Note">
    <w:name w:val="Note"/>
    <w:basedOn w:val="Normal"/>
    <w:link w:val="NoteChar"/>
    <w:uiPriority w:val="52"/>
    <w:qFormat/>
    <w:rsid w:val="006F23B1"/>
    <w:pPr>
      <w:keepLines/>
      <w:spacing w:before="20"/>
      <w:ind w:left="284" w:hanging="284"/>
      <w:contextualSpacing/>
    </w:pPr>
    <w:rPr>
      <w:rFonts w:asciiTheme="majorHAnsi" w:eastAsiaTheme="minorHAnsi" w:hAnsiTheme="majorHAnsi" w:cstheme="minorBidi"/>
      <w:i/>
      <w:spacing w:val="-2"/>
      <w:sz w:val="14"/>
      <w:szCs w:val="22"/>
    </w:rPr>
  </w:style>
  <w:style w:type="numbering" w:customStyle="1" w:styleId="A">
    <w:name w:val="(A)"/>
    <w:uiPriority w:val="99"/>
    <w:rsid w:val="00ED06E6"/>
    <w:pPr>
      <w:numPr>
        <w:numId w:val="1"/>
      </w:numPr>
    </w:pPr>
  </w:style>
  <w:style w:type="paragraph" w:customStyle="1" w:styleId="HighlightBoxText">
    <w:name w:val="Highlight Box Text"/>
    <w:basedOn w:val="Normal"/>
    <w:uiPriority w:val="60"/>
    <w:qFormat/>
    <w:rsid w:val="00D451B9"/>
    <w:pPr>
      <w:keepLines/>
      <w:pBdr>
        <w:top w:val="single" w:sz="6" w:space="1" w:color="auto"/>
        <w:left w:val="single" w:sz="6" w:space="4" w:color="auto"/>
        <w:bottom w:val="single" w:sz="6" w:space="1" w:color="auto"/>
        <w:right w:val="single" w:sz="6" w:space="4" w:color="auto"/>
      </w:pBdr>
      <w:shd w:val="clear" w:color="auto" w:fill="F2F2F2" w:themeFill="background1" w:themeFillShade="F2"/>
    </w:pPr>
    <w:rPr>
      <w:rFonts w:eastAsiaTheme="minorHAnsi" w:cstheme="minorBidi"/>
      <w:szCs w:val="22"/>
    </w:rPr>
  </w:style>
  <w:style w:type="table" w:styleId="TableGrid">
    <w:name w:val="Table Grid"/>
    <w:basedOn w:val="TableNormal"/>
    <w:uiPriority w:val="59"/>
    <w:rsid w:val="00AF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7C4E"/>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Shading">
    <w:name w:val="Light Shading"/>
    <w:basedOn w:val="TableNormal"/>
    <w:uiPriority w:val="60"/>
    <w:rsid w:val="001136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paragraph" w:customStyle="1" w:styleId="DecimalAligned">
    <w:name w:val="Decimal Aligned"/>
    <w:basedOn w:val="Normal"/>
    <w:uiPriority w:val="40"/>
    <w:semiHidden/>
    <w:rsid w:val="00363B60"/>
    <w:pPr>
      <w:tabs>
        <w:tab w:val="decimal" w:pos="360"/>
      </w:tabs>
      <w:spacing w:after="200" w:line="276" w:lineRule="auto"/>
    </w:pPr>
    <w:rPr>
      <w:lang w:val="en-US" w:eastAsia="ja-JP"/>
    </w:rPr>
  </w:style>
  <w:style w:type="paragraph" w:styleId="FootnoteText">
    <w:name w:val="footnote text"/>
    <w:basedOn w:val="Normal"/>
    <w:link w:val="FootnoteTextChar"/>
    <w:uiPriority w:val="99"/>
    <w:semiHidden/>
    <w:rsid w:val="00363B60"/>
    <w:pPr>
      <w:keepLines/>
    </w:pPr>
    <w:rPr>
      <w:rFonts w:eastAsiaTheme="minorEastAsia" w:cstheme="minorBidi"/>
      <w:szCs w:val="22"/>
      <w:lang w:val="en-US" w:eastAsia="ja-JP"/>
    </w:rPr>
  </w:style>
  <w:style w:type="character" w:customStyle="1" w:styleId="FootnoteTextChar">
    <w:name w:val="Footnote Text Char"/>
    <w:basedOn w:val="DefaultParagraphFont"/>
    <w:link w:val="FootnoteText"/>
    <w:uiPriority w:val="99"/>
    <w:semiHidden/>
    <w:rsid w:val="00893855"/>
    <w:rPr>
      <w:rFonts w:eastAsiaTheme="minorEastAsia"/>
      <w:sz w:val="20"/>
      <w:szCs w:val="20"/>
      <w:lang w:val="en-US" w:eastAsia="ja-JP"/>
    </w:rPr>
  </w:style>
  <w:style w:type="character" w:styleId="SubtleEmphasis">
    <w:name w:val="Subtle Emphasis"/>
    <w:basedOn w:val="DefaultParagraphFont"/>
    <w:uiPriority w:val="98"/>
    <w:semiHidden/>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E" w:themeFill="accent5"/>
      </w:tcPr>
    </w:tblStylePr>
    <w:tblStylePr w:type="lastCol">
      <w:rPr>
        <w:b/>
        <w:bCs/>
        <w:color w:val="FFFFFF" w:themeColor="background1"/>
      </w:rPr>
      <w:tblPr/>
      <w:tcPr>
        <w:tcBorders>
          <w:left w:val="nil"/>
          <w:right w:val="nil"/>
          <w:insideH w:val="nil"/>
          <w:insideV w:val="nil"/>
        </w:tcBorders>
        <w:shd w:val="clear" w:color="auto" w:fill="009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link w:val="HeaderChar"/>
    <w:uiPriority w:val="85"/>
    <w:rsid w:val="00CA41CF"/>
    <w:pPr>
      <w:spacing w:after="180"/>
    </w:pPr>
    <w:rPr>
      <w:rFonts w:asciiTheme="majorHAnsi" w:hAnsiTheme="majorHAnsi"/>
      <w:b/>
      <w:caps/>
      <w:color w:val="53565A"/>
    </w:rPr>
  </w:style>
  <w:style w:type="character" w:customStyle="1" w:styleId="HeaderChar">
    <w:name w:val="Header Char"/>
    <w:basedOn w:val="DefaultParagraphFont"/>
    <w:link w:val="Header"/>
    <w:uiPriority w:val="85"/>
    <w:rsid w:val="00CA41CF"/>
    <w:rPr>
      <w:rFonts w:asciiTheme="majorHAnsi" w:hAnsiTheme="majorHAnsi"/>
      <w:b/>
      <w:caps/>
      <w:color w:val="53565A"/>
    </w:rPr>
  </w:style>
  <w:style w:type="numbering" w:styleId="111111">
    <w:name w:val="Outline List 2"/>
    <w:basedOn w:val="NoList"/>
    <w:uiPriority w:val="99"/>
    <w:semiHidden/>
    <w:unhideWhenUsed/>
    <w:rsid w:val="00C00568"/>
    <w:pPr>
      <w:numPr>
        <w:numId w:val="11"/>
      </w:numPr>
    </w:pPr>
  </w:style>
  <w:style w:type="character" w:customStyle="1" w:styleId="FooteroddChar">
    <w:name w:val="Footer (odd) Char"/>
    <w:basedOn w:val="DefaultParagraphFont"/>
    <w:link w:val="Footerodd"/>
    <w:uiPriority w:val="84"/>
    <w:rsid w:val="00A13F11"/>
    <w:rPr>
      <w:rFonts w:asciiTheme="majorHAnsi" w:hAnsiTheme="majorHAnsi"/>
      <w:sz w:val="18"/>
    </w:rPr>
  </w:style>
  <w:style w:type="paragraph" w:customStyle="1" w:styleId="Footerodd">
    <w:name w:val="Footer (odd)"/>
    <w:basedOn w:val="Footer"/>
    <w:link w:val="FooteroddChar"/>
    <w:uiPriority w:val="84"/>
    <w:rsid w:val="00A13F11"/>
    <w:pPr>
      <w:pBdr>
        <w:top w:val="single" w:sz="6" w:space="1" w:color="auto"/>
      </w:pBdr>
      <w:tabs>
        <w:tab w:val="clear" w:pos="4513"/>
        <w:tab w:val="clear" w:pos="9026"/>
        <w:tab w:val="center" w:pos="6464"/>
        <w:tab w:val="right" w:pos="9639"/>
        <w:tab w:val="right" w:pos="14742"/>
      </w:tabs>
    </w:pPr>
    <w:rPr>
      <w:rFonts w:asciiTheme="majorHAnsi" w:hAnsiTheme="majorHAnsi"/>
      <w:sz w:val="18"/>
    </w:rPr>
  </w:style>
  <w:style w:type="paragraph" w:customStyle="1" w:styleId="NoteDash">
    <w:name w:val="Note Dash"/>
    <w:basedOn w:val="Note"/>
    <w:next w:val="Note"/>
    <w:uiPriority w:val="53"/>
    <w:rsid w:val="00E46DD4"/>
    <w:pPr>
      <w:numPr>
        <w:numId w:val="3"/>
      </w:numPr>
      <w:ind w:left="568" w:hanging="284"/>
    </w:pPr>
  </w:style>
  <w:style w:type="character" w:customStyle="1" w:styleId="NoteChar">
    <w:name w:val="Note Char"/>
    <w:basedOn w:val="DefaultParagraphFont"/>
    <w:link w:val="Note"/>
    <w:uiPriority w:val="52"/>
    <w:rsid w:val="006F23B1"/>
    <w:rPr>
      <w:rFonts w:asciiTheme="majorHAnsi" w:hAnsiTheme="majorHAnsi"/>
      <w:i/>
      <w:spacing w:val="-2"/>
      <w:sz w:val="14"/>
    </w:rPr>
  </w:style>
  <w:style w:type="paragraph" w:styleId="TOC1">
    <w:name w:val="toc 1"/>
    <w:basedOn w:val="Normal"/>
    <w:next w:val="Normal"/>
    <w:uiPriority w:val="39"/>
    <w:rsid w:val="008D37BD"/>
    <w:pPr>
      <w:keepLines/>
      <w:tabs>
        <w:tab w:val="right" w:leader="dot" w:pos="9639"/>
      </w:tabs>
    </w:pPr>
    <w:rPr>
      <w:rFonts w:asciiTheme="majorHAnsi" w:eastAsiaTheme="minorHAnsi" w:hAnsiTheme="majorHAnsi" w:cstheme="minorBidi"/>
      <w:b/>
      <w:spacing w:val="-2"/>
      <w:szCs w:val="19"/>
    </w:rPr>
  </w:style>
  <w:style w:type="paragraph" w:styleId="ListNumber2">
    <w:name w:val="List Number 2"/>
    <w:basedOn w:val="ListNumber"/>
    <w:uiPriority w:val="19"/>
    <w:rsid w:val="00D451B9"/>
    <w:pPr>
      <w:numPr>
        <w:ilvl w:val="1"/>
      </w:numPr>
    </w:pPr>
  </w:style>
  <w:style w:type="numbering" w:customStyle="1" w:styleId="Bullet">
    <w:name w:val="Bullet"/>
    <w:uiPriority w:val="99"/>
    <w:rsid w:val="00CE5CF8"/>
    <w:pPr>
      <w:numPr>
        <w:numId w:val="2"/>
      </w:numPr>
    </w:pPr>
  </w:style>
  <w:style w:type="paragraph" w:styleId="ListParagraph">
    <w:name w:val="List Paragraph"/>
    <w:basedOn w:val="Normal"/>
    <w:uiPriority w:val="34"/>
    <w:qFormat/>
    <w:rsid w:val="006C505F"/>
    <w:pPr>
      <w:keepLines/>
      <w:ind w:left="720"/>
      <w:contextualSpacing/>
    </w:pPr>
    <w:rPr>
      <w:rFonts w:eastAsiaTheme="minorHAnsi" w:cstheme="minorBidi"/>
      <w:szCs w:val="22"/>
    </w:r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semiHidden/>
    <w:rsid w:val="00DE3014"/>
    <w:rPr>
      <w:rFonts w:asciiTheme="majorHAnsi" w:eastAsiaTheme="majorEastAsia" w:hAnsiTheme="majorHAnsi" w:cstheme="majorBidi"/>
      <w:i/>
      <w:iCs/>
      <w:spacing w:val="-2"/>
      <w:szCs w:val="26"/>
    </w:rPr>
  </w:style>
  <w:style w:type="paragraph" w:styleId="ListBullet">
    <w:name w:val="List Bullet"/>
    <w:basedOn w:val="Normal"/>
    <w:uiPriority w:val="19"/>
    <w:qFormat/>
    <w:rsid w:val="00CE5CF8"/>
    <w:pPr>
      <w:keepLines/>
      <w:numPr>
        <w:numId w:val="7"/>
      </w:numPr>
      <w:spacing w:before="60"/>
    </w:pPr>
    <w:rPr>
      <w:rFonts w:eastAsiaTheme="minorHAnsi" w:cstheme="minorBidi"/>
      <w:szCs w:val="22"/>
    </w:rPr>
  </w:style>
  <w:style w:type="paragraph" w:styleId="List">
    <w:name w:val="List"/>
    <w:basedOn w:val="Normal"/>
    <w:uiPriority w:val="29"/>
    <w:unhideWhenUsed/>
    <w:rsid w:val="008A5A91"/>
    <w:pPr>
      <w:tabs>
        <w:tab w:val="left" w:pos="284"/>
        <w:tab w:val="left" w:pos="567"/>
        <w:tab w:val="left" w:pos="851"/>
      </w:tabs>
    </w:pPr>
    <w:rPr>
      <w:rFonts w:eastAsiaTheme="minorHAnsi" w:cstheme="minorBidi"/>
      <w:szCs w:val="22"/>
    </w:rPr>
  </w:style>
  <w:style w:type="paragraph" w:styleId="ListContinue">
    <w:name w:val="List Continue"/>
    <w:basedOn w:val="Normal"/>
    <w:uiPriority w:val="24"/>
    <w:qFormat/>
    <w:rsid w:val="006C00EB"/>
    <w:pPr>
      <w:keepLines/>
      <w:spacing w:before="60"/>
      <w:ind w:left="284"/>
    </w:pPr>
    <w:rPr>
      <w:rFonts w:eastAsiaTheme="minorHAnsi" w:cstheme="minorBidi"/>
      <w:szCs w:val="22"/>
    </w:rPr>
  </w:style>
  <w:style w:type="paragraph" w:styleId="ListContinue2">
    <w:name w:val="List Continue 2"/>
    <w:basedOn w:val="Normal"/>
    <w:uiPriority w:val="24"/>
    <w:rsid w:val="006C00EB"/>
    <w:pPr>
      <w:keepLines/>
      <w:spacing w:before="60"/>
      <w:ind w:left="567"/>
    </w:pPr>
    <w:rPr>
      <w:rFonts w:eastAsiaTheme="minorHAnsi" w:cstheme="minorBidi"/>
      <w:szCs w:val="22"/>
    </w:rPr>
  </w:style>
  <w:style w:type="paragraph" w:styleId="ListNumber">
    <w:name w:val="List Number"/>
    <w:basedOn w:val="Normal"/>
    <w:uiPriority w:val="19"/>
    <w:qFormat/>
    <w:rsid w:val="00CE5CF8"/>
    <w:pPr>
      <w:keepLines/>
      <w:numPr>
        <w:numId w:val="8"/>
      </w:numPr>
      <w:spacing w:before="60"/>
    </w:pPr>
    <w:rPr>
      <w:rFonts w:eastAsiaTheme="minorHAnsi" w:cstheme="minorBidi"/>
      <w:szCs w:val="22"/>
    </w:rPr>
  </w:style>
  <w:style w:type="paragraph" w:styleId="Footer">
    <w:name w:val="footer"/>
    <w:basedOn w:val="Normal"/>
    <w:link w:val="FooterChar"/>
    <w:uiPriority w:val="84"/>
    <w:rsid w:val="004419CD"/>
    <w:pPr>
      <w:keepLines/>
      <w:tabs>
        <w:tab w:val="center" w:pos="4513"/>
        <w:tab w:val="right" w:pos="9026"/>
      </w:tabs>
    </w:pPr>
    <w:rPr>
      <w:rFonts w:eastAsiaTheme="minorHAnsi" w:cstheme="minorBidi"/>
      <w:szCs w:val="22"/>
    </w:rPr>
  </w:style>
  <w:style w:type="paragraph" w:styleId="TOC2">
    <w:name w:val="toc 2"/>
    <w:basedOn w:val="TOC1"/>
    <w:next w:val="Normal"/>
    <w:uiPriority w:val="39"/>
    <w:rsid w:val="008D37BD"/>
    <w:pPr>
      <w:spacing w:before="60" w:after="60" w:line="264" w:lineRule="auto"/>
      <w:ind w:left="284" w:right="567"/>
    </w:pPr>
    <w:rPr>
      <w:b w:val="0"/>
      <w:noProof/>
    </w:rPr>
  </w:style>
  <w:style w:type="character" w:styleId="PageNumber">
    <w:name w:val="page number"/>
    <w:semiHidden/>
    <w:rsid w:val="000A03F9"/>
    <w:rPr>
      <w:rFonts w:asciiTheme="minorHAnsi" w:hAnsiTheme="minorHAnsi"/>
      <w:sz w:val="18"/>
    </w:rPr>
  </w:style>
  <w:style w:type="paragraph" w:styleId="TOC3">
    <w:name w:val="toc 3"/>
    <w:basedOn w:val="Normal"/>
    <w:next w:val="Normal"/>
    <w:uiPriority w:val="91"/>
    <w:rsid w:val="00402880"/>
    <w:pPr>
      <w:keepLines/>
      <w:spacing w:after="100"/>
      <w:ind w:left="420"/>
    </w:pPr>
    <w:rPr>
      <w:rFonts w:eastAsiaTheme="minorHAnsi" w:cstheme="minorBidi"/>
      <w:szCs w:val="22"/>
    </w:rPr>
  </w:style>
  <w:style w:type="paragraph" w:styleId="TOC4">
    <w:name w:val="toc 4"/>
    <w:next w:val="Normal"/>
    <w:uiPriority w:val="96"/>
    <w:semiHidden/>
    <w:rsid w:val="000E2126"/>
    <w:pPr>
      <w:tabs>
        <w:tab w:val="left" w:pos="1021"/>
        <w:tab w:val="right" w:leader="dot" w:pos="9072"/>
      </w:tabs>
      <w:spacing w:after="100"/>
    </w:pPr>
    <w:rPr>
      <w:rFonts w:asciiTheme="majorHAnsi" w:hAnsiTheme="majorHAnsi"/>
      <w:spacing w:val="2"/>
    </w:rPr>
  </w:style>
  <w:style w:type="character" w:styleId="Hyperlink">
    <w:name w:val="Hyperlink"/>
    <w:uiPriority w:val="99"/>
    <w:rsid w:val="00924B15"/>
    <w:rPr>
      <w:color w:val="0000FF"/>
      <w:u w:val="single"/>
    </w:rPr>
  </w:style>
  <w:style w:type="paragraph" w:styleId="BalloonText">
    <w:name w:val="Balloon Text"/>
    <w:basedOn w:val="Normal"/>
    <w:link w:val="BalloonTextChar"/>
    <w:uiPriority w:val="99"/>
    <w:semiHidden/>
    <w:unhideWhenUsed/>
    <w:rsid w:val="00924B15"/>
    <w:pPr>
      <w:keepLines/>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hAnsi="Tahoma" w:cs="Tahoma"/>
      <w:spacing w:val="2"/>
      <w:sz w:val="16"/>
      <w:szCs w:val="16"/>
    </w:rPr>
  </w:style>
  <w:style w:type="paragraph" w:customStyle="1" w:styleId="HighlightBoxHeading">
    <w:name w:val="Highlight Box Heading"/>
    <w:basedOn w:val="HighlightBoxText"/>
    <w:next w:val="HighlightBoxText"/>
    <w:uiPriority w:val="59"/>
    <w:qFormat/>
    <w:rsid w:val="00AB5FA5"/>
    <w:pPr>
      <w:keepNext/>
    </w:pPr>
    <w:rPr>
      <w:rFonts w:asciiTheme="majorHAnsi" w:hAnsiTheme="majorHAnsi"/>
      <w:i/>
    </w:rPr>
  </w:style>
  <w:style w:type="paragraph" w:customStyle="1" w:styleId="HighlightBoxBullet">
    <w:name w:val="Highlight Box Bullet"/>
    <w:basedOn w:val="ListBullet"/>
    <w:uiPriority w:val="61"/>
    <w:qFormat/>
    <w:rsid w:val="00AB5FA5"/>
    <w:pPr>
      <w:pBdr>
        <w:top w:val="single" w:sz="6" w:space="1" w:color="auto"/>
        <w:left w:val="single" w:sz="6" w:space="4" w:color="auto"/>
        <w:bottom w:val="single" w:sz="6" w:space="1" w:color="auto"/>
        <w:right w:val="single" w:sz="6" w:space="4" w:color="auto"/>
      </w:pBdr>
      <w:shd w:val="clear" w:color="auto" w:fill="F2F2F2" w:themeFill="background1" w:themeFillShade="F2"/>
    </w:pPr>
  </w:style>
  <w:style w:type="character" w:customStyle="1" w:styleId="Heading6Char">
    <w:name w:val="Heading 6 Char"/>
    <w:basedOn w:val="DefaultParagraphFont"/>
    <w:link w:val="Heading6"/>
    <w:uiPriority w:val="9"/>
    <w:semiHidden/>
    <w:rsid w:val="00E36DAC"/>
    <w:rPr>
      <w:rFonts w:asciiTheme="majorHAnsi" w:eastAsiaTheme="majorEastAsia" w:hAnsiTheme="majorHAnsi" w:cstheme="majorBidi"/>
      <w:i/>
      <w:iCs/>
      <w:color w:val="003152"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uiPriority w:val="49"/>
    <w:qFormat/>
    <w:rsid w:val="00671538"/>
    <w:pPr>
      <w:keepNext/>
      <w:keepLines/>
      <w:tabs>
        <w:tab w:val="left" w:pos="1134"/>
        <w:tab w:val="right" w:pos="9639"/>
        <w:tab w:val="right" w:pos="14572"/>
      </w:tabs>
      <w:spacing w:before="240" w:after="60"/>
      <w:ind w:left="1134" w:hanging="1134"/>
    </w:pPr>
    <w:rPr>
      <w:rFonts w:asciiTheme="majorHAnsi" w:eastAsiaTheme="minorHAnsi" w:hAnsiTheme="majorHAnsi" w:cstheme="minorBidi"/>
      <w:b/>
      <w:sz w:val="20"/>
    </w:rPr>
  </w:style>
  <w:style w:type="table" w:styleId="LightShading-Accent2">
    <w:name w:val="Light Shading Accent 2"/>
    <w:basedOn w:val="TableNormal"/>
    <w:uiPriority w:val="60"/>
    <w:rsid w:val="00A9345E"/>
    <w:rPr>
      <w:color w:val="00365B" w:themeColor="accent2" w:themeShade="BF"/>
    </w:rPr>
    <w:tblPr>
      <w:tblStyleRowBandSize w:val="1"/>
      <w:tblStyleColBandSize w:val="1"/>
      <w:tblBorders>
        <w:top w:val="single" w:sz="8" w:space="0" w:color="00497A" w:themeColor="accent2"/>
        <w:bottom w:val="single" w:sz="8" w:space="0" w:color="00497A" w:themeColor="accent2"/>
      </w:tblBorders>
    </w:tblPr>
    <w:tblStylePr w:type="fir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la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left w:val="nil"/>
          <w:right w:val="nil"/>
          <w:insideH w:val="nil"/>
          <w:insideV w:val="nil"/>
        </w:tcBorders>
        <w:shd w:val="clear" w:color="auto" w:fill="9FD8FF" w:themeFill="accent2" w:themeFillTint="3F"/>
      </w:tcPr>
    </w:tblStylePr>
  </w:style>
  <w:style w:type="paragraph" w:styleId="ListBullet3">
    <w:name w:val="List Bullet 3"/>
    <w:basedOn w:val="ListBullet2"/>
    <w:uiPriority w:val="19"/>
    <w:unhideWhenUsed/>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
    <w:uiPriority w:val="14"/>
    <w:rsid w:val="003E68E6"/>
    <w:rPr>
      <w:rFonts w:asciiTheme="majorHAnsi" w:eastAsiaTheme="majorEastAsia" w:hAnsiTheme="majorHAnsi" w:cstheme="majorBidi"/>
      <w:b/>
      <w:bCs/>
      <w:caps/>
      <w:spacing w:val="-2"/>
      <w:sz w:val="26"/>
      <w:szCs w:val="28"/>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autoRedefine/>
    <w:uiPriority w:val="39"/>
    <w:rsid w:val="00A13F11"/>
    <w:pPr>
      <w:keepLines/>
      <w:tabs>
        <w:tab w:val="left" w:pos="567"/>
        <w:tab w:val="right" w:leader="dot" w:pos="4536"/>
      </w:tabs>
      <w:spacing w:after="100"/>
      <w:ind w:left="567" w:right="340" w:hanging="567"/>
    </w:pPr>
    <w:rPr>
      <w:rFonts w:eastAsiaTheme="minorHAnsi" w:cstheme="minorBidi"/>
      <w:spacing w:val="-2"/>
      <w:szCs w:val="22"/>
    </w:rPr>
  </w:style>
  <w:style w:type="paragraph" w:customStyle="1" w:styleId="Footereven">
    <w:name w:val="Footer (even)"/>
    <w:basedOn w:val="Footer"/>
    <w:link w:val="FooterevenChar"/>
    <w:uiPriority w:val="85"/>
    <w:qFormat/>
    <w:rsid w:val="00A13F11"/>
    <w:pPr>
      <w:pBdr>
        <w:top w:val="single" w:sz="6" w:space="1" w:color="auto"/>
      </w:pBdr>
      <w:tabs>
        <w:tab w:val="clear" w:pos="4513"/>
        <w:tab w:val="clear" w:pos="9026"/>
        <w:tab w:val="center" w:pos="3175"/>
        <w:tab w:val="right" w:pos="9639"/>
        <w:tab w:val="right" w:pos="14742"/>
      </w:tabs>
    </w:pPr>
    <w:rPr>
      <w:rFonts w:asciiTheme="majorHAnsi" w:hAnsiTheme="majorHAnsi"/>
      <w:sz w:val="18"/>
    </w:rPr>
  </w:style>
  <w:style w:type="table" w:customStyle="1" w:styleId="DTFTable">
    <w:name w:val="DTF Table"/>
    <w:basedOn w:val="TableNormal"/>
    <w:uiPriority w:val="99"/>
    <w:rsid w:val="00A637FA"/>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styleId="ListNumber3">
    <w:name w:val="List Number 3"/>
    <w:basedOn w:val="Normal"/>
    <w:uiPriority w:val="19"/>
    <w:unhideWhenUsed/>
    <w:rsid w:val="002C3386"/>
    <w:pPr>
      <w:keepLines/>
      <w:numPr>
        <w:ilvl w:val="2"/>
        <w:numId w:val="8"/>
      </w:numPr>
      <w:spacing w:before="60"/>
      <w:ind w:left="851"/>
    </w:pPr>
    <w:rPr>
      <w:rFonts w:eastAsiaTheme="minorHAnsi" w:cstheme="minorBidi"/>
      <w:szCs w:val="22"/>
    </w:rPr>
  </w:style>
  <w:style w:type="paragraph" w:styleId="ListNumber4">
    <w:name w:val="List Number 4"/>
    <w:basedOn w:val="Normal"/>
    <w:uiPriority w:val="19"/>
    <w:semiHidden/>
    <w:unhideWhenUsed/>
    <w:rsid w:val="00CE5CF8"/>
    <w:pPr>
      <w:keepLines/>
      <w:numPr>
        <w:ilvl w:val="3"/>
        <w:numId w:val="8"/>
      </w:numPr>
      <w:contextualSpacing/>
    </w:pPr>
    <w:rPr>
      <w:rFonts w:eastAsiaTheme="minorHAnsi" w:cstheme="minorBidi"/>
      <w:szCs w:val="22"/>
    </w:rPr>
  </w:style>
  <w:style w:type="paragraph" w:styleId="ListNumber5">
    <w:name w:val="List Number 5"/>
    <w:basedOn w:val="Normal"/>
    <w:uiPriority w:val="19"/>
    <w:semiHidden/>
    <w:unhideWhenUsed/>
    <w:rsid w:val="00CE5CF8"/>
    <w:pPr>
      <w:keepLines/>
      <w:numPr>
        <w:ilvl w:val="4"/>
        <w:numId w:val="8"/>
      </w:numPr>
      <w:contextualSpacing/>
    </w:pPr>
    <w:rPr>
      <w:rFonts w:eastAsiaTheme="minorHAnsi" w:cstheme="minorBidi"/>
      <w:szCs w:val="22"/>
    </w:rPr>
  </w:style>
  <w:style w:type="paragraph" w:styleId="ListContinue3">
    <w:name w:val="List Continue 3"/>
    <w:basedOn w:val="ListContinue2"/>
    <w:uiPriority w:val="24"/>
    <w:semiHidden/>
    <w:unhideWhenUsed/>
    <w:rsid w:val="000915C9"/>
    <w:pPr>
      <w:ind w:left="1191"/>
    </w:pPr>
  </w:style>
  <w:style w:type="paragraph" w:customStyle="1" w:styleId="Heading1">
    <w:name w:val="Heading 1 (#)"/>
    <w:basedOn w:val="Heading10"/>
    <w:link w:val="Heading1Char0"/>
    <w:uiPriority w:val="14"/>
    <w:qFormat/>
    <w:rsid w:val="003E68E6"/>
    <w:pPr>
      <w:numPr>
        <w:numId w:val="14"/>
      </w:numPr>
    </w:pPr>
  </w:style>
  <w:style w:type="paragraph" w:customStyle="1" w:styleId="Heading2">
    <w:name w:val="Heading 2 (#)"/>
    <w:basedOn w:val="Heading20"/>
    <w:link w:val="Heading2Char0"/>
    <w:uiPriority w:val="14"/>
    <w:qFormat/>
    <w:rsid w:val="00771A05"/>
    <w:pPr>
      <w:numPr>
        <w:numId w:val="14"/>
      </w:numPr>
    </w:pPr>
  </w:style>
  <w:style w:type="numbering" w:customStyle="1" w:styleId="NumberedHeadings">
    <w:name w:val="Numbered Headings"/>
    <w:uiPriority w:val="99"/>
    <w:rsid w:val="004B1258"/>
    <w:pPr>
      <w:numPr>
        <w:numId w:val="6"/>
      </w:numPr>
    </w:pPr>
  </w:style>
  <w:style w:type="paragraph" w:customStyle="1" w:styleId="Heading3">
    <w:name w:val="Heading 3 (#)"/>
    <w:basedOn w:val="Heading30"/>
    <w:next w:val="Normal"/>
    <w:link w:val="Heading3Char0"/>
    <w:uiPriority w:val="14"/>
    <w:rsid w:val="0037430B"/>
    <w:pPr>
      <w:numPr>
        <w:numId w:val="14"/>
      </w:numPr>
      <w:spacing w:after="120"/>
    </w:pPr>
  </w:style>
  <w:style w:type="character" w:customStyle="1" w:styleId="Heading3Char0">
    <w:name w:val="Heading 3 (#) Char"/>
    <w:basedOn w:val="Heading3Char"/>
    <w:link w:val="Heading3"/>
    <w:uiPriority w:val="14"/>
    <w:rsid w:val="0037430B"/>
    <w:rPr>
      <w:rFonts w:asciiTheme="majorHAnsi" w:eastAsiaTheme="majorEastAsia" w:hAnsiTheme="majorHAnsi" w:cstheme="majorBidi"/>
      <w:b/>
      <w:bCs/>
      <w:spacing w:val="-2"/>
      <w:szCs w:val="26"/>
    </w:rPr>
  </w:style>
  <w:style w:type="paragraph" w:styleId="ListBullet4">
    <w:name w:val="List Bullet 4"/>
    <w:basedOn w:val="Normal"/>
    <w:uiPriority w:val="19"/>
    <w:semiHidden/>
    <w:unhideWhenUsed/>
    <w:rsid w:val="002F7BBC"/>
    <w:pPr>
      <w:keepLines/>
      <w:numPr>
        <w:numId w:val="9"/>
      </w:numPr>
      <w:contextualSpacing/>
    </w:pPr>
    <w:rPr>
      <w:rFonts w:eastAsiaTheme="minorHAnsi" w:cstheme="minorBidi"/>
      <w:szCs w:val="22"/>
    </w:rPr>
  </w:style>
  <w:style w:type="paragraph" w:styleId="ListBullet5">
    <w:name w:val="List Bullet 5"/>
    <w:basedOn w:val="Normal"/>
    <w:uiPriority w:val="19"/>
    <w:semiHidden/>
    <w:unhideWhenUsed/>
    <w:rsid w:val="002F7BBC"/>
    <w:pPr>
      <w:keepLines/>
      <w:numPr>
        <w:numId w:val="10"/>
      </w:numPr>
      <w:contextualSpacing/>
    </w:pPr>
    <w:rPr>
      <w:rFonts w:eastAsiaTheme="minorHAnsi" w:cstheme="minorBidi"/>
      <w:szCs w:val="22"/>
    </w:rPr>
  </w:style>
  <w:style w:type="paragraph" w:styleId="ListContinue4">
    <w:name w:val="List Continue 4"/>
    <w:basedOn w:val="Normal"/>
    <w:uiPriority w:val="24"/>
    <w:semiHidden/>
    <w:unhideWhenUsed/>
    <w:rsid w:val="002F7BBC"/>
    <w:pPr>
      <w:keepLines/>
      <w:ind w:left="1132"/>
      <w:contextualSpacing/>
    </w:pPr>
    <w:rPr>
      <w:rFonts w:eastAsiaTheme="minorHAnsi" w:cstheme="minorBidi"/>
      <w:szCs w:val="22"/>
    </w:rPr>
  </w:style>
  <w:style w:type="paragraph" w:styleId="ListContinue5">
    <w:name w:val="List Continue 5"/>
    <w:basedOn w:val="Normal"/>
    <w:uiPriority w:val="24"/>
    <w:semiHidden/>
    <w:unhideWhenUsed/>
    <w:rsid w:val="002F7BBC"/>
    <w:pPr>
      <w:keepLines/>
      <w:ind w:left="1415"/>
      <w:contextualSpacing/>
    </w:pPr>
    <w:rPr>
      <w:rFonts w:eastAsiaTheme="minorHAnsi" w:cstheme="minorBidi"/>
      <w:szCs w:val="22"/>
    </w:rPr>
  </w:style>
  <w:style w:type="character" w:customStyle="1" w:styleId="FooterChar">
    <w:name w:val="Footer Char"/>
    <w:basedOn w:val="DefaultParagraphFont"/>
    <w:link w:val="Footer"/>
    <w:uiPriority w:val="84"/>
    <w:rsid w:val="00644B4A"/>
  </w:style>
  <w:style w:type="paragraph" w:styleId="TOC7">
    <w:name w:val="toc 7"/>
    <w:basedOn w:val="Normal"/>
    <w:next w:val="Normal"/>
    <w:autoRedefine/>
    <w:uiPriority w:val="96"/>
    <w:semiHidden/>
    <w:rsid w:val="001213D6"/>
    <w:pPr>
      <w:keepLines/>
      <w:spacing w:after="100"/>
      <w:ind w:left="1320"/>
    </w:pPr>
    <w:rPr>
      <w:rFonts w:eastAsiaTheme="minorHAnsi" w:cstheme="minorBidi"/>
      <w:szCs w:val="22"/>
    </w:r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pPr>
      <w:keepLines/>
    </w:pPr>
    <w:rPr>
      <w:rFonts w:eastAsiaTheme="minorHAnsi" w:cstheme="minorBidi"/>
      <w:szCs w:val="22"/>
    </w:rPr>
  </w:style>
  <w:style w:type="paragraph" w:styleId="BlockText">
    <w:name w:val="Block Text"/>
    <w:basedOn w:val="Normal"/>
    <w:uiPriority w:val="99"/>
    <w:semiHidden/>
    <w:unhideWhenUsed/>
    <w:rsid w:val="00C00568"/>
    <w:pPr>
      <w:keepLines/>
      <w:pBdr>
        <w:top w:val="single" w:sz="2" w:space="10" w:color="0063A6" w:themeColor="accent1" w:shadow="1"/>
        <w:left w:val="single" w:sz="2" w:space="10" w:color="0063A6" w:themeColor="accent1" w:shadow="1"/>
        <w:bottom w:val="single" w:sz="2" w:space="10" w:color="0063A6" w:themeColor="accent1" w:shadow="1"/>
        <w:right w:val="single" w:sz="2" w:space="10" w:color="0063A6" w:themeColor="accent1" w:shadow="1"/>
      </w:pBdr>
      <w:ind w:left="1152" w:right="1152"/>
    </w:pPr>
    <w:rPr>
      <w:rFonts w:eastAsiaTheme="minorEastAsia" w:cstheme="minorBidi"/>
      <w:i/>
      <w:iCs/>
      <w:color w:val="0063A6" w:themeColor="accent1"/>
      <w:szCs w:val="22"/>
    </w:rPr>
  </w:style>
  <w:style w:type="paragraph" w:styleId="BodyText">
    <w:name w:val="Body Text"/>
    <w:basedOn w:val="Normal"/>
    <w:link w:val="BodyTextChar"/>
    <w:uiPriority w:val="4"/>
    <w:semiHidden/>
    <w:unhideWhenUsed/>
    <w:rsid w:val="00C00568"/>
    <w:pPr>
      <w:keepLines/>
    </w:pPr>
    <w:rPr>
      <w:rFonts w:eastAsiaTheme="minorHAnsi" w:cstheme="minorBidi"/>
      <w:szCs w:val="22"/>
    </w:rPr>
  </w:style>
  <w:style w:type="character" w:customStyle="1" w:styleId="BodyTextChar">
    <w:name w:val="Body Text Char"/>
    <w:basedOn w:val="DefaultParagraphFont"/>
    <w:link w:val="BodyText"/>
    <w:uiPriority w:val="4"/>
    <w:semiHidden/>
    <w:rsid w:val="00C00568"/>
  </w:style>
  <w:style w:type="paragraph" w:styleId="BodyText2">
    <w:name w:val="Body Text 2"/>
    <w:basedOn w:val="Normal"/>
    <w:link w:val="BodyText2Char"/>
    <w:uiPriority w:val="99"/>
    <w:semiHidden/>
    <w:unhideWhenUsed/>
    <w:rsid w:val="00C00568"/>
    <w:pPr>
      <w:keepLines/>
      <w:spacing w:line="480" w:lineRule="auto"/>
    </w:pPr>
    <w:rPr>
      <w:rFonts w:eastAsiaTheme="minorHAnsi" w:cstheme="minorBidi"/>
      <w:szCs w:val="22"/>
    </w:rPr>
  </w:style>
  <w:style w:type="character" w:customStyle="1" w:styleId="BodyText2Char">
    <w:name w:val="Body Text 2 Char"/>
    <w:basedOn w:val="DefaultParagraphFont"/>
    <w:link w:val="BodyText2"/>
    <w:uiPriority w:val="99"/>
    <w:semiHidden/>
    <w:rsid w:val="00C00568"/>
  </w:style>
  <w:style w:type="paragraph" w:styleId="BodyText3">
    <w:name w:val="Body Text 3"/>
    <w:basedOn w:val="Normal"/>
    <w:link w:val="BodyText3Char"/>
    <w:uiPriority w:val="99"/>
    <w:semiHidden/>
    <w:unhideWhenUsed/>
    <w:rsid w:val="00C00568"/>
    <w:pPr>
      <w:keepLines/>
    </w:pPr>
    <w:rPr>
      <w:rFonts w:eastAsiaTheme="minorHAnsi" w:cstheme="minorBidi"/>
      <w:sz w:val="16"/>
      <w:szCs w:val="16"/>
    </w:rPr>
  </w:style>
  <w:style w:type="character" w:customStyle="1" w:styleId="BodyText3Char">
    <w:name w:val="Body Text 3 Char"/>
    <w:basedOn w:val="DefaultParagraphFont"/>
    <w:link w:val="BodyText3"/>
    <w:uiPriority w:val="99"/>
    <w:semiHidden/>
    <w:rsid w:val="00C00568"/>
    <w:rPr>
      <w:sz w:val="16"/>
      <w:szCs w:val="16"/>
    </w:rPr>
  </w:style>
  <w:style w:type="paragraph" w:styleId="BodyTextFirstIndent">
    <w:name w:val="Body Text First Indent"/>
    <w:basedOn w:val="BodyText"/>
    <w:link w:val="BodyTextFirstIndentChar"/>
    <w:uiPriority w:val="99"/>
    <w:semiHidden/>
    <w:unhideWhenUsed/>
    <w:rsid w:val="00C00568"/>
    <w:pPr>
      <w:ind w:firstLine="360"/>
    </w:pPr>
  </w:style>
  <w:style w:type="character" w:customStyle="1" w:styleId="BodyTextFirstIndentChar">
    <w:name w:val="Body Text First Indent Char"/>
    <w:basedOn w:val="BodyTextChar"/>
    <w:link w:val="BodyTextFirstIndent"/>
    <w:uiPriority w:val="99"/>
    <w:semiHidden/>
    <w:rsid w:val="00C00568"/>
  </w:style>
  <w:style w:type="paragraph" w:styleId="BodyTextIndent">
    <w:name w:val="Body Text Indent"/>
    <w:basedOn w:val="Normal"/>
    <w:link w:val="BodyTextIndentChar"/>
    <w:uiPriority w:val="99"/>
    <w:semiHidden/>
    <w:unhideWhenUsed/>
    <w:rsid w:val="00C00568"/>
    <w:pPr>
      <w:keepLines/>
      <w:ind w:left="283"/>
    </w:pPr>
    <w:rPr>
      <w:rFonts w:eastAsiaTheme="minorHAnsi" w:cstheme="minorBidi"/>
      <w:szCs w:val="22"/>
    </w:r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C00568"/>
    <w:pPr>
      <w:ind w:left="360" w:firstLine="360"/>
    </w:pPr>
  </w:style>
  <w:style w:type="character" w:customStyle="1" w:styleId="BodyTextFirstIndent2Char">
    <w:name w:val="Body Text First Indent 2 Char"/>
    <w:basedOn w:val="BodyTextIndentChar"/>
    <w:link w:val="BodyTextFirstIndent2"/>
    <w:uiPriority w:val="99"/>
    <w:semiHidden/>
    <w:rsid w:val="00C00568"/>
  </w:style>
  <w:style w:type="paragraph" w:styleId="BodyTextIndent2">
    <w:name w:val="Body Text Indent 2"/>
    <w:basedOn w:val="Normal"/>
    <w:link w:val="BodyTextIndent2Char"/>
    <w:uiPriority w:val="99"/>
    <w:semiHidden/>
    <w:unhideWhenUsed/>
    <w:rsid w:val="00C00568"/>
    <w:pPr>
      <w:keepLines/>
      <w:spacing w:line="480" w:lineRule="auto"/>
      <w:ind w:left="283"/>
    </w:pPr>
    <w:rPr>
      <w:rFonts w:eastAsiaTheme="minorHAnsi" w:cstheme="minorBidi"/>
      <w:szCs w:val="22"/>
    </w:r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keepLines/>
      <w:ind w:left="283"/>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semiHidden/>
    <w:rsid w:val="00C00568"/>
    <w:rPr>
      <w:b/>
      <w:bCs/>
      <w:smallCaps/>
      <w:spacing w:val="5"/>
    </w:rPr>
  </w:style>
  <w:style w:type="paragraph" w:styleId="Caption">
    <w:name w:val="caption"/>
    <w:basedOn w:val="Normal"/>
    <w:next w:val="Normal"/>
    <w:uiPriority w:val="35"/>
    <w:semiHidden/>
    <w:unhideWhenUsed/>
    <w:rsid w:val="00C00568"/>
    <w:pPr>
      <w:keepLines/>
      <w:spacing w:after="200"/>
    </w:pPr>
    <w:rPr>
      <w:rFonts w:eastAsiaTheme="minorHAnsi" w:cstheme="minorBidi"/>
      <w:b/>
      <w:bCs/>
      <w:color w:val="0063A6" w:themeColor="accent1"/>
      <w:sz w:val="18"/>
      <w:szCs w:val="18"/>
    </w:rPr>
  </w:style>
  <w:style w:type="paragraph" w:styleId="Closing">
    <w:name w:val="Closing"/>
    <w:basedOn w:val="Normal"/>
    <w:link w:val="ClosingChar"/>
    <w:uiPriority w:val="99"/>
    <w:semiHidden/>
    <w:unhideWhenUsed/>
    <w:rsid w:val="00C00568"/>
    <w:pPr>
      <w:keepLines/>
      <w:ind w:left="4252"/>
    </w:pPr>
    <w:rPr>
      <w:rFonts w:eastAsiaTheme="minorHAnsi" w:cstheme="minorBidi"/>
      <w:szCs w:val="22"/>
    </w:r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AE3FF" w:themeFill="accent1" w:themeFillTint="33"/>
    </w:tcPr>
    <w:tblStylePr w:type="firstRow">
      <w:rPr>
        <w:b/>
        <w:bCs/>
      </w:rPr>
      <w:tblPr/>
      <w:tcPr>
        <w:shd w:val="clear" w:color="auto" w:fill="75C7FF" w:themeFill="accent1" w:themeFillTint="66"/>
      </w:tcPr>
    </w:tblStylePr>
    <w:tblStylePr w:type="lastRow">
      <w:rPr>
        <w:b/>
        <w:bCs/>
        <w:color w:val="000000" w:themeColor="text1"/>
      </w:rPr>
      <w:tblPr/>
      <w:tcPr>
        <w:shd w:val="clear" w:color="auto" w:fill="75C7FF" w:themeFill="accent1" w:themeFillTint="66"/>
      </w:tcPr>
    </w:tblStylePr>
    <w:tblStylePr w:type="firstCol">
      <w:rPr>
        <w:color w:val="FFFFFF" w:themeColor="background1"/>
      </w:rPr>
      <w:tblPr/>
      <w:tcPr>
        <w:shd w:val="clear" w:color="auto" w:fill="004A7C" w:themeFill="accent1" w:themeFillShade="BF"/>
      </w:tcPr>
    </w:tblStylePr>
    <w:tblStylePr w:type="lastCol">
      <w:rPr>
        <w:color w:val="FFFFFF" w:themeColor="background1"/>
      </w:rPr>
      <w:tblPr/>
      <w:tcPr>
        <w:shd w:val="clear" w:color="auto" w:fill="004A7C" w:themeFill="accent1" w:themeFillShade="BF"/>
      </w:tc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ColorfulGrid-Accent2">
    <w:name w:val="Colorful Grid Accent 2"/>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1DFFF" w:themeFill="accent2" w:themeFillTint="33"/>
    </w:tcPr>
    <w:tblStylePr w:type="firstRow">
      <w:rPr>
        <w:b/>
        <w:bCs/>
      </w:rPr>
      <w:tblPr/>
      <w:tcPr>
        <w:shd w:val="clear" w:color="auto" w:fill="63C0FF" w:themeFill="accent2" w:themeFillTint="66"/>
      </w:tcPr>
    </w:tblStylePr>
    <w:tblStylePr w:type="lastRow">
      <w:rPr>
        <w:b/>
        <w:bCs/>
        <w:color w:val="000000" w:themeColor="text1"/>
      </w:rPr>
      <w:tblPr/>
      <w:tcPr>
        <w:shd w:val="clear" w:color="auto" w:fill="63C0FF" w:themeFill="accent2" w:themeFillTint="66"/>
      </w:tcPr>
    </w:tblStylePr>
    <w:tblStylePr w:type="firstCol">
      <w:rPr>
        <w:color w:val="FFFFFF" w:themeColor="background1"/>
      </w:rPr>
      <w:tblPr/>
      <w:tcPr>
        <w:shd w:val="clear" w:color="auto" w:fill="00365B" w:themeFill="accent2" w:themeFillShade="BF"/>
      </w:tcPr>
    </w:tblStylePr>
    <w:tblStylePr w:type="lastCol">
      <w:rPr>
        <w:color w:val="FFFFFF" w:themeColor="background1"/>
      </w:rPr>
      <w:tblPr/>
      <w:tcPr>
        <w:shd w:val="clear" w:color="auto" w:fill="00365B" w:themeFill="accent2" w:themeFillShade="BF"/>
      </w:tc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ColorfulGrid-Accent3">
    <w:name w:val="Colorful Grid Accent 3"/>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3EBF4" w:themeFill="accent3" w:themeFillTint="33"/>
    </w:tcPr>
    <w:tblStylePr w:type="firstRow">
      <w:rPr>
        <w:b/>
        <w:bCs/>
      </w:rPr>
      <w:tblPr/>
      <w:tcPr>
        <w:shd w:val="clear" w:color="auto" w:fill="C7D7E9" w:themeFill="accent3" w:themeFillTint="66"/>
      </w:tcPr>
    </w:tblStylePr>
    <w:tblStylePr w:type="lastRow">
      <w:rPr>
        <w:b/>
        <w:bCs/>
        <w:color w:val="000000" w:themeColor="text1"/>
      </w:rPr>
      <w:tblPr/>
      <w:tcPr>
        <w:shd w:val="clear" w:color="auto" w:fill="C7D7E9" w:themeFill="accent3" w:themeFillTint="66"/>
      </w:tcPr>
    </w:tblStylePr>
    <w:tblStylePr w:type="firstCol">
      <w:rPr>
        <w:color w:val="FFFFFF" w:themeColor="background1"/>
      </w:rPr>
      <w:tblPr/>
      <w:tcPr>
        <w:shd w:val="clear" w:color="auto" w:fill="4273AA" w:themeFill="accent3" w:themeFillShade="BF"/>
      </w:tcPr>
    </w:tblStylePr>
    <w:tblStylePr w:type="lastCol">
      <w:rPr>
        <w:color w:val="FFFFFF" w:themeColor="background1"/>
      </w:rPr>
      <w:tblPr/>
      <w:tcPr>
        <w:shd w:val="clear" w:color="auto" w:fill="4273AA" w:themeFill="accent3" w:themeFillShade="BF"/>
      </w:tc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ColorfulGrid-Accent4">
    <w:name w:val="Colorful Grid Accent 4"/>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2E3FF" w:themeFill="accent4" w:themeFillTint="33"/>
    </w:tcPr>
    <w:tblStylePr w:type="firstRow">
      <w:rPr>
        <w:b/>
        <w:bCs/>
      </w:rPr>
      <w:tblPr/>
      <w:tcPr>
        <w:shd w:val="clear" w:color="auto" w:fill="85C8FF" w:themeFill="accent4" w:themeFillTint="66"/>
      </w:tcPr>
    </w:tblStylePr>
    <w:tblStylePr w:type="lastRow">
      <w:rPr>
        <w:b/>
        <w:bCs/>
        <w:color w:val="000000" w:themeColor="text1"/>
      </w:rPr>
      <w:tblPr/>
      <w:tcPr>
        <w:shd w:val="clear" w:color="auto" w:fill="85C8FF" w:themeFill="accent4" w:themeFillTint="66"/>
      </w:tcPr>
    </w:tblStylePr>
    <w:tblStylePr w:type="firstCol">
      <w:rPr>
        <w:color w:val="FFFFFF" w:themeColor="background1"/>
      </w:rPr>
      <w:tblPr/>
      <w:tcPr>
        <w:shd w:val="clear" w:color="auto" w:fill="00559A" w:themeFill="accent4" w:themeFillShade="BF"/>
      </w:tcPr>
    </w:tblStylePr>
    <w:tblStylePr w:type="lastCol">
      <w:rPr>
        <w:color w:val="FFFFFF" w:themeColor="background1"/>
      </w:rPr>
      <w:tblPr/>
      <w:tcPr>
        <w:shd w:val="clear" w:color="auto" w:fill="00559A" w:themeFill="accent4" w:themeFillShade="BF"/>
      </w:tc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ColorfulGrid-Accent5">
    <w:name w:val="Colorful Grid Accent 5"/>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5EDFF" w:themeFill="accent5" w:themeFillTint="33"/>
    </w:tcPr>
    <w:tblStylePr w:type="firstRow">
      <w:rPr>
        <w:b/>
        <w:bCs/>
      </w:rPr>
      <w:tblPr/>
      <w:tcPr>
        <w:shd w:val="clear" w:color="auto" w:fill="8BDCFF" w:themeFill="accent5" w:themeFillTint="66"/>
      </w:tcPr>
    </w:tblStylePr>
    <w:tblStylePr w:type="lastRow">
      <w:rPr>
        <w:b/>
        <w:bCs/>
        <w:color w:val="000000" w:themeColor="text1"/>
      </w:rPr>
      <w:tblPr/>
      <w:tcPr>
        <w:shd w:val="clear" w:color="auto" w:fill="8BDCFF" w:themeFill="accent5" w:themeFillTint="66"/>
      </w:tcPr>
    </w:tblStylePr>
    <w:tblStylePr w:type="firstCol">
      <w:rPr>
        <w:color w:val="FFFFFF" w:themeColor="background1"/>
      </w:rPr>
      <w:tblPr/>
      <w:tcPr>
        <w:shd w:val="clear" w:color="auto" w:fill="0074A6" w:themeFill="accent5" w:themeFillShade="BF"/>
      </w:tcPr>
    </w:tblStylePr>
    <w:tblStylePr w:type="lastCol">
      <w:rPr>
        <w:color w:val="FFFFFF" w:themeColor="background1"/>
      </w:rPr>
      <w:tblPr/>
      <w:tcPr>
        <w:shd w:val="clear" w:color="auto" w:fill="0074A6" w:themeFill="accent5" w:themeFillShade="BF"/>
      </w:tc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ColorfulGrid-Accent6">
    <w:name w:val="Colorful Grid Accent 6"/>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FCCCC" w:themeFill="accent6" w:themeFillTint="33"/>
    </w:tcPr>
    <w:tblStylePr w:type="firstRow">
      <w:rPr>
        <w:b/>
        <w:bCs/>
      </w:rPr>
      <w:tblPr/>
      <w:tcPr>
        <w:shd w:val="clear" w:color="auto" w:fill="E0999A" w:themeFill="accent6" w:themeFillTint="66"/>
      </w:tcPr>
    </w:tblStylePr>
    <w:tblStylePr w:type="lastRow">
      <w:rPr>
        <w:b/>
        <w:bCs/>
        <w:color w:val="000000" w:themeColor="text1"/>
      </w:rPr>
      <w:tblPr/>
      <w:tcPr>
        <w:shd w:val="clear" w:color="auto" w:fill="E0999A" w:themeFill="accent6" w:themeFillTint="66"/>
      </w:tcPr>
    </w:tblStylePr>
    <w:tblStylePr w:type="firstCol">
      <w:rPr>
        <w:color w:val="FFFFFF" w:themeColor="background1"/>
      </w:rPr>
      <w:tblPr/>
      <w:tcPr>
        <w:shd w:val="clear" w:color="auto" w:fill="671F20" w:themeFill="accent6" w:themeFillShade="BF"/>
      </w:tcPr>
    </w:tblStylePr>
    <w:tblStylePr w:type="lastCol">
      <w:rPr>
        <w:color w:val="FFFFFF" w:themeColor="background1"/>
      </w:rPr>
      <w:tblPr/>
      <w:tcPr>
        <w:shd w:val="clear" w:color="auto" w:fill="671F20" w:themeFill="accent6" w:themeFillShade="BF"/>
      </w:tc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ColorfulList">
    <w:name w:val="Colorful List"/>
    <w:basedOn w:val="TableNormal"/>
    <w:uiPriority w:val="72"/>
    <w:rsid w:val="00C00568"/>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pPr>
      <w:spacing w:before="0"/>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1" w:themeFillTint="3F"/>
      </w:tcPr>
    </w:tblStylePr>
    <w:tblStylePr w:type="band1Horz">
      <w:tblPr/>
      <w:tcPr>
        <w:shd w:val="clear" w:color="auto" w:fill="BAE3FF" w:themeFill="accent1" w:themeFillTint="33"/>
      </w:tcPr>
    </w:tblStylePr>
  </w:style>
  <w:style w:type="table" w:styleId="ColorfulList-Accent2">
    <w:name w:val="Colorful List Accent 2"/>
    <w:basedOn w:val="TableNormal"/>
    <w:uiPriority w:val="72"/>
    <w:rsid w:val="00C00568"/>
    <w:pPr>
      <w:spacing w:before="0"/>
    </w:pPr>
    <w:rPr>
      <w:color w:val="000000" w:themeColor="text1"/>
    </w:rPr>
    <w:tblPr>
      <w:tblStyleRowBandSize w:val="1"/>
      <w:tblStyleColBandSize w:val="1"/>
    </w:tblPr>
    <w:tcPr>
      <w:shd w:val="clear" w:color="auto" w:fill="D8EFFF" w:themeFill="accent2"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8FF" w:themeFill="accent2" w:themeFillTint="3F"/>
      </w:tcPr>
    </w:tblStylePr>
    <w:tblStylePr w:type="band1Horz">
      <w:tblPr/>
      <w:tcPr>
        <w:shd w:val="clear" w:color="auto" w:fill="B1DFFF" w:themeFill="accent2" w:themeFillTint="33"/>
      </w:tcPr>
    </w:tblStylePr>
  </w:style>
  <w:style w:type="table" w:styleId="ColorfulList-Accent3">
    <w:name w:val="Colorful List Accent 3"/>
    <w:basedOn w:val="TableNormal"/>
    <w:uiPriority w:val="72"/>
    <w:rsid w:val="00C00568"/>
    <w:pPr>
      <w:spacing w:before="0"/>
    </w:pPr>
    <w:rPr>
      <w:color w:val="000000" w:themeColor="text1"/>
    </w:rPr>
    <w:tblPr>
      <w:tblStyleRowBandSize w:val="1"/>
      <w:tblStyleColBandSize w:val="1"/>
    </w:tblPr>
    <w:tcPr>
      <w:shd w:val="clear" w:color="auto" w:fill="F1F5F9" w:themeFill="accent3" w:themeFillTint="19"/>
    </w:tcPr>
    <w:tblStylePr w:type="firstRow">
      <w:rPr>
        <w:b/>
        <w:bCs/>
        <w:color w:val="FFFFFF" w:themeColor="background1"/>
      </w:rPr>
      <w:tblPr/>
      <w:tcPr>
        <w:tcBorders>
          <w:bottom w:val="single" w:sz="12" w:space="0" w:color="FFFFFF" w:themeColor="background1"/>
        </w:tcBorders>
        <w:shd w:val="clear" w:color="auto" w:fill="005BA4" w:themeFill="accent4" w:themeFillShade="CC"/>
      </w:tcPr>
    </w:tblStylePr>
    <w:tblStylePr w:type="lastRow">
      <w:rPr>
        <w:b/>
        <w:bCs/>
        <w:color w:val="005B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F1" w:themeFill="accent3" w:themeFillTint="3F"/>
      </w:tcPr>
    </w:tblStylePr>
    <w:tblStylePr w:type="band1Horz">
      <w:tblPr/>
      <w:tcPr>
        <w:shd w:val="clear" w:color="auto" w:fill="E3EBF4" w:themeFill="accent3" w:themeFillTint="33"/>
      </w:tcPr>
    </w:tblStylePr>
  </w:style>
  <w:style w:type="table" w:styleId="ColorfulList-Accent4">
    <w:name w:val="Colorful List Accent 4"/>
    <w:basedOn w:val="TableNormal"/>
    <w:uiPriority w:val="72"/>
    <w:rsid w:val="00C00568"/>
    <w:pPr>
      <w:spacing w:before="0"/>
    </w:pPr>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477BB6" w:themeFill="accent3" w:themeFillShade="CC"/>
      </w:tcPr>
    </w:tblStylePr>
    <w:tblStylePr w:type="lastRow">
      <w:rPr>
        <w:b/>
        <w:bCs/>
        <w:color w:val="477BB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4" w:themeFillTint="3F"/>
      </w:tcPr>
    </w:tblStylePr>
    <w:tblStylePr w:type="band1Horz">
      <w:tblPr/>
      <w:tcPr>
        <w:shd w:val="clear" w:color="auto" w:fill="C2E3FF" w:themeFill="accent4" w:themeFillTint="33"/>
      </w:tcPr>
    </w:tblStylePr>
  </w:style>
  <w:style w:type="table" w:styleId="ColorfulList-Accent5">
    <w:name w:val="Colorful List Accent 5"/>
    <w:basedOn w:val="TableNormal"/>
    <w:uiPriority w:val="72"/>
    <w:rsid w:val="00C00568"/>
    <w:pPr>
      <w:spacing w:before="0"/>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6E2122" w:themeFill="accent6" w:themeFillShade="CC"/>
      </w:tcPr>
    </w:tblStylePr>
    <w:tblStylePr w:type="lastRow">
      <w:rPr>
        <w:b/>
        <w:bCs/>
        <w:color w:val="6E2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5" w:themeFillTint="3F"/>
      </w:tcPr>
    </w:tblStylePr>
    <w:tblStylePr w:type="band1Horz">
      <w:tblPr/>
      <w:tcPr>
        <w:shd w:val="clear" w:color="auto" w:fill="C5EDFF" w:themeFill="accent5" w:themeFillTint="33"/>
      </w:tcPr>
    </w:tblStylePr>
  </w:style>
  <w:style w:type="table" w:styleId="ColorfulList-Accent6">
    <w:name w:val="Colorful List Accent 6"/>
    <w:basedOn w:val="TableNormal"/>
    <w:uiPriority w:val="72"/>
    <w:rsid w:val="00C00568"/>
    <w:pPr>
      <w:spacing w:before="0"/>
    </w:pPr>
    <w:rPr>
      <w:color w:val="000000" w:themeColor="text1"/>
    </w:rPr>
    <w:tblPr>
      <w:tblStyleRowBandSize w:val="1"/>
      <w:tblStyleColBandSize w:val="1"/>
    </w:tblPr>
    <w:tcPr>
      <w:shd w:val="clear" w:color="auto" w:fill="F7E5E5" w:themeFill="accent6" w:themeFillTint="19"/>
    </w:tcPr>
    <w:tblStylePr w:type="firstRow">
      <w:rPr>
        <w:b/>
        <w:bCs/>
        <w:color w:val="FFFFFF" w:themeColor="background1"/>
      </w:rPr>
      <w:tblPr/>
      <w:tcPr>
        <w:tcBorders>
          <w:bottom w:val="single" w:sz="12" w:space="0" w:color="FFFFFF" w:themeColor="background1"/>
        </w:tcBorders>
        <w:shd w:val="clear" w:color="auto" w:fill="007CB1" w:themeFill="accent5" w:themeFillShade="CC"/>
      </w:tcPr>
    </w:tblStylePr>
    <w:tblStylePr w:type="lastRow">
      <w:rPr>
        <w:b/>
        <w:bCs/>
        <w:color w:val="007C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0C0" w:themeFill="accent6" w:themeFillTint="3F"/>
      </w:tcPr>
    </w:tblStylePr>
    <w:tblStylePr w:type="band1Horz">
      <w:tblPr/>
      <w:tcPr>
        <w:shd w:val="clear" w:color="auto" w:fill="EFCCCC" w:themeFill="accent6" w:themeFillTint="33"/>
      </w:tcPr>
    </w:tblStylePr>
  </w:style>
  <w:style w:type="table" w:styleId="ColorfulShading">
    <w:name w:val="Colorful Shading"/>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63A6" w:themeColor="accent1"/>
        <w:bottom w:val="single" w:sz="4" w:space="0" w:color="0063A6" w:themeColor="accent1"/>
        <w:right w:val="single" w:sz="4" w:space="0" w:color="0063A6"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1" w:themeFillShade="99"/>
      </w:tcPr>
    </w:tblStylePr>
    <w:tblStylePr w:type="firstCol">
      <w:rPr>
        <w:color w:val="FFFFFF" w:themeColor="background1"/>
      </w:rPr>
      <w:tblPr/>
      <w:tcPr>
        <w:tcBorders>
          <w:top w:val="nil"/>
          <w:left w:val="nil"/>
          <w:bottom w:val="nil"/>
          <w:right w:val="nil"/>
          <w:insideH w:val="single" w:sz="4" w:space="0" w:color="003B63" w:themeColor="accent1" w:themeShade="99"/>
          <w:insideV w:val="nil"/>
        </w:tcBorders>
        <w:shd w:val="clear" w:color="auto" w:fill="003B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1" w:themeFillShade="99"/>
      </w:tcPr>
    </w:tblStylePr>
    <w:tblStylePr w:type="band1Vert">
      <w:tblPr/>
      <w:tcPr>
        <w:shd w:val="clear" w:color="auto" w:fill="75C7FF" w:themeFill="accent1" w:themeFillTint="66"/>
      </w:tcPr>
    </w:tblStylePr>
    <w:tblStylePr w:type="band1Horz">
      <w:tblPr/>
      <w:tcPr>
        <w:shd w:val="clear" w:color="auto" w:fill="53B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497A" w:themeColor="accent2"/>
        <w:bottom w:val="single" w:sz="4" w:space="0" w:color="00497A" w:themeColor="accent2"/>
        <w:right w:val="single" w:sz="4" w:space="0" w:color="00497A" w:themeColor="accent2"/>
        <w:insideH w:val="single" w:sz="4" w:space="0" w:color="FFFFFF" w:themeColor="background1"/>
        <w:insideV w:val="single" w:sz="4" w:space="0" w:color="FFFFFF" w:themeColor="background1"/>
      </w:tblBorders>
    </w:tblPr>
    <w:tcPr>
      <w:shd w:val="clear" w:color="auto" w:fill="D8EFFF" w:themeFill="accent2"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9" w:themeFill="accent2" w:themeFillShade="99"/>
      </w:tcPr>
    </w:tblStylePr>
    <w:tblStylePr w:type="firstCol">
      <w:rPr>
        <w:color w:val="FFFFFF" w:themeColor="background1"/>
      </w:rPr>
      <w:tblPr/>
      <w:tcPr>
        <w:tcBorders>
          <w:top w:val="nil"/>
          <w:left w:val="nil"/>
          <w:bottom w:val="nil"/>
          <w:right w:val="nil"/>
          <w:insideH w:val="single" w:sz="4" w:space="0" w:color="002B49" w:themeColor="accent2" w:themeShade="99"/>
          <w:insideV w:val="nil"/>
        </w:tcBorders>
        <w:shd w:val="clear" w:color="auto" w:fill="002B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B49" w:themeFill="accent2" w:themeFillShade="99"/>
      </w:tcPr>
    </w:tblStylePr>
    <w:tblStylePr w:type="band1Vert">
      <w:tblPr/>
      <w:tcPr>
        <w:shd w:val="clear" w:color="auto" w:fill="63C0FF" w:themeFill="accent2" w:themeFillTint="66"/>
      </w:tcPr>
    </w:tblStylePr>
    <w:tblStylePr w:type="band1Horz">
      <w:tblPr/>
      <w:tcPr>
        <w:shd w:val="clear" w:color="auto" w:fill="3DB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pPr>
      <w:spacing w:before="0"/>
    </w:pPr>
    <w:rPr>
      <w:color w:val="000000" w:themeColor="text1"/>
    </w:rPr>
    <w:tblPr>
      <w:tblStyleRowBandSize w:val="1"/>
      <w:tblStyleColBandSize w:val="1"/>
      <w:tblBorders>
        <w:top w:val="single" w:sz="24" w:space="0" w:color="0072CE" w:themeColor="accent4"/>
        <w:left w:val="single" w:sz="4" w:space="0" w:color="749CC9" w:themeColor="accent3"/>
        <w:bottom w:val="single" w:sz="4" w:space="0" w:color="749CC9" w:themeColor="accent3"/>
        <w:right w:val="single" w:sz="4" w:space="0" w:color="749CC9" w:themeColor="accent3"/>
        <w:insideH w:val="single" w:sz="4" w:space="0" w:color="FFFFFF" w:themeColor="background1"/>
        <w:insideV w:val="single" w:sz="4" w:space="0" w:color="FFFFFF" w:themeColor="background1"/>
      </w:tblBorders>
    </w:tblPr>
    <w:tcPr>
      <w:shd w:val="clear" w:color="auto" w:fill="F1F5F9" w:themeFill="accent3" w:themeFillTint="19"/>
    </w:tcPr>
    <w:tblStylePr w:type="firstRow">
      <w:rPr>
        <w:b/>
        <w:bCs/>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C88" w:themeFill="accent3" w:themeFillShade="99"/>
      </w:tcPr>
    </w:tblStylePr>
    <w:tblStylePr w:type="firstCol">
      <w:rPr>
        <w:color w:val="FFFFFF" w:themeColor="background1"/>
      </w:rPr>
      <w:tblPr/>
      <w:tcPr>
        <w:tcBorders>
          <w:top w:val="nil"/>
          <w:left w:val="nil"/>
          <w:bottom w:val="nil"/>
          <w:right w:val="nil"/>
          <w:insideH w:val="single" w:sz="4" w:space="0" w:color="355C88" w:themeColor="accent3" w:themeShade="99"/>
          <w:insideV w:val="nil"/>
        </w:tcBorders>
        <w:shd w:val="clear" w:color="auto" w:fill="355C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5C88" w:themeFill="accent3" w:themeFillShade="99"/>
      </w:tcPr>
    </w:tblStylePr>
    <w:tblStylePr w:type="band1Vert">
      <w:tblPr/>
      <w:tcPr>
        <w:shd w:val="clear" w:color="auto" w:fill="C7D7E9" w:themeFill="accent3" w:themeFillTint="66"/>
      </w:tcPr>
    </w:tblStylePr>
    <w:tblStylePr w:type="band1Horz">
      <w:tblPr/>
      <w:tcPr>
        <w:shd w:val="clear" w:color="auto" w:fill="B9CDE4" w:themeFill="accent3" w:themeFillTint="7F"/>
      </w:tcPr>
    </w:tblStylePr>
  </w:style>
  <w:style w:type="table" w:styleId="ColorfulShading-Accent4">
    <w:name w:val="Colorful Shading Accent 4"/>
    <w:basedOn w:val="TableNormal"/>
    <w:uiPriority w:val="71"/>
    <w:rsid w:val="00C00568"/>
    <w:pPr>
      <w:spacing w:before="0"/>
    </w:pPr>
    <w:rPr>
      <w:color w:val="000000" w:themeColor="text1"/>
    </w:rPr>
    <w:tblPr>
      <w:tblStyleRowBandSize w:val="1"/>
      <w:tblStyleColBandSize w:val="1"/>
      <w:tblBorders>
        <w:top w:val="single" w:sz="24" w:space="0" w:color="749CC9" w:themeColor="accent3"/>
        <w:left w:val="single" w:sz="4" w:space="0" w:color="0072CE" w:themeColor="accent4"/>
        <w:bottom w:val="single" w:sz="4" w:space="0" w:color="0072CE" w:themeColor="accent4"/>
        <w:right w:val="single" w:sz="4" w:space="0" w:color="0072CE" w:themeColor="accent4"/>
        <w:insideH w:val="single" w:sz="4" w:space="0" w:color="FFFFFF" w:themeColor="background1"/>
        <w:insideV w:val="single" w:sz="4" w:space="0" w:color="FFFFFF" w:themeColor="background1"/>
      </w:tblBorders>
    </w:tblPr>
    <w:tcPr>
      <w:shd w:val="clear" w:color="auto" w:fill="E1F1FF" w:themeFill="accent4" w:themeFillTint="19"/>
    </w:tcPr>
    <w:tblStylePr w:type="firstRow">
      <w:rPr>
        <w:b/>
        <w:bCs/>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4" w:themeFillShade="99"/>
      </w:tcPr>
    </w:tblStylePr>
    <w:tblStylePr w:type="firstCol">
      <w:rPr>
        <w:color w:val="FFFFFF" w:themeColor="background1"/>
      </w:rPr>
      <w:tblPr/>
      <w:tcPr>
        <w:tcBorders>
          <w:top w:val="nil"/>
          <w:left w:val="nil"/>
          <w:bottom w:val="nil"/>
          <w:right w:val="nil"/>
          <w:insideH w:val="single" w:sz="4" w:space="0" w:color="00447B" w:themeColor="accent4" w:themeShade="99"/>
          <w:insideV w:val="nil"/>
        </w:tcBorders>
        <w:shd w:val="clear" w:color="auto" w:fill="0044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4" w:themeFillShade="99"/>
      </w:tcPr>
    </w:tblStylePr>
    <w:tblStylePr w:type="band1Vert">
      <w:tblPr/>
      <w:tcPr>
        <w:shd w:val="clear" w:color="auto" w:fill="85C8FF" w:themeFill="accent4" w:themeFillTint="66"/>
      </w:tcPr>
    </w:tblStylePr>
    <w:tblStylePr w:type="band1Horz">
      <w:tblPr/>
      <w:tcPr>
        <w:shd w:val="clear" w:color="auto" w:fill="67B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pPr>
      <w:spacing w:before="0"/>
    </w:pPr>
    <w:rPr>
      <w:color w:val="000000" w:themeColor="text1"/>
    </w:rPr>
    <w:tblPr>
      <w:tblStyleRowBandSize w:val="1"/>
      <w:tblStyleColBandSize w:val="1"/>
      <w:tblBorders>
        <w:top w:val="single" w:sz="24" w:space="0" w:color="8A2A2B" w:themeColor="accent6"/>
        <w:left w:val="single" w:sz="4" w:space="0" w:color="009CDE" w:themeColor="accent5"/>
        <w:bottom w:val="single" w:sz="4" w:space="0" w:color="009CDE" w:themeColor="accent5"/>
        <w:right w:val="single" w:sz="4" w:space="0" w:color="009CDE"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5" w:themeFill="accent5" w:themeFillShade="99"/>
      </w:tcPr>
    </w:tblStylePr>
    <w:tblStylePr w:type="firstCol">
      <w:rPr>
        <w:color w:val="FFFFFF" w:themeColor="background1"/>
      </w:rPr>
      <w:tblPr/>
      <w:tcPr>
        <w:tcBorders>
          <w:top w:val="nil"/>
          <w:left w:val="nil"/>
          <w:bottom w:val="nil"/>
          <w:right w:val="nil"/>
          <w:insideH w:val="single" w:sz="4" w:space="0" w:color="005D85" w:themeColor="accent5" w:themeShade="99"/>
          <w:insideV w:val="nil"/>
        </w:tcBorders>
        <w:shd w:val="clear" w:color="auto" w:fill="005D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5" w:themeFill="accent5" w:themeFillShade="99"/>
      </w:tcPr>
    </w:tblStylePr>
    <w:tblStylePr w:type="band1Vert">
      <w:tblPr/>
      <w:tcPr>
        <w:shd w:val="clear" w:color="auto" w:fill="8BDCFF" w:themeFill="accent5" w:themeFillTint="66"/>
      </w:tcPr>
    </w:tblStylePr>
    <w:tblStylePr w:type="band1Horz">
      <w:tblPr/>
      <w:tcPr>
        <w:shd w:val="clear" w:color="auto" w:fill="6FD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pPr>
      <w:spacing w:before="0"/>
    </w:pPr>
    <w:rPr>
      <w:color w:val="000000" w:themeColor="text1"/>
    </w:rPr>
    <w:tblPr>
      <w:tblStyleRowBandSize w:val="1"/>
      <w:tblStyleColBandSize w:val="1"/>
      <w:tblBorders>
        <w:top w:val="single" w:sz="24" w:space="0" w:color="009CDE" w:themeColor="accent5"/>
        <w:left w:val="single" w:sz="4" w:space="0" w:color="8A2A2B" w:themeColor="accent6"/>
        <w:bottom w:val="single" w:sz="4" w:space="0" w:color="8A2A2B" w:themeColor="accent6"/>
        <w:right w:val="single" w:sz="4" w:space="0" w:color="8A2A2B" w:themeColor="accent6"/>
        <w:insideH w:val="single" w:sz="4" w:space="0" w:color="FFFFFF" w:themeColor="background1"/>
        <w:insideV w:val="single" w:sz="4" w:space="0" w:color="FFFFFF" w:themeColor="background1"/>
      </w:tblBorders>
    </w:tblPr>
    <w:tcPr>
      <w:shd w:val="clear" w:color="auto" w:fill="F7E5E5" w:themeFill="accent6" w:themeFillTint="19"/>
    </w:tcPr>
    <w:tblStylePr w:type="firstRow">
      <w:rPr>
        <w:b/>
        <w:bCs/>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919" w:themeFill="accent6" w:themeFillShade="99"/>
      </w:tcPr>
    </w:tblStylePr>
    <w:tblStylePr w:type="firstCol">
      <w:rPr>
        <w:color w:val="FFFFFF" w:themeColor="background1"/>
      </w:rPr>
      <w:tblPr/>
      <w:tcPr>
        <w:tcBorders>
          <w:top w:val="nil"/>
          <w:left w:val="nil"/>
          <w:bottom w:val="nil"/>
          <w:right w:val="nil"/>
          <w:insideH w:val="single" w:sz="4" w:space="0" w:color="521919" w:themeColor="accent6" w:themeShade="99"/>
          <w:insideV w:val="nil"/>
        </w:tcBorders>
        <w:shd w:val="clear" w:color="auto" w:fill="5219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919" w:themeFill="accent6" w:themeFillShade="99"/>
      </w:tcPr>
    </w:tblStylePr>
    <w:tblStylePr w:type="band1Vert">
      <w:tblPr/>
      <w:tcPr>
        <w:shd w:val="clear" w:color="auto" w:fill="E0999A" w:themeFill="accent6" w:themeFillTint="66"/>
      </w:tcPr>
    </w:tblStylePr>
    <w:tblStylePr w:type="band1Horz">
      <w:tblPr/>
      <w:tcPr>
        <w:shd w:val="clear" w:color="auto" w:fill="D8808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Text">
    <w:name w:val="annotation text"/>
    <w:basedOn w:val="Normal"/>
    <w:link w:val="CommentTextChar"/>
    <w:uiPriority w:val="99"/>
    <w:semiHidden/>
    <w:unhideWhenUsed/>
    <w:rsid w:val="00C00568"/>
    <w:pPr>
      <w:keepLines/>
    </w:pPr>
    <w:rPr>
      <w:rFonts w:eastAsiaTheme="minorHAnsi" w:cstheme="minorBidi"/>
      <w:sz w:val="20"/>
    </w:rPr>
  </w:style>
  <w:style w:type="character" w:customStyle="1" w:styleId="CommentTextChar">
    <w:name w:val="Comment Text Char"/>
    <w:basedOn w:val="DefaultParagraphFont"/>
    <w:link w:val="CommentText"/>
    <w:uiPriority w:val="99"/>
    <w:semiHidden/>
    <w:rsid w:val="00C00568"/>
    <w:rPr>
      <w:sz w:val="20"/>
      <w:szCs w:val="20"/>
    </w:rPr>
  </w:style>
  <w:style w:type="paragraph" w:styleId="CommentSubject">
    <w:name w:val="annotation subject"/>
    <w:basedOn w:val="CommentText"/>
    <w:next w:val="CommentText"/>
    <w:link w:val="CommentSubjectChar"/>
    <w:uiPriority w:val="99"/>
    <w:semiHidden/>
    <w:unhideWhenUsed/>
    <w:rsid w:val="00C00568"/>
    <w:rPr>
      <w:b/>
      <w:bCs/>
    </w:rPr>
  </w:style>
  <w:style w:type="character" w:customStyle="1" w:styleId="CommentSubjectChar">
    <w:name w:val="Comment Subject Char"/>
    <w:basedOn w:val="CommentTextChar"/>
    <w:link w:val="CommentSubject"/>
    <w:uiPriority w:val="99"/>
    <w:semiHidden/>
    <w:rsid w:val="00C00568"/>
    <w:rPr>
      <w:b/>
      <w:bCs/>
      <w:sz w:val="20"/>
      <w:szCs w:val="20"/>
    </w:rPr>
  </w:style>
  <w:style w:type="table" w:styleId="DarkList">
    <w:name w:val="Dark List"/>
    <w:basedOn w:val="TableNormal"/>
    <w:uiPriority w:val="70"/>
    <w:rsid w:val="00C00568"/>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pPr>
      <w:spacing w:before="0"/>
    </w:pPr>
    <w:rPr>
      <w:color w:val="FFFFFF" w:themeColor="background1"/>
    </w:rPr>
    <w:tblPr>
      <w:tblStyleRowBandSize w:val="1"/>
      <w:tblStyleColBandSize w:val="1"/>
    </w:tblPr>
    <w:tcPr>
      <w:shd w:val="clear" w:color="auto" w:fill="0063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7C" w:themeFill="accent1" w:themeFillShade="BF"/>
      </w:tcPr>
    </w:tblStylePr>
    <w:tblStylePr w:type="band1Vert">
      <w:tblPr/>
      <w:tcPr>
        <w:tcBorders>
          <w:top w:val="nil"/>
          <w:left w:val="nil"/>
          <w:bottom w:val="nil"/>
          <w:right w:val="nil"/>
          <w:insideH w:val="nil"/>
          <w:insideV w:val="nil"/>
        </w:tcBorders>
        <w:shd w:val="clear" w:color="auto" w:fill="004A7C" w:themeFill="accent1" w:themeFillShade="BF"/>
      </w:tcPr>
    </w:tblStylePr>
    <w:tblStylePr w:type="band1Horz">
      <w:tblPr/>
      <w:tcPr>
        <w:tcBorders>
          <w:top w:val="nil"/>
          <w:left w:val="nil"/>
          <w:bottom w:val="nil"/>
          <w:right w:val="nil"/>
          <w:insideH w:val="nil"/>
          <w:insideV w:val="nil"/>
        </w:tcBorders>
        <w:shd w:val="clear" w:color="auto" w:fill="004A7C" w:themeFill="accent1" w:themeFillShade="BF"/>
      </w:tcPr>
    </w:tblStylePr>
  </w:style>
  <w:style w:type="table" w:styleId="DarkList-Accent2">
    <w:name w:val="Dark List Accent 2"/>
    <w:basedOn w:val="TableNormal"/>
    <w:uiPriority w:val="70"/>
    <w:rsid w:val="00C00568"/>
    <w:pPr>
      <w:spacing w:before="0"/>
    </w:pPr>
    <w:rPr>
      <w:color w:val="FFFFFF" w:themeColor="background1"/>
    </w:rPr>
    <w:tblPr>
      <w:tblStyleRowBandSize w:val="1"/>
      <w:tblStyleColBandSize w:val="1"/>
    </w:tblPr>
    <w:tcPr>
      <w:shd w:val="clear" w:color="auto" w:fill="0049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6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65B" w:themeFill="accent2" w:themeFillShade="BF"/>
      </w:tcPr>
    </w:tblStylePr>
    <w:tblStylePr w:type="band1Vert">
      <w:tblPr/>
      <w:tcPr>
        <w:tcBorders>
          <w:top w:val="nil"/>
          <w:left w:val="nil"/>
          <w:bottom w:val="nil"/>
          <w:right w:val="nil"/>
          <w:insideH w:val="nil"/>
          <w:insideV w:val="nil"/>
        </w:tcBorders>
        <w:shd w:val="clear" w:color="auto" w:fill="00365B" w:themeFill="accent2" w:themeFillShade="BF"/>
      </w:tcPr>
    </w:tblStylePr>
    <w:tblStylePr w:type="band1Horz">
      <w:tblPr/>
      <w:tcPr>
        <w:tcBorders>
          <w:top w:val="nil"/>
          <w:left w:val="nil"/>
          <w:bottom w:val="nil"/>
          <w:right w:val="nil"/>
          <w:insideH w:val="nil"/>
          <w:insideV w:val="nil"/>
        </w:tcBorders>
        <w:shd w:val="clear" w:color="auto" w:fill="00365B" w:themeFill="accent2" w:themeFillShade="BF"/>
      </w:tcPr>
    </w:tblStylePr>
  </w:style>
  <w:style w:type="table" w:styleId="DarkList-Accent3">
    <w:name w:val="Dark List Accent 3"/>
    <w:basedOn w:val="TableNormal"/>
    <w:uiPriority w:val="70"/>
    <w:rsid w:val="00C00568"/>
    <w:pPr>
      <w:spacing w:before="0"/>
    </w:pPr>
    <w:rPr>
      <w:color w:val="FFFFFF" w:themeColor="background1"/>
    </w:rPr>
    <w:tblPr>
      <w:tblStyleRowBandSize w:val="1"/>
      <w:tblStyleColBandSize w:val="1"/>
    </w:tblPr>
    <w:tcPr>
      <w:shd w:val="clear" w:color="auto" w:fill="749C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C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73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73AA" w:themeFill="accent3" w:themeFillShade="BF"/>
      </w:tcPr>
    </w:tblStylePr>
    <w:tblStylePr w:type="band1Vert">
      <w:tblPr/>
      <w:tcPr>
        <w:tcBorders>
          <w:top w:val="nil"/>
          <w:left w:val="nil"/>
          <w:bottom w:val="nil"/>
          <w:right w:val="nil"/>
          <w:insideH w:val="nil"/>
          <w:insideV w:val="nil"/>
        </w:tcBorders>
        <w:shd w:val="clear" w:color="auto" w:fill="4273AA" w:themeFill="accent3" w:themeFillShade="BF"/>
      </w:tcPr>
    </w:tblStylePr>
    <w:tblStylePr w:type="band1Horz">
      <w:tblPr/>
      <w:tcPr>
        <w:tcBorders>
          <w:top w:val="nil"/>
          <w:left w:val="nil"/>
          <w:bottom w:val="nil"/>
          <w:right w:val="nil"/>
          <w:insideH w:val="nil"/>
          <w:insideV w:val="nil"/>
        </w:tcBorders>
        <w:shd w:val="clear" w:color="auto" w:fill="4273AA" w:themeFill="accent3" w:themeFillShade="BF"/>
      </w:tcPr>
    </w:tblStylePr>
  </w:style>
  <w:style w:type="table" w:styleId="DarkList-Accent4">
    <w:name w:val="Dark List Accent 4"/>
    <w:basedOn w:val="TableNormal"/>
    <w:uiPriority w:val="70"/>
    <w:rsid w:val="00C00568"/>
    <w:pPr>
      <w:spacing w:before="0"/>
    </w:pPr>
    <w:rPr>
      <w:color w:val="FFFFFF" w:themeColor="background1"/>
    </w:rPr>
    <w:tblPr>
      <w:tblStyleRowBandSize w:val="1"/>
      <w:tblStyleColBandSize w:val="1"/>
    </w:tblPr>
    <w:tcPr>
      <w:shd w:val="clear" w:color="auto" w:fill="0072C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4" w:themeFillShade="BF"/>
      </w:tcPr>
    </w:tblStylePr>
    <w:tblStylePr w:type="band1Vert">
      <w:tblPr/>
      <w:tcPr>
        <w:tcBorders>
          <w:top w:val="nil"/>
          <w:left w:val="nil"/>
          <w:bottom w:val="nil"/>
          <w:right w:val="nil"/>
          <w:insideH w:val="nil"/>
          <w:insideV w:val="nil"/>
        </w:tcBorders>
        <w:shd w:val="clear" w:color="auto" w:fill="00559A" w:themeFill="accent4" w:themeFillShade="BF"/>
      </w:tcPr>
    </w:tblStylePr>
    <w:tblStylePr w:type="band1Horz">
      <w:tblPr/>
      <w:tcPr>
        <w:tcBorders>
          <w:top w:val="nil"/>
          <w:left w:val="nil"/>
          <w:bottom w:val="nil"/>
          <w:right w:val="nil"/>
          <w:insideH w:val="nil"/>
          <w:insideV w:val="nil"/>
        </w:tcBorders>
        <w:shd w:val="clear" w:color="auto" w:fill="00559A" w:themeFill="accent4" w:themeFillShade="BF"/>
      </w:tcPr>
    </w:tblStylePr>
  </w:style>
  <w:style w:type="table" w:styleId="DarkList-Accent5">
    <w:name w:val="Dark List Accent 5"/>
    <w:basedOn w:val="TableNormal"/>
    <w:uiPriority w:val="70"/>
    <w:rsid w:val="00C00568"/>
    <w:pPr>
      <w:spacing w:before="0"/>
    </w:pPr>
    <w:rPr>
      <w:color w:val="FFFFFF" w:themeColor="background1"/>
    </w:rPr>
    <w:tblPr>
      <w:tblStyleRowBandSize w:val="1"/>
      <w:tblStyleColBandSize w:val="1"/>
    </w:tblPr>
    <w:tcPr>
      <w:shd w:val="clear" w:color="auto" w:fill="009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6" w:themeFill="accent5" w:themeFillShade="BF"/>
      </w:tcPr>
    </w:tblStylePr>
    <w:tblStylePr w:type="band1Vert">
      <w:tblPr/>
      <w:tcPr>
        <w:tcBorders>
          <w:top w:val="nil"/>
          <w:left w:val="nil"/>
          <w:bottom w:val="nil"/>
          <w:right w:val="nil"/>
          <w:insideH w:val="nil"/>
          <w:insideV w:val="nil"/>
        </w:tcBorders>
        <w:shd w:val="clear" w:color="auto" w:fill="0074A6" w:themeFill="accent5" w:themeFillShade="BF"/>
      </w:tcPr>
    </w:tblStylePr>
    <w:tblStylePr w:type="band1Horz">
      <w:tblPr/>
      <w:tcPr>
        <w:tcBorders>
          <w:top w:val="nil"/>
          <w:left w:val="nil"/>
          <w:bottom w:val="nil"/>
          <w:right w:val="nil"/>
          <w:insideH w:val="nil"/>
          <w:insideV w:val="nil"/>
        </w:tcBorders>
        <w:shd w:val="clear" w:color="auto" w:fill="0074A6" w:themeFill="accent5" w:themeFillShade="BF"/>
      </w:tcPr>
    </w:tblStylePr>
  </w:style>
  <w:style w:type="table" w:styleId="DarkList-Accent6">
    <w:name w:val="Dark List Accent 6"/>
    <w:basedOn w:val="TableNormal"/>
    <w:uiPriority w:val="70"/>
    <w:rsid w:val="00C00568"/>
    <w:pPr>
      <w:spacing w:before="0"/>
    </w:pPr>
    <w:rPr>
      <w:color w:val="FFFFFF" w:themeColor="background1"/>
    </w:rPr>
    <w:tblPr>
      <w:tblStyleRowBandSize w:val="1"/>
      <w:tblStyleColBandSize w:val="1"/>
    </w:tblPr>
    <w:tcPr>
      <w:shd w:val="clear" w:color="auto" w:fill="8A2A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5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F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F20" w:themeFill="accent6" w:themeFillShade="BF"/>
      </w:tcPr>
    </w:tblStylePr>
    <w:tblStylePr w:type="band1Vert">
      <w:tblPr/>
      <w:tcPr>
        <w:tcBorders>
          <w:top w:val="nil"/>
          <w:left w:val="nil"/>
          <w:bottom w:val="nil"/>
          <w:right w:val="nil"/>
          <w:insideH w:val="nil"/>
          <w:insideV w:val="nil"/>
        </w:tcBorders>
        <w:shd w:val="clear" w:color="auto" w:fill="671F20" w:themeFill="accent6" w:themeFillShade="BF"/>
      </w:tcPr>
    </w:tblStylePr>
    <w:tblStylePr w:type="band1Horz">
      <w:tblPr/>
      <w:tcPr>
        <w:tcBorders>
          <w:top w:val="nil"/>
          <w:left w:val="nil"/>
          <w:bottom w:val="nil"/>
          <w:right w:val="nil"/>
          <w:insideH w:val="nil"/>
          <w:insideV w:val="nil"/>
        </w:tcBorders>
        <w:shd w:val="clear" w:color="auto" w:fill="671F20" w:themeFill="accent6" w:themeFillShade="BF"/>
      </w:tcPr>
    </w:tblStylePr>
  </w:style>
  <w:style w:type="paragraph" w:styleId="Date">
    <w:name w:val="Date"/>
    <w:basedOn w:val="Normal"/>
    <w:next w:val="Normal"/>
    <w:link w:val="DateChar"/>
    <w:uiPriority w:val="99"/>
    <w:semiHidden/>
    <w:unhideWhenUsed/>
    <w:rsid w:val="00C00568"/>
    <w:pPr>
      <w:keepLines/>
    </w:pPr>
    <w:rPr>
      <w:rFonts w:eastAsiaTheme="minorHAnsi" w:cstheme="minorBidi"/>
      <w:szCs w:val="22"/>
    </w:rPr>
  </w:style>
  <w:style w:type="character" w:customStyle="1" w:styleId="DateChar">
    <w:name w:val="Date Char"/>
    <w:basedOn w:val="DefaultParagraphFont"/>
    <w:link w:val="Date"/>
    <w:uiPriority w:val="99"/>
    <w:semiHidden/>
    <w:rsid w:val="00C00568"/>
  </w:style>
  <w:style w:type="paragraph" w:styleId="DocumentMap">
    <w:name w:val="Document Map"/>
    <w:basedOn w:val="Normal"/>
    <w:link w:val="DocumentMapChar"/>
    <w:uiPriority w:val="99"/>
    <w:semiHidden/>
    <w:unhideWhenUsed/>
    <w:rsid w:val="00C00568"/>
    <w:pPr>
      <w:keepLines/>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pPr>
      <w:keepLines/>
    </w:pPr>
    <w:rPr>
      <w:rFonts w:eastAsiaTheme="minorHAnsi" w:cstheme="minorBidi"/>
      <w:szCs w:val="22"/>
    </w:rPr>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98"/>
    <w:semiHidden/>
    <w:rsid w:val="00C00568"/>
    <w:rPr>
      <w:i/>
      <w:iCs/>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pPr>
      <w:keepLines/>
    </w:pPr>
    <w:rPr>
      <w:rFonts w:eastAsiaTheme="minorHAnsi" w:cstheme="minorBidi"/>
      <w:sz w:val="20"/>
    </w:r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keepLines/>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C00568"/>
    <w:pPr>
      <w:keepLines/>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C00568"/>
    <w:rPr>
      <w:color w:val="8A2A2B" w:themeColor="followedHyperlink"/>
      <w:u w:val="single"/>
    </w:rPr>
  </w:style>
  <w:style w:type="character" w:styleId="FootnoteReference">
    <w:name w:val="footnote reference"/>
    <w:basedOn w:val="DefaultParagraphFont"/>
    <w:uiPriority w:val="99"/>
    <w:semiHidden/>
    <w:unhideWhenUsed/>
    <w:rsid w:val="00C00568"/>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pPr>
      <w:keepLines/>
    </w:pPr>
    <w:rPr>
      <w:rFonts w:eastAsiaTheme="minorHAnsi" w:cstheme="minorBidi"/>
      <w:i/>
      <w:iCs/>
      <w:szCs w:val="22"/>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pPr>
      <w:keepLines/>
    </w:pPr>
    <w:rPr>
      <w:rFonts w:ascii="Consolas" w:eastAsiaTheme="minorHAnsi" w:hAnsi="Consolas" w:cs="Consolas"/>
      <w:sz w:val="20"/>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autoRedefine/>
    <w:uiPriority w:val="99"/>
    <w:semiHidden/>
    <w:unhideWhenUsed/>
    <w:rsid w:val="00C00568"/>
    <w:pPr>
      <w:keepLines/>
      <w:ind w:left="220" w:hanging="220"/>
    </w:pPr>
    <w:rPr>
      <w:rFonts w:eastAsiaTheme="minorHAnsi" w:cstheme="minorBidi"/>
      <w:szCs w:val="22"/>
    </w:rPr>
  </w:style>
  <w:style w:type="paragraph" w:styleId="Index2">
    <w:name w:val="index 2"/>
    <w:basedOn w:val="Normal"/>
    <w:next w:val="Normal"/>
    <w:autoRedefine/>
    <w:uiPriority w:val="99"/>
    <w:semiHidden/>
    <w:unhideWhenUsed/>
    <w:rsid w:val="00C00568"/>
    <w:pPr>
      <w:keepLines/>
      <w:ind w:left="440" w:hanging="220"/>
    </w:pPr>
    <w:rPr>
      <w:rFonts w:eastAsiaTheme="minorHAnsi" w:cstheme="minorBidi"/>
      <w:szCs w:val="22"/>
    </w:rPr>
  </w:style>
  <w:style w:type="paragraph" w:styleId="Index3">
    <w:name w:val="index 3"/>
    <w:basedOn w:val="Normal"/>
    <w:next w:val="Normal"/>
    <w:autoRedefine/>
    <w:uiPriority w:val="99"/>
    <w:semiHidden/>
    <w:unhideWhenUsed/>
    <w:rsid w:val="00C00568"/>
    <w:pPr>
      <w:keepLines/>
      <w:ind w:left="660" w:hanging="220"/>
    </w:pPr>
    <w:rPr>
      <w:rFonts w:eastAsiaTheme="minorHAnsi" w:cstheme="minorBidi"/>
      <w:szCs w:val="22"/>
    </w:rPr>
  </w:style>
  <w:style w:type="paragraph" w:styleId="Index4">
    <w:name w:val="index 4"/>
    <w:basedOn w:val="Normal"/>
    <w:next w:val="Normal"/>
    <w:autoRedefine/>
    <w:uiPriority w:val="99"/>
    <w:semiHidden/>
    <w:unhideWhenUsed/>
    <w:rsid w:val="00C00568"/>
    <w:pPr>
      <w:keepLines/>
      <w:ind w:left="880" w:hanging="220"/>
    </w:pPr>
    <w:rPr>
      <w:rFonts w:eastAsiaTheme="minorHAnsi" w:cstheme="minorBidi"/>
      <w:szCs w:val="22"/>
    </w:rPr>
  </w:style>
  <w:style w:type="paragraph" w:styleId="Index5">
    <w:name w:val="index 5"/>
    <w:basedOn w:val="Normal"/>
    <w:next w:val="Normal"/>
    <w:autoRedefine/>
    <w:uiPriority w:val="99"/>
    <w:semiHidden/>
    <w:unhideWhenUsed/>
    <w:rsid w:val="00C00568"/>
    <w:pPr>
      <w:keepLines/>
      <w:ind w:left="1100" w:hanging="220"/>
    </w:pPr>
    <w:rPr>
      <w:rFonts w:eastAsiaTheme="minorHAnsi" w:cstheme="minorBidi"/>
      <w:szCs w:val="22"/>
    </w:rPr>
  </w:style>
  <w:style w:type="paragraph" w:styleId="Index6">
    <w:name w:val="index 6"/>
    <w:basedOn w:val="Normal"/>
    <w:next w:val="Normal"/>
    <w:autoRedefine/>
    <w:uiPriority w:val="99"/>
    <w:semiHidden/>
    <w:unhideWhenUsed/>
    <w:rsid w:val="00C00568"/>
    <w:pPr>
      <w:keepLines/>
      <w:ind w:left="1320" w:hanging="220"/>
    </w:pPr>
    <w:rPr>
      <w:rFonts w:eastAsiaTheme="minorHAnsi" w:cstheme="minorBidi"/>
      <w:szCs w:val="22"/>
    </w:rPr>
  </w:style>
  <w:style w:type="paragraph" w:styleId="Index7">
    <w:name w:val="index 7"/>
    <w:basedOn w:val="Normal"/>
    <w:next w:val="Normal"/>
    <w:autoRedefine/>
    <w:uiPriority w:val="99"/>
    <w:semiHidden/>
    <w:unhideWhenUsed/>
    <w:rsid w:val="00C00568"/>
    <w:pPr>
      <w:keepLines/>
      <w:ind w:left="1540" w:hanging="220"/>
    </w:pPr>
    <w:rPr>
      <w:rFonts w:eastAsiaTheme="minorHAnsi" w:cstheme="minorBidi"/>
      <w:szCs w:val="22"/>
    </w:rPr>
  </w:style>
  <w:style w:type="paragraph" w:styleId="Index8">
    <w:name w:val="index 8"/>
    <w:basedOn w:val="Normal"/>
    <w:next w:val="Normal"/>
    <w:autoRedefine/>
    <w:uiPriority w:val="99"/>
    <w:semiHidden/>
    <w:unhideWhenUsed/>
    <w:rsid w:val="00C00568"/>
    <w:pPr>
      <w:keepLines/>
      <w:ind w:left="1760" w:hanging="220"/>
    </w:pPr>
    <w:rPr>
      <w:rFonts w:eastAsiaTheme="minorHAnsi" w:cstheme="minorBidi"/>
      <w:szCs w:val="22"/>
    </w:rPr>
  </w:style>
  <w:style w:type="paragraph" w:styleId="Index9">
    <w:name w:val="index 9"/>
    <w:basedOn w:val="Normal"/>
    <w:next w:val="Normal"/>
    <w:autoRedefine/>
    <w:uiPriority w:val="99"/>
    <w:semiHidden/>
    <w:unhideWhenUsed/>
    <w:rsid w:val="00C00568"/>
    <w:pPr>
      <w:keepLines/>
      <w:ind w:left="1980" w:hanging="220"/>
    </w:pPr>
    <w:rPr>
      <w:rFonts w:eastAsiaTheme="minorHAnsi" w:cstheme="minorBidi"/>
      <w:szCs w:val="22"/>
    </w:rPr>
  </w:style>
  <w:style w:type="paragraph" w:styleId="IndexHeading">
    <w:name w:val="index heading"/>
    <w:basedOn w:val="Normal"/>
    <w:next w:val="Index1"/>
    <w:uiPriority w:val="99"/>
    <w:semiHidden/>
    <w:unhideWhenUsed/>
    <w:rsid w:val="00C00568"/>
    <w:pPr>
      <w:keepLines/>
    </w:pPr>
    <w:rPr>
      <w:rFonts w:asciiTheme="majorHAnsi" w:eastAsiaTheme="majorEastAsia" w:hAnsiTheme="majorHAnsi" w:cstheme="majorBidi"/>
      <w:b/>
      <w:bCs/>
      <w:szCs w:val="22"/>
    </w:rPr>
  </w:style>
  <w:style w:type="character" w:styleId="IntenseEmphasis">
    <w:name w:val="Intense Emphasis"/>
    <w:basedOn w:val="DefaultParagraphFont"/>
    <w:uiPriority w:val="98"/>
    <w:semiHidden/>
    <w:rsid w:val="00C00568"/>
    <w:rPr>
      <w:b/>
      <w:bCs/>
      <w:i/>
      <w:iCs/>
      <w:color w:val="0063A6" w:themeColor="accent1"/>
    </w:rPr>
  </w:style>
  <w:style w:type="paragraph" w:styleId="IntenseQuote">
    <w:name w:val="Intense Quote"/>
    <w:basedOn w:val="Normal"/>
    <w:next w:val="Normal"/>
    <w:link w:val="IntenseQuoteChar"/>
    <w:uiPriority w:val="30"/>
    <w:semiHidden/>
    <w:rsid w:val="00C00568"/>
    <w:pPr>
      <w:keepLines/>
      <w:pBdr>
        <w:bottom w:val="single" w:sz="4" w:space="4" w:color="0063A6" w:themeColor="accent1"/>
      </w:pBdr>
      <w:spacing w:before="200" w:after="280"/>
      <w:ind w:left="936" w:right="936"/>
    </w:pPr>
    <w:rPr>
      <w:rFonts w:eastAsiaTheme="minorHAnsi" w:cstheme="minorBidi"/>
      <w:b/>
      <w:bCs/>
      <w:i/>
      <w:iCs/>
      <w:color w:val="0063A6" w:themeColor="accent1"/>
      <w:szCs w:val="22"/>
    </w:rPr>
  </w:style>
  <w:style w:type="character" w:customStyle="1" w:styleId="IntenseQuoteChar">
    <w:name w:val="Intense Quote Char"/>
    <w:basedOn w:val="DefaultParagraphFont"/>
    <w:link w:val="IntenseQuote"/>
    <w:uiPriority w:val="30"/>
    <w:semiHidden/>
    <w:rsid w:val="00C00568"/>
    <w:rPr>
      <w:b/>
      <w:bCs/>
      <w:i/>
      <w:iCs/>
      <w:color w:val="0063A6" w:themeColor="accent1"/>
    </w:rPr>
  </w:style>
  <w:style w:type="character" w:styleId="IntenseReference">
    <w:name w:val="Intense Reference"/>
    <w:basedOn w:val="DefaultParagraphFont"/>
    <w:uiPriority w:val="32"/>
    <w:semiHidden/>
    <w:rsid w:val="00C00568"/>
    <w:rPr>
      <w:b/>
      <w:bCs/>
      <w:smallCaps/>
      <w:color w:val="00497A" w:themeColor="accent2"/>
      <w:spacing w:val="5"/>
      <w:u w:val="single"/>
    </w:rPr>
  </w:style>
  <w:style w:type="table" w:styleId="LightGrid">
    <w:name w:val="Light Grid"/>
    <w:basedOn w:val="TableNormal"/>
    <w:uiPriority w:val="62"/>
    <w:rsid w:val="00C00568"/>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18" w:space="0" w:color="0063A6" w:themeColor="accent1"/>
          <w:right w:val="single" w:sz="8" w:space="0" w:color="0063A6" w:themeColor="accent1"/>
          <w:insideH w:val="nil"/>
          <w:insideV w:val="single" w:sz="8" w:space="0" w:color="0063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insideH w:val="nil"/>
          <w:insideV w:val="single" w:sz="8" w:space="0" w:color="0063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shd w:val="clear" w:color="auto" w:fill="AADCFF" w:themeFill="accent1" w:themeFillTint="3F"/>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shd w:val="clear" w:color="auto" w:fill="AADCFF" w:themeFill="accent1" w:themeFillTint="3F"/>
      </w:tcPr>
    </w:tblStylePr>
    <w:tblStylePr w:type="band2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tcPr>
    </w:tblStylePr>
  </w:style>
  <w:style w:type="table" w:styleId="LightGrid-Accent2">
    <w:name w:val="Light Grid Accent 2"/>
    <w:basedOn w:val="TableNormal"/>
    <w:uiPriority w:val="62"/>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18" w:space="0" w:color="00497A" w:themeColor="accent2"/>
          <w:right w:val="single" w:sz="8" w:space="0" w:color="00497A" w:themeColor="accent2"/>
          <w:insideH w:val="nil"/>
          <w:insideV w:val="single" w:sz="8" w:space="0" w:color="0049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insideH w:val="nil"/>
          <w:insideV w:val="single" w:sz="8" w:space="0" w:color="0049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shd w:val="clear" w:color="auto" w:fill="9FD8FF" w:themeFill="accent2" w:themeFillTint="3F"/>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shd w:val="clear" w:color="auto" w:fill="9FD8FF" w:themeFill="accent2" w:themeFillTint="3F"/>
      </w:tcPr>
    </w:tblStylePr>
    <w:tblStylePr w:type="band2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tcPr>
    </w:tblStylePr>
  </w:style>
  <w:style w:type="table" w:styleId="LightGrid-Accent3">
    <w:name w:val="Light Grid Accent 3"/>
    <w:basedOn w:val="TableNormal"/>
    <w:uiPriority w:val="62"/>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18" w:space="0" w:color="749CC9" w:themeColor="accent3"/>
          <w:right w:val="single" w:sz="8" w:space="0" w:color="749CC9" w:themeColor="accent3"/>
          <w:insideH w:val="nil"/>
          <w:insideV w:val="single" w:sz="8" w:space="0" w:color="749C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insideH w:val="nil"/>
          <w:insideV w:val="single" w:sz="8" w:space="0" w:color="749C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shd w:val="clear" w:color="auto" w:fill="DCE6F1" w:themeFill="accent3" w:themeFillTint="3F"/>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shd w:val="clear" w:color="auto" w:fill="DCE6F1" w:themeFill="accent3" w:themeFillTint="3F"/>
      </w:tcPr>
    </w:tblStylePr>
    <w:tblStylePr w:type="band2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tcPr>
    </w:tblStylePr>
  </w:style>
  <w:style w:type="table" w:styleId="LightGrid-Accent4">
    <w:name w:val="Light Grid Accent 4"/>
    <w:basedOn w:val="TableNormal"/>
    <w:uiPriority w:val="62"/>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18" w:space="0" w:color="0072CE" w:themeColor="accent4"/>
          <w:right w:val="single" w:sz="8" w:space="0" w:color="0072CE" w:themeColor="accent4"/>
          <w:insideH w:val="nil"/>
          <w:insideV w:val="single" w:sz="8" w:space="0" w:color="0072C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insideH w:val="nil"/>
          <w:insideV w:val="single" w:sz="8" w:space="0" w:color="0072C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shd w:val="clear" w:color="auto" w:fill="B3DDFF" w:themeFill="accent4" w:themeFillTint="3F"/>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shd w:val="clear" w:color="auto" w:fill="B3DDFF" w:themeFill="accent4" w:themeFillTint="3F"/>
      </w:tcPr>
    </w:tblStylePr>
    <w:tblStylePr w:type="band2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tcPr>
    </w:tblStylePr>
  </w:style>
  <w:style w:type="table" w:styleId="LightGrid-Accent5">
    <w:name w:val="Light Grid Accent 5"/>
    <w:basedOn w:val="TableNormal"/>
    <w:uiPriority w:val="62"/>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18" w:space="0" w:color="009CDE" w:themeColor="accent5"/>
          <w:right w:val="single" w:sz="8" w:space="0" w:color="009CDE" w:themeColor="accent5"/>
          <w:insideH w:val="nil"/>
          <w:insideV w:val="single" w:sz="8" w:space="0" w:color="009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insideH w:val="nil"/>
          <w:insideV w:val="single" w:sz="8" w:space="0" w:color="009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shd w:val="clear" w:color="auto" w:fill="B7E9FF" w:themeFill="accent5" w:themeFillTint="3F"/>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shd w:val="clear" w:color="auto" w:fill="B7E9FF" w:themeFill="accent5" w:themeFillTint="3F"/>
      </w:tcPr>
    </w:tblStylePr>
    <w:tblStylePr w:type="band2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tcPr>
    </w:tblStylePr>
  </w:style>
  <w:style w:type="table" w:styleId="LightGrid-Accent6">
    <w:name w:val="Light Grid Accent 6"/>
    <w:basedOn w:val="TableNormal"/>
    <w:uiPriority w:val="62"/>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18" w:space="0" w:color="8A2A2B" w:themeColor="accent6"/>
          <w:right w:val="single" w:sz="8" w:space="0" w:color="8A2A2B" w:themeColor="accent6"/>
          <w:insideH w:val="nil"/>
          <w:insideV w:val="single" w:sz="8" w:space="0" w:color="8A2A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insideH w:val="nil"/>
          <w:insideV w:val="single" w:sz="8" w:space="0" w:color="8A2A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shd w:val="clear" w:color="auto" w:fill="ECC0C0" w:themeFill="accent6" w:themeFillTint="3F"/>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shd w:val="clear" w:color="auto" w:fill="ECC0C0" w:themeFill="accent6" w:themeFillTint="3F"/>
      </w:tcPr>
    </w:tblStylePr>
    <w:tblStylePr w:type="band2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tcPr>
    </w:tblStylePr>
  </w:style>
  <w:style w:type="table" w:styleId="LightList-Accent1">
    <w:name w:val="Light List Accent 1"/>
    <w:basedOn w:val="TableNormal"/>
    <w:uiPriority w:val="61"/>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table" w:styleId="LightList-Accent2">
    <w:name w:val="Light List Accent 2"/>
    <w:basedOn w:val="TableNormal"/>
    <w:uiPriority w:val="61"/>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pPr>
        <w:spacing w:before="0" w:after="0" w:line="240" w:lineRule="auto"/>
      </w:pPr>
      <w:rPr>
        <w:b/>
        <w:bCs/>
        <w:color w:val="FFFFFF" w:themeColor="background1"/>
      </w:rPr>
      <w:tblPr/>
      <w:tcPr>
        <w:shd w:val="clear" w:color="auto" w:fill="00497A" w:themeFill="accent2"/>
      </w:tcPr>
    </w:tblStylePr>
    <w:tblStylePr w:type="lastRow">
      <w:pPr>
        <w:spacing w:before="0" w:after="0" w:line="240" w:lineRule="auto"/>
      </w:pPr>
      <w:rPr>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tcBorders>
      </w:tcPr>
    </w:tblStylePr>
    <w:tblStylePr w:type="firstCol">
      <w:rPr>
        <w:b/>
        <w:bCs/>
      </w:rPr>
    </w:tblStylePr>
    <w:tblStylePr w:type="lastCol">
      <w:rPr>
        <w:b/>
        <w:bCs/>
      </w:r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style>
  <w:style w:type="table" w:styleId="LightList-Accent3">
    <w:name w:val="Light List Accent 3"/>
    <w:basedOn w:val="TableNormal"/>
    <w:uiPriority w:val="61"/>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pPr>
        <w:spacing w:before="0" w:after="0" w:line="240" w:lineRule="auto"/>
      </w:pPr>
      <w:rPr>
        <w:b/>
        <w:bCs/>
        <w:color w:val="FFFFFF" w:themeColor="background1"/>
      </w:rPr>
      <w:tblPr/>
      <w:tcPr>
        <w:shd w:val="clear" w:color="auto" w:fill="749CC9" w:themeFill="accent3"/>
      </w:tcPr>
    </w:tblStylePr>
    <w:tblStylePr w:type="lastRow">
      <w:pPr>
        <w:spacing w:before="0" w:after="0" w:line="240" w:lineRule="auto"/>
      </w:pPr>
      <w:rPr>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tcBorders>
      </w:tcPr>
    </w:tblStylePr>
    <w:tblStylePr w:type="firstCol">
      <w:rPr>
        <w:b/>
        <w:bCs/>
      </w:rPr>
    </w:tblStylePr>
    <w:tblStylePr w:type="lastCol">
      <w:rPr>
        <w:b/>
        <w:bCs/>
      </w:r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style>
  <w:style w:type="table" w:styleId="LightList-Accent4">
    <w:name w:val="Light List Accent 4"/>
    <w:basedOn w:val="TableNormal"/>
    <w:uiPriority w:val="61"/>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5">
    <w:name w:val="Light List Accent 5"/>
    <w:basedOn w:val="TableNormal"/>
    <w:uiPriority w:val="61"/>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pPr>
        <w:spacing w:before="0" w:after="0" w:line="240" w:lineRule="auto"/>
      </w:pPr>
      <w:rPr>
        <w:b/>
        <w:bCs/>
        <w:color w:val="FFFFFF" w:themeColor="background1"/>
      </w:rPr>
      <w:tblPr/>
      <w:tcPr>
        <w:shd w:val="clear" w:color="auto" w:fill="009CDE" w:themeFill="accent5"/>
      </w:tcPr>
    </w:tblStylePr>
    <w:tblStylePr w:type="lastRow">
      <w:pPr>
        <w:spacing w:before="0" w:after="0" w:line="240" w:lineRule="auto"/>
      </w:pPr>
      <w:rPr>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tcBorders>
      </w:tcPr>
    </w:tblStylePr>
    <w:tblStylePr w:type="firstCol">
      <w:rPr>
        <w:b/>
        <w:bCs/>
      </w:rPr>
    </w:tblStylePr>
    <w:tblStylePr w:type="lastCol">
      <w:rPr>
        <w:b/>
        <w:bCs/>
      </w:r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style>
  <w:style w:type="table" w:styleId="LightList-Accent6">
    <w:name w:val="Light List Accent 6"/>
    <w:basedOn w:val="TableNormal"/>
    <w:uiPriority w:val="61"/>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pPr>
        <w:spacing w:before="0" w:after="0" w:line="240" w:lineRule="auto"/>
      </w:pPr>
      <w:rPr>
        <w:b/>
        <w:bCs/>
        <w:color w:val="FFFFFF" w:themeColor="background1"/>
      </w:rPr>
      <w:tblPr/>
      <w:tcPr>
        <w:shd w:val="clear" w:color="auto" w:fill="8A2A2B" w:themeFill="accent6"/>
      </w:tcPr>
    </w:tblStylePr>
    <w:tblStylePr w:type="lastRow">
      <w:pPr>
        <w:spacing w:before="0" w:after="0" w:line="240" w:lineRule="auto"/>
      </w:pPr>
      <w:rPr>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tcBorders>
      </w:tcPr>
    </w:tblStylePr>
    <w:tblStylePr w:type="firstCol">
      <w:rPr>
        <w:b/>
        <w:bCs/>
      </w:rPr>
    </w:tblStylePr>
    <w:tblStylePr w:type="lastCol">
      <w:rPr>
        <w:b/>
        <w:bCs/>
      </w:r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style>
  <w:style w:type="table" w:styleId="LightShading-Accent3">
    <w:name w:val="Light Shading Accent 3"/>
    <w:basedOn w:val="TableNormal"/>
    <w:uiPriority w:val="60"/>
    <w:rsid w:val="00C00568"/>
    <w:pPr>
      <w:spacing w:before="0"/>
    </w:pPr>
    <w:rPr>
      <w:color w:val="4273AA" w:themeColor="accent3" w:themeShade="BF"/>
    </w:rPr>
    <w:tblPr>
      <w:tblStyleRowBandSize w:val="1"/>
      <w:tblStyleColBandSize w:val="1"/>
      <w:tblBorders>
        <w:top w:val="single" w:sz="8" w:space="0" w:color="749CC9" w:themeColor="accent3"/>
        <w:bottom w:val="single" w:sz="8" w:space="0" w:color="749CC9" w:themeColor="accent3"/>
      </w:tblBorders>
    </w:tblPr>
    <w:tblStylePr w:type="fir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la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left w:val="nil"/>
          <w:right w:val="nil"/>
          <w:insideH w:val="nil"/>
          <w:insideV w:val="nil"/>
        </w:tcBorders>
        <w:shd w:val="clear" w:color="auto" w:fill="DCE6F1" w:themeFill="accent3" w:themeFillTint="3F"/>
      </w:tcPr>
    </w:tblStylePr>
  </w:style>
  <w:style w:type="table" w:styleId="LightShading-Accent5">
    <w:name w:val="Light Shading Accent 5"/>
    <w:basedOn w:val="TableNormal"/>
    <w:uiPriority w:val="60"/>
    <w:rsid w:val="00C00568"/>
    <w:pPr>
      <w:spacing w:before="0"/>
    </w:pPr>
    <w:rPr>
      <w:color w:val="0074A6" w:themeColor="accent5" w:themeShade="BF"/>
    </w:rPr>
    <w:tblPr>
      <w:tblStyleRowBandSize w:val="1"/>
      <w:tblStyleColBandSize w:val="1"/>
      <w:tblBorders>
        <w:top w:val="single" w:sz="8" w:space="0" w:color="009CDE" w:themeColor="accent5"/>
        <w:bottom w:val="single" w:sz="8" w:space="0" w:color="009CDE" w:themeColor="accent5"/>
      </w:tblBorders>
    </w:tblPr>
    <w:tblStylePr w:type="fir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la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left w:val="nil"/>
          <w:right w:val="nil"/>
          <w:insideH w:val="nil"/>
          <w:insideV w:val="nil"/>
        </w:tcBorders>
        <w:shd w:val="clear" w:color="auto" w:fill="B7E9FF" w:themeFill="accent5" w:themeFillTint="3F"/>
      </w:tcPr>
    </w:tblStylePr>
  </w:style>
  <w:style w:type="table" w:styleId="LightShading-Accent6">
    <w:name w:val="Light Shading Accent 6"/>
    <w:basedOn w:val="TableNormal"/>
    <w:uiPriority w:val="60"/>
    <w:rsid w:val="00C00568"/>
    <w:pPr>
      <w:spacing w:before="0"/>
    </w:pPr>
    <w:rPr>
      <w:color w:val="671F20" w:themeColor="accent6" w:themeShade="BF"/>
    </w:rPr>
    <w:tblPr>
      <w:tblStyleRowBandSize w:val="1"/>
      <w:tblStyleColBandSize w:val="1"/>
      <w:tblBorders>
        <w:top w:val="single" w:sz="8" w:space="0" w:color="8A2A2B" w:themeColor="accent6"/>
        <w:bottom w:val="single" w:sz="8" w:space="0" w:color="8A2A2B" w:themeColor="accent6"/>
      </w:tblBorders>
    </w:tblPr>
    <w:tblStylePr w:type="fir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la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left w:val="nil"/>
          <w:right w:val="nil"/>
          <w:insideH w:val="nil"/>
          <w:insideV w:val="nil"/>
        </w:tcBorders>
        <w:shd w:val="clear" w:color="auto" w:fill="ECC0C0"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keepLines/>
      <w:ind w:left="566" w:hanging="283"/>
      <w:contextualSpacing/>
    </w:pPr>
    <w:rPr>
      <w:rFonts w:eastAsiaTheme="minorHAnsi" w:cstheme="minorBidi"/>
      <w:szCs w:val="22"/>
    </w:rPr>
  </w:style>
  <w:style w:type="paragraph" w:styleId="List3">
    <w:name w:val="List 3"/>
    <w:basedOn w:val="Normal"/>
    <w:uiPriority w:val="29"/>
    <w:semiHidden/>
    <w:unhideWhenUsed/>
    <w:rsid w:val="00C00568"/>
    <w:pPr>
      <w:keepLines/>
      <w:ind w:left="849" w:hanging="283"/>
      <w:contextualSpacing/>
    </w:pPr>
    <w:rPr>
      <w:rFonts w:eastAsiaTheme="minorHAnsi" w:cstheme="minorBidi"/>
      <w:szCs w:val="22"/>
    </w:rPr>
  </w:style>
  <w:style w:type="paragraph" w:styleId="List4">
    <w:name w:val="List 4"/>
    <w:basedOn w:val="Normal"/>
    <w:uiPriority w:val="29"/>
    <w:semiHidden/>
    <w:unhideWhenUsed/>
    <w:rsid w:val="00C00568"/>
    <w:pPr>
      <w:keepLines/>
      <w:ind w:left="1132" w:hanging="283"/>
      <w:contextualSpacing/>
    </w:pPr>
    <w:rPr>
      <w:rFonts w:eastAsiaTheme="minorHAnsi" w:cstheme="minorBidi"/>
      <w:szCs w:val="22"/>
    </w:rPr>
  </w:style>
  <w:style w:type="paragraph" w:styleId="List5">
    <w:name w:val="List 5"/>
    <w:basedOn w:val="Normal"/>
    <w:uiPriority w:val="29"/>
    <w:semiHidden/>
    <w:unhideWhenUsed/>
    <w:rsid w:val="00C00568"/>
    <w:pPr>
      <w:keepLines/>
      <w:ind w:left="1415" w:hanging="283"/>
      <w:contextualSpacing/>
    </w:pPr>
    <w:rPr>
      <w:rFonts w:eastAsiaTheme="minorHAnsi" w:cstheme="minorBidi"/>
      <w:szCs w:val="22"/>
    </w:r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insideV w:val="single" w:sz="8" w:space="0" w:color="0096FC" w:themeColor="accent1" w:themeTint="BF"/>
      </w:tblBorders>
    </w:tblPr>
    <w:tcPr>
      <w:shd w:val="clear" w:color="auto" w:fill="AADCFF" w:themeFill="accent1" w:themeFillTint="3F"/>
    </w:tcPr>
    <w:tblStylePr w:type="firstRow">
      <w:rPr>
        <w:b/>
        <w:bCs/>
      </w:rPr>
    </w:tblStylePr>
    <w:tblStylePr w:type="lastRow">
      <w:rPr>
        <w:b/>
        <w:bCs/>
      </w:rPr>
      <w:tblPr/>
      <w:tcPr>
        <w:tcBorders>
          <w:top w:val="single" w:sz="18" w:space="0" w:color="0096FC" w:themeColor="accent1" w:themeTint="BF"/>
        </w:tcBorders>
      </w:tcPr>
    </w:tblStylePr>
    <w:tblStylePr w:type="firstCol">
      <w:rPr>
        <w:b/>
        <w:bCs/>
      </w:rPr>
    </w:tblStylePr>
    <w:tblStylePr w:type="lastCol">
      <w:rPr>
        <w:b/>
        <w:bCs/>
      </w:r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MediumGrid1-Accent2">
    <w:name w:val="Medium Grid 1 Accent 2"/>
    <w:basedOn w:val="TableNormal"/>
    <w:uiPriority w:val="67"/>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insideV w:val="single" w:sz="8" w:space="0" w:color="0082DB" w:themeColor="accent2" w:themeTint="BF"/>
      </w:tblBorders>
    </w:tblPr>
    <w:tcPr>
      <w:shd w:val="clear" w:color="auto" w:fill="9FD8FF" w:themeFill="accent2" w:themeFillTint="3F"/>
    </w:tcPr>
    <w:tblStylePr w:type="firstRow">
      <w:rPr>
        <w:b/>
        <w:bCs/>
      </w:rPr>
    </w:tblStylePr>
    <w:tblStylePr w:type="lastRow">
      <w:rPr>
        <w:b/>
        <w:bCs/>
      </w:rPr>
      <w:tblPr/>
      <w:tcPr>
        <w:tcBorders>
          <w:top w:val="single" w:sz="18" w:space="0" w:color="0082DB" w:themeColor="accent2" w:themeTint="BF"/>
        </w:tcBorders>
      </w:tcPr>
    </w:tblStylePr>
    <w:tblStylePr w:type="firstCol">
      <w:rPr>
        <w:b/>
        <w:bCs/>
      </w:rPr>
    </w:tblStylePr>
    <w:tblStylePr w:type="lastCol">
      <w:rPr>
        <w:b/>
        <w:bCs/>
      </w:r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MediumGrid1-Accent3">
    <w:name w:val="Medium Grid 1 Accent 3"/>
    <w:basedOn w:val="TableNormal"/>
    <w:uiPriority w:val="67"/>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insideV w:val="single" w:sz="8" w:space="0" w:color="96B4D6" w:themeColor="accent3" w:themeTint="BF"/>
      </w:tblBorders>
    </w:tblPr>
    <w:tcPr>
      <w:shd w:val="clear" w:color="auto" w:fill="DCE6F1" w:themeFill="accent3" w:themeFillTint="3F"/>
    </w:tcPr>
    <w:tblStylePr w:type="firstRow">
      <w:rPr>
        <w:b/>
        <w:bCs/>
      </w:rPr>
    </w:tblStylePr>
    <w:tblStylePr w:type="lastRow">
      <w:rPr>
        <w:b/>
        <w:bCs/>
      </w:rPr>
      <w:tblPr/>
      <w:tcPr>
        <w:tcBorders>
          <w:top w:val="single" w:sz="18" w:space="0" w:color="96B4D6" w:themeColor="accent3" w:themeTint="BF"/>
        </w:tcBorders>
      </w:tcPr>
    </w:tblStylePr>
    <w:tblStylePr w:type="firstCol">
      <w:rPr>
        <w:b/>
        <w:bCs/>
      </w:rPr>
    </w:tblStylePr>
    <w:tblStylePr w:type="lastCol">
      <w:rPr>
        <w:b/>
        <w:bCs/>
      </w:r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MediumGrid1-Accent4">
    <w:name w:val="Medium Grid 1 Accent 4"/>
    <w:basedOn w:val="TableNormal"/>
    <w:uiPriority w:val="67"/>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insideV w:val="single" w:sz="8" w:space="0" w:color="1B99FF" w:themeColor="accent4" w:themeTint="BF"/>
      </w:tblBorders>
    </w:tblPr>
    <w:tcPr>
      <w:shd w:val="clear" w:color="auto" w:fill="B3DDFF" w:themeFill="accent4" w:themeFillTint="3F"/>
    </w:tcPr>
    <w:tblStylePr w:type="firstRow">
      <w:rPr>
        <w:b/>
        <w:bCs/>
      </w:rPr>
    </w:tblStylePr>
    <w:tblStylePr w:type="lastRow">
      <w:rPr>
        <w:b/>
        <w:bCs/>
      </w:rPr>
      <w:tblPr/>
      <w:tcPr>
        <w:tcBorders>
          <w:top w:val="single" w:sz="18" w:space="0" w:color="1B99FF" w:themeColor="accent4" w:themeTint="BF"/>
        </w:tcBorders>
      </w:tcPr>
    </w:tblStylePr>
    <w:tblStylePr w:type="firstCol">
      <w:rPr>
        <w:b/>
        <w:bCs/>
      </w:rPr>
    </w:tblStylePr>
    <w:tblStylePr w:type="lastCol">
      <w:rPr>
        <w:b/>
        <w:bCs/>
      </w:r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MediumGrid1-Accent5">
    <w:name w:val="Medium Grid 1 Accent 5"/>
    <w:basedOn w:val="TableNormal"/>
    <w:uiPriority w:val="67"/>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insideV w:val="single" w:sz="8" w:space="0" w:color="27BEFF" w:themeColor="accent5" w:themeTint="BF"/>
      </w:tblBorders>
    </w:tblPr>
    <w:tcPr>
      <w:shd w:val="clear" w:color="auto" w:fill="B7E9FF" w:themeFill="accent5" w:themeFillTint="3F"/>
    </w:tcPr>
    <w:tblStylePr w:type="firstRow">
      <w:rPr>
        <w:b/>
        <w:bCs/>
      </w:rPr>
    </w:tblStylePr>
    <w:tblStylePr w:type="lastRow">
      <w:rPr>
        <w:b/>
        <w:bCs/>
      </w:rPr>
      <w:tblPr/>
      <w:tcPr>
        <w:tcBorders>
          <w:top w:val="single" w:sz="18" w:space="0" w:color="27BEFF" w:themeColor="accent5" w:themeTint="BF"/>
        </w:tcBorders>
      </w:tcPr>
    </w:tblStylePr>
    <w:tblStylePr w:type="firstCol">
      <w:rPr>
        <w:b/>
        <w:bCs/>
      </w:rPr>
    </w:tblStylePr>
    <w:tblStylePr w:type="lastCol">
      <w:rPr>
        <w:b/>
        <w:bCs/>
      </w:r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MediumGrid1-Accent6">
    <w:name w:val="Medium Grid 1 Accent 6"/>
    <w:basedOn w:val="TableNormal"/>
    <w:uiPriority w:val="67"/>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insideV w:val="single" w:sz="8" w:space="0" w:color="C54142" w:themeColor="accent6" w:themeTint="BF"/>
      </w:tblBorders>
    </w:tblPr>
    <w:tcPr>
      <w:shd w:val="clear" w:color="auto" w:fill="ECC0C0" w:themeFill="accent6" w:themeFillTint="3F"/>
    </w:tcPr>
    <w:tblStylePr w:type="firstRow">
      <w:rPr>
        <w:b/>
        <w:bCs/>
      </w:rPr>
    </w:tblStylePr>
    <w:tblStylePr w:type="lastRow">
      <w:rPr>
        <w:b/>
        <w:bCs/>
      </w:rPr>
      <w:tblPr/>
      <w:tcPr>
        <w:tcBorders>
          <w:top w:val="single" w:sz="18" w:space="0" w:color="C54142" w:themeColor="accent6" w:themeTint="BF"/>
        </w:tcBorders>
      </w:tcPr>
    </w:tblStylePr>
    <w:tblStylePr w:type="firstCol">
      <w:rPr>
        <w:b/>
        <w:bCs/>
      </w:rPr>
    </w:tblStylePr>
    <w:tblStylePr w:type="lastCol">
      <w:rPr>
        <w:b/>
        <w:bCs/>
      </w:r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MediumGrid2">
    <w:name w:val="Medium Grid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cPr>
      <w:shd w:val="clear" w:color="auto" w:fill="AADC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1" w:themeFillTint="33"/>
      </w:tcPr>
    </w:tblStylePr>
    <w:tblStylePr w:type="band1Vert">
      <w:tblPr/>
      <w:tcPr>
        <w:shd w:val="clear" w:color="auto" w:fill="53B9FF" w:themeFill="accent1" w:themeFillTint="7F"/>
      </w:tcPr>
    </w:tblStylePr>
    <w:tblStylePr w:type="band1Horz">
      <w:tblPr/>
      <w:tcPr>
        <w:tcBorders>
          <w:insideH w:val="single" w:sz="6" w:space="0" w:color="0063A6" w:themeColor="accent1"/>
          <w:insideV w:val="single" w:sz="6" w:space="0" w:color="0063A6" w:themeColor="accent1"/>
        </w:tcBorders>
        <w:shd w:val="clear" w:color="auto" w:fill="53B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cPr>
      <w:shd w:val="clear" w:color="auto" w:fill="9FD8FF" w:themeFill="accent2" w:themeFillTint="3F"/>
    </w:tcPr>
    <w:tblStylePr w:type="firstRow">
      <w:rPr>
        <w:b/>
        <w:bCs/>
        <w:color w:val="000000" w:themeColor="text1"/>
      </w:rPr>
      <w:tblPr/>
      <w:tcPr>
        <w:shd w:val="clear" w:color="auto" w:fill="D8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FFF" w:themeFill="accent2" w:themeFillTint="33"/>
      </w:tcPr>
    </w:tblStylePr>
    <w:tblStylePr w:type="band1Vert">
      <w:tblPr/>
      <w:tcPr>
        <w:shd w:val="clear" w:color="auto" w:fill="3DB0FF" w:themeFill="accent2" w:themeFillTint="7F"/>
      </w:tcPr>
    </w:tblStylePr>
    <w:tblStylePr w:type="band1Horz">
      <w:tblPr/>
      <w:tcPr>
        <w:tcBorders>
          <w:insideH w:val="single" w:sz="6" w:space="0" w:color="00497A" w:themeColor="accent2"/>
          <w:insideV w:val="single" w:sz="6" w:space="0" w:color="00497A" w:themeColor="accent2"/>
        </w:tcBorders>
        <w:shd w:val="clear" w:color="auto" w:fill="3DB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cPr>
      <w:shd w:val="clear" w:color="auto" w:fill="DCE6F1" w:themeFill="accent3" w:themeFillTint="3F"/>
    </w:tcPr>
    <w:tblStylePr w:type="firstRow">
      <w:rPr>
        <w:b/>
        <w:bCs/>
        <w:color w:val="000000" w:themeColor="text1"/>
      </w:rPr>
      <w:tblPr/>
      <w:tcPr>
        <w:shd w:val="clear" w:color="auto" w:fill="F1F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BF4" w:themeFill="accent3" w:themeFillTint="33"/>
      </w:tcPr>
    </w:tblStylePr>
    <w:tblStylePr w:type="band1Vert">
      <w:tblPr/>
      <w:tcPr>
        <w:shd w:val="clear" w:color="auto" w:fill="B9CDE4" w:themeFill="accent3" w:themeFillTint="7F"/>
      </w:tcPr>
    </w:tblStylePr>
    <w:tblStylePr w:type="band1Horz">
      <w:tblPr/>
      <w:tcPr>
        <w:tcBorders>
          <w:insideH w:val="single" w:sz="6" w:space="0" w:color="749CC9" w:themeColor="accent3"/>
          <w:insideV w:val="single" w:sz="6" w:space="0" w:color="749CC9" w:themeColor="accent3"/>
        </w:tcBorders>
        <w:shd w:val="clear" w:color="auto" w:fill="B9C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cPr>
      <w:shd w:val="clear" w:color="auto" w:fill="B3DDFF" w:themeFill="accent4" w:themeFillTint="3F"/>
    </w:tcPr>
    <w:tblStylePr w:type="firstRow">
      <w:rPr>
        <w:b/>
        <w:bCs/>
        <w:color w:val="000000" w:themeColor="text1"/>
      </w:rPr>
      <w:tblPr/>
      <w:tcPr>
        <w:shd w:val="clear" w:color="auto" w:fill="E1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4" w:themeFillTint="33"/>
      </w:tcPr>
    </w:tblStylePr>
    <w:tblStylePr w:type="band1Vert">
      <w:tblPr/>
      <w:tcPr>
        <w:shd w:val="clear" w:color="auto" w:fill="67BBFF" w:themeFill="accent4" w:themeFillTint="7F"/>
      </w:tcPr>
    </w:tblStylePr>
    <w:tblStylePr w:type="band1Horz">
      <w:tblPr/>
      <w:tcPr>
        <w:tcBorders>
          <w:insideH w:val="single" w:sz="6" w:space="0" w:color="0072CE" w:themeColor="accent4"/>
          <w:insideV w:val="single" w:sz="6" w:space="0" w:color="0072CE" w:themeColor="accent4"/>
        </w:tcBorders>
        <w:shd w:val="clear" w:color="auto" w:fill="67B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cPr>
      <w:shd w:val="clear" w:color="auto" w:fill="B7E9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5" w:themeFillTint="33"/>
      </w:tcPr>
    </w:tblStylePr>
    <w:tblStylePr w:type="band1Vert">
      <w:tblPr/>
      <w:tcPr>
        <w:shd w:val="clear" w:color="auto" w:fill="6FD4FF" w:themeFill="accent5" w:themeFillTint="7F"/>
      </w:tcPr>
    </w:tblStylePr>
    <w:tblStylePr w:type="band1Horz">
      <w:tblPr/>
      <w:tcPr>
        <w:tcBorders>
          <w:insideH w:val="single" w:sz="6" w:space="0" w:color="009CDE" w:themeColor="accent5"/>
          <w:insideV w:val="single" w:sz="6" w:space="0" w:color="009CDE" w:themeColor="accent5"/>
        </w:tcBorders>
        <w:shd w:val="clear" w:color="auto" w:fill="6FD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cPr>
      <w:shd w:val="clear" w:color="auto" w:fill="ECC0C0" w:themeFill="accent6" w:themeFillTint="3F"/>
    </w:tcPr>
    <w:tblStylePr w:type="firstRow">
      <w:rPr>
        <w:b/>
        <w:bCs/>
        <w:color w:val="000000" w:themeColor="text1"/>
      </w:rPr>
      <w:tblPr/>
      <w:tcPr>
        <w:shd w:val="clear" w:color="auto" w:fill="F7E5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CCC" w:themeFill="accent6" w:themeFillTint="33"/>
      </w:tcPr>
    </w:tblStylePr>
    <w:tblStylePr w:type="band1Vert">
      <w:tblPr/>
      <w:tcPr>
        <w:shd w:val="clear" w:color="auto" w:fill="D88081" w:themeFill="accent6" w:themeFillTint="7F"/>
      </w:tcPr>
    </w:tblStylePr>
    <w:tblStylePr w:type="band1Horz">
      <w:tblPr/>
      <w:tcPr>
        <w:tcBorders>
          <w:insideH w:val="single" w:sz="6" w:space="0" w:color="8A2A2B" w:themeColor="accent6"/>
          <w:insideV w:val="single" w:sz="6" w:space="0" w:color="8A2A2B" w:themeColor="accent6"/>
        </w:tcBorders>
        <w:shd w:val="clear" w:color="auto" w:fill="D8808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9FF" w:themeFill="accent1" w:themeFillTint="7F"/>
      </w:tcPr>
    </w:tblStylePr>
  </w:style>
  <w:style w:type="table" w:styleId="MediumGrid3-Accent2">
    <w:name w:val="Medium Grid 3 Accent 2"/>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B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B0FF" w:themeFill="accent2" w:themeFillTint="7F"/>
      </w:tcPr>
    </w:tblStylePr>
  </w:style>
  <w:style w:type="table" w:styleId="MediumGrid3-Accent3">
    <w:name w:val="Medium Grid 3 Accent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9C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9C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E4" w:themeFill="accent3" w:themeFillTint="7F"/>
      </w:tcPr>
    </w:tblStylePr>
  </w:style>
  <w:style w:type="table" w:styleId="MediumGrid3-Accent4">
    <w:name w:val="Medium Grid 3 Accent 4"/>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4" w:themeFillTint="7F"/>
      </w:tcPr>
    </w:tblStylePr>
  </w:style>
  <w:style w:type="table" w:styleId="MediumGrid3-Accent5">
    <w:name w:val="Medium Grid 3 Accent 5"/>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4FF" w:themeFill="accent5" w:themeFillTint="7F"/>
      </w:tcPr>
    </w:tblStylePr>
  </w:style>
  <w:style w:type="table" w:styleId="MediumGrid3-Accent6">
    <w:name w:val="Medium Grid 3 Accent 6"/>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A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A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0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081" w:themeFill="accent6" w:themeFillTint="7F"/>
      </w:tcPr>
    </w:tblStylePr>
  </w:style>
  <w:style w:type="table" w:styleId="MediumList1">
    <w:name w:val="Medium List 1"/>
    <w:basedOn w:val="TableNormal"/>
    <w:uiPriority w:val="65"/>
    <w:rsid w:val="00C00568"/>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pPr>
      <w:spacing w:before="0"/>
    </w:pPr>
    <w:rPr>
      <w:color w:val="000000" w:themeColor="text1"/>
    </w:rPr>
    <w:tblPr>
      <w:tblStyleRowBandSize w:val="1"/>
      <w:tblStyleColBandSize w:val="1"/>
      <w:tblBorders>
        <w:top w:val="single" w:sz="8" w:space="0" w:color="0063A6" w:themeColor="accent1"/>
        <w:bottom w:val="single" w:sz="8" w:space="0" w:color="0063A6" w:themeColor="accent1"/>
      </w:tblBorders>
    </w:tblPr>
    <w:tblStylePr w:type="firstRow">
      <w:rPr>
        <w:rFonts w:asciiTheme="majorHAnsi" w:eastAsiaTheme="majorEastAsia" w:hAnsiTheme="majorHAnsi" w:cstheme="majorBidi"/>
      </w:rPr>
      <w:tblPr/>
      <w:tcPr>
        <w:tcBorders>
          <w:top w:val="nil"/>
          <w:bottom w:val="single" w:sz="8" w:space="0" w:color="0063A6" w:themeColor="accent1"/>
        </w:tcBorders>
      </w:tcPr>
    </w:tblStylePr>
    <w:tblStylePr w:type="lastRow">
      <w:rPr>
        <w:b/>
        <w:bCs/>
        <w:color w:val="201547" w:themeColor="text2"/>
      </w:rPr>
      <w:tblPr/>
      <w:tcPr>
        <w:tcBorders>
          <w:top w:val="single" w:sz="8" w:space="0" w:color="0063A6" w:themeColor="accent1"/>
          <w:bottom w:val="single" w:sz="8" w:space="0" w:color="0063A6" w:themeColor="accent1"/>
        </w:tcBorders>
      </w:tcPr>
    </w:tblStylePr>
    <w:tblStylePr w:type="firstCol">
      <w:rPr>
        <w:b/>
        <w:bCs/>
      </w:rPr>
    </w:tblStylePr>
    <w:tblStylePr w:type="lastCol">
      <w:rPr>
        <w:b/>
        <w:bCs/>
      </w:rPr>
      <w:tblPr/>
      <w:tcPr>
        <w:tcBorders>
          <w:top w:val="single" w:sz="8" w:space="0" w:color="0063A6" w:themeColor="accent1"/>
          <w:bottom w:val="single" w:sz="8" w:space="0" w:color="0063A6" w:themeColor="accent1"/>
        </w:tcBorders>
      </w:tcPr>
    </w:tblStylePr>
    <w:tblStylePr w:type="band1Vert">
      <w:tblPr/>
      <w:tcPr>
        <w:shd w:val="clear" w:color="auto" w:fill="AADCFF" w:themeFill="accent1" w:themeFillTint="3F"/>
      </w:tcPr>
    </w:tblStylePr>
    <w:tblStylePr w:type="band1Horz">
      <w:tblPr/>
      <w:tcPr>
        <w:shd w:val="clear" w:color="auto" w:fill="AADCFF" w:themeFill="accent1" w:themeFillTint="3F"/>
      </w:tcPr>
    </w:tblStylePr>
  </w:style>
  <w:style w:type="table" w:styleId="MediumList1-Accent2">
    <w:name w:val="Medium List 1 Accent 2"/>
    <w:basedOn w:val="TableNormal"/>
    <w:uiPriority w:val="65"/>
    <w:rsid w:val="00C00568"/>
    <w:pPr>
      <w:spacing w:before="0"/>
    </w:pPr>
    <w:rPr>
      <w:color w:val="000000" w:themeColor="text1"/>
    </w:rPr>
    <w:tblPr>
      <w:tblStyleRowBandSize w:val="1"/>
      <w:tblStyleColBandSize w:val="1"/>
      <w:tblBorders>
        <w:top w:val="single" w:sz="8" w:space="0" w:color="00497A" w:themeColor="accent2"/>
        <w:bottom w:val="single" w:sz="8" w:space="0" w:color="00497A" w:themeColor="accent2"/>
      </w:tblBorders>
    </w:tblPr>
    <w:tblStylePr w:type="firstRow">
      <w:rPr>
        <w:rFonts w:asciiTheme="majorHAnsi" w:eastAsiaTheme="majorEastAsia" w:hAnsiTheme="majorHAnsi" w:cstheme="majorBidi"/>
      </w:rPr>
      <w:tblPr/>
      <w:tcPr>
        <w:tcBorders>
          <w:top w:val="nil"/>
          <w:bottom w:val="single" w:sz="8" w:space="0" w:color="00497A" w:themeColor="accent2"/>
        </w:tcBorders>
      </w:tcPr>
    </w:tblStylePr>
    <w:tblStylePr w:type="lastRow">
      <w:rPr>
        <w:b/>
        <w:bCs/>
        <w:color w:val="201547" w:themeColor="text2"/>
      </w:rPr>
      <w:tblPr/>
      <w:tcPr>
        <w:tcBorders>
          <w:top w:val="single" w:sz="8" w:space="0" w:color="00497A" w:themeColor="accent2"/>
          <w:bottom w:val="single" w:sz="8" w:space="0" w:color="00497A" w:themeColor="accent2"/>
        </w:tcBorders>
      </w:tcPr>
    </w:tblStylePr>
    <w:tblStylePr w:type="firstCol">
      <w:rPr>
        <w:b/>
        <w:bCs/>
      </w:rPr>
    </w:tblStylePr>
    <w:tblStylePr w:type="lastCol">
      <w:rPr>
        <w:b/>
        <w:bCs/>
      </w:rPr>
      <w:tblPr/>
      <w:tcPr>
        <w:tcBorders>
          <w:top w:val="single" w:sz="8" w:space="0" w:color="00497A" w:themeColor="accent2"/>
          <w:bottom w:val="single" w:sz="8" w:space="0" w:color="00497A" w:themeColor="accent2"/>
        </w:tcBorders>
      </w:tcPr>
    </w:tblStylePr>
    <w:tblStylePr w:type="band1Vert">
      <w:tblPr/>
      <w:tcPr>
        <w:shd w:val="clear" w:color="auto" w:fill="9FD8FF" w:themeFill="accent2" w:themeFillTint="3F"/>
      </w:tcPr>
    </w:tblStylePr>
    <w:tblStylePr w:type="band1Horz">
      <w:tblPr/>
      <w:tcPr>
        <w:shd w:val="clear" w:color="auto" w:fill="9FD8FF" w:themeFill="accent2" w:themeFillTint="3F"/>
      </w:tcPr>
    </w:tblStylePr>
  </w:style>
  <w:style w:type="table" w:styleId="MediumList1-Accent3">
    <w:name w:val="Medium List 1 Accent 3"/>
    <w:basedOn w:val="TableNormal"/>
    <w:uiPriority w:val="65"/>
    <w:rsid w:val="00C00568"/>
    <w:pPr>
      <w:spacing w:before="0"/>
    </w:pPr>
    <w:rPr>
      <w:color w:val="000000" w:themeColor="text1"/>
    </w:rPr>
    <w:tblPr>
      <w:tblStyleRowBandSize w:val="1"/>
      <w:tblStyleColBandSize w:val="1"/>
      <w:tblBorders>
        <w:top w:val="single" w:sz="8" w:space="0" w:color="749CC9" w:themeColor="accent3"/>
        <w:bottom w:val="single" w:sz="8" w:space="0" w:color="749CC9" w:themeColor="accent3"/>
      </w:tblBorders>
    </w:tblPr>
    <w:tblStylePr w:type="firstRow">
      <w:rPr>
        <w:rFonts w:asciiTheme="majorHAnsi" w:eastAsiaTheme="majorEastAsia" w:hAnsiTheme="majorHAnsi" w:cstheme="majorBidi"/>
      </w:rPr>
      <w:tblPr/>
      <w:tcPr>
        <w:tcBorders>
          <w:top w:val="nil"/>
          <w:bottom w:val="single" w:sz="8" w:space="0" w:color="749CC9" w:themeColor="accent3"/>
        </w:tcBorders>
      </w:tcPr>
    </w:tblStylePr>
    <w:tblStylePr w:type="lastRow">
      <w:rPr>
        <w:b/>
        <w:bCs/>
        <w:color w:val="201547" w:themeColor="text2"/>
      </w:rPr>
      <w:tblPr/>
      <w:tcPr>
        <w:tcBorders>
          <w:top w:val="single" w:sz="8" w:space="0" w:color="749CC9" w:themeColor="accent3"/>
          <w:bottom w:val="single" w:sz="8" w:space="0" w:color="749CC9" w:themeColor="accent3"/>
        </w:tcBorders>
      </w:tcPr>
    </w:tblStylePr>
    <w:tblStylePr w:type="firstCol">
      <w:rPr>
        <w:b/>
        <w:bCs/>
      </w:rPr>
    </w:tblStylePr>
    <w:tblStylePr w:type="lastCol">
      <w:rPr>
        <w:b/>
        <w:bCs/>
      </w:rPr>
      <w:tblPr/>
      <w:tcPr>
        <w:tcBorders>
          <w:top w:val="single" w:sz="8" w:space="0" w:color="749CC9" w:themeColor="accent3"/>
          <w:bottom w:val="single" w:sz="8" w:space="0" w:color="749CC9" w:themeColor="accent3"/>
        </w:tcBorders>
      </w:tcPr>
    </w:tblStylePr>
    <w:tblStylePr w:type="band1Vert">
      <w:tblPr/>
      <w:tcPr>
        <w:shd w:val="clear" w:color="auto" w:fill="DCE6F1" w:themeFill="accent3" w:themeFillTint="3F"/>
      </w:tcPr>
    </w:tblStylePr>
    <w:tblStylePr w:type="band1Horz">
      <w:tblPr/>
      <w:tcPr>
        <w:shd w:val="clear" w:color="auto" w:fill="DCE6F1" w:themeFill="accent3" w:themeFillTint="3F"/>
      </w:tcPr>
    </w:tblStylePr>
  </w:style>
  <w:style w:type="table" w:styleId="MediumList1-Accent4">
    <w:name w:val="Medium List 1 Accent 4"/>
    <w:basedOn w:val="TableNormal"/>
    <w:uiPriority w:val="65"/>
    <w:rsid w:val="00C00568"/>
    <w:pPr>
      <w:spacing w:before="0"/>
    </w:pPr>
    <w:rPr>
      <w:color w:val="000000" w:themeColor="text1"/>
    </w:rPr>
    <w:tblPr>
      <w:tblStyleRowBandSize w:val="1"/>
      <w:tblStyleColBandSize w:val="1"/>
      <w:tblBorders>
        <w:top w:val="single" w:sz="8" w:space="0" w:color="0072CE" w:themeColor="accent4"/>
        <w:bottom w:val="single" w:sz="8" w:space="0" w:color="0072CE" w:themeColor="accent4"/>
      </w:tblBorders>
    </w:tblPr>
    <w:tblStylePr w:type="firstRow">
      <w:rPr>
        <w:rFonts w:asciiTheme="majorHAnsi" w:eastAsiaTheme="majorEastAsia" w:hAnsiTheme="majorHAnsi" w:cstheme="majorBidi"/>
      </w:rPr>
      <w:tblPr/>
      <w:tcPr>
        <w:tcBorders>
          <w:top w:val="nil"/>
          <w:bottom w:val="single" w:sz="8" w:space="0" w:color="0072CE" w:themeColor="accent4"/>
        </w:tcBorders>
      </w:tcPr>
    </w:tblStylePr>
    <w:tblStylePr w:type="lastRow">
      <w:rPr>
        <w:b/>
        <w:bCs/>
        <w:color w:val="201547" w:themeColor="text2"/>
      </w:rPr>
      <w:tblPr/>
      <w:tcPr>
        <w:tcBorders>
          <w:top w:val="single" w:sz="8" w:space="0" w:color="0072CE" w:themeColor="accent4"/>
          <w:bottom w:val="single" w:sz="8" w:space="0" w:color="0072CE" w:themeColor="accent4"/>
        </w:tcBorders>
      </w:tcPr>
    </w:tblStylePr>
    <w:tblStylePr w:type="firstCol">
      <w:rPr>
        <w:b/>
        <w:bCs/>
      </w:rPr>
    </w:tblStylePr>
    <w:tblStylePr w:type="lastCol">
      <w:rPr>
        <w:b/>
        <w:bCs/>
      </w:rPr>
      <w:tblPr/>
      <w:tcPr>
        <w:tcBorders>
          <w:top w:val="single" w:sz="8" w:space="0" w:color="0072CE" w:themeColor="accent4"/>
          <w:bottom w:val="single" w:sz="8" w:space="0" w:color="0072CE" w:themeColor="accent4"/>
        </w:tcBorders>
      </w:tcPr>
    </w:tblStylePr>
    <w:tblStylePr w:type="band1Vert">
      <w:tblPr/>
      <w:tcPr>
        <w:shd w:val="clear" w:color="auto" w:fill="B3DDFF" w:themeFill="accent4" w:themeFillTint="3F"/>
      </w:tcPr>
    </w:tblStylePr>
    <w:tblStylePr w:type="band1Horz">
      <w:tblPr/>
      <w:tcPr>
        <w:shd w:val="clear" w:color="auto" w:fill="B3DDFF" w:themeFill="accent4" w:themeFillTint="3F"/>
      </w:tcPr>
    </w:tblStylePr>
  </w:style>
  <w:style w:type="table" w:styleId="MediumList1-Accent5">
    <w:name w:val="Medium List 1 Accent 5"/>
    <w:basedOn w:val="TableNormal"/>
    <w:uiPriority w:val="65"/>
    <w:rsid w:val="00C00568"/>
    <w:pPr>
      <w:spacing w:before="0"/>
    </w:pPr>
    <w:rPr>
      <w:color w:val="000000" w:themeColor="text1"/>
    </w:rPr>
    <w:tblPr>
      <w:tblStyleRowBandSize w:val="1"/>
      <w:tblStyleColBandSize w:val="1"/>
      <w:tblBorders>
        <w:top w:val="single" w:sz="8" w:space="0" w:color="009CDE" w:themeColor="accent5"/>
        <w:bottom w:val="single" w:sz="8" w:space="0" w:color="009CDE" w:themeColor="accent5"/>
      </w:tblBorders>
    </w:tblPr>
    <w:tblStylePr w:type="firstRow">
      <w:rPr>
        <w:rFonts w:asciiTheme="majorHAnsi" w:eastAsiaTheme="majorEastAsia" w:hAnsiTheme="majorHAnsi" w:cstheme="majorBidi"/>
      </w:rPr>
      <w:tblPr/>
      <w:tcPr>
        <w:tcBorders>
          <w:top w:val="nil"/>
          <w:bottom w:val="single" w:sz="8" w:space="0" w:color="009CDE" w:themeColor="accent5"/>
        </w:tcBorders>
      </w:tcPr>
    </w:tblStylePr>
    <w:tblStylePr w:type="lastRow">
      <w:rPr>
        <w:b/>
        <w:bCs/>
        <w:color w:val="201547" w:themeColor="text2"/>
      </w:rPr>
      <w:tblPr/>
      <w:tcPr>
        <w:tcBorders>
          <w:top w:val="single" w:sz="8" w:space="0" w:color="009CDE" w:themeColor="accent5"/>
          <w:bottom w:val="single" w:sz="8" w:space="0" w:color="009CDE" w:themeColor="accent5"/>
        </w:tcBorders>
      </w:tcPr>
    </w:tblStylePr>
    <w:tblStylePr w:type="firstCol">
      <w:rPr>
        <w:b/>
        <w:bCs/>
      </w:rPr>
    </w:tblStylePr>
    <w:tblStylePr w:type="lastCol">
      <w:rPr>
        <w:b/>
        <w:bCs/>
      </w:rPr>
      <w:tblPr/>
      <w:tcPr>
        <w:tcBorders>
          <w:top w:val="single" w:sz="8" w:space="0" w:color="009CDE" w:themeColor="accent5"/>
          <w:bottom w:val="single" w:sz="8" w:space="0" w:color="009CDE" w:themeColor="accent5"/>
        </w:tcBorders>
      </w:tcPr>
    </w:tblStylePr>
    <w:tblStylePr w:type="band1Vert">
      <w:tblPr/>
      <w:tcPr>
        <w:shd w:val="clear" w:color="auto" w:fill="B7E9FF" w:themeFill="accent5" w:themeFillTint="3F"/>
      </w:tcPr>
    </w:tblStylePr>
    <w:tblStylePr w:type="band1Horz">
      <w:tblPr/>
      <w:tcPr>
        <w:shd w:val="clear" w:color="auto" w:fill="B7E9FF" w:themeFill="accent5" w:themeFillTint="3F"/>
      </w:tcPr>
    </w:tblStylePr>
  </w:style>
  <w:style w:type="table" w:styleId="MediumList1-Accent6">
    <w:name w:val="Medium List 1 Accent 6"/>
    <w:basedOn w:val="TableNormal"/>
    <w:uiPriority w:val="65"/>
    <w:rsid w:val="00C00568"/>
    <w:pPr>
      <w:spacing w:before="0"/>
    </w:pPr>
    <w:rPr>
      <w:color w:val="000000" w:themeColor="text1"/>
    </w:rPr>
    <w:tblPr>
      <w:tblStyleRowBandSize w:val="1"/>
      <w:tblStyleColBandSize w:val="1"/>
      <w:tblBorders>
        <w:top w:val="single" w:sz="8" w:space="0" w:color="8A2A2B" w:themeColor="accent6"/>
        <w:bottom w:val="single" w:sz="8" w:space="0" w:color="8A2A2B" w:themeColor="accent6"/>
      </w:tblBorders>
    </w:tblPr>
    <w:tblStylePr w:type="firstRow">
      <w:rPr>
        <w:rFonts w:asciiTheme="majorHAnsi" w:eastAsiaTheme="majorEastAsia" w:hAnsiTheme="majorHAnsi" w:cstheme="majorBidi"/>
      </w:rPr>
      <w:tblPr/>
      <w:tcPr>
        <w:tcBorders>
          <w:top w:val="nil"/>
          <w:bottom w:val="single" w:sz="8" w:space="0" w:color="8A2A2B" w:themeColor="accent6"/>
        </w:tcBorders>
      </w:tcPr>
    </w:tblStylePr>
    <w:tblStylePr w:type="lastRow">
      <w:rPr>
        <w:b/>
        <w:bCs/>
        <w:color w:val="201547" w:themeColor="text2"/>
      </w:rPr>
      <w:tblPr/>
      <w:tcPr>
        <w:tcBorders>
          <w:top w:val="single" w:sz="8" w:space="0" w:color="8A2A2B" w:themeColor="accent6"/>
          <w:bottom w:val="single" w:sz="8" w:space="0" w:color="8A2A2B" w:themeColor="accent6"/>
        </w:tcBorders>
      </w:tcPr>
    </w:tblStylePr>
    <w:tblStylePr w:type="firstCol">
      <w:rPr>
        <w:b/>
        <w:bCs/>
      </w:rPr>
    </w:tblStylePr>
    <w:tblStylePr w:type="lastCol">
      <w:rPr>
        <w:b/>
        <w:bCs/>
      </w:rPr>
      <w:tblPr/>
      <w:tcPr>
        <w:tcBorders>
          <w:top w:val="single" w:sz="8" w:space="0" w:color="8A2A2B" w:themeColor="accent6"/>
          <w:bottom w:val="single" w:sz="8" w:space="0" w:color="8A2A2B" w:themeColor="accent6"/>
        </w:tcBorders>
      </w:tcPr>
    </w:tblStylePr>
    <w:tblStylePr w:type="band1Vert">
      <w:tblPr/>
      <w:tcPr>
        <w:shd w:val="clear" w:color="auto" w:fill="ECC0C0" w:themeFill="accent6" w:themeFillTint="3F"/>
      </w:tcPr>
    </w:tblStylePr>
    <w:tblStylePr w:type="band1Horz">
      <w:tblPr/>
      <w:tcPr>
        <w:shd w:val="clear" w:color="auto" w:fill="ECC0C0" w:themeFill="accent6" w:themeFillTint="3F"/>
      </w:tcPr>
    </w:tblStylePr>
  </w:style>
  <w:style w:type="table" w:styleId="MediumList2">
    <w:name w:val="Medium Lis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rPr>
        <w:sz w:val="24"/>
        <w:szCs w:val="24"/>
      </w:rPr>
      <w:tblPr/>
      <w:tcPr>
        <w:tcBorders>
          <w:top w:val="nil"/>
          <w:left w:val="nil"/>
          <w:bottom w:val="single" w:sz="24" w:space="0" w:color="0063A6" w:themeColor="accent1"/>
          <w:right w:val="nil"/>
          <w:insideH w:val="nil"/>
          <w:insideV w:val="nil"/>
        </w:tcBorders>
        <w:shd w:val="clear" w:color="auto" w:fill="FFFFFF" w:themeFill="background1"/>
      </w:tcPr>
    </w:tblStylePr>
    <w:tblStylePr w:type="lastRow">
      <w:tblPr/>
      <w:tcPr>
        <w:tcBorders>
          <w:top w:val="single" w:sz="8" w:space="0" w:color="0063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6" w:themeColor="accent1"/>
          <w:insideH w:val="nil"/>
          <w:insideV w:val="nil"/>
        </w:tcBorders>
        <w:shd w:val="clear" w:color="auto" w:fill="FFFFFF" w:themeFill="background1"/>
      </w:tcPr>
    </w:tblStylePr>
    <w:tblStylePr w:type="lastCol">
      <w:tblPr/>
      <w:tcPr>
        <w:tcBorders>
          <w:top w:val="nil"/>
          <w:left w:val="single" w:sz="8" w:space="0" w:color="0063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top w:val="nil"/>
          <w:bottom w:val="nil"/>
          <w:insideH w:val="nil"/>
          <w:insideV w:val="nil"/>
        </w:tcBorders>
        <w:shd w:val="clear" w:color="auto" w:fill="AAD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rPr>
        <w:sz w:val="24"/>
        <w:szCs w:val="24"/>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tblPr/>
      <w:tcPr>
        <w:tcBorders>
          <w:top w:val="single" w:sz="8" w:space="0" w:color="0049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A" w:themeColor="accent2"/>
          <w:insideH w:val="nil"/>
          <w:insideV w:val="nil"/>
        </w:tcBorders>
        <w:shd w:val="clear" w:color="auto" w:fill="FFFFFF" w:themeFill="background1"/>
      </w:tcPr>
    </w:tblStylePr>
    <w:tblStylePr w:type="lastCol">
      <w:tblPr/>
      <w:tcPr>
        <w:tcBorders>
          <w:top w:val="nil"/>
          <w:left w:val="single" w:sz="8" w:space="0" w:color="0049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top w:val="nil"/>
          <w:bottom w:val="nil"/>
          <w:insideH w:val="nil"/>
          <w:insideV w:val="nil"/>
        </w:tcBorders>
        <w:shd w:val="clear" w:color="auto" w:fill="9FD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rPr>
        <w:sz w:val="24"/>
        <w:szCs w:val="24"/>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tblPr/>
      <w:tcPr>
        <w:tcBorders>
          <w:top w:val="single" w:sz="8" w:space="0" w:color="749C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CC9" w:themeColor="accent3"/>
          <w:insideH w:val="nil"/>
          <w:insideV w:val="nil"/>
        </w:tcBorders>
        <w:shd w:val="clear" w:color="auto" w:fill="FFFFFF" w:themeFill="background1"/>
      </w:tcPr>
    </w:tblStylePr>
    <w:tblStylePr w:type="lastCol">
      <w:tblPr/>
      <w:tcPr>
        <w:tcBorders>
          <w:top w:val="nil"/>
          <w:left w:val="single" w:sz="8" w:space="0" w:color="749C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top w:val="nil"/>
          <w:bottom w:val="nil"/>
          <w:insideH w:val="nil"/>
          <w:insideV w:val="nil"/>
        </w:tcBorders>
        <w:shd w:val="clear" w:color="auto" w:fill="DCE6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rPr>
        <w:sz w:val="24"/>
        <w:szCs w:val="24"/>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tblPr/>
      <w:tcPr>
        <w:tcBorders>
          <w:top w:val="single" w:sz="8" w:space="0" w:color="0072C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4"/>
          <w:insideH w:val="nil"/>
          <w:insideV w:val="nil"/>
        </w:tcBorders>
        <w:shd w:val="clear" w:color="auto" w:fill="FFFFFF" w:themeFill="background1"/>
      </w:tcPr>
    </w:tblStylePr>
    <w:tblStylePr w:type="lastCol">
      <w:tblPr/>
      <w:tcPr>
        <w:tcBorders>
          <w:top w:val="nil"/>
          <w:left w:val="single" w:sz="8" w:space="0" w:color="0072C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top w:val="nil"/>
          <w:bottom w:val="nil"/>
          <w:insideH w:val="nil"/>
          <w:insideV w:val="nil"/>
        </w:tcBorders>
        <w:shd w:val="clear" w:color="auto" w:fill="B3D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rPr>
        <w:sz w:val="24"/>
        <w:szCs w:val="24"/>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tblPr/>
      <w:tcPr>
        <w:tcBorders>
          <w:top w:val="single" w:sz="8" w:space="0" w:color="009C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E" w:themeColor="accent5"/>
          <w:insideH w:val="nil"/>
          <w:insideV w:val="nil"/>
        </w:tcBorders>
        <w:shd w:val="clear" w:color="auto" w:fill="FFFFFF" w:themeFill="background1"/>
      </w:tcPr>
    </w:tblStylePr>
    <w:tblStylePr w:type="lastCol">
      <w:tblPr/>
      <w:tcPr>
        <w:tcBorders>
          <w:top w:val="nil"/>
          <w:left w:val="single" w:sz="8" w:space="0" w:color="009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top w:val="nil"/>
          <w:bottom w:val="nil"/>
          <w:insideH w:val="nil"/>
          <w:insideV w:val="nil"/>
        </w:tcBorders>
        <w:shd w:val="clear" w:color="auto" w:fill="B7E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rPr>
        <w:sz w:val="24"/>
        <w:szCs w:val="24"/>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tblPr/>
      <w:tcPr>
        <w:tcBorders>
          <w:top w:val="single" w:sz="8" w:space="0" w:color="8A2A2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A2B" w:themeColor="accent6"/>
          <w:insideH w:val="nil"/>
          <w:insideV w:val="nil"/>
        </w:tcBorders>
        <w:shd w:val="clear" w:color="auto" w:fill="FFFFFF" w:themeFill="background1"/>
      </w:tcPr>
    </w:tblStylePr>
    <w:tblStylePr w:type="lastCol">
      <w:tblPr/>
      <w:tcPr>
        <w:tcBorders>
          <w:top w:val="nil"/>
          <w:left w:val="single" w:sz="8" w:space="0" w:color="8A2A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top w:val="nil"/>
          <w:bottom w:val="nil"/>
          <w:insideH w:val="nil"/>
          <w:insideV w:val="nil"/>
        </w:tcBorders>
        <w:shd w:val="clear" w:color="auto" w:fill="EC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tblBorders>
    </w:tblPr>
    <w:tblStylePr w:type="firstRow">
      <w:pPr>
        <w:spacing w:before="0" w:after="0" w:line="240" w:lineRule="auto"/>
      </w:pPr>
      <w:rPr>
        <w:b/>
        <w:bCs/>
        <w:color w:val="FFFFFF" w:themeColor="background1"/>
      </w:rPr>
      <w:tblPr/>
      <w:tcPr>
        <w:tc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shd w:val="clear" w:color="auto" w:fill="0063A6" w:themeFill="accent1"/>
      </w:tcPr>
    </w:tblStylePr>
    <w:tblStylePr w:type="lastRow">
      <w:pPr>
        <w:spacing w:before="0" w:after="0" w:line="240" w:lineRule="auto"/>
      </w:pPr>
      <w:rPr>
        <w:b/>
        <w:bCs/>
      </w:rPr>
      <w:tblPr/>
      <w:tcPr>
        <w:tcBorders>
          <w:top w:val="double" w:sz="6"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1" w:themeFillTint="3F"/>
      </w:tcPr>
    </w:tblStylePr>
    <w:tblStylePr w:type="band1Horz">
      <w:tblPr/>
      <w:tcPr>
        <w:tcBorders>
          <w:insideH w:val="nil"/>
          <w:insideV w:val="nil"/>
        </w:tcBorders>
        <w:shd w:val="clear" w:color="auto" w:fill="AAD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tblBorders>
    </w:tblPr>
    <w:tblStylePr w:type="firstRow">
      <w:pPr>
        <w:spacing w:before="0" w:after="0" w:line="240" w:lineRule="auto"/>
      </w:pPr>
      <w:rPr>
        <w:b/>
        <w:bCs/>
        <w:color w:val="FFFFFF" w:themeColor="background1"/>
      </w:rPr>
      <w:tblPr/>
      <w:tcPr>
        <w:tc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shd w:val="clear" w:color="auto" w:fill="00497A" w:themeFill="accent2"/>
      </w:tcPr>
    </w:tblStylePr>
    <w:tblStylePr w:type="lastRow">
      <w:pPr>
        <w:spacing w:before="0" w:after="0" w:line="240" w:lineRule="auto"/>
      </w:pPr>
      <w:rPr>
        <w:b/>
        <w:bCs/>
      </w:rPr>
      <w:tblPr/>
      <w:tcPr>
        <w:tcBorders>
          <w:top w:val="double" w:sz="6"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D8FF" w:themeFill="accent2" w:themeFillTint="3F"/>
      </w:tcPr>
    </w:tblStylePr>
    <w:tblStylePr w:type="band1Horz">
      <w:tblPr/>
      <w:tcPr>
        <w:tcBorders>
          <w:insideH w:val="nil"/>
          <w:insideV w:val="nil"/>
        </w:tcBorders>
        <w:shd w:val="clear" w:color="auto" w:fill="9FD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tblBorders>
    </w:tblPr>
    <w:tblStylePr w:type="firstRow">
      <w:pPr>
        <w:spacing w:before="0" w:after="0" w:line="240" w:lineRule="auto"/>
      </w:pPr>
      <w:rPr>
        <w:b/>
        <w:bCs/>
        <w:color w:val="FFFFFF" w:themeColor="background1"/>
      </w:rPr>
      <w:tblPr/>
      <w:tcPr>
        <w:tc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shd w:val="clear" w:color="auto" w:fill="749CC9" w:themeFill="accent3"/>
      </w:tcPr>
    </w:tblStylePr>
    <w:tblStylePr w:type="lastRow">
      <w:pPr>
        <w:spacing w:before="0" w:after="0" w:line="240" w:lineRule="auto"/>
      </w:pPr>
      <w:rPr>
        <w:b/>
        <w:bCs/>
      </w:rPr>
      <w:tblPr/>
      <w:tcPr>
        <w:tcBorders>
          <w:top w:val="double" w:sz="6"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6F1" w:themeFill="accent3" w:themeFillTint="3F"/>
      </w:tcPr>
    </w:tblStylePr>
    <w:tblStylePr w:type="band1Horz">
      <w:tblPr/>
      <w:tcPr>
        <w:tcBorders>
          <w:insideH w:val="nil"/>
          <w:insideV w:val="nil"/>
        </w:tcBorders>
        <w:shd w:val="clear" w:color="auto" w:fill="DCE6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tblBorders>
    </w:tblPr>
    <w:tblStylePr w:type="firstRow">
      <w:pPr>
        <w:spacing w:before="0" w:after="0" w:line="240" w:lineRule="auto"/>
      </w:pPr>
      <w:rPr>
        <w:b/>
        <w:bCs/>
        <w:color w:val="FFFFFF" w:themeColor="background1"/>
      </w:rPr>
      <w:tblPr/>
      <w:tcPr>
        <w:tc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shd w:val="clear" w:color="auto" w:fill="0072CE" w:themeFill="accent4"/>
      </w:tcPr>
    </w:tblStylePr>
    <w:tblStylePr w:type="lastRow">
      <w:pPr>
        <w:spacing w:before="0" w:after="0" w:line="240" w:lineRule="auto"/>
      </w:pPr>
      <w:rPr>
        <w:b/>
        <w:bCs/>
      </w:rPr>
      <w:tblPr/>
      <w:tcPr>
        <w:tcBorders>
          <w:top w:val="double" w:sz="6"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4" w:themeFillTint="3F"/>
      </w:tcPr>
    </w:tblStylePr>
    <w:tblStylePr w:type="band1Horz">
      <w:tblPr/>
      <w:tcPr>
        <w:tcBorders>
          <w:insideH w:val="nil"/>
          <w:insideV w:val="nil"/>
        </w:tcBorders>
        <w:shd w:val="clear" w:color="auto" w:fill="B3D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tblBorders>
    </w:tblPr>
    <w:tblStylePr w:type="firstRow">
      <w:pPr>
        <w:spacing w:before="0" w:after="0" w:line="240" w:lineRule="auto"/>
      </w:pPr>
      <w:rPr>
        <w:b/>
        <w:bCs/>
        <w:color w:val="FFFFFF" w:themeColor="background1"/>
      </w:rPr>
      <w:tblPr/>
      <w:tcPr>
        <w:tc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shd w:val="clear" w:color="auto" w:fill="009CDE" w:themeFill="accent5"/>
      </w:tcPr>
    </w:tblStylePr>
    <w:tblStylePr w:type="lastRow">
      <w:pPr>
        <w:spacing w:before="0" w:after="0" w:line="240" w:lineRule="auto"/>
      </w:pPr>
      <w:rPr>
        <w:b/>
        <w:bCs/>
      </w:rPr>
      <w:tblPr/>
      <w:tcPr>
        <w:tcBorders>
          <w:top w:val="double" w:sz="6"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5" w:themeFillTint="3F"/>
      </w:tcPr>
    </w:tblStylePr>
    <w:tblStylePr w:type="band1Horz">
      <w:tblPr/>
      <w:tcPr>
        <w:tcBorders>
          <w:insideH w:val="nil"/>
          <w:insideV w:val="nil"/>
        </w:tcBorders>
        <w:shd w:val="clear" w:color="auto" w:fill="B7E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tblBorders>
    </w:tblPr>
    <w:tblStylePr w:type="firstRow">
      <w:pPr>
        <w:spacing w:before="0" w:after="0" w:line="240" w:lineRule="auto"/>
      </w:pPr>
      <w:rPr>
        <w:b/>
        <w:bCs/>
        <w:color w:val="FFFFFF" w:themeColor="background1"/>
      </w:rPr>
      <w:tblPr/>
      <w:tcPr>
        <w:tc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shd w:val="clear" w:color="auto" w:fill="8A2A2B" w:themeFill="accent6"/>
      </w:tcPr>
    </w:tblStylePr>
    <w:tblStylePr w:type="lastRow">
      <w:pPr>
        <w:spacing w:before="0" w:after="0" w:line="240" w:lineRule="auto"/>
      </w:pPr>
      <w:rPr>
        <w:b/>
        <w:bCs/>
      </w:rPr>
      <w:tblPr/>
      <w:tcPr>
        <w:tcBorders>
          <w:top w:val="double" w:sz="6"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C0C0" w:themeFill="accent6" w:themeFillTint="3F"/>
      </w:tcPr>
    </w:tblStylePr>
    <w:tblStylePr w:type="band1Horz">
      <w:tblPr/>
      <w:tcPr>
        <w:tcBorders>
          <w:insideH w:val="nil"/>
          <w:insideV w:val="nil"/>
        </w:tcBorders>
        <w:shd w:val="clear" w:color="auto" w:fill="EC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6" w:themeFill="accent1"/>
      </w:tcPr>
    </w:tblStylePr>
    <w:tblStylePr w:type="lastCol">
      <w:rPr>
        <w:b/>
        <w:bCs/>
        <w:color w:val="FFFFFF" w:themeColor="background1"/>
      </w:rPr>
      <w:tblPr/>
      <w:tcPr>
        <w:tcBorders>
          <w:left w:val="nil"/>
          <w:right w:val="nil"/>
          <w:insideH w:val="nil"/>
          <w:insideV w:val="nil"/>
        </w:tcBorders>
        <w:shd w:val="clear" w:color="auto" w:fill="0063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9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A" w:themeFill="accent2"/>
      </w:tcPr>
    </w:tblStylePr>
    <w:tblStylePr w:type="lastCol">
      <w:rPr>
        <w:b/>
        <w:bCs/>
        <w:color w:val="FFFFFF" w:themeColor="background1"/>
      </w:rPr>
      <w:tblPr/>
      <w:tcPr>
        <w:tcBorders>
          <w:left w:val="nil"/>
          <w:right w:val="nil"/>
          <w:insideH w:val="nil"/>
          <w:insideV w:val="nil"/>
        </w:tcBorders>
        <w:shd w:val="clear" w:color="auto" w:fill="0049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9C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9CC9" w:themeFill="accent3"/>
      </w:tcPr>
    </w:tblStylePr>
    <w:tblStylePr w:type="lastCol">
      <w:rPr>
        <w:b/>
        <w:bCs/>
        <w:color w:val="FFFFFF" w:themeColor="background1"/>
      </w:rPr>
      <w:tblPr/>
      <w:tcPr>
        <w:tcBorders>
          <w:left w:val="nil"/>
          <w:right w:val="nil"/>
          <w:insideH w:val="nil"/>
          <w:insideV w:val="nil"/>
        </w:tcBorders>
        <w:shd w:val="clear" w:color="auto" w:fill="749C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4"/>
      </w:tcPr>
    </w:tblStylePr>
    <w:tblStylePr w:type="lastCol">
      <w:rPr>
        <w:b/>
        <w:bCs/>
        <w:color w:val="FFFFFF" w:themeColor="background1"/>
      </w:rPr>
      <w:tblPr/>
      <w:tcPr>
        <w:tcBorders>
          <w:left w:val="nil"/>
          <w:right w:val="nil"/>
          <w:insideH w:val="nil"/>
          <w:insideV w:val="nil"/>
        </w:tcBorders>
        <w:shd w:val="clear" w:color="auto" w:fill="0072C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A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A2B" w:themeFill="accent6"/>
      </w:tcPr>
    </w:tblStylePr>
    <w:tblStylePr w:type="lastCol">
      <w:rPr>
        <w:b/>
        <w:bCs/>
        <w:color w:val="FFFFFF" w:themeColor="background1"/>
      </w:rPr>
      <w:tblPr/>
      <w:tcPr>
        <w:tcBorders>
          <w:left w:val="nil"/>
          <w:right w:val="nil"/>
          <w:insideH w:val="nil"/>
          <w:insideV w:val="nil"/>
        </w:tcBorders>
        <w:shd w:val="clear" w:color="auto" w:fill="8A2A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keepLines/>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C00568"/>
    <w:pPr>
      <w:keepLines/>
      <w:spacing w:before="0"/>
    </w:pPr>
  </w:style>
  <w:style w:type="paragraph" w:styleId="NormalWeb">
    <w:name w:val="Normal (Web)"/>
    <w:basedOn w:val="Normal"/>
    <w:uiPriority w:val="99"/>
    <w:semiHidden/>
    <w:unhideWhenUsed/>
    <w:rsid w:val="00C00568"/>
    <w:pPr>
      <w:keepLines/>
    </w:pPr>
    <w:rPr>
      <w:rFonts w:ascii="Times New Roman" w:eastAsiaTheme="minorHAnsi" w:hAnsi="Times New Roman"/>
      <w:szCs w:val="24"/>
    </w:rPr>
  </w:style>
  <w:style w:type="paragraph" w:styleId="NormalIndent">
    <w:name w:val="Normal Indent"/>
    <w:basedOn w:val="Normal"/>
    <w:uiPriority w:val="99"/>
    <w:semiHidden/>
    <w:unhideWhenUsed/>
    <w:rsid w:val="00C00568"/>
    <w:pPr>
      <w:keepLines/>
      <w:ind w:left="720"/>
    </w:pPr>
    <w:rPr>
      <w:rFonts w:eastAsiaTheme="minorHAnsi" w:cstheme="minorBidi"/>
      <w:szCs w:val="22"/>
    </w:rPr>
  </w:style>
  <w:style w:type="paragraph" w:styleId="NoteHeading">
    <w:name w:val="Note Heading"/>
    <w:basedOn w:val="Normal"/>
    <w:next w:val="Normal"/>
    <w:link w:val="NoteHeadingChar"/>
    <w:uiPriority w:val="99"/>
    <w:semiHidden/>
    <w:unhideWhenUsed/>
    <w:rsid w:val="00C00568"/>
    <w:pPr>
      <w:keepLines/>
    </w:pPr>
    <w:rPr>
      <w:rFonts w:eastAsiaTheme="minorHAnsi" w:cstheme="minorBidi"/>
      <w:szCs w:val="22"/>
    </w:rPr>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C00568"/>
    <w:rPr>
      <w:color w:val="808080"/>
    </w:rPr>
  </w:style>
  <w:style w:type="paragraph" w:styleId="PlainText">
    <w:name w:val="Plain Text"/>
    <w:basedOn w:val="Normal"/>
    <w:link w:val="PlainTextChar"/>
    <w:uiPriority w:val="99"/>
    <w:semiHidden/>
    <w:unhideWhenUsed/>
    <w:rsid w:val="00C00568"/>
    <w:pPr>
      <w:keepLines/>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29"/>
    <w:semiHidden/>
    <w:rsid w:val="00C00568"/>
    <w:pPr>
      <w:keepLines/>
    </w:pPr>
    <w:rPr>
      <w:rFonts w:eastAsiaTheme="minorHAnsi" w:cstheme="minorBidi"/>
      <w:i/>
      <w:iCs/>
      <w:color w:val="000000" w:themeColor="text1"/>
      <w:szCs w:val="22"/>
    </w:rPr>
  </w:style>
  <w:style w:type="character" w:customStyle="1" w:styleId="QuoteChar">
    <w:name w:val="Quote Char"/>
    <w:basedOn w:val="DefaultParagraphFont"/>
    <w:link w:val="Quote"/>
    <w:uiPriority w:val="29"/>
    <w:semiHidden/>
    <w:rsid w:val="00C00568"/>
    <w:rPr>
      <w:i/>
      <w:iCs/>
      <w:color w:val="000000" w:themeColor="text1"/>
    </w:rPr>
  </w:style>
  <w:style w:type="paragraph" w:styleId="Salutation">
    <w:name w:val="Salutation"/>
    <w:basedOn w:val="Normal"/>
    <w:next w:val="Normal"/>
    <w:link w:val="SalutationChar"/>
    <w:uiPriority w:val="99"/>
    <w:semiHidden/>
    <w:unhideWhenUsed/>
    <w:rsid w:val="00C00568"/>
    <w:pPr>
      <w:keepLines/>
    </w:pPr>
    <w:rPr>
      <w:rFonts w:eastAsiaTheme="minorHAnsi" w:cstheme="minorBidi"/>
      <w:szCs w:val="22"/>
    </w:rPr>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keepLines/>
      <w:ind w:left="4252"/>
    </w:pPr>
    <w:rPr>
      <w:rFonts w:eastAsiaTheme="minorHAnsi" w:cstheme="minorBidi"/>
      <w:szCs w:val="22"/>
    </w:r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semiHidden/>
    <w:rsid w:val="00C00568"/>
    <w:rPr>
      <w:b/>
      <w:bCs/>
    </w:rPr>
  </w:style>
  <w:style w:type="paragraph" w:styleId="Subtitle">
    <w:name w:val="Subtitle"/>
    <w:basedOn w:val="Normal"/>
    <w:next w:val="Normal"/>
    <w:link w:val="SubtitleChar"/>
    <w:uiPriority w:val="11"/>
    <w:semiHidden/>
    <w:rsid w:val="00C00568"/>
    <w:pPr>
      <w:keepLines/>
      <w:numPr>
        <w:ilvl w:val="1"/>
      </w:numPr>
    </w:pPr>
    <w:rPr>
      <w:rFonts w:asciiTheme="majorHAnsi" w:eastAsiaTheme="majorEastAsia" w:hAnsiTheme="majorHAnsi" w:cstheme="majorBidi"/>
      <w:i/>
      <w:iCs/>
      <w:color w:val="0063A6" w:themeColor="accent1"/>
      <w:spacing w:val="15"/>
      <w:szCs w:val="24"/>
    </w:rPr>
  </w:style>
  <w:style w:type="character" w:customStyle="1" w:styleId="SubtitleChar">
    <w:name w:val="Subtitle Char"/>
    <w:basedOn w:val="DefaultParagraphFont"/>
    <w:link w:val="Subtitle"/>
    <w:uiPriority w:val="11"/>
    <w:semiHidden/>
    <w:rsid w:val="00C00568"/>
    <w:rPr>
      <w:rFonts w:asciiTheme="majorHAnsi" w:eastAsiaTheme="majorEastAsia" w:hAnsiTheme="majorHAnsi" w:cstheme="majorBidi"/>
      <w:i/>
      <w:iCs/>
      <w:color w:val="0063A6" w:themeColor="accent1"/>
      <w:spacing w:val="15"/>
      <w:sz w:val="24"/>
      <w:szCs w:val="24"/>
    </w:rPr>
  </w:style>
  <w:style w:type="character" w:styleId="SubtleReference">
    <w:name w:val="Subtle Reference"/>
    <w:basedOn w:val="DefaultParagraphFont"/>
    <w:uiPriority w:val="31"/>
    <w:semiHidden/>
    <w:rsid w:val="00C00568"/>
    <w:rPr>
      <w:smallCaps/>
      <w:color w:val="00497A"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keepLines/>
      <w:ind w:left="220" w:hanging="220"/>
    </w:pPr>
    <w:rPr>
      <w:rFonts w:eastAsiaTheme="minorHAnsi" w:cstheme="minorBidi"/>
      <w:szCs w:val="22"/>
    </w:rPr>
  </w:style>
  <w:style w:type="paragraph" w:styleId="TableofFigures">
    <w:name w:val="table of figures"/>
    <w:basedOn w:val="Normal"/>
    <w:next w:val="Normal"/>
    <w:uiPriority w:val="99"/>
    <w:semiHidden/>
    <w:unhideWhenUsed/>
    <w:rsid w:val="00C00568"/>
    <w:pPr>
      <w:keepLines/>
    </w:pPr>
    <w:rPr>
      <w:rFonts w:eastAsiaTheme="minorHAnsi" w:cstheme="minorBidi"/>
      <w:szCs w:val="22"/>
    </w:rPr>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rsid w:val="00C00568"/>
    <w:pPr>
      <w:keepLines/>
      <w:pBdr>
        <w:bottom w:val="single" w:sz="8" w:space="4" w:color="0063A6" w:themeColor="accent1"/>
      </w:pBdr>
      <w:spacing w:after="300"/>
      <w:contextualSpacing/>
    </w:pPr>
    <w:rPr>
      <w:rFonts w:asciiTheme="majorHAnsi" w:eastAsiaTheme="majorEastAsia" w:hAnsiTheme="majorHAnsi" w:cstheme="majorBidi"/>
      <w:color w:val="170F34" w:themeColor="text2" w:themeShade="BF"/>
      <w:spacing w:val="5"/>
      <w:kern w:val="28"/>
      <w:sz w:val="52"/>
      <w:szCs w:val="52"/>
    </w:rPr>
  </w:style>
  <w:style w:type="character" w:customStyle="1" w:styleId="TitleChar">
    <w:name w:val="Title Char"/>
    <w:basedOn w:val="DefaultParagraphFont"/>
    <w:link w:val="Title"/>
    <w:uiPriority w:val="10"/>
    <w:semiHidden/>
    <w:rsid w:val="00C00568"/>
    <w:rPr>
      <w:rFonts w:asciiTheme="majorHAnsi" w:eastAsiaTheme="majorEastAsia" w:hAnsiTheme="majorHAnsi" w:cstheme="majorBidi"/>
      <w:color w:val="170F34" w:themeColor="text2" w:themeShade="BF"/>
      <w:spacing w:val="5"/>
      <w:kern w:val="28"/>
      <w:sz w:val="52"/>
      <w:szCs w:val="52"/>
    </w:rPr>
  </w:style>
  <w:style w:type="paragraph" w:styleId="TOAHeading">
    <w:name w:val="toa heading"/>
    <w:basedOn w:val="Normal"/>
    <w:next w:val="Normal"/>
    <w:uiPriority w:val="99"/>
    <w:semiHidden/>
    <w:unhideWhenUsed/>
    <w:rsid w:val="00C00568"/>
    <w:pPr>
      <w:keepLines/>
    </w:pPr>
    <w:rPr>
      <w:rFonts w:asciiTheme="majorHAnsi" w:eastAsiaTheme="majorEastAsia" w:hAnsiTheme="majorHAnsi" w:cstheme="majorBidi"/>
      <w:b/>
      <w:bCs/>
      <w:szCs w:val="24"/>
    </w:rPr>
  </w:style>
  <w:style w:type="paragraph" w:styleId="TOC5">
    <w:name w:val="toc 5"/>
    <w:basedOn w:val="Normal"/>
    <w:next w:val="Normal"/>
    <w:autoRedefine/>
    <w:uiPriority w:val="96"/>
    <w:semiHidden/>
    <w:rsid w:val="00C00568"/>
    <w:pPr>
      <w:keepLines/>
      <w:spacing w:after="100"/>
      <w:ind w:left="880"/>
    </w:pPr>
    <w:rPr>
      <w:rFonts w:eastAsiaTheme="minorHAnsi" w:cstheme="minorBidi"/>
      <w:szCs w:val="22"/>
    </w:rPr>
  </w:style>
  <w:style w:type="paragraph" w:styleId="TOC6">
    <w:name w:val="toc 6"/>
    <w:basedOn w:val="Normal"/>
    <w:next w:val="Normal"/>
    <w:autoRedefine/>
    <w:uiPriority w:val="96"/>
    <w:semiHidden/>
    <w:rsid w:val="00C00568"/>
    <w:pPr>
      <w:keepLines/>
      <w:spacing w:after="100"/>
      <w:ind w:left="1100"/>
    </w:pPr>
    <w:rPr>
      <w:rFonts w:eastAsiaTheme="minorHAnsi" w:cstheme="minorBidi"/>
      <w:szCs w:val="22"/>
    </w:rPr>
  </w:style>
  <w:style w:type="paragraph" w:styleId="TOC8">
    <w:name w:val="toc 8"/>
    <w:basedOn w:val="Normal"/>
    <w:next w:val="Normal"/>
    <w:autoRedefine/>
    <w:uiPriority w:val="96"/>
    <w:semiHidden/>
    <w:rsid w:val="00C00568"/>
    <w:pPr>
      <w:keepLines/>
      <w:spacing w:after="100"/>
      <w:ind w:left="1540"/>
    </w:pPr>
    <w:rPr>
      <w:rFonts w:eastAsiaTheme="minorHAnsi" w:cstheme="minorBidi"/>
      <w:szCs w:val="22"/>
    </w:rPr>
  </w:style>
  <w:style w:type="paragraph" w:styleId="TOCHeading">
    <w:name w:val="TOC Heading"/>
    <w:basedOn w:val="ChapterHeading"/>
    <w:next w:val="Normal"/>
    <w:uiPriority w:val="90"/>
    <w:rsid w:val="00563282"/>
  </w:style>
  <w:style w:type="table" w:customStyle="1" w:styleId="DTFTextTable">
    <w:name w:val="DTF Text Table"/>
    <w:basedOn w:val="DTFTable"/>
    <w:uiPriority w:val="99"/>
    <w:rsid w:val="00917D22"/>
    <w:pPr>
      <w:spacing w:after="120" w:line="216" w:lineRule="auto"/>
      <w:jc w:val="left"/>
    </w:pPr>
    <w:rPr>
      <w:sz w:val="20"/>
    </w:rPr>
    <w:tblPr/>
    <w:tblStylePr w:type="firstRow">
      <w:pPr>
        <w:wordWrap/>
        <w:spacing w:beforeLines="0" w:before="20" w:beforeAutospacing="0" w:afterLines="0" w:after="20" w:afterAutospacing="0" w:line="216"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tcBorders>
          <w:top w:val="nil"/>
          <w:left w:val="nil"/>
          <w:bottom w:val="single" w:sz="6" w:space="0" w:color="auto"/>
          <w:right w:val="nil"/>
          <w:insideH w:val="nil"/>
          <w:insideV w:val="nil"/>
          <w:tl2br w:val="nil"/>
          <w:tr2bl w:val="nil"/>
        </w:tcBorders>
        <w:shd w:val="clear" w:color="auto" w:fill="EBEBEB" w:themeFill="background2"/>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FooterChar"/>
    <w:link w:val="Footereven"/>
    <w:uiPriority w:val="85"/>
    <w:rsid w:val="00A13F11"/>
    <w:rPr>
      <w:rFonts w:asciiTheme="majorHAnsi" w:hAnsiTheme="majorHAnsi"/>
      <w:sz w:val="18"/>
    </w:rPr>
  </w:style>
  <w:style w:type="paragraph" w:customStyle="1" w:styleId="ObjectiveHeading">
    <w:name w:val="Objective Heading"/>
    <w:basedOn w:val="Normal"/>
    <w:next w:val="Normal"/>
    <w:uiPriority w:val="62"/>
    <w:qFormat/>
    <w:rsid w:val="006E2BC5"/>
    <w:pPr>
      <w:keepNext/>
      <w:keepLines/>
      <w:pBdr>
        <w:top w:val="single" w:sz="6" w:space="1" w:color="auto"/>
        <w:left w:val="single" w:sz="6" w:space="4" w:color="auto"/>
        <w:bottom w:val="single" w:sz="6" w:space="1" w:color="auto"/>
        <w:right w:val="single" w:sz="6" w:space="4" w:color="auto"/>
      </w:pBdr>
      <w:shd w:val="clear" w:color="auto" w:fill="F2F2F2" w:themeFill="background1" w:themeFillShade="F2"/>
    </w:pPr>
    <w:rPr>
      <w:rFonts w:asciiTheme="majorHAnsi" w:eastAsiaTheme="minorHAnsi" w:hAnsiTheme="majorHAnsi" w:cstheme="minorBidi"/>
      <w:b/>
      <w:szCs w:val="22"/>
    </w:rPr>
  </w:style>
  <w:style w:type="paragraph" w:customStyle="1" w:styleId="PerformanceMeasureNote">
    <w:name w:val="Performance Measure Note"/>
    <w:basedOn w:val="Normal"/>
    <w:uiPriority w:val="63"/>
    <w:qFormat/>
    <w:rsid w:val="00BC1376"/>
    <w:pPr>
      <w:keepLines/>
      <w:spacing w:before="20" w:after="20"/>
      <w:ind w:left="170"/>
      <w:contextualSpacing/>
    </w:pPr>
    <w:rPr>
      <w:rFonts w:asciiTheme="majorHAnsi" w:eastAsiaTheme="minorHAnsi" w:hAnsiTheme="majorHAnsi" w:cstheme="minorBidi"/>
      <w:i/>
      <w:spacing w:val="-2"/>
      <w:sz w:val="15"/>
      <w:szCs w:val="15"/>
    </w:rPr>
  </w:style>
  <w:style w:type="paragraph" w:customStyle="1" w:styleId="TableUnits">
    <w:name w:val="Table Units"/>
    <w:basedOn w:val="Normal"/>
    <w:next w:val="Normal"/>
    <w:uiPriority w:val="50"/>
    <w:qFormat/>
    <w:rsid w:val="00671538"/>
    <w:pPr>
      <w:keepNext/>
      <w:keepLines/>
      <w:tabs>
        <w:tab w:val="left" w:pos="567"/>
        <w:tab w:val="right" w:pos="9639"/>
        <w:tab w:val="right" w:pos="14572"/>
      </w:tabs>
      <w:spacing w:before="0" w:after="60"/>
      <w:jc w:val="right"/>
    </w:pPr>
    <w:rPr>
      <w:rFonts w:asciiTheme="majorHAnsi" w:eastAsiaTheme="minorHAnsi" w:hAnsiTheme="majorHAnsi" w:cstheme="minorBidi"/>
      <w:b/>
      <w:sz w:val="20"/>
    </w:rPr>
  </w:style>
  <w:style w:type="paragraph" w:customStyle="1" w:styleId="ControlledEntitiesDepartment">
    <w:name w:val="Controlled Entities Department"/>
    <w:basedOn w:val="Normal"/>
    <w:next w:val="Normal"/>
    <w:uiPriority w:val="97"/>
    <w:qFormat/>
    <w:rsid w:val="00A13F11"/>
    <w:pPr>
      <w:shd w:val="clear" w:color="auto" w:fill="D9D9D9" w:themeFill="background1" w:themeFillShade="D9"/>
      <w:spacing w:before="40"/>
    </w:pPr>
    <w:rPr>
      <w:rFonts w:asciiTheme="majorHAnsi" w:hAnsiTheme="majorHAnsi"/>
      <w:b/>
      <w:bCs/>
      <w:color w:val="000000" w:themeColor="text1"/>
      <w:sz w:val="18"/>
      <w:szCs w:val="18"/>
      <w:lang w:eastAsia="en-AU"/>
    </w:rPr>
  </w:style>
  <w:style w:type="paragraph" w:customStyle="1" w:styleId="ControlledEntitiesSector">
    <w:name w:val="Controlled Entities Sector"/>
    <w:basedOn w:val="Normal"/>
    <w:next w:val="ControlledEntitiesDepartment"/>
    <w:uiPriority w:val="98"/>
    <w:qFormat/>
    <w:rsid w:val="00A13F11"/>
    <w:pPr>
      <w:shd w:val="clear" w:color="auto" w:fill="000000" w:themeFill="text1"/>
      <w:spacing w:before="20" w:after="60"/>
      <w:jc w:val="center"/>
    </w:pPr>
    <w:rPr>
      <w:rFonts w:asciiTheme="majorHAnsi" w:hAnsiTheme="majorHAnsi" w:cstheme="minorHAnsi"/>
      <w:b/>
      <w:i/>
      <w:color w:val="FFFFFF" w:themeColor="background1"/>
      <w:sz w:val="18"/>
      <w:szCs w:val="22"/>
      <w:lang w:eastAsia="en-AU"/>
    </w:rPr>
  </w:style>
  <w:style w:type="paragraph" w:customStyle="1" w:styleId="ChapterHeading">
    <w:name w:val="Chapter Heading"/>
    <w:basedOn w:val="Normal"/>
    <w:next w:val="Heading10"/>
    <w:qFormat/>
    <w:rsid w:val="00A13F11"/>
    <w:pPr>
      <w:keepNext/>
      <w:pBdr>
        <w:bottom w:val="single" w:sz="12" w:space="7" w:color="auto"/>
      </w:pBdr>
      <w:spacing w:before="1440" w:after="360"/>
    </w:pPr>
    <w:rPr>
      <w:rFonts w:ascii="Calibri" w:hAnsi="Calibri"/>
      <w:b/>
      <w:caps/>
      <w:sz w:val="36"/>
      <w:szCs w:val="28"/>
    </w:rPr>
  </w:style>
  <w:style w:type="paragraph" w:customStyle="1" w:styleId="Chapterheading0">
    <w:name w:val="Chapter heading"/>
    <w:basedOn w:val="Normal"/>
    <w:next w:val="Heading10"/>
    <w:uiPriority w:val="89"/>
    <w:rsid w:val="00211DD2"/>
    <w:pPr>
      <w:keepNext/>
      <w:keepLines/>
      <w:pBdr>
        <w:bottom w:val="single" w:sz="12" w:space="1" w:color="auto"/>
      </w:pBdr>
      <w:spacing w:before="1440" w:after="360"/>
      <w:outlineLvl w:val="0"/>
    </w:pPr>
    <w:rPr>
      <w:rFonts w:asciiTheme="majorHAnsi" w:eastAsiaTheme="majorEastAsia" w:hAnsiTheme="majorHAnsi" w:cstheme="majorBidi"/>
      <w:b/>
      <w:bCs/>
      <w:caps/>
      <w:spacing w:val="-2"/>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semiHidden="0" w:uiPriority="9" w:unhideWhenUsed="0"/>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91" w:unhideWhenUsed="0"/>
    <w:lsdException w:name="toc 4" w:uiPriority="96" w:unhideWhenUsed="0"/>
    <w:lsdException w:name="toc 5" w:uiPriority="96" w:unhideWhenUsed="0"/>
    <w:lsdException w:name="toc 6" w:uiPriority="96" w:unhideWhenUsed="0"/>
    <w:lsdException w:name="toc 7" w:uiPriority="96" w:unhideWhenUsed="0"/>
    <w:lsdException w:name="toc 8" w:uiPriority="96" w:unhideWhenUsed="0"/>
    <w:lsdException w:name="toc 9" w:uiPriority="39"/>
    <w:lsdException w:name="header" w:uiPriority="85"/>
    <w:lsdException w:name="footer" w:uiPriority="84"/>
    <w:lsdException w:name="caption" w:uiPriority="35"/>
    <w:lsdException w:name="page number" w:uiPriority="0"/>
    <w:lsdException w:name="List" w:semiHidden="0" w:uiPriority="29" w:unhideWhenUsed="0"/>
    <w:lsdException w:name="List Bullet" w:uiPriority="19" w:qFormat="1"/>
    <w:lsdException w:name="List Number" w:semiHidden="0" w:uiPriority="19" w:unhideWhenUsed="0" w:qFormat="1"/>
    <w:lsdException w:name="List 2" w:uiPriority="29" w:unhideWhenUsed="0"/>
    <w:lsdException w:name="List 3" w:uiPriority="29"/>
    <w:lsdException w:name="List 4" w:uiPriority="29"/>
    <w:lsdException w:name="List 5" w:uiPriority="29"/>
    <w:lsdException w:name="List Bullet 2" w:uiPriority="19"/>
    <w:lsdException w:name="List Bullet 3" w:uiPriority="19"/>
    <w:lsdException w:name="List Bullet 4" w:uiPriority="19"/>
    <w:lsdException w:name="List Bullet 5" w:uiPriority="19"/>
    <w:lsdException w:name="List Number 2" w:semiHidden="0" w:uiPriority="19" w:unhideWhenUsed="0"/>
    <w:lsdException w:name="List Number 3" w:uiPriority="19"/>
    <w:lsdException w:name="List Number 4" w:uiPriority="19"/>
    <w:lsdException w:name="List Number 5" w:uiPriority="19"/>
    <w:lsdException w:name="Title" w:uiPriority="10" w:unhideWhenUsed="0"/>
    <w:lsdException w:name="Default Paragraph Font" w:uiPriority="1"/>
    <w:lsdException w:name="Body Text" w:uiPriority="4"/>
    <w:lsdException w:name="List Continue" w:semiHidden="0" w:uiPriority="24" w:unhideWhenUsed="0" w:qFormat="1"/>
    <w:lsdException w:name="List Continue 2" w:semiHidden="0" w:uiPriority="24" w:unhideWhenUsed="0"/>
    <w:lsdException w:name="List Continue 3" w:uiPriority="24"/>
    <w:lsdException w:name="List Continue 4" w:uiPriority="24"/>
    <w:lsdException w:name="List Continue 5" w:uiPriority="24"/>
    <w:lsdException w:name="Subtitle" w:uiPriority="11" w:unhideWhenUsed="0"/>
    <w:lsdException w:name="Strong" w:uiPriority="98" w:unhideWhenUsed="0"/>
    <w:lsdException w:name="Emphasis" w:uiPriority="98"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uiPriority="98"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90"/>
  </w:latentStyles>
  <w:style w:type="paragraph" w:default="1" w:styleId="Normal">
    <w:name w:val="Normal"/>
    <w:uiPriority w:val="1"/>
    <w:qFormat/>
    <w:rsid w:val="00563282"/>
    <w:rPr>
      <w:rFonts w:eastAsia="Times New Roman" w:cs="Times New Roman"/>
      <w:szCs w:val="20"/>
    </w:rPr>
  </w:style>
  <w:style w:type="paragraph" w:styleId="Heading10">
    <w:name w:val="heading 1"/>
    <w:next w:val="Normal"/>
    <w:link w:val="Heading1Char"/>
    <w:uiPriority w:val="9"/>
    <w:qFormat/>
    <w:rsid w:val="00E46E4F"/>
    <w:pPr>
      <w:keepNext/>
      <w:keepLines/>
      <w:spacing w:before="360"/>
      <w:outlineLvl w:val="0"/>
    </w:pPr>
    <w:rPr>
      <w:rFonts w:asciiTheme="majorHAnsi" w:eastAsiaTheme="majorEastAsia" w:hAnsiTheme="majorHAnsi" w:cstheme="majorBidi"/>
      <w:b/>
      <w:bCs/>
      <w:caps/>
      <w:spacing w:val="-2"/>
      <w:sz w:val="26"/>
      <w:szCs w:val="28"/>
    </w:rPr>
  </w:style>
  <w:style w:type="paragraph" w:styleId="Heading20">
    <w:name w:val="heading 2"/>
    <w:basedOn w:val="Heading10"/>
    <w:next w:val="Normal"/>
    <w:link w:val="Heading2Char"/>
    <w:uiPriority w:val="9"/>
    <w:qFormat/>
    <w:rsid w:val="00612683"/>
    <w:pPr>
      <w:numPr>
        <w:ilvl w:val="1"/>
      </w:numPr>
      <w:tabs>
        <w:tab w:val="right" w:pos="9582"/>
      </w:tabs>
      <w:spacing w:before="240"/>
      <w:outlineLvl w:val="1"/>
    </w:pPr>
    <w:rPr>
      <w:bCs w:val="0"/>
      <w:caps w:val="0"/>
      <w:szCs w:val="26"/>
    </w:rPr>
  </w:style>
  <w:style w:type="paragraph" w:styleId="Heading30">
    <w:name w:val="heading 3"/>
    <w:basedOn w:val="Heading20"/>
    <w:next w:val="Normal"/>
    <w:link w:val="Heading3Char"/>
    <w:uiPriority w:val="9"/>
    <w:qFormat/>
    <w:rsid w:val="0037430B"/>
    <w:pPr>
      <w:numPr>
        <w:ilvl w:val="2"/>
      </w:numPr>
      <w:outlineLvl w:val="2"/>
    </w:pPr>
    <w:rPr>
      <w:bCs/>
      <w:sz w:val="22"/>
    </w:rPr>
  </w:style>
  <w:style w:type="paragraph" w:styleId="Heading4">
    <w:name w:val="heading 4"/>
    <w:basedOn w:val="Heading30"/>
    <w:next w:val="Normal"/>
    <w:link w:val="Heading4Char"/>
    <w:uiPriority w:val="9"/>
    <w:rsid w:val="003741F4"/>
    <w:pPr>
      <w:numPr>
        <w:ilvl w:val="3"/>
      </w:numPr>
      <w:spacing w:before="180"/>
      <w:outlineLvl w:val="3"/>
    </w:pPr>
    <w:rPr>
      <w:b w:val="0"/>
      <w:bCs w:val="0"/>
      <w:i/>
      <w:iCs/>
      <w:spacing w:val="0"/>
    </w:rPr>
  </w:style>
  <w:style w:type="paragraph" w:styleId="Heading5">
    <w:name w:val="heading 5"/>
    <w:basedOn w:val="Heading4"/>
    <w:next w:val="Normal"/>
    <w:link w:val="Heading5Char"/>
    <w:uiPriority w:val="9"/>
    <w:semiHidden/>
    <w:unhideWhenUsed/>
    <w:rsid w:val="00DE3014"/>
    <w:pPr>
      <w:numPr>
        <w:ilvl w:val="4"/>
      </w:numPr>
      <w:outlineLvl w:val="4"/>
    </w:pPr>
    <w:rPr>
      <w:b/>
      <w:i w:val="0"/>
    </w:rPr>
  </w:style>
  <w:style w:type="paragraph" w:styleId="Heading6">
    <w:name w:val="heading 6"/>
    <w:basedOn w:val="Normal"/>
    <w:next w:val="Normal"/>
    <w:link w:val="Heading6Char"/>
    <w:uiPriority w:val="9"/>
    <w:semiHidden/>
    <w:unhideWhenUsed/>
    <w:rsid w:val="00E36DAC"/>
    <w:pPr>
      <w:keepNext/>
      <w:keepLines/>
      <w:numPr>
        <w:ilvl w:val="5"/>
        <w:numId w:val="4"/>
      </w:numPr>
      <w:spacing w:before="200"/>
      <w:outlineLvl w:val="5"/>
    </w:pPr>
    <w:rPr>
      <w:rFonts w:asciiTheme="majorHAnsi" w:eastAsiaTheme="majorEastAsia" w:hAnsiTheme="majorHAnsi" w:cstheme="majorBidi"/>
      <w:i/>
      <w:iCs/>
      <w:color w:val="003152" w:themeColor="accent1" w:themeShade="7F"/>
      <w:szCs w:val="22"/>
    </w:rPr>
  </w:style>
  <w:style w:type="paragraph" w:styleId="Heading7">
    <w:name w:val="heading 7"/>
    <w:basedOn w:val="Normal"/>
    <w:next w:val="Normal"/>
    <w:link w:val="Heading7Char"/>
    <w:uiPriority w:val="9"/>
    <w:semiHidden/>
    <w:unhideWhenUsed/>
    <w:rsid w:val="00E36DAC"/>
    <w:pPr>
      <w:keepNext/>
      <w:keepLines/>
      <w:numPr>
        <w:ilvl w:val="6"/>
        <w:numId w:val="4"/>
      </w:numPr>
      <w:spacing w:before="20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rsid w:val="00E36DAC"/>
    <w:pPr>
      <w:keepNext/>
      <w:keepLines/>
      <w:numPr>
        <w:ilvl w:val="7"/>
        <w:numId w:val="4"/>
      </w:numPr>
      <w:spacing w:before="200"/>
      <w:outlineLvl w:val="7"/>
    </w:pPr>
    <w:rPr>
      <w:rFonts w:asciiTheme="majorHAnsi" w:eastAsiaTheme="majorEastAsia" w:hAnsiTheme="majorHAnsi" w:cstheme="majorBidi"/>
      <w:color w:val="404040" w:themeColor="text1" w:themeTint="BF"/>
      <w:szCs w:val="22"/>
    </w:rPr>
  </w:style>
  <w:style w:type="paragraph" w:styleId="Heading9">
    <w:name w:val="heading 9"/>
    <w:basedOn w:val="Normal"/>
    <w:next w:val="Normal"/>
    <w:link w:val="Heading9Char"/>
    <w:uiPriority w:val="9"/>
    <w:semiHidden/>
    <w:unhideWhenUsed/>
    <w:rsid w:val="00E36DAC"/>
    <w:pPr>
      <w:keepNext/>
      <w:keepLines/>
      <w:numPr>
        <w:ilvl w:val="8"/>
        <w:numId w:val="4"/>
      </w:numPr>
      <w:spacing w:before="200"/>
      <w:outlineLvl w:val="8"/>
    </w:pPr>
    <w:rPr>
      <w:rFonts w:asciiTheme="majorHAnsi" w:eastAsiaTheme="majorEastAsia" w:hAnsiTheme="majorHAnsi" w:cstheme="majorBidi"/>
      <w:i/>
      <w:iCs/>
      <w:color w:val="404040" w:themeColor="text1" w:themeTint="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E46E4F"/>
    <w:rPr>
      <w:rFonts w:asciiTheme="majorHAnsi" w:eastAsiaTheme="majorEastAsia" w:hAnsiTheme="majorHAnsi" w:cstheme="majorBidi"/>
      <w:b/>
      <w:bCs/>
      <w:caps/>
      <w:spacing w:val="-2"/>
      <w:sz w:val="26"/>
      <w:szCs w:val="28"/>
    </w:rPr>
  </w:style>
  <w:style w:type="character" w:customStyle="1" w:styleId="Heading3Char">
    <w:name w:val="Heading 3 Char"/>
    <w:basedOn w:val="DefaultParagraphFont"/>
    <w:link w:val="Heading30"/>
    <w:uiPriority w:val="9"/>
    <w:rsid w:val="0037430B"/>
    <w:rPr>
      <w:rFonts w:asciiTheme="majorHAnsi" w:eastAsiaTheme="majorEastAsia" w:hAnsiTheme="majorHAnsi" w:cstheme="majorBidi"/>
      <w:b/>
      <w:bCs/>
      <w:spacing w:val="-2"/>
      <w:szCs w:val="26"/>
    </w:rPr>
  </w:style>
  <w:style w:type="character" w:customStyle="1" w:styleId="Heading2Char">
    <w:name w:val="Heading 2 Char"/>
    <w:basedOn w:val="DefaultParagraphFont"/>
    <w:link w:val="Heading20"/>
    <w:uiPriority w:val="9"/>
    <w:rsid w:val="00612683"/>
    <w:rPr>
      <w:rFonts w:asciiTheme="majorHAnsi" w:eastAsiaTheme="majorEastAsia" w:hAnsiTheme="majorHAnsi" w:cstheme="majorBidi"/>
      <w:b/>
      <w:spacing w:val="-2"/>
      <w:sz w:val="26"/>
      <w:szCs w:val="26"/>
    </w:rPr>
  </w:style>
  <w:style w:type="character" w:customStyle="1" w:styleId="Heading4Char">
    <w:name w:val="Heading 4 Char"/>
    <w:basedOn w:val="DefaultParagraphFont"/>
    <w:link w:val="Heading4"/>
    <w:uiPriority w:val="9"/>
    <w:rsid w:val="003741F4"/>
    <w:rPr>
      <w:rFonts w:asciiTheme="majorHAnsi" w:eastAsiaTheme="majorEastAsia" w:hAnsiTheme="majorHAnsi" w:cstheme="majorBidi"/>
      <w:i/>
      <w:iCs/>
      <w:szCs w:val="26"/>
    </w:rPr>
  </w:style>
  <w:style w:type="character" w:customStyle="1" w:styleId="Heading2Char0">
    <w:name w:val="Heading 2 (#) Char"/>
    <w:basedOn w:val="Heading2Char"/>
    <w:link w:val="Heading2"/>
    <w:uiPriority w:val="14"/>
    <w:rsid w:val="0037430B"/>
    <w:rPr>
      <w:rFonts w:asciiTheme="majorHAnsi" w:eastAsiaTheme="majorEastAsia" w:hAnsiTheme="majorHAnsi" w:cstheme="majorBidi"/>
      <w:b/>
      <w:spacing w:val="-2"/>
      <w:sz w:val="26"/>
      <w:szCs w:val="26"/>
    </w:rPr>
  </w:style>
  <w:style w:type="paragraph" w:customStyle="1" w:styleId="Source">
    <w:name w:val="Source"/>
    <w:basedOn w:val="Normal"/>
    <w:next w:val="Note"/>
    <w:uiPriority w:val="51"/>
    <w:qFormat/>
    <w:rsid w:val="006F23B1"/>
    <w:pPr>
      <w:keepLines/>
      <w:spacing w:before="20" w:after="60"/>
    </w:pPr>
    <w:rPr>
      <w:rFonts w:asciiTheme="majorHAnsi" w:eastAsiaTheme="minorHAnsi" w:hAnsiTheme="majorHAnsi" w:cstheme="minorBidi"/>
      <w:i/>
      <w:spacing w:val="-2"/>
      <w:sz w:val="14"/>
      <w:szCs w:val="22"/>
    </w:rPr>
  </w:style>
  <w:style w:type="paragraph" w:customStyle="1" w:styleId="Note">
    <w:name w:val="Note"/>
    <w:basedOn w:val="Normal"/>
    <w:link w:val="NoteChar"/>
    <w:uiPriority w:val="52"/>
    <w:qFormat/>
    <w:rsid w:val="006F23B1"/>
    <w:pPr>
      <w:keepLines/>
      <w:spacing w:before="20"/>
      <w:ind w:left="284" w:hanging="284"/>
      <w:contextualSpacing/>
    </w:pPr>
    <w:rPr>
      <w:rFonts w:asciiTheme="majorHAnsi" w:eastAsiaTheme="minorHAnsi" w:hAnsiTheme="majorHAnsi" w:cstheme="minorBidi"/>
      <w:i/>
      <w:spacing w:val="-2"/>
      <w:sz w:val="14"/>
      <w:szCs w:val="22"/>
    </w:rPr>
  </w:style>
  <w:style w:type="numbering" w:customStyle="1" w:styleId="A">
    <w:name w:val="(A)"/>
    <w:uiPriority w:val="99"/>
    <w:rsid w:val="00ED06E6"/>
    <w:pPr>
      <w:numPr>
        <w:numId w:val="1"/>
      </w:numPr>
    </w:pPr>
  </w:style>
  <w:style w:type="paragraph" w:customStyle="1" w:styleId="HighlightBoxText">
    <w:name w:val="Highlight Box Text"/>
    <w:basedOn w:val="Normal"/>
    <w:uiPriority w:val="60"/>
    <w:qFormat/>
    <w:rsid w:val="00D451B9"/>
    <w:pPr>
      <w:keepLines/>
      <w:pBdr>
        <w:top w:val="single" w:sz="6" w:space="1" w:color="auto"/>
        <w:left w:val="single" w:sz="6" w:space="4" w:color="auto"/>
        <w:bottom w:val="single" w:sz="6" w:space="1" w:color="auto"/>
        <w:right w:val="single" w:sz="6" w:space="4" w:color="auto"/>
      </w:pBdr>
      <w:shd w:val="clear" w:color="auto" w:fill="F2F2F2" w:themeFill="background1" w:themeFillShade="F2"/>
    </w:pPr>
    <w:rPr>
      <w:rFonts w:eastAsiaTheme="minorHAnsi" w:cstheme="minorBidi"/>
      <w:szCs w:val="22"/>
    </w:rPr>
  </w:style>
  <w:style w:type="table" w:styleId="TableGrid">
    <w:name w:val="Table Grid"/>
    <w:basedOn w:val="TableNormal"/>
    <w:uiPriority w:val="59"/>
    <w:rsid w:val="00AF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7C4E"/>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Shading">
    <w:name w:val="Light Shading"/>
    <w:basedOn w:val="TableNormal"/>
    <w:uiPriority w:val="60"/>
    <w:rsid w:val="001136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paragraph" w:customStyle="1" w:styleId="DecimalAligned">
    <w:name w:val="Decimal Aligned"/>
    <w:basedOn w:val="Normal"/>
    <w:uiPriority w:val="40"/>
    <w:semiHidden/>
    <w:rsid w:val="00363B60"/>
    <w:pPr>
      <w:tabs>
        <w:tab w:val="decimal" w:pos="360"/>
      </w:tabs>
      <w:spacing w:after="200" w:line="276" w:lineRule="auto"/>
    </w:pPr>
    <w:rPr>
      <w:lang w:val="en-US" w:eastAsia="ja-JP"/>
    </w:rPr>
  </w:style>
  <w:style w:type="paragraph" w:styleId="FootnoteText">
    <w:name w:val="footnote text"/>
    <w:basedOn w:val="Normal"/>
    <w:link w:val="FootnoteTextChar"/>
    <w:uiPriority w:val="99"/>
    <w:semiHidden/>
    <w:rsid w:val="00363B60"/>
    <w:pPr>
      <w:keepLines/>
    </w:pPr>
    <w:rPr>
      <w:rFonts w:eastAsiaTheme="minorEastAsia" w:cstheme="minorBidi"/>
      <w:szCs w:val="22"/>
      <w:lang w:val="en-US" w:eastAsia="ja-JP"/>
    </w:rPr>
  </w:style>
  <w:style w:type="character" w:customStyle="1" w:styleId="FootnoteTextChar">
    <w:name w:val="Footnote Text Char"/>
    <w:basedOn w:val="DefaultParagraphFont"/>
    <w:link w:val="FootnoteText"/>
    <w:uiPriority w:val="99"/>
    <w:semiHidden/>
    <w:rsid w:val="00893855"/>
    <w:rPr>
      <w:rFonts w:eastAsiaTheme="minorEastAsia"/>
      <w:sz w:val="20"/>
      <w:szCs w:val="20"/>
      <w:lang w:val="en-US" w:eastAsia="ja-JP"/>
    </w:rPr>
  </w:style>
  <w:style w:type="character" w:styleId="SubtleEmphasis">
    <w:name w:val="Subtle Emphasis"/>
    <w:basedOn w:val="DefaultParagraphFont"/>
    <w:uiPriority w:val="98"/>
    <w:semiHidden/>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E" w:themeFill="accent5"/>
      </w:tcPr>
    </w:tblStylePr>
    <w:tblStylePr w:type="lastCol">
      <w:rPr>
        <w:b/>
        <w:bCs/>
        <w:color w:val="FFFFFF" w:themeColor="background1"/>
      </w:rPr>
      <w:tblPr/>
      <w:tcPr>
        <w:tcBorders>
          <w:left w:val="nil"/>
          <w:right w:val="nil"/>
          <w:insideH w:val="nil"/>
          <w:insideV w:val="nil"/>
        </w:tcBorders>
        <w:shd w:val="clear" w:color="auto" w:fill="009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link w:val="HeaderChar"/>
    <w:uiPriority w:val="85"/>
    <w:rsid w:val="00CA41CF"/>
    <w:pPr>
      <w:spacing w:after="180"/>
    </w:pPr>
    <w:rPr>
      <w:rFonts w:asciiTheme="majorHAnsi" w:hAnsiTheme="majorHAnsi"/>
      <w:b/>
      <w:caps/>
      <w:color w:val="53565A"/>
    </w:rPr>
  </w:style>
  <w:style w:type="character" w:customStyle="1" w:styleId="HeaderChar">
    <w:name w:val="Header Char"/>
    <w:basedOn w:val="DefaultParagraphFont"/>
    <w:link w:val="Header"/>
    <w:uiPriority w:val="85"/>
    <w:rsid w:val="00CA41CF"/>
    <w:rPr>
      <w:rFonts w:asciiTheme="majorHAnsi" w:hAnsiTheme="majorHAnsi"/>
      <w:b/>
      <w:caps/>
      <w:color w:val="53565A"/>
    </w:rPr>
  </w:style>
  <w:style w:type="numbering" w:styleId="111111">
    <w:name w:val="Outline List 2"/>
    <w:basedOn w:val="NoList"/>
    <w:uiPriority w:val="99"/>
    <w:semiHidden/>
    <w:unhideWhenUsed/>
    <w:rsid w:val="00C00568"/>
    <w:pPr>
      <w:numPr>
        <w:numId w:val="11"/>
      </w:numPr>
    </w:pPr>
  </w:style>
  <w:style w:type="character" w:customStyle="1" w:styleId="FooteroddChar">
    <w:name w:val="Footer (odd) Char"/>
    <w:basedOn w:val="DefaultParagraphFont"/>
    <w:link w:val="Footerodd"/>
    <w:uiPriority w:val="84"/>
    <w:rsid w:val="00A13F11"/>
    <w:rPr>
      <w:rFonts w:asciiTheme="majorHAnsi" w:hAnsiTheme="majorHAnsi"/>
      <w:sz w:val="18"/>
    </w:rPr>
  </w:style>
  <w:style w:type="paragraph" w:customStyle="1" w:styleId="Footerodd">
    <w:name w:val="Footer (odd)"/>
    <w:basedOn w:val="Footer"/>
    <w:link w:val="FooteroddChar"/>
    <w:uiPriority w:val="84"/>
    <w:rsid w:val="00A13F11"/>
    <w:pPr>
      <w:pBdr>
        <w:top w:val="single" w:sz="6" w:space="1" w:color="auto"/>
      </w:pBdr>
      <w:tabs>
        <w:tab w:val="clear" w:pos="4513"/>
        <w:tab w:val="clear" w:pos="9026"/>
        <w:tab w:val="center" w:pos="6464"/>
        <w:tab w:val="right" w:pos="9639"/>
        <w:tab w:val="right" w:pos="14742"/>
      </w:tabs>
    </w:pPr>
    <w:rPr>
      <w:rFonts w:asciiTheme="majorHAnsi" w:hAnsiTheme="majorHAnsi"/>
      <w:sz w:val="18"/>
    </w:rPr>
  </w:style>
  <w:style w:type="paragraph" w:customStyle="1" w:styleId="NoteDash">
    <w:name w:val="Note Dash"/>
    <w:basedOn w:val="Note"/>
    <w:next w:val="Note"/>
    <w:uiPriority w:val="53"/>
    <w:rsid w:val="00E46DD4"/>
    <w:pPr>
      <w:numPr>
        <w:numId w:val="3"/>
      </w:numPr>
      <w:ind w:left="568" w:hanging="284"/>
    </w:pPr>
  </w:style>
  <w:style w:type="character" w:customStyle="1" w:styleId="NoteChar">
    <w:name w:val="Note Char"/>
    <w:basedOn w:val="DefaultParagraphFont"/>
    <w:link w:val="Note"/>
    <w:uiPriority w:val="52"/>
    <w:rsid w:val="006F23B1"/>
    <w:rPr>
      <w:rFonts w:asciiTheme="majorHAnsi" w:hAnsiTheme="majorHAnsi"/>
      <w:i/>
      <w:spacing w:val="-2"/>
      <w:sz w:val="14"/>
    </w:rPr>
  </w:style>
  <w:style w:type="paragraph" w:styleId="TOC1">
    <w:name w:val="toc 1"/>
    <w:basedOn w:val="Normal"/>
    <w:next w:val="Normal"/>
    <w:uiPriority w:val="39"/>
    <w:rsid w:val="008D37BD"/>
    <w:pPr>
      <w:keepLines/>
      <w:tabs>
        <w:tab w:val="right" w:leader="dot" w:pos="9639"/>
      </w:tabs>
    </w:pPr>
    <w:rPr>
      <w:rFonts w:asciiTheme="majorHAnsi" w:eastAsiaTheme="minorHAnsi" w:hAnsiTheme="majorHAnsi" w:cstheme="minorBidi"/>
      <w:b/>
      <w:spacing w:val="-2"/>
      <w:szCs w:val="19"/>
    </w:rPr>
  </w:style>
  <w:style w:type="paragraph" w:styleId="ListNumber2">
    <w:name w:val="List Number 2"/>
    <w:basedOn w:val="ListNumber"/>
    <w:uiPriority w:val="19"/>
    <w:rsid w:val="00D451B9"/>
    <w:pPr>
      <w:numPr>
        <w:ilvl w:val="1"/>
      </w:numPr>
    </w:pPr>
  </w:style>
  <w:style w:type="numbering" w:customStyle="1" w:styleId="Bullet">
    <w:name w:val="Bullet"/>
    <w:uiPriority w:val="99"/>
    <w:rsid w:val="00CE5CF8"/>
    <w:pPr>
      <w:numPr>
        <w:numId w:val="2"/>
      </w:numPr>
    </w:pPr>
  </w:style>
  <w:style w:type="paragraph" w:styleId="ListParagraph">
    <w:name w:val="List Paragraph"/>
    <w:basedOn w:val="Normal"/>
    <w:uiPriority w:val="34"/>
    <w:qFormat/>
    <w:rsid w:val="006C505F"/>
    <w:pPr>
      <w:keepLines/>
      <w:ind w:left="720"/>
      <w:contextualSpacing/>
    </w:pPr>
    <w:rPr>
      <w:rFonts w:eastAsiaTheme="minorHAnsi" w:cstheme="minorBidi"/>
      <w:szCs w:val="22"/>
    </w:r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semiHidden/>
    <w:rsid w:val="00DE3014"/>
    <w:rPr>
      <w:rFonts w:asciiTheme="majorHAnsi" w:eastAsiaTheme="majorEastAsia" w:hAnsiTheme="majorHAnsi" w:cstheme="majorBidi"/>
      <w:i/>
      <w:iCs/>
      <w:spacing w:val="-2"/>
      <w:szCs w:val="26"/>
    </w:rPr>
  </w:style>
  <w:style w:type="paragraph" w:styleId="ListBullet">
    <w:name w:val="List Bullet"/>
    <w:basedOn w:val="Normal"/>
    <w:uiPriority w:val="19"/>
    <w:qFormat/>
    <w:rsid w:val="00CE5CF8"/>
    <w:pPr>
      <w:keepLines/>
      <w:numPr>
        <w:numId w:val="7"/>
      </w:numPr>
      <w:spacing w:before="60"/>
    </w:pPr>
    <w:rPr>
      <w:rFonts w:eastAsiaTheme="minorHAnsi" w:cstheme="minorBidi"/>
      <w:szCs w:val="22"/>
    </w:rPr>
  </w:style>
  <w:style w:type="paragraph" w:styleId="List">
    <w:name w:val="List"/>
    <w:basedOn w:val="Normal"/>
    <w:uiPriority w:val="29"/>
    <w:unhideWhenUsed/>
    <w:rsid w:val="008A5A91"/>
    <w:pPr>
      <w:tabs>
        <w:tab w:val="left" w:pos="284"/>
        <w:tab w:val="left" w:pos="567"/>
        <w:tab w:val="left" w:pos="851"/>
      </w:tabs>
    </w:pPr>
    <w:rPr>
      <w:rFonts w:eastAsiaTheme="minorHAnsi" w:cstheme="minorBidi"/>
      <w:szCs w:val="22"/>
    </w:rPr>
  </w:style>
  <w:style w:type="paragraph" w:styleId="ListContinue">
    <w:name w:val="List Continue"/>
    <w:basedOn w:val="Normal"/>
    <w:uiPriority w:val="24"/>
    <w:qFormat/>
    <w:rsid w:val="006C00EB"/>
    <w:pPr>
      <w:keepLines/>
      <w:spacing w:before="60"/>
      <w:ind w:left="284"/>
    </w:pPr>
    <w:rPr>
      <w:rFonts w:eastAsiaTheme="minorHAnsi" w:cstheme="minorBidi"/>
      <w:szCs w:val="22"/>
    </w:rPr>
  </w:style>
  <w:style w:type="paragraph" w:styleId="ListContinue2">
    <w:name w:val="List Continue 2"/>
    <w:basedOn w:val="Normal"/>
    <w:uiPriority w:val="24"/>
    <w:rsid w:val="006C00EB"/>
    <w:pPr>
      <w:keepLines/>
      <w:spacing w:before="60"/>
      <w:ind w:left="567"/>
    </w:pPr>
    <w:rPr>
      <w:rFonts w:eastAsiaTheme="minorHAnsi" w:cstheme="minorBidi"/>
      <w:szCs w:val="22"/>
    </w:rPr>
  </w:style>
  <w:style w:type="paragraph" w:styleId="ListNumber">
    <w:name w:val="List Number"/>
    <w:basedOn w:val="Normal"/>
    <w:uiPriority w:val="19"/>
    <w:qFormat/>
    <w:rsid w:val="00CE5CF8"/>
    <w:pPr>
      <w:keepLines/>
      <w:numPr>
        <w:numId w:val="8"/>
      </w:numPr>
      <w:spacing w:before="60"/>
    </w:pPr>
    <w:rPr>
      <w:rFonts w:eastAsiaTheme="minorHAnsi" w:cstheme="minorBidi"/>
      <w:szCs w:val="22"/>
    </w:rPr>
  </w:style>
  <w:style w:type="paragraph" w:styleId="Footer">
    <w:name w:val="footer"/>
    <w:basedOn w:val="Normal"/>
    <w:link w:val="FooterChar"/>
    <w:uiPriority w:val="84"/>
    <w:rsid w:val="004419CD"/>
    <w:pPr>
      <w:keepLines/>
      <w:tabs>
        <w:tab w:val="center" w:pos="4513"/>
        <w:tab w:val="right" w:pos="9026"/>
      </w:tabs>
    </w:pPr>
    <w:rPr>
      <w:rFonts w:eastAsiaTheme="minorHAnsi" w:cstheme="minorBidi"/>
      <w:szCs w:val="22"/>
    </w:rPr>
  </w:style>
  <w:style w:type="paragraph" w:styleId="TOC2">
    <w:name w:val="toc 2"/>
    <w:basedOn w:val="TOC1"/>
    <w:next w:val="Normal"/>
    <w:uiPriority w:val="39"/>
    <w:rsid w:val="008D37BD"/>
    <w:pPr>
      <w:spacing w:before="60" w:after="60" w:line="264" w:lineRule="auto"/>
      <w:ind w:left="284" w:right="567"/>
    </w:pPr>
    <w:rPr>
      <w:b w:val="0"/>
      <w:noProof/>
    </w:rPr>
  </w:style>
  <w:style w:type="character" w:styleId="PageNumber">
    <w:name w:val="page number"/>
    <w:semiHidden/>
    <w:rsid w:val="000A03F9"/>
    <w:rPr>
      <w:rFonts w:asciiTheme="minorHAnsi" w:hAnsiTheme="minorHAnsi"/>
      <w:sz w:val="18"/>
    </w:rPr>
  </w:style>
  <w:style w:type="paragraph" w:styleId="TOC3">
    <w:name w:val="toc 3"/>
    <w:basedOn w:val="Normal"/>
    <w:next w:val="Normal"/>
    <w:uiPriority w:val="91"/>
    <w:rsid w:val="00402880"/>
    <w:pPr>
      <w:keepLines/>
      <w:spacing w:after="100"/>
      <w:ind w:left="420"/>
    </w:pPr>
    <w:rPr>
      <w:rFonts w:eastAsiaTheme="minorHAnsi" w:cstheme="minorBidi"/>
      <w:szCs w:val="22"/>
    </w:rPr>
  </w:style>
  <w:style w:type="paragraph" w:styleId="TOC4">
    <w:name w:val="toc 4"/>
    <w:next w:val="Normal"/>
    <w:uiPriority w:val="96"/>
    <w:semiHidden/>
    <w:rsid w:val="000E2126"/>
    <w:pPr>
      <w:tabs>
        <w:tab w:val="left" w:pos="1021"/>
        <w:tab w:val="right" w:leader="dot" w:pos="9072"/>
      </w:tabs>
      <w:spacing w:after="100"/>
    </w:pPr>
    <w:rPr>
      <w:rFonts w:asciiTheme="majorHAnsi" w:hAnsiTheme="majorHAnsi"/>
      <w:spacing w:val="2"/>
    </w:rPr>
  </w:style>
  <w:style w:type="character" w:styleId="Hyperlink">
    <w:name w:val="Hyperlink"/>
    <w:uiPriority w:val="99"/>
    <w:rsid w:val="00924B15"/>
    <w:rPr>
      <w:color w:val="0000FF"/>
      <w:u w:val="single"/>
    </w:rPr>
  </w:style>
  <w:style w:type="paragraph" w:styleId="BalloonText">
    <w:name w:val="Balloon Text"/>
    <w:basedOn w:val="Normal"/>
    <w:link w:val="BalloonTextChar"/>
    <w:uiPriority w:val="99"/>
    <w:semiHidden/>
    <w:unhideWhenUsed/>
    <w:rsid w:val="00924B15"/>
    <w:pPr>
      <w:keepLines/>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hAnsi="Tahoma" w:cs="Tahoma"/>
      <w:spacing w:val="2"/>
      <w:sz w:val="16"/>
      <w:szCs w:val="16"/>
    </w:rPr>
  </w:style>
  <w:style w:type="paragraph" w:customStyle="1" w:styleId="HighlightBoxHeading">
    <w:name w:val="Highlight Box Heading"/>
    <w:basedOn w:val="HighlightBoxText"/>
    <w:next w:val="HighlightBoxText"/>
    <w:uiPriority w:val="59"/>
    <w:qFormat/>
    <w:rsid w:val="00AB5FA5"/>
    <w:pPr>
      <w:keepNext/>
    </w:pPr>
    <w:rPr>
      <w:rFonts w:asciiTheme="majorHAnsi" w:hAnsiTheme="majorHAnsi"/>
      <w:i/>
    </w:rPr>
  </w:style>
  <w:style w:type="paragraph" w:customStyle="1" w:styleId="HighlightBoxBullet">
    <w:name w:val="Highlight Box Bullet"/>
    <w:basedOn w:val="ListBullet"/>
    <w:uiPriority w:val="61"/>
    <w:qFormat/>
    <w:rsid w:val="00AB5FA5"/>
    <w:pPr>
      <w:pBdr>
        <w:top w:val="single" w:sz="6" w:space="1" w:color="auto"/>
        <w:left w:val="single" w:sz="6" w:space="4" w:color="auto"/>
        <w:bottom w:val="single" w:sz="6" w:space="1" w:color="auto"/>
        <w:right w:val="single" w:sz="6" w:space="4" w:color="auto"/>
      </w:pBdr>
      <w:shd w:val="clear" w:color="auto" w:fill="F2F2F2" w:themeFill="background1" w:themeFillShade="F2"/>
    </w:pPr>
  </w:style>
  <w:style w:type="character" w:customStyle="1" w:styleId="Heading6Char">
    <w:name w:val="Heading 6 Char"/>
    <w:basedOn w:val="DefaultParagraphFont"/>
    <w:link w:val="Heading6"/>
    <w:uiPriority w:val="9"/>
    <w:semiHidden/>
    <w:rsid w:val="00E36DAC"/>
    <w:rPr>
      <w:rFonts w:asciiTheme="majorHAnsi" w:eastAsiaTheme="majorEastAsia" w:hAnsiTheme="majorHAnsi" w:cstheme="majorBidi"/>
      <w:i/>
      <w:iCs/>
      <w:color w:val="003152"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uiPriority w:val="49"/>
    <w:qFormat/>
    <w:rsid w:val="00671538"/>
    <w:pPr>
      <w:keepNext/>
      <w:keepLines/>
      <w:tabs>
        <w:tab w:val="left" w:pos="1134"/>
        <w:tab w:val="right" w:pos="9639"/>
        <w:tab w:val="right" w:pos="14572"/>
      </w:tabs>
      <w:spacing w:before="240" w:after="60"/>
      <w:ind w:left="1134" w:hanging="1134"/>
    </w:pPr>
    <w:rPr>
      <w:rFonts w:asciiTheme="majorHAnsi" w:eastAsiaTheme="minorHAnsi" w:hAnsiTheme="majorHAnsi" w:cstheme="minorBidi"/>
      <w:b/>
      <w:sz w:val="20"/>
    </w:rPr>
  </w:style>
  <w:style w:type="table" w:styleId="LightShading-Accent2">
    <w:name w:val="Light Shading Accent 2"/>
    <w:basedOn w:val="TableNormal"/>
    <w:uiPriority w:val="60"/>
    <w:rsid w:val="00A9345E"/>
    <w:rPr>
      <w:color w:val="00365B" w:themeColor="accent2" w:themeShade="BF"/>
    </w:rPr>
    <w:tblPr>
      <w:tblStyleRowBandSize w:val="1"/>
      <w:tblStyleColBandSize w:val="1"/>
      <w:tblBorders>
        <w:top w:val="single" w:sz="8" w:space="0" w:color="00497A" w:themeColor="accent2"/>
        <w:bottom w:val="single" w:sz="8" w:space="0" w:color="00497A" w:themeColor="accent2"/>
      </w:tblBorders>
    </w:tblPr>
    <w:tblStylePr w:type="fir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la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left w:val="nil"/>
          <w:right w:val="nil"/>
          <w:insideH w:val="nil"/>
          <w:insideV w:val="nil"/>
        </w:tcBorders>
        <w:shd w:val="clear" w:color="auto" w:fill="9FD8FF" w:themeFill="accent2" w:themeFillTint="3F"/>
      </w:tcPr>
    </w:tblStylePr>
  </w:style>
  <w:style w:type="paragraph" w:styleId="ListBullet3">
    <w:name w:val="List Bullet 3"/>
    <w:basedOn w:val="ListBullet2"/>
    <w:uiPriority w:val="19"/>
    <w:unhideWhenUsed/>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
    <w:uiPriority w:val="14"/>
    <w:rsid w:val="003E68E6"/>
    <w:rPr>
      <w:rFonts w:asciiTheme="majorHAnsi" w:eastAsiaTheme="majorEastAsia" w:hAnsiTheme="majorHAnsi" w:cstheme="majorBidi"/>
      <w:b/>
      <w:bCs/>
      <w:caps/>
      <w:spacing w:val="-2"/>
      <w:sz w:val="26"/>
      <w:szCs w:val="28"/>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autoRedefine/>
    <w:uiPriority w:val="39"/>
    <w:rsid w:val="00A13F11"/>
    <w:pPr>
      <w:keepLines/>
      <w:tabs>
        <w:tab w:val="left" w:pos="567"/>
        <w:tab w:val="right" w:leader="dot" w:pos="4536"/>
      </w:tabs>
      <w:spacing w:after="100"/>
      <w:ind w:left="567" w:right="340" w:hanging="567"/>
    </w:pPr>
    <w:rPr>
      <w:rFonts w:eastAsiaTheme="minorHAnsi" w:cstheme="minorBidi"/>
      <w:spacing w:val="-2"/>
      <w:szCs w:val="22"/>
    </w:rPr>
  </w:style>
  <w:style w:type="paragraph" w:customStyle="1" w:styleId="Footereven">
    <w:name w:val="Footer (even)"/>
    <w:basedOn w:val="Footer"/>
    <w:link w:val="FooterevenChar"/>
    <w:uiPriority w:val="85"/>
    <w:qFormat/>
    <w:rsid w:val="00A13F11"/>
    <w:pPr>
      <w:pBdr>
        <w:top w:val="single" w:sz="6" w:space="1" w:color="auto"/>
      </w:pBdr>
      <w:tabs>
        <w:tab w:val="clear" w:pos="4513"/>
        <w:tab w:val="clear" w:pos="9026"/>
        <w:tab w:val="center" w:pos="3175"/>
        <w:tab w:val="right" w:pos="9639"/>
        <w:tab w:val="right" w:pos="14742"/>
      </w:tabs>
    </w:pPr>
    <w:rPr>
      <w:rFonts w:asciiTheme="majorHAnsi" w:hAnsiTheme="majorHAnsi"/>
      <w:sz w:val="18"/>
    </w:rPr>
  </w:style>
  <w:style w:type="table" w:customStyle="1" w:styleId="DTFTable">
    <w:name w:val="DTF Table"/>
    <w:basedOn w:val="TableNormal"/>
    <w:uiPriority w:val="99"/>
    <w:rsid w:val="00A637FA"/>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styleId="ListNumber3">
    <w:name w:val="List Number 3"/>
    <w:basedOn w:val="Normal"/>
    <w:uiPriority w:val="19"/>
    <w:unhideWhenUsed/>
    <w:rsid w:val="002C3386"/>
    <w:pPr>
      <w:keepLines/>
      <w:numPr>
        <w:ilvl w:val="2"/>
        <w:numId w:val="8"/>
      </w:numPr>
      <w:spacing w:before="60"/>
      <w:ind w:left="851"/>
    </w:pPr>
    <w:rPr>
      <w:rFonts w:eastAsiaTheme="minorHAnsi" w:cstheme="minorBidi"/>
      <w:szCs w:val="22"/>
    </w:rPr>
  </w:style>
  <w:style w:type="paragraph" w:styleId="ListNumber4">
    <w:name w:val="List Number 4"/>
    <w:basedOn w:val="Normal"/>
    <w:uiPriority w:val="19"/>
    <w:semiHidden/>
    <w:unhideWhenUsed/>
    <w:rsid w:val="00CE5CF8"/>
    <w:pPr>
      <w:keepLines/>
      <w:numPr>
        <w:ilvl w:val="3"/>
        <w:numId w:val="8"/>
      </w:numPr>
      <w:contextualSpacing/>
    </w:pPr>
    <w:rPr>
      <w:rFonts w:eastAsiaTheme="minorHAnsi" w:cstheme="minorBidi"/>
      <w:szCs w:val="22"/>
    </w:rPr>
  </w:style>
  <w:style w:type="paragraph" w:styleId="ListNumber5">
    <w:name w:val="List Number 5"/>
    <w:basedOn w:val="Normal"/>
    <w:uiPriority w:val="19"/>
    <w:semiHidden/>
    <w:unhideWhenUsed/>
    <w:rsid w:val="00CE5CF8"/>
    <w:pPr>
      <w:keepLines/>
      <w:numPr>
        <w:ilvl w:val="4"/>
        <w:numId w:val="8"/>
      </w:numPr>
      <w:contextualSpacing/>
    </w:pPr>
    <w:rPr>
      <w:rFonts w:eastAsiaTheme="minorHAnsi" w:cstheme="minorBidi"/>
      <w:szCs w:val="22"/>
    </w:rPr>
  </w:style>
  <w:style w:type="paragraph" w:styleId="ListContinue3">
    <w:name w:val="List Continue 3"/>
    <w:basedOn w:val="ListContinue2"/>
    <w:uiPriority w:val="24"/>
    <w:semiHidden/>
    <w:unhideWhenUsed/>
    <w:rsid w:val="000915C9"/>
    <w:pPr>
      <w:ind w:left="1191"/>
    </w:pPr>
  </w:style>
  <w:style w:type="paragraph" w:customStyle="1" w:styleId="Heading1">
    <w:name w:val="Heading 1 (#)"/>
    <w:basedOn w:val="Heading10"/>
    <w:link w:val="Heading1Char0"/>
    <w:uiPriority w:val="14"/>
    <w:qFormat/>
    <w:rsid w:val="003E68E6"/>
    <w:pPr>
      <w:numPr>
        <w:numId w:val="14"/>
      </w:numPr>
    </w:pPr>
  </w:style>
  <w:style w:type="paragraph" w:customStyle="1" w:styleId="Heading2">
    <w:name w:val="Heading 2 (#)"/>
    <w:basedOn w:val="Heading20"/>
    <w:link w:val="Heading2Char0"/>
    <w:uiPriority w:val="14"/>
    <w:qFormat/>
    <w:rsid w:val="00771A05"/>
    <w:pPr>
      <w:numPr>
        <w:numId w:val="14"/>
      </w:numPr>
    </w:pPr>
  </w:style>
  <w:style w:type="numbering" w:customStyle="1" w:styleId="NumberedHeadings">
    <w:name w:val="Numbered Headings"/>
    <w:uiPriority w:val="99"/>
    <w:rsid w:val="004B1258"/>
    <w:pPr>
      <w:numPr>
        <w:numId w:val="6"/>
      </w:numPr>
    </w:pPr>
  </w:style>
  <w:style w:type="paragraph" w:customStyle="1" w:styleId="Heading3">
    <w:name w:val="Heading 3 (#)"/>
    <w:basedOn w:val="Heading30"/>
    <w:next w:val="Normal"/>
    <w:link w:val="Heading3Char0"/>
    <w:uiPriority w:val="14"/>
    <w:rsid w:val="0037430B"/>
    <w:pPr>
      <w:numPr>
        <w:numId w:val="14"/>
      </w:numPr>
      <w:spacing w:after="120"/>
    </w:pPr>
  </w:style>
  <w:style w:type="character" w:customStyle="1" w:styleId="Heading3Char0">
    <w:name w:val="Heading 3 (#) Char"/>
    <w:basedOn w:val="Heading3Char"/>
    <w:link w:val="Heading3"/>
    <w:uiPriority w:val="14"/>
    <w:rsid w:val="0037430B"/>
    <w:rPr>
      <w:rFonts w:asciiTheme="majorHAnsi" w:eastAsiaTheme="majorEastAsia" w:hAnsiTheme="majorHAnsi" w:cstheme="majorBidi"/>
      <w:b/>
      <w:bCs/>
      <w:spacing w:val="-2"/>
      <w:szCs w:val="26"/>
    </w:rPr>
  </w:style>
  <w:style w:type="paragraph" w:styleId="ListBullet4">
    <w:name w:val="List Bullet 4"/>
    <w:basedOn w:val="Normal"/>
    <w:uiPriority w:val="19"/>
    <w:semiHidden/>
    <w:unhideWhenUsed/>
    <w:rsid w:val="002F7BBC"/>
    <w:pPr>
      <w:keepLines/>
      <w:numPr>
        <w:numId w:val="9"/>
      </w:numPr>
      <w:contextualSpacing/>
    </w:pPr>
    <w:rPr>
      <w:rFonts w:eastAsiaTheme="minorHAnsi" w:cstheme="minorBidi"/>
      <w:szCs w:val="22"/>
    </w:rPr>
  </w:style>
  <w:style w:type="paragraph" w:styleId="ListBullet5">
    <w:name w:val="List Bullet 5"/>
    <w:basedOn w:val="Normal"/>
    <w:uiPriority w:val="19"/>
    <w:semiHidden/>
    <w:unhideWhenUsed/>
    <w:rsid w:val="002F7BBC"/>
    <w:pPr>
      <w:keepLines/>
      <w:numPr>
        <w:numId w:val="10"/>
      </w:numPr>
      <w:contextualSpacing/>
    </w:pPr>
    <w:rPr>
      <w:rFonts w:eastAsiaTheme="minorHAnsi" w:cstheme="minorBidi"/>
      <w:szCs w:val="22"/>
    </w:rPr>
  </w:style>
  <w:style w:type="paragraph" w:styleId="ListContinue4">
    <w:name w:val="List Continue 4"/>
    <w:basedOn w:val="Normal"/>
    <w:uiPriority w:val="24"/>
    <w:semiHidden/>
    <w:unhideWhenUsed/>
    <w:rsid w:val="002F7BBC"/>
    <w:pPr>
      <w:keepLines/>
      <w:ind w:left="1132"/>
      <w:contextualSpacing/>
    </w:pPr>
    <w:rPr>
      <w:rFonts w:eastAsiaTheme="minorHAnsi" w:cstheme="minorBidi"/>
      <w:szCs w:val="22"/>
    </w:rPr>
  </w:style>
  <w:style w:type="paragraph" w:styleId="ListContinue5">
    <w:name w:val="List Continue 5"/>
    <w:basedOn w:val="Normal"/>
    <w:uiPriority w:val="24"/>
    <w:semiHidden/>
    <w:unhideWhenUsed/>
    <w:rsid w:val="002F7BBC"/>
    <w:pPr>
      <w:keepLines/>
      <w:ind w:left="1415"/>
      <w:contextualSpacing/>
    </w:pPr>
    <w:rPr>
      <w:rFonts w:eastAsiaTheme="minorHAnsi" w:cstheme="minorBidi"/>
      <w:szCs w:val="22"/>
    </w:rPr>
  </w:style>
  <w:style w:type="character" w:customStyle="1" w:styleId="FooterChar">
    <w:name w:val="Footer Char"/>
    <w:basedOn w:val="DefaultParagraphFont"/>
    <w:link w:val="Footer"/>
    <w:uiPriority w:val="84"/>
    <w:rsid w:val="00644B4A"/>
  </w:style>
  <w:style w:type="paragraph" w:styleId="TOC7">
    <w:name w:val="toc 7"/>
    <w:basedOn w:val="Normal"/>
    <w:next w:val="Normal"/>
    <w:autoRedefine/>
    <w:uiPriority w:val="96"/>
    <w:semiHidden/>
    <w:rsid w:val="001213D6"/>
    <w:pPr>
      <w:keepLines/>
      <w:spacing w:after="100"/>
      <w:ind w:left="1320"/>
    </w:pPr>
    <w:rPr>
      <w:rFonts w:eastAsiaTheme="minorHAnsi" w:cstheme="minorBidi"/>
      <w:szCs w:val="22"/>
    </w:r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pPr>
      <w:keepLines/>
    </w:pPr>
    <w:rPr>
      <w:rFonts w:eastAsiaTheme="minorHAnsi" w:cstheme="minorBidi"/>
      <w:szCs w:val="22"/>
    </w:rPr>
  </w:style>
  <w:style w:type="paragraph" w:styleId="BlockText">
    <w:name w:val="Block Text"/>
    <w:basedOn w:val="Normal"/>
    <w:uiPriority w:val="99"/>
    <w:semiHidden/>
    <w:unhideWhenUsed/>
    <w:rsid w:val="00C00568"/>
    <w:pPr>
      <w:keepLines/>
      <w:pBdr>
        <w:top w:val="single" w:sz="2" w:space="10" w:color="0063A6" w:themeColor="accent1" w:shadow="1"/>
        <w:left w:val="single" w:sz="2" w:space="10" w:color="0063A6" w:themeColor="accent1" w:shadow="1"/>
        <w:bottom w:val="single" w:sz="2" w:space="10" w:color="0063A6" w:themeColor="accent1" w:shadow="1"/>
        <w:right w:val="single" w:sz="2" w:space="10" w:color="0063A6" w:themeColor="accent1" w:shadow="1"/>
      </w:pBdr>
      <w:ind w:left="1152" w:right="1152"/>
    </w:pPr>
    <w:rPr>
      <w:rFonts w:eastAsiaTheme="minorEastAsia" w:cstheme="minorBidi"/>
      <w:i/>
      <w:iCs/>
      <w:color w:val="0063A6" w:themeColor="accent1"/>
      <w:szCs w:val="22"/>
    </w:rPr>
  </w:style>
  <w:style w:type="paragraph" w:styleId="BodyText">
    <w:name w:val="Body Text"/>
    <w:basedOn w:val="Normal"/>
    <w:link w:val="BodyTextChar"/>
    <w:uiPriority w:val="4"/>
    <w:semiHidden/>
    <w:unhideWhenUsed/>
    <w:rsid w:val="00C00568"/>
    <w:pPr>
      <w:keepLines/>
    </w:pPr>
    <w:rPr>
      <w:rFonts w:eastAsiaTheme="minorHAnsi" w:cstheme="minorBidi"/>
      <w:szCs w:val="22"/>
    </w:rPr>
  </w:style>
  <w:style w:type="character" w:customStyle="1" w:styleId="BodyTextChar">
    <w:name w:val="Body Text Char"/>
    <w:basedOn w:val="DefaultParagraphFont"/>
    <w:link w:val="BodyText"/>
    <w:uiPriority w:val="4"/>
    <w:semiHidden/>
    <w:rsid w:val="00C00568"/>
  </w:style>
  <w:style w:type="paragraph" w:styleId="BodyText2">
    <w:name w:val="Body Text 2"/>
    <w:basedOn w:val="Normal"/>
    <w:link w:val="BodyText2Char"/>
    <w:uiPriority w:val="99"/>
    <w:semiHidden/>
    <w:unhideWhenUsed/>
    <w:rsid w:val="00C00568"/>
    <w:pPr>
      <w:keepLines/>
      <w:spacing w:line="480" w:lineRule="auto"/>
    </w:pPr>
    <w:rPr>
      <w:rFonts w:eastAsiaTheme="minorHAnsi" w:cstheme="minorBidi"/>
      <w:szCs w:val="22"/>
    </w:rPr>
  </w:style>
  <w:style w:type="character" w:customStyle="1" w:styleId="BodyText2Char">
    <w:name w:val="Body Text 2 Char"/>
    <w:basedOn w:val="DefaultParagraphFont"/>
    <w:link w:val="BodyText2"/>
    <w:uiPriority w:val="99"/>
    <w:semiHidden/>
    <w:rsid w:val="00C00568"/>
  </w:style>
  <w:style w:type="paragraph" w:styleId="BodyText3">
    <w:name w:val="Body Text 3"/>
    <w:basedOn w:val="Normal"/>
    <w:link w:val="BodyText3Char"/>
    <w:uiPriority w:val="99"/>
    <w:semiHidden/>
    <w:unhideWhenUsed/>
    <w:rsid w:val="00C00568"/>
    <w:pPr>
      <w:keepLines/>
    </w:pPr>
    <w:rPr>
      <w:rFonts w:eastAsiaTheme="minorHAnsi" w:cstheme="minorBidi"/>
      <w:sz w:val="16"/>
      <w:szCs w:val="16"/>
    </w:rPr>
  </w:style>
  <w:style w:type="character" w:customStyle="1" w:styleId="BodyText3Char">
    <w:name w:val="Body Text 3 Char"/>
    <w:basedOn w:val="DefaultParagraphFont"/>
    <w:link w:val="BodyText3"/>
    <w:uiPriority w:val="99"/>
    <w:semiHidden/>
    <w:rsid w:val="00C00568"/>
    <w:rPr>
      <w:sz w:val="16"/>
      <w:szCs w:val="16"/>
    </w:rPr>
  </w:style>
  <w:style w:type="paragraph" w:styleId="BodyTextFirstIndent">
    <w:name w:val="Body Text First Indent"/>
    <w:basedOn w:val="BodyText"/>
    <w:link w:val="BodyTextFirstIndentChar"/>
    <w:uiPriority w:val="99"/>
    <w:semiHidden/>
    <w:unhideWhenUsed/>
    <w:rsid w:val="00C00568"/>
    <w:pPr>
      <w:ind w:firstLine="360"/>
    </w:pPr>
  </w:style>
  <w:style w:type="character" w:customStyle="1" w:styleId="BodyTextFirstIndentChar">
    <w:name w:val="Body Text First Indent Char"/>
    <w:basedOn w:val="BodyTextChar"/>
    <w:link w:val="BodyTextFirstIndent"/>
    <w:uiPriority w:val="99"/>
    <w:semiHidden/>
    <w:rsid w:val="00C00568"/>
  </w:style>
  <w:style w:type="paragraph" w:styleId="BodyTextIndent">
    <w:name w:val="Body Text Indent"/>
    <w:basedOn w:val="Normal"/>
    <w:link w:val="BodyTextIndentChar"/>
    <w:uiPriority w:val="99"/>
    <w:semiHidden/>
    <w:unhideWhenUsed/>
    <w:rsid w:val="00C00568"/>
    <w:pPr>
      <w:keepLines/>
      <w:ind w:left="283"/>
    </w:pPr>
    <w:rPr>
      <w:rFonts w:eastAsiaTheme="minorHAnsi" w:cstheme="minorBidi"/>
      <w:szCs w:val="22"/>
    </w:r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C00568"/>
    <w:pPr>
      <w:ind w:left="360" w:firstLine="360"/>
    </w:pPr>
  </w:style>
  <w:style w:type="character" w:customStyle="1" w:styleId="BodyTextFirstIndent2Char">
    <w:name w:val="Body Text First Indent 2 Char"/>
    <w:basedOn w:val="BodyTextIndentChar"/>
    <w:link w:val="BodyTextFirstIndent2"/>
    <w:uiPriority w:val="99"/>
    <w:semiHidden/>
    <w:rsid w:val="00C00568"/>
  </w:style>
  <w:style w:type="paragraph" w:styleId="BodyTextIndent2">
    <w:name w:val="Body Text Indent 2"/>
    <w:basedOn w:val="Normal"/>
    <w:link w:val="BodyTextIndent2Char"/>
    <w:uiPriority w:val="99"/>
    <w:semiHidden/>
    <w:unhideWhenUsed/>
    <w:rsid w:val="00C00568"/>
    <w:pPr>
      <w:keepLines/>
      <w:spacing w:line="480" w:lineRule="auto"/>
      <w:ind w:left="283"/>
    </w:pPr>
    <w:rPr>
      <w:rFonts w:eastAsiaTheme="minorHAnsi" w:cstheme="minorBidi"/>
      <w:szCs w:val="22"/>
    </w:r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keepLines/>
      <w:ind w:left="283"/>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semiHidden/>
    <w:rsid w:val="00C00568"/>
    <w:rPr>
      <w:b/>
      <w:bCs/>
      <w:smallCaps/>
      <w:spacing w:val="5"/>
    </w:rPr>
  </w:style>
  <w:style w:type="paragraph" w:styleId="Caption">
    <w:name w:val="caption"/>
    <w:basedOn w:val="Normal"/>
    <w:next w:val="Normal"/>
    <w:uiPriority w:val="35"/>
    <w:semiHidden/>
    <w:unhideWhenUsed/>
    <w:rsid w:val="00C00568"/>
    <w:pPr>
      <w:keepLines/>
      <w:spacing w:after="200"/>
    </w:pPr>
    <w:rPr>
      <w:rFonts w:eastAsiaTheme="minorHAnsi" w:cstheme="minorBidi"/>
      <w:b/>
      <w:bCs/>
      <w:color w:val="0063A6" w:themeColor="accent1"/>
      <w:sz w:val="18"/>
      <w:szCs w:val="18"/>
    </w:rPr>
  </w:style>
  <w:style w:type="paragraph" w:styleId="Closing">
    <w:name w:val="Closing"/>
    <w:basedOn w:val="Normal"/>
    <w:link w:val="ClosingChar"/>
    <w:uiPriority w:val="99"/>
    <w:semiHidden/>
    <w:unhideWhenUsed/>
    <w:rsid w:val="00C00568"/>
    <w:pPr>
      <w:keepLines/>
      <w:ind w:left="4252"/>
    </w:pPr>
    <w:rPr>
      <w:rFonts w:eastAsiaTheme="minorHAnsi" w:cstheme="minorBidi"/>
      <w:szCs w:val="22"/>
    </w:r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AE3FF" w:themeFill="accent1" w:themeFillTint="33"/>
    </w:tcPr>
    <w:tblStylePr w:type="firstRow">
      <w:rPr>
        <w:b/>
        <w:bCs/>
      </w:rPr>
      <w:tblPr/>
      <w:tcPr>
        <w:shd w:val="clear" w:color="auto" w:fill="75C7FF" w:themeFill="accent1" w:themeFillTint="66"/>
      </w:tcPr>
    </w:tblStylePr>
    <w:tblStylePr w:type="lastRow">
      <w:rPr>
        <w:b/>
        <w:bCs/>
        <w:color w:val="000000" w:themeColor="text1"/>
      </w:rPr>
      <w:tblPr/>
      <w:tcPr>
        <w:shd w:val="clear" w:color="auto" w:fill="75C7FF" w:themeFill="accent1" w:themeFillTint="66"/>
      </w:tcPr>
    </w:tblStylePr>
    <w:tblStylePr w:type="firstCol">
      <w:rPr>
        <w:color w:val="FFFFFF" w:themeColor="background1"/>
      </w:rPr>
      <w:tblPr/>
      <w:tcPr>
        <w:shd w:val="clear" w:color="auto" w:fill="004A7C" w:themeFill="accent1" w:themeFillShade="BF"/>
      </w:tcPr>
    </w:tblStylePr>
    <w:tblStylePr w:type="lastCol">
      <w:rPr>
        <w:color w:val="FFFFFF" w:themeColor="background1"/>
      </w:rPr>
      <w:tblPr/>
      <w:tcPr>
        <w:shd w:val="clear" w:color="auto" w:fill="004A7C" w:themeFill="accent1" w:themeFillShade="BF"/>
      </w:tc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ColorfulGrid-Accent2">
    <w:name w:val="Colorful Grid Accent 2"/>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1DFFF" w:themeFill="accent2" w:themeFillTint="33"/>
    </w:tcPr>
    <w:tblStylePr w:type="firstRow">
      <w:rPr>
        <w:b/>
        <w:bCs/>
      </w:rPr>
      <w:tblPr/>
      <w:tcPr>
        <w:shd w:val="clear" w:color="auto" w:fill="63C0FF" w:themeFill="accent2" w:themeFillTint="66"/>
      </w:tcPr>
    </w:tblStylePr>
    <w:tblStylePr w:type="lastRow">
      <w:rPr>
        <w:b/>
        <w:bCs/>
        <w:color w:val="000000" w:themeColor="text1"/>
      </w:rPr>
      <w:tblPr/>
      <w:tcPr>
        <w:shd w:val="clear" w:color="auto" w:fill="63C0FF" w:themeFill="accent2" w:themeFillTint="66"/>
      </w:tcPr>
    </w:tblStylePr>
    <w:tblStylePr w:type="firstCol">
      <w:rPr>
        <w:color w:val="FFFFFF" w:themeColor="background1"/>
      </w:rPr>
      <w:tblPr/>
      <w:tcPr>
        <w:shd w:val="clear" w:color="auto" w:fill="00365B" w:themeFill="accent2" w:themeFillShade="BF"/>
      </w:tcPr>
    </w:tblStylePr>
    <w:tblStylePr w:type="lastCol">
      <w:rPr>
        <w:color w:val="FFFFFF" w:themeColor="background1"/>
      </w:rPr>
      <w:tblPr/>
      <w:tcPr>
        <w:shd w:val="clear" w:color="auto" w:fill="00365B" w:themeFill="accent2" w:themeFillShade="BF"/>
      </w:tc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ColorfulGrid-Accent3">
    <w:name w:val="Colorful Grid Accent 3"/>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3EBF4" w:themeFill="accent3" w:themeFillTint="33"/>
    </w:tcPr>
    <w:tblStylePr w:type="firstRow">
      <w:rPr>
        <w:b/>
        <w:bCs/>
      </w:rPr>
      <w:tblPr/>
      <w:tcPr>
        <w:shd w:val="clear" w:color="auto" w:fill="C7D7E9" w:themeFill="accent3" w:themeFillTint="66"/>
      </w:tcPr>
    </w:tblStylePr>
    <w:tblStylePr w:type="lastRow">
      <w:rPr>
        <w:b/>
        <w:bCs/>
        <w:color w:val="000000" w:themeColor="text1"/>
      </w:rPr>
      <w:tblPr/>
      <w:tcPr>
        <w:shd w:val="clear" w:color="auto" w:fill="C7D7E9" w:themeFill="accent3" w:themeFillTint="66"/>
      </w:tcPr>
    </w:tblStylePr>
    <w:tblStylePr w:type="firstCol">
      <w:rPr>
        <w:color w:val="FFFFFF" w:themeColor="background1"/>
      </w:rPr>
      <w:tblPr/>
      <w:tcPr>
        <w:shd w:val="clear" w:color="auto" w:fill="4273AA" w:themeFill="accent3" w:themeFillShade="BF"/>
      </w:tcPr>
    </w:tblStylePr>
    <w:tblStylePr w:type="lastCol">
      <w:rPr>
        <w:color w:val="FFFFFF" w:themeColor="background1"/>
      </w:rPr>
      <w:tblPr/>
      <w:tcPr>
        <w:shd w:val="clear" w:color="auto" w:fill="4273AA" w:themeFill="accent3" w:themeFillShade="BF"/>
      </w:tc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ColorfulGrid-Accent4">
    <w:name w:val="Colorful Grid Accent 4"/>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2E3FF" w:themeFill="accent4" w:themeFillTint="33"/>
    </w:tcPr>
    <w:tblStylePr w:type="firstRow">
      <w:rPr>
        <w:b/>
        <w:bCs/>
      </w:rPr>
      <w:tblPr/>
      <w:tcPr>
        <w:shd w:val="clear" w:color="auto" w:fill="85C8FF" w:themeFill="accent4" w:themeFillTint="66"/>
      </w:tcPr>
    </w:tblStylePr>
    <w:tblStylePr w:type="lastRow">
      <w:rPr>
        <w:b/>
        <w:bCs/>
        <w:color w:val="000000" w:themeColor="text1"/>
      </w:rPr>
      <w:tblPr/>
      <w:tcPr>
        <w:shd w:val="clear" w:color="auto" w:fill="85C8FF" w:themeFill="accent4" w:themeFillTint="66"/>
      </w:tcPr>
    </w:tblStylePr>
    <w:tblStylePr w:type="firstCol">
      <w:rPr>
        <w:color w:val="FFFFFF" w:themeColor="background1"/>
      </w:rPr>
      <w:tblPr/>
      <w:tcPr>
        <w:shd w:val="clear" w:color="auto" w:fill="00559A" w:themeFill="accent4" w:themeFillShade="BF"/>
      </w:tcPr>
    </w:tblStylePr>
    <w:tblStylePr w:type="lastCol">
      <w:rPr>
        <w:color w:val="FFFFFF" w:themeColor="background1"/>
      </w:rPr>
      <w:tblPr/>
      <w:tcPr>
        <w:shd w:val="clear" w:color="auto" w:fill="00559A" w:themeFill="accent4" w:themeFillShade="BF"/>
      </w:tc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ColorfulGrid-Accent5">
    <w:name w:val="Colorful Grid Accent 5"/>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5EDFF" w:themeFill="accent5" w:themeFillTint="33"/>
    </w:tcPr>
    <w:tblStylePr w:type="firstRow">
      <w:rPr>
        <w:b/>
        <w:bCs/>
      </w:rPr>
      <w:tblPr/>
      <w:tcPr>
        <w:shd w:val="clear" w:color="auto" w:fill="8BDCFF" w:themeFill="accent5" w:themeFillTint="66"/>
      </w:tcPr>
    </w:tblStylePr>
    <w:tblStylePr w:type="lastRow">
      <w:rPr>
        <w:b/>
        <w:bCs/>
        <w:color w:val="000000" w:themeColor="text1"/>
      </w:rPr>
      <w:tblPr/>
      <w:tcPr>
        <w:shd w:val="clear" w:color="auto" w:fill="8BDCFF" w:themeFill="accent5" w:themeFillTint="66"/>
      </w:tcPr>
    </w:tblStylePr>
    <w:tblStylePr w:type="firstCol">
      <w:rPr>
        <w:color w:val="FFFFFF" w:themeColor="background1"/>
      </w:rPr>
      <w:tblPr/>
      <w:tcPr>
        <w:shd w:val="clear" w:color="auto" w:fill="0074A6" w:themeFill="accent5" w:themeFillShade="BF"/>
      </w:tcPr>
    </w:tblStylePr>
    <w:tblStylePr w:type="lastCol">
      <w:rPr>
        <w:color w:val="FFFFFF" w:themeColor="background1"/>
      </w:rPr>
      <w:tblPr/>
      <w:tcPr>
        <w:shd w:val="clear" w:color="auto" w:fill="0074A6" w:themeFill="accent5" w:themeFillShade="BF"/>
      </w:tc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ColorfulGrid-Accent6">
    <w:name w:val="Colorful Grid Accent 6"/>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FCCCC" w:themeFill="accent6" w:themeFillTint="33"/>
    </w:tcPr>
    <w:tblStylePr w:type="firstRow">
      <w:rPr>
        <w:b/>
        <w:bCs/>
      </w:rPr>
      <w:tblPr/>
      <w:tcPr>
        <w:shd w:val="clear" w:color="auto" w:fill="E0999A" w:themeFill="accent6" w:themeFillTint="66"/>
      </w:tcPr>
    </w:tblStylePr>
    <w:tblStylePr w:type="lastRow">
      <w:rPr>
        <w:b/>
        <w:bCs/>
        <w:color w:val="000000" w:themeColor="text1"/>
      </w:rPr>
      <w:tblPr/>
      <w:tcPr>
        <w:shd w:val="clear" w:color="auto" w:fill="E0999A" w:themeFill="accent6" w:themeFillTint="66"/>
      </w:tcPr>
    </w:tblStylePr>
    <w:tblStylePr w:type="firstCol">
      <w:rPr>
        <w:color w:val="FFFFFF" w:themeColor="background1"/>
      </w:rPr>
      <w:tblPr/>
      <w:tcPr>
        <w:shd w:val="clear" w:color="auto" w:fill="671F20" w:themeFill="accent6" w:themeFillShade="BF"/>
      </w:tcPr>
    </w:tblStylePr>
    <w:tblStylePr w:type="lastCol">
      <w:rPr>
        <w:color w:val="FFFFFF" w:themeColor="background1"/>
      </w:rPr>
      <w:tblPr/>
      <w:tcPr>
        <w:shd w:val="clear" w:color="auto" w:fill="671F20" w:themeFill="accent6" w:themeFillShade="BF"/>
      </w:tc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ColorfulList">
    <w:name w:val="Colorful List"/>
    <w:basedOn w:val="TableNormal"/>
    <w:uiPriority w:val="72"/>
    <w:rsid w:val="00C00568"/>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pPr>
      <w:spacing w:before="0"/>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1" w:themeFillTint="3F"/>
      </w:tcPr>
    </w:tblStylePr>
    <w:tblStylePr w:type="band1Horz">
      <w:tblPr/>
      <w:tcPr>
        <w:shd w:val="clear" w:color="auto" w:fill="BAE3FF" w:themeFill="accent1" w:themeFillTint="33"/>
      </w:tcPr>
    </w:tblStylePr>
  </w:style>
  <w:style w:type="table" w:styleId="ColorfulList-Accent2">
    <w:name w:val="Colorful List Accent 2"/>
    <w:basedOn w:val="TableNormal"/>
    <w:uiPriority w:val="72"/>
    <w:rsid w:val="00C00568"/>
    <w:pPr>
      <w:spacing w:before="0"/>
    </w:pPr>
    <w:rPr>
      <w:color w:val="000000" w:themeColor="text1"/>
    </w:rPr>
    <w:tblPr>
      <w:tblStyleRowBandSize w:val="1"/>
      <w:tblStyleColBandSize w:val="1"/>
    </w:tblPr>
    <w:tcPr>
      <w:shd w:val="clear" w:color="auto" w:fill="D8EFFF" w:themeFill="accent2"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8FF" w:themeFill="accent2" w:themeFillTint="3F"/>
      </w:tcPr>
    </w:tblStylePr>
    <w:tblStylePr w:type="band1Horz">
      <w:tblPr/>
      <w:tcPr>
        <w:shd w:val="clear" w:color="auto" w:fill="B1DFFF" w:themeFill="accent2" w:themeFillTint="33"/>
      </w:tcPr>
    </w:tblStylePr>
  </w:style>
  <w:style w:type="table" w:styleId="ColorfulList-Accent3">
    <w:name w:val="Colorful List Accent 3"/>
    <w:basedOn w:val="TableNormal"/>
    <w:uiPriority w:val="72"/>
    <w:rsid w:val="00C00568"/>
    <w:pPr>
      <w:spacing w:before="0"/>
    </w:pPr>
    <w:rPr>
      <w:color w:val="000000" w:themeColor="text1"/>
    </w:rPr>
    <w:tblPr>
      <w:tblStyleRowBandSize w:val="1"/>
      <w:tblStyleColBandSize w:val="1"/>
    </w:tblPr>
    <w:tcPr>
      <w:shd w:val="clear" w:color="auto" w:fill="F1F5F9" w:themeFill="accent3" w:themeFillTint="19"/>
    </w:tcPr>
    <w:tblStylePr w:type="firstRow">
      <w:rPr>
        <w:b/>
        <w:bCs/>
        <w:color w:val="FFFFFF" w:themeColor="background1"/>
      </w:rPr>
      <w:tblPr/>
      <w:tcPr>
        <w:tcBorders>
          <w:bottom w:val="single" w:sz="12" w:space="0" w:color="FFFFFF" w:themeColor="background1"/>
        </w:tcBorders>
        <w:shd w:val="clear" w:color="auto" w:fill="005BA4" w:themeFill="accent4" w:themeFillShade="CC"/>
      </w:tcPr>
    </w:tblStylePr>
    <w:tblStylePr w:type="lastRow">
      <w:rPr>
        <w:b/>
        <w:bCs/>
        <w:color w:val="005B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F1" w:themeFill="accent3" w:themeFillTint="3F"/>
      </w:tcPr>
    </w:tblStylePr>
    <w:tblStylePr w:type="band1Horz">
      <w:tblPr/>
      <w:tcPr>
        <w:shd w:val="clear" w:color="auto" w:fill="E3EBF4" w:themeFill="accent3" w:themeFillTint="33"/>
      </w:tcPr>
    </w:tblStylePr>
  </w:style>
  <w:style w:type="table" w:styleId="ColorfulList-Accent4">
    <w:name w:val="Colorful List Accent 4"/>
    <w:basedOn w:val="TableNormal"/>
    <w:uiPriority w:val="72"/>
    <w:rsid w:val="00C00568"/>
    <w:pPr>
      <w:spacing w:before="0"/>
    </w:pPr>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477BB6" w:themeFill="accent3" w:themeFillShade="CC"/>
      </w:tcPr>
    </w:tblStylePr>
    <w:tblStylePr w:type="lastRow">
      <w:rPr>
        <w:b/>
        <w:bCs/>
        <w:color w:val="477BB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4" w:themeFillTint="3F"/>
      </w:tcPr>
    </w:tblStylePr>
    <w:tblStylePr w:type="band1Horz">
      <w:tblPr/>
      <w:tcPr>
        <w:shd w:val="clear" w:color="auto" w:fill="C2E3FF" w:themeFill="accent4" w:themeFillTint="33"/>
      </w:tcPr>
    </w:tblStylePr>
  </w:style>
  <w:style w:type="table" w:styleId="ColorfulList-Accent5">
    <w:name w:val="Colorful List Accent 5"/>
    <w:basedOn w:val="TableNormal"/>
    <w:uiPriority w:val="72"/>
    <w:rsid w:val="00C00568"/>
    <w:pPr>
      <w:spacing w:before="0"/>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6E2122" w:themeFill="accent6" w:themeFillShade="CC"/>
      </w:tcPr>
    </w:tblStylePr>
    <w:tblStylePr w:type="lastRow">
      <w:rPr>
        <w:b/>
        <w:bCs/>
        <w:color w:val="6E2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5" w:themeFillTint="3F"/>
      </w:tcPr>
    </w:tblStylePr>
    <w:tblStylePr w:type="band1Horz">
      <w:tblPr/>
      <w:tcPr>
        <w:shd w:val="clear" w:color="auto" w:fill="C5EDFF" w:themeFill="accent5" w:themeFillTint="33"/>
      </w:tcPr>
    </w:tblStylePr>
  </w:style>
  <w:style w:type="table" w:styleId="ColorfulList-Accent6">
    <w:name w:val="Colorful List Accent 6"/>
    <w:basedOn w:val="TableNormal"/>
    <w:uiPriority w:val="72"/>
    <w:rsid w:val="00C00568"/>
    <w:pPr>
      <w:spacing w:before="0"/>
    </w:pPr>
    <w:rPr>
      <w:color w:val="000000" w:themeColor="text1"/>
    </w:rPr>
    <w:tblPr>
      <w:tblStyleRowBandSize w:val="1"/>
      <w:tblStyleColBandSize w:val="1"/>
    </w:tblPr>
    <w:tcPr>
      <w:shd w:val="clear" w:color="auto" w:fill="F7E5E5" w:themeFill="accent6" w:themeFillTint="19"/>
    </w:tcPr>
    <w:tblStylePr w:type="firstRow">
      <w:rPr>
        <w:b/>
        <w:bCs/>
        <w:color w:val="FFFFFF" w:themeColor="background1"/>
      </w:rPr>
      <w:tblPr/>
      <w:tcPr>
        <w:tcBorders>
          <w:bottom w:val="single" w:sz="12" w:space="0" w:color="FFFFFF" w:themeColor="background1"/>
        </w:tcBorders>
        <w:shd w:val="clear" w:color="auto" w:fill="007CB1" w:themeFill="accent5" w:themeFillShade="CC"/>
      </w:tcPr>
    </w:tblStylePr>
    <w:tblStylePr w:type="lastRow">
      <w:rPr>
        <w:b/>
        <w:bCs/>
        <w:color w:val="007C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0C0" w:themeFill="accent6" w:themeFillTint="3F"/>
      </w:tcPr>
    </w:tblStylePr>
    <w:tblStylePr w:type="band1Horz">
      <w:tblPr/>
      <w:tcPr>
        <w:shd w:val="clear" w:color="auto" w:fill="EFCCCC" w:themeFill="accent6" w:themeFillTint="33"/>
      </w:tcPr>
    </w:tblStylePr>
  </w:style>
  <w:style w:type="table" w:styleId="ColorfulShading">
    <w:name w:val="Colorful Shading"/>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63A6" w:themeColor="accent1"/>
        <w:bottom w:val="single" w:sz="4" w:space="0" w:color="0063A6" w:themeColor="accent1"/>
        <w:right w:val="single" w:sz="4" w:space="0" w:color="0063A6"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1" w:themeFillShade="99"/>
      </w:tcPr>
    </w:tblStylePr>
    <w:tblStylePr w:type="firstCol">
      <w:rPr>
        <w:color w:val="FFFFFF" w:themeColor="background1"/>
      </w:rPr>
      <w:tblPr/>
      <w:tcPr>
        <w:tcBorders>
          <w:top w:val="nil"/>
          <w:left w:val="nil"/>
          <w:bottom w:val="nil"/>
          <w:right w:val="nil"/>
          <w:insideH w:val="single" w:sz="4" w:space="0" w:color="003B63" w:themeColor="accent1" w:themeShade="99"/>
          <w:insideV w:val="nil"/>
        </w:tcBorders>
        <w:shd w:val="clear" w:color="auto" w:fill="003B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1" w:themeFillShade="99"/>
      </w:tcPr>
    </w:tblStylePr>
    <w:tblStylePr w:type="band1Vert">
      <w:tblPr/>
      <w:tcPr>
        <w:shd w:val="clear" w:color="auto" w:fill="75C7FF" w:themeFill="accent1" w:themeFillTint="66"/>
      </w:tcPr>
    </w:tblStylePr>
    <w:tblStylePr w:type="band1Horz">
      <w:tblPr/>
      <w:tcPr>
        <w:shd w:val="clear" w:color="auto" w:fill="53B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497A" w:themeColor="accent2"/>
        <w:bottom w:val="single" w:sz="4" w:space="0" w:color="00497A" w:themeColor="accent2"/>
        <w:right w:val="single" w:sz="4" w:space="0" w:color="00497A" w:themeColor="accent2"/>
        <w:insideH w:val="single" w:sz="4" w:space="0" w:color="FFFFFF" w:themeColor="background1"/>
        <w:insideV w:val="single" w:sz="4" w:space="0" w:color="FFFFFF" w:themeColor="background1"/>
      </w:tblBorders>
    </w:tblPr>
    <w:tcPr>
      <w:shd w:val="clear" w:color="auto" w:fill="D8EFFF" w:themeFill="accent2"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9" w:themeFill="accent2" w:themeFillShade="99"/>
      </w:tcPr>
    </w:tblStylePr>
    <w:tblStylePr w:type="firstCol">
      <w:rPr>
        <w:color w:val="FFFFFF" w:themeColor="background1"/>
      </w:rPr>
      <w:tblPr/>
      <w:tcPr>
        <w:tcBorders>
          <w:top w:val="nil"/>
          <w:left w:val="nil"/>
          <w:bottom w:val="nil"/>
          <w:right w:val="nil"/>
          <w:insideH w:val="single" w:sz="4" w:space="0" w:color="002B49" w:themeColor="accent2" w:themeShade="99"/>
          <w:insideV w:val="nil"/>
        </w:tcBorders>
        <w:shd w:val="clear" w:color="auto" w:fill="002B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B49" w:themeFill="accent2" w:themeFillShade="99"/>
      </w:tcPr>
    </w:tblStylePr>
    <w:tblStylePr w:type="band1Vert">
      <w:tblPr/>
      <w:tcPr>
        <w:shd w:val="clear" w:color="auto" w:fill="63C0FF" w:themeFill="accent2" w:themeFillTint="66"/>
      </w:tcPr>
    </w:tblStylePr>
    <w:tblStylePr w:type="band1Horz">
      <w:tblPr/>
      <w:tcPr>
        <w:shd w:val="clear" w:color="auto" w:fill="3DB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pPr>
      <w:spacing w:before="0"/>
    </w:pPr>
    <w:rPr>
      <w:color w:val="000000" w:themeColor="text1"/>
    </w:rPr>
    <w:tblPr>
      <w:tblStyleRowBandSize w:val="1"/>
      <w:tblStyleColBandSize w:val="1"/>
      <w:tblBorders>
        <w:top w:val="single" w:sz="24" w:space="0" w:color="0072CE" w:themeColor="accent4"/>
        <w:left w:val="single" w:sz="4" w:space="0" w:color="749CC9" w:themeColor="accent3"/>
        <w:bottom w:val="single" w:sz="4" w:space="0" w:color="749CC9" w:themeColor="accent3"/>
        <w:right w:val="single" w:sz="4" w:space="0" w:color="749CC9" w:themeColor="accent3"/>
        <w:insideH w:val="single" w:sz="4" w:space="0" w:color="FFFFFF" w:themeColor="background1"/>
        <w:insideV w:val="single" w:sz="4" w:space="0" w:color="FFFFFF" w:themeColor="background1"/>
      </w:tblBorders>
    </w:tblPr>
    <w:tcPr>
      <w:shd w:val="clear" w:color="auto" w:fill="F1F5F9" w:themeFill="accent3" w:themeFillTint="19"/>
    </w:tcPr>
    <w:tblStylePr w:type="firstRow">
      <w:rPr>
        <w:b/>
        <w:bCs/>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C88" w:themeFill="accent3" w:themeFillShade="99"/>
      </w:tcPr>
    </w:tblStylePr>
    <w:tblStylePr w:type="firstCol">
      <w:rPr>
        <w:color w:val="FFFFFF" w:themeColor="background1"/>
      </w:rPr>
      <w:tblPr/>
      <w:tcPr>
        <w:tcBorders>
          <w:top w:val="nil"/>
          <w:left w:val="nil"/>
          <w:bottom w:val="nil"/>
          <w:right w:val="nil"/>
          <w:insideH w:val="single" w:sz="4" w:space="0" w:color="355C88" w:themeColor="accent3" w:themeShade="99"/>
          <w:insideV w:val="nil"/>
        </w:tcBorders>
        <w:shd w:val="clear" w:color="auto" w:fill="355C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5C88" w:themeFill="accent3" w:themeFillShade="99"/>
      </w:tcPr>
    </w:tblStylePr>
    <w:tblStylePr w:type="band1Vert">
      <w:tblPr/>
      <w:tcPr>
        <w:shd w:val="clear" w:color="auto" w:fill="C7D7E9" w:themeFill="accent3" w:themeFillTint="66"/>
      </w:tcPr>
    </w:tblStylePr>
    <w:tblStylePr w:type="band1Horz">
      <w:tblPr/>
      <w:tcPr>
        <w:shd w:val="clear" w:color="auto" w:fill="B9CDE4" w:themeFill="accent3" w:themeFillTint="7F"/>
      </w:tcPr>
    </w:tblStylePr>
  </w:style>
  <w:style w:type="table" w:styleId="ColorfulShading-Accent4">
    <w:name w:val="Colorful Shading Accent 4"/>
    <w:basedOn w:val="TableNormal"/>
    <w:uiPriority w:val="71"/>
    <w:rsid w:val="00C00568"/>
    <w:pPr>
      <w:spacing w:before="0"/>
    </w:pPr>
    <w:rPr>
      <w:color w:val="000000" w:themeColor="text1"/>
    </w:rPr>
    <w:tblPr>
      <w:tblStyleRowBandSize w:val="1"/>
      <w:tblStyleColBandSize w:val="1"/>
      <w:tblBorders>
        <w:top w:val="single" w:sz="24" w:space="0" w:color="749CC9" w:themeColor="accent3"/>
        <w:left w:val="single" w:sz="4" w:space="0" w:color="0072CE" w:themeColor="accent4"/>
        <w:bottom w:val="single" w:sz="4" w:space="0" w:color="0072CE" w:themeColor="accent4"/>
        <w:right w:val="single" w:sz="4" w:space="0" w:color="0072CE" w:themeColor="accent4"/>
        <w:insideH w:val="single" w:sz="4" w:space="0" w:color="FFFFFF" w:themeColor="background1"/>
        <w:insideV w:val="single" w:sz="4" w:space="0" w:color="FFFFFF" w:themeColor="background1"/>
      </w:tblBorders>
    </w:tblPr>
    <w:tcPr>
      <w:shd w:val="clear" w:color="auto" w:fill="E1F1FF" w:themeFill="accent4" w:themeFillTint="19"/>
    </w:tcPr>
    <w:tblStylePr w:type="firstRow">
      <w:rPr>
        <w:b/>
        <w:bCs/>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4" w:themeFillShade="99"/>
      </w:tcPr>
    </w:tblStylePr>
    <w:tblStylePr w:type="firstCol">
      <w:rPr>
        <w:color w:val="FFFFFF" w:themeColor="background1"/>
      </w:rPr>
      <w:tblPr/>
      <w:tcPr>
        <w:tcBorders>
          <w:top w:val="nil"/>
          <w:left w:val="nil"/>
          <w:bottom w:val="nil"/>
          <w:right w:val="nil"/>
          <w:insideH w:val="single" w:sz="4" w:space="0" w:color="00447B" w:themeColor="accent4" w:themeShade="99"/>
          <w:insideV w:val="nil"/>
        </w:tcBorders>
        <w:shd w:val="clear" w:color="auto" w:fill="0044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4" w:themeFillShade="99"/>
      </w:tcPr>
    </w:tblStylePr>
    <w:tblStylePr w:type="band1Vert">
      <w:tblPr/>
      <w:tcPr>
        <w:shd w:val="clear" w:color="auto" w:fill="85C8FF" w:themeFill="accent4" w:themeFillTint="66"/>
      </w:tcPr>
    </w:tblStylePr>
    <w:tblStylePr w:type="band1Horz">
      <w:tblPr/>
      <w:tcPr>
        <w:shd w:val="clear" w:color="auto" w:fill="67B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pPr>
      <w:spacing w:before="0"/>
    </w:pPr>
    <w:rPr>
      <w:color w:val="000000" w:themeColor="text1"/>
    </w:rPr>
    <w:tblPr>
      <w:tblStyleRowBandSize w:val="1"/>
      <w:tblStyleColBandSize w:val="1"/>
      <w:tblBorders>
        <w:top w:val="single" w:sz="24" w:space="0" w:color="8A2A2B" w:themeColor="accent6"/>
        <w:left w:val="single" w:sz="4" w:space="0" w:color="009CDE" w:themeColor="accent5"/>
        <w:bottom w:val="single" w:sz="4" w:space="0" w:color="009CDE" w:themeColor="accent5"/>
        <w:right w:val="single" w:sz="4" w:space="0" w:color="009CDE"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5" w:themeFill="accent5" w:themeFillShade="99"/>
      </w:tcPr>
    </w:tblStylePr>
    <w:tblStylePr w:type="firstCol">
      <w:rPr>
        <w:color w:val="FFFFFF" w:themeColor="background1"/>
      </w:rPr>
      <w:tblPr/>
      <w:tcPr>
        <w:tcBorders>
          <w:top w:val="nil"/>
          <w:left w:val="nil"/>
          <w:bottom w:val="nil"/>
          <w:right w:val="nil"/>
          <w:insideH w:val="single" w:sz="4" w:space="0" w:color="005D85" w:themeColor="accent5" w:themeShade="99"/>
          <w:insideV w:val="nil"/>
        </w:tcBorders>
        <w:shd w:val="clear" w:color="auto" w:fill="005D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5" w:themeFill="accent5" w:themeFillShade="99"/>
      </w:tcPr>
    </w:tblStylePr>
    <w:tblStylePr w:type="band1Vert">
      <w:tblPr/>
      <w:tcPr>
        <w:shd w:val="clear" w:color="auto" w:fill="8BDCFF" w:themeFill="accent5" w:themeFillTint="66"/>
      </w:tcPr>
    </w:tblStylePr>
    <w:tblStylePr w:type="band1Horz">
      <w:tblPr/>
      <w:tcPr>
        <w:shd w:val="clear" w:color="auto" w:fill="6FD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pPr>
      <w:spacing w:before="0"/>
    </w:pPr>
    <w:rPr>
      <w:color w:val="000000" w:themeColor="text1"/>
    </w:rPr>
    <w:tblPr>
      <w:tblStyleRowBandSize w:val="1"/>
      <w:tblStyleColBandSize w:val="1"/>
      <w:tblBorders>
        <w:top w:val="single" w:sz="24" w:space="0" w:color="009CDE" w:themeColor="accent5"/>
        <w:left w:val="single" w:sz="4" w:space="0" w:color="8A2A2B" w:themeColor="accent6"/>
        <w:bottom w:val="single" w:sz="4" w:space="0" w:color="8A2A2B" w:themeColor="accent6"/>
        <w:right w:val="single" w:sz="4" w:space="0" w:color="8A2A2B" w:themeColor="accent6"/>
        <w:insideH w:val="single" w:sz="4" w:space="0" w:color="FFFFFF" w:themeColor="background1"/>
        <w:insideV w:val="single" w:sz="4" w:space="0" w:color="FFFFFF" w:themeColor="background1"/>
      </w:tblBorders>
    </w:tblPr>
    <w:tcPr>
      <w:shd w:val="clear" w:color="auto" w:fill="F7E5E5" w:themeFill="accent6" w:themeFillTint="19"/>
    </w:tcPr>
    <w:tblStylePr w:type="firstRow">
      <w:rPr>
        <w:b/>
        <w:bCs/>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919" w:themeFill="accent6" w:themeFillShade="99"/>
      </w:tcPr>
    </w:tblStylePr>
    <w:tblStylePr w:type="firstCol">
      <w:rPr>
        <w:color w:val="FFFFFF" w:themeColor="background1"/>
      </w:rPr>
      <w:tblPr/>
      <w:tcPr>
        <w:tcBorders>
          <w:top w:val="nil"/>
          <w:left w:val="nil"/>
          <w:bottom w:val="nil"/>
          <w:right w:val="nil"/>
          <w:insideH w:val="single" w:sz="4" w:space="0" w:color="521919" w:themeColor="accent6" w:themeShade="99"/>
          <w:insideV w:val="nil"/>
        </w:tcBorders>
        <w:shd w:val="clear" w:color="auto" w:fill="5219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919" w:themeFill="accent6" w:themeFillShade="99"/>
      </w:tcPr>
    </w:tblStylePr>
    <w:tblStylePr w:type="band1Vert">
      <w:tblPr/>
      <w:tcPr>
        <w:shd w:val="clear" w:color="auto" w:fill="E0999A" w:themeFill="accent6" w:themeFillTint="66"/>
      </w:tcPr>
    </w:tblStylePr>
    <w:tblStylePr w:type="band1Horz">
      <w:tblPr/>
      <w:tcPr>
        <w:shd w:val="clear" w:color="auto" w:fill="D8808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Text">
    <w:name w:val="annotation text"/>
    <w:basedOn w:val="Normal"/>
    <w:link w:val="CommentTextChar"/>
    <w:uiPriority w:val="99"/>
    <w:semiHidden/>
    <w:unhideWhenUsed/>
    <w:rsid w:val="00C00568"/>
    <w:pPr>
      <w:keepLines/>
    </w:pPr>
    <w:rPr>
      <w:rFonts w:eastAsiaTheme="minorHAnsi" w:cstheme="minorBidi"/>
      <w:sz w:val="20"/>
    </w:rPr>
  </w:style>
  <w:style w:type="character" w:customStyle="1" w:styleId="CommentTextChar">
    <w:name w:val="Comment Text Char"/>
    <w:basedOn w:val="DefaultParagraphFont"/>
    <w:link w:val="CommentText"/>
    <w:uiPriority w:val="99"/>
    <w:semiHidden/>
    <w:rsid w:val="00C00568"/>
    <w:rPr>
      <w:sz w:val="20"/>
      <w:szCs w:val="20"/>
    </w:rPr>
  </w:style>
  <w:style w:type="paragraph" w:styleId="CommentSubject">
    <w:name w:val="annotation subject"/>
    <w:basedOn w:val="CommentText"/>
    <w:next w:val="CommentText"/>
    <w:link w:val="CommentSubjectChar"/>
    <w:uiPriority w:val="99"/>
    <w:semiHidden/>
    <w:unhideWhenUsed/>
    <w:rsid w:val="00C00568"/>
    <w:rPr>
      <w:b/>
      <w:bCs/>
    </w:rPr>
  </w:style>
  <w:style w:type="character" w:customStyle="1" w:styleId="CommentSubjectChar">
    <w:name w:val="Comment Subject Char"/>
    <w:basedOn w:val="CommentTextChar"/>
    <w:link w:val="CommentSubject"/>
    <w:uiPriority w:val="99"/>
    <w:semiHidden/>
    <w:rsid w:val="00C00568"/>
    <w:rPr>
      <w:b/>
      <w:bCs/>
      <w:sz w:val="20"/>
      <w:szCs w:val="20"/>
    </w:rPr>
  </w:style>
  <w:style w:type="table" w:styleId="DarkList">
    <w:name w:val="Dark List"/>
    <w:basedOn w:val="TableNormal"/>
    <w:uiPriority w:val="70"/>
    <w:rsid w:val="00C00568"/>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pPr>
      <w:spacing w:before="0"/>
    </w:pPr>
    <w:rPr>
      <w:color w:val="FFFFFF" w:themeColor="background1"/>
    </w:rPr>
    <w:tblPr>
      <w:tblStyleRowBandSize w:val="1"/>
      <w:tblStyleColBandSize w:val="1"/>
    </w:tblPr>
    <w:tcPr>
      <w:shd w:val="clear" w:color="auto" w:fill="0063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7C" w:themeFill="accent1" w:themeFillShade="BF"/>
      </w:tcPr>
    </w:tblStylePr>
    <w:tblStylePr w:type="band1Vert">
      <w:tblPr/>
      <w:tcPr>
        <w:tcBorders>
          <w:top w:val="nil"/>
          <w:left w:val="nil"/>
          <w:bottom w:val="nil"/>
          <w:right w:val="nil"/>
          <w:insideH w:val="nil"/>
          <w:insideV w:val="nil"/>
        </w:tcBorders>
        <w:shd w:val="clear" w:color="auto" w:fill="004A7C" w:themeFill="accent1" w:themeFillShade="BF"/>
      </w:tcPr>
    </w:tblStylePr>
    <w:tblStylePr w:type="band1Horz">
      <w:tblPr/>
      <w:tcPr>
        <w:tcBorders>
          <w:top w:val="nil"/>
          <w:left w:val="nil"/>
          <w:bottom w:val="nil"/>
          <w:right w:val="nil"/>
          <w:insideH w:val="nil"/>
          <w:insideV w:val="nil"/>
        </w:tcBorders>
        <w:shd w:val="clear" w:color="auto" w:fill="004A7C" w:themeFill="accent1" w:themeFillShade="BF"/>
      </w:tcPr>
    </w:tblStylePr>
  </w:style>
  <w:style w:type="table" w:styleId="DarkList-Accent2">
    <w:name w:val="Dark List Accent 2"/>
    <w:basedOn w:val="TableNormal"/>
    <w:uiPriority w:val="70"/>
    <w:rsid w:val="00C00568"/>
    <w:pPr>
      <w:spacing w:before="0"/>
    </w:pPr>
    <w:rPr>
      <w:color w:val="FFFFFF" w:themeColor="background1"/>
    </w:rPr>
    <w:tblPr>
      <w:tblStyleRowBandSize w:val="1"/>
      <w:tblStyleColBandSize w:val="1"/>
    </w:tblPr>
    <w:tcPr>
      <w:shd w:val="clear" w:color="auto" w:fill="0049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6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65B" w:themeFill="accent2" w:themeFillShade="BF"/>
      </w:tcPr>
    </w:tblStylePr>
    <w:tblStylePr w:type="band1Vert">
      <w:tblPr/>
      <w:tcPr>
        <w:tcBorders>
          <w:top w:val="nil"/>
          <w:left w:val="nil"/>
          <w:bottom w:val="nil"/>
          <w:right w:val="nil"/>
          <w:insideH w:val="nil"/>
          <w:insideV w:val="nil"/>
        </w:tcBorders>
        <w:shd w:val="clear" w:color="auto" w:fill="00365B" w:themeFill="accent2" w:themeFillShade="BF"/>
      </w:tcPr>
    </w:tblStylePr>
    <w:tblStylePr w:type="band1Horz">
      <w:tblPr/>
      <w:tcPr>
        <w:tcBorders>
          <w:top w:val="nil"/>
          <w:left w:val="nil"/>
          <w:bottom w:val="nil"/>
          <w:right w:val="nil"/>
          <w:insideH w:val="nil"/>
          <w:insideV w:val="nil"/>
        </w:tcBorders>
        <w:shd w:val="clear" w:color="auto" w:fill="00365B" w:themeFill="accent2" w:themeFillShade="BF"/>
      </w:tcPr>
    </w:tblStylePr>
  </w:style>
  <w:style w:type="table" w:styleId="DarkList-Accent3">
    <w:name w:val="Dark List Accent 3"/>
    <w:basedOn w:val="TableNormal"/>
    <w:uiPriority w:val="70"/>
    <w:rsid w:val="00C00568"/>
    <w:pPr>
      <w:spacing w:before="0"/>
    </w:pPr>
    <w:rPr>
      <w:color w:val="FFFFFF" w:themeColor="background1"/>
    </w:rPr>
    <w:tblPr>
      <w:tblStyleRowBandSize w:val="1"/>
      <w:tblStyleColBandSize w:val="1"/>
    </w:tblPr>
    <w:tcPr>
      <w:shd w:val="clear" w:color="auto" w:fill="749C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C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73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73AA" w:themeFill="accent3" w:themeFillShade="BF"/>
      </w:tcPr>
    </w:tblStylePr>
    <w:tblStylePr w:type="band1Vert">
      <w:tblPr/>
      <w:tcPr>
        <w:tcBorders>
          <w:top w:val="nil"/>
          <w:left w:val="nil"/>
          <w:bottom w:val="nil"/>
          <w:right w:val="nil"/>
          <w:insideH w:val="nil"/>
          <w:insideV w:val="nil"/>
        </w:tcBorders>
        <w:shd w:val="clear" w:color="auto" w:fill="4273AA" w:themeFill="accent3" w:themeFillShade="BF"/>
      </w:tcPr>
    </w:tblStylePr>
    <w:tblStylePr w:type="band1Horz">
      <w:tblPr/>
      <w:tcPr>
        <w:tcBorders>
          <w:top w:val="nil"/>
          <w:left w:val="nil"/>
          <w:bottom w:val="nil"/>
          <w:right w:val="nil"/>
          <w:insideH w:val="nil"/>
          <w:insideV w:val="nil"/>
        </w:tcBorders>
        <w:shd w:val="clear" w:color="auto" w:fill="4273AA" w:themeFill="accent3" w:themeFillShade="BF"/>
      </w:tcPr>
    </w:tblStylePr>
  </w:style>
  <w:style w:type="table" w:styleId="DarkList-Accent4">
    <w:name w:val="Dark List Accent 4"/>
    <w:basedOn w:val="TableNormal"/>
    <w:uiPriority w:val="70"/>
    <w:rsid w:val="00C00568"/>
    <w:pPr>
      <w:spacing w:before="0"/>
    </w:pPr>
    <w:rPr>
      <w:color w:val="FFFFFF" w:themeColor="background1"/>
    </w:rPr>
    <w:tblPr>
      <w:tblStyleRowBandSize w:val="1"/>
      <w:tblStyleColBandSize w:val="1"/>
    </w:tblPr>
    <w:tcPr>
      <w:shd w:val="clear" w:color="auto" w:fill="0072C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4" w:themeFillShade="BF"/>
      </w:tcPr>
    </w:tblStylePr>
    <w:tblStylePr w:type="band1Vert">
      <w:tblPr/>
      <w:tcPr>
        <w:tcBorders>
          <w:top w:val="nil"/>
          <w:left w:val="nil"/>
          <w:bottom w:val="nil"/>
          <w:right w:val="nil"/>
          <w:insideH w:val="nil"/>
          <w:insideV w:val="nil"/>
        </w:tcBorders>
        <w:shd w:val="clear" w:color="auto" w:fill="00559A" w:themeFill="accent4" w:themeFillShade="BF"/>
      </w:tcPr>
    </w:tblStylePr>
    <w:tblStylePr w:type="band1Horz">
      <w:tblPr/>
      <w:tcPr>
        <w:tcBorders>
          <w:top w:val="nil"/>
          <w:left w:val="nil"/>
          <w:bottom w:val="nil"/>
          <w:right w:val="nil"/>
          <w:insideH w:val="nil"/>
          <w:insideV w:val="nil"/>
        </w:tcBorders>
        <w:shd w:val="clear" w:color="auto" w:fill="00559A" w:themeFill="accent4" w:themeFillShade="BF"/>
      </w:tcPr>
    </w:tblStylePr>
  </w:style>
  <w:style w:type="table" w:styleId="DarkList-Accent5">
    <w:name w:val="Dark List Accent 5"/>
    <w:basedOn w:val="TableNormal"/>
    <w:uiPriority w:val="70"/>
    <w:rsid w:val="00C00568"/>
    <w:pPr>
      <w:spacing w:before="0"/>
    </w:pPr>
    <w:rPr>
      <w:color w:val="FFFFFF" w:themeColor="background1"/>
    </w:rPr>
    <w:tblPr>
      <w:tblStyleRowBandSize w:val="1"/>
      <w:tblStyleColBandSize w:val="1"/>
    </w:tblPr>
    <w:tcPr>
      <w:shd w:val="clear" w:color="auto" w:fill="009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6" w:themeFill="accent5" w:themeFillShade="BF"/>
      </w:tcPr>
    </w:tblStylePr>
    <w:tblStylePr w:type="band1Vert">
      <w:tblPr/>
      <w:tcPr>
        <w:tcBorders>
          <w:top w:val="nil"/>
          <w:left w:val="nil"/>
          <w:bottom w:val="nil"/>
          <w:right w:val="nil"/>
          <w:insideH w:val="nil"/>
          <w:insideV w:val="nil"/>
        </w:tcBorders>
        <w:shd w:val="clear" w:color="auto" w:fill="0074A6" w:themeFill="accent5" w:themeFillShade="BF"/>
      </w:tcPr>
    </w:tblStylePr>
    <w:tblStylePr w:type="band1Horz">
      <w:tblPr/>
      <w:tcPr>
        <w:tcBorders>
          <w:top w:val="nil"/>
          <w:left w:val="nil"/>
          <w:bottom w:val="nil"/>
          <w:right w:val="nil"/>
          <w:insideH w:val="nil"/>
          <w:insideV w:val="nil"/>
        </w:tcBorders>
        <w:shd w:val="clear" w:color="auto" w:fill="0074A6" w:themeFill="accent5" w:themeFillShade="BF"/>
      </w:tcPr>
    </w:tblStylePr>
  </w:style>
  <w:style w:type="table" w:styleId="DarkList-Accent6">
    <w:name w:val="Dark List Accent 6"/>
    <w:basedOn w:val="TableNormal"/>
    <w:uiPriority w:val="70"/>
    <w:rsid w:val="00C00568"/>
    <w:pPr>
      <w:spacing w:before="0"/>
    </w:pPr>
    <w:rPr>
      <w:color w:val="FFFFFF" w:themeColor="background1"/>
    </w:rPr>
    <w:tblPr>
      <w:tblStyleRowBandSize w:val="1"/>
      <w:tblStyleColBandSize w:val="1"/>
    </w:tblPr>
    <w:tcPr>
      <w:shd w:val="clear" w:color="auto" w:fill="8A2A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5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F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F20" w:themeFill="accent6" w:themeFillShade="BF"/>
      </w:tcPr>
    </w:tblStylePr>
    <w:tblStylePr w:type="band1Vert">
      <w:tblPr/>
      <w:tcPr>
        <w:tcBorders>
          <w:top w:val="nil"/>
          <w:left w:val="nil"/>
          <w:bottom w:val="nil"/>
          <w:right w:val="nil"/>
          <w:insideH w:val="nil"/>
          <w:insideV w:val="nil"/>
        </w:tcBorders>
        <w:shd w:val="clear" w:color="auto" w:fill="671F20" w:themeFill="accent6" w:themeFillShade="BF"/>
      </w:tcPr>
    </w:tblStylePr>
    <w:tblStylePr w:type="band1Horz">
      <w:tblPr/>
      <w:tcPr>
        <w:tcBorders>
          <w:top w:val="nil"/>
          <w:left w:val="nil"/>
          <w:bottom w:val="nil"/>
          <w:right w:val="nil"/>
          <w:insideH w:val="nil"/>
          <w:insideV w:val="nil"/>
        </w:tcBorders>
        <w:shd w:val="clear" w:color="auto" w:fill="671F20" w:themeFill="accent6" w:themeFillShade="BF"/>
      </w:tcPr>
    </w:tblStylePr>
  </w:style>
  <w:style w:type="paragraph" w:styleId="Date">
    <w:name w:val="Date"/>
    <w:basedOn w:val="Normal"/>
    <w:next w:val="Normal"/>
    <w:link w:val="DateChar"/>
    <w:uiPriority w:val="99"/>
    <w:semiHidden/>
    <w:unhideWhenUsed/>
    <w:rsid w:val="00C00568"/>
    <w:pPr>
      <w:keepLines/>
    </w:pPr>
    <w:rPr>
      <w:rFonts w:eastAsiaTheme="minorHAnsi" w:cstheme="minorBidi"/>
      <w:szCs w:val="22"/>
    </w:rPr>
  </w:style>
  <w:style w:type="character" w:customStyle="1" w:styleId="DateChar">
    <w:name w:val="Date Char"/>
    <w:basedOn w:val="DefaultParagraphFont"/>
    <w:link w:val="Date"/>
    <w:uiPriority w:val="99"/>
    <w:semiHidden/>
    <w:rsid w:val="00C00568"/>
  </w:style>
  <w:style w:type="paragraph" w:styleId="DocumentMap">
    <w:name w:val="Document Map"/>
    <w:basedOn w:val="Normal"/>
    <w:link w:val="DocumentMapChar"/>
    <w:uiPriority w:val="99"/>
    <w:semiHidden/>
    <w:unhideWhenUsed/>
    <w:rsid w:val="00C00568"/>
    <w:pPr>
      <w:keepLines/>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pPr>
      <w:keepLines/>
    </w:pPr>
    <w:rPr>
      <w:rFonts w:eastAsiaTheme="minorHAnsi" w:cstheme="minorBidi"/>
      <w:szCs w:val="22"/>
    </w:rPr>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98"/>
    <w:semiHidden/>
    <w:rsid w:val="00C00568"/>
    <w:rPr>
      <w:i/>
      <w:iCs/>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pPr>
      <w:keepLines/>
    </w:pPr>
    <w:rPr>
      <w:rFonts w:eastAsiaTheme="minorHAnsi" w:cstheme="minorBidi"/>
      <w:sz w:val="20"/>
    </w:r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keepLines/>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C00568"/>
    <w:pPr>
      <w:keepLines/>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C00568"/>
    <w:rPr>
      <w:color w:val="8A2A2B" w:themeColor="followedHyperlink"/>
      <w:u w:val="single"/>
    </w:rPr>
  </w:style>
  <w:style w:type="character" w:styleId="FootnoteReference">
    <w:name w:val="footnote reference"/>
    <w:basedOn w:val="DefaultParagraphFont"/>
    <w:uiPriority w:val="99"/>
    <w:semiHidden/>
    <w:unhideWhenUsed/>
    <w:rsid w:val="00C00568"/>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pPr>
      <w:keepLines/>
    </w:pPr>
    <w:rPr>
      <w:rFonts w:eastAsiaTheme="minorHAnsi" w:cstheme="minorBidi"/>
      <w:i/>
      <w:iCs/>
      <w:szCs w:val="22"/>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pPr>
      <w:keepLines/>
    </w:pPr>
    <w:rPr>
      <w:rFonts w:ascii="Consolas" w:eastAsiaTheme="minorHAnsi" w:hAnsi="Consolas" w:cs="Consolas"/>
      <w:sz w:val="20"/>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autoRedefine/>
    <w:uiPriority w:val="99"/>
    <w:semiHidden/>
    <w:unhideWhenUsed/>
    <w:rsid w:val="00C00568"/>
    <w:pPr>
      <w:keepLines/>
      <w:ind w:left="220" w:hanging="220"/>
    </w:pPr>
    <w:rPr>
      <w:rFonts w:eastAsiaTheme="minorHAnsi" w:cstheme="minorBidi"/>
      <w:szCs w:val="22"/>
    </w:rPr>
  </w:style>
  <w:style w:type="paragraph" w:styleId="Index2">
    <w:name w:val="index 2"/>
    <w:basedOn w:val="Normal"/>
    <w:next w:val="Normal"/>
    <w:autoRedefine/>
    <w:uiPriority w:val="99"/>
    <w:semiHidden/>
    <w:unhideWhenUsed/>
    <w:rsid w:val="00C00568"/>
    <w:pPr>
      <w:keepLines/>
      <w:ind w:left="440" w:hanging="220"/>
    </w:pPr>
    <w:rPr>
      <w:rFonts w:eastAsiaTheme="minorHAnsi" w:cstheme="minorBidi"/>
      <w:szCs w:val="22"/>
    </w:rPr>
  </w:style>
  <w:style w:type="paragraph" w:styleId="Index3">
    <w:name w:val="index 3"/>
    <w:basedOn w:val="Normal"/>
    <w:next w:val="Normal"/>
    <w:autoRedefine/>
    <w:uiPriority w:val="99"/>
    <w:semiHidden/>
    <w:unhideWhenUsed/>
    <w:rsid w:val="00C00568"/>
    <w:pPr>
      <w:keepLines/>
      <w:ind w:left="660" w:hanging="220"/>
    </w:pPr>
    <w:rPr>
      <w:rFonts w:eastAsiaTheme="minorHAnsi" w:cstheme="minorBidi"/>
      <w:szCs w:val="22"/>
    </w:rPr>
  </w:style>
  <w:style w:type="paragraph" w:styleId="Index4">
    <w:name w:val="index 4"/>
    <w:basedOn w:val="Normal"/>
    <w:next w:val="Normal"/>
    <w:autoRedefine/>
    <w:uiPriority w:val="99"/>
    <w:semiHidden/>
    <w:unhideWhenUsed/>
    <w:rsid w:val="00C00568"/>
    <w:pPr>
      <w:keepLines/>
      <w:ind w:left="880" w:hanging="220"/>
    </w:pPr>
    <w:rPr>
      <w:rFonts w:eastAsiaTheme="minorHAnsi" w:cstheme="minorBidi"/>
      <w:szCs w:val="22"/>
    </w:rPr>
  </w:style>
  <w:style w:type="paragraph" w:styleId="Index5">
    <w:name w:val="index 5"/>
    <w:basedOn w:val="Normal"/>
    <w:next w:val="Normal"/>
    <w:autoRedefine/>
    <w:uiPriority w:val="99"/>
    <w:semiHidden/>
    <w:unhideWhenUsed/>
    <w:rsid w:val="00C00568"/>
    <w:pPr>
      <w:keepLines/>
      <w:ind w:left="1100" w:hanging="220"/>
    </w:pPr>
    <w:rPr>
      <w:rFonts w:eastAsiaTheme="minorHAnsi" w:cstheme="minorBidi"/>
      <w:szCs w:val="22"/>
    </w:rPr>
  </w:style>
  <w:style w:type="paragraph" w:styleId="Index6">
    <w:name w:val="index 6"/>
    <w:basedOn w:val="Normal"/>
    <w:next w:val="Normal"/>
    <w:autoRedefine/>
    <w:uiPriority w:val="99"/>
    <w:semiHidden/>
    <w:unhideWhenUsed/>
    <w:rsid w:val="00C00568"/>
    <w:pPr>
      <w:keepLines/>
      <w:ind w:left="1320" w:hanging="220"/>
    </w:pPr>
    <w:rPr>
      <w:rFonts w:eastAsiaTheme="minorHAnsi" w:cstheme="minorBidi"/>
      <w:szCs w:val="22"/>
    </w:rPr>
  </w:style>
  <w:style w:type="paragraph" w:styleId="Index7">
    <w:name w:val="index 7"/>
    <w:basedOn w:val="Normal"/>
    <w:next w:val="Normal"/>
    <w:autoRedefine/>
    <w:uiPriority w:val="99"/>
    <w:semiHidden/>
    <w:unhideWhenUsed/>
    <w:rsid w:val="00C00568"/>
    <w:pPr>
      <w:keepLines/>
      <w:ind w:left="1540" w:hanging="220"/>
    </w:pPr>
    <w:rPr>
      <w:rFonts w:eastAsiaTheme="minorHAnsi" w:cstheme="minorBidi"/>
      <w:szCs w:val="22"/>
    </w:rPr>
  </w:style>
  <w:style w:type="paragraph" w:styleId="Index8">
    <w:name w:val="index 8"/>
    <w:basedOn w:val="Normal"/>
    <w:next w:val="Normal"/>
    <w:autoRedefine/>
    <w:uiPriority w:val="99"/>
    <w:semiHidden/>
    <w:unhideWhenUsed/>
    <w:rsid w:val="00C00568"/>
    <w:pPr>
      <w:keepLines/>
      <w:ind w:left="1760" w:hanging="220"/>
    </w:pPr>
    <w:rPr>
      <w:rFonts w:eastAsiaTheme="minorHAnsi" w:cstheme="minorBidi"/>
      <w:szCs w:val="22"/>
    </w:rPr>
  </w:style>
  <w:style w:type="paragraph" w:styleId="Index9">
    <w:name w:val="index 9"/>
    <w:basedOn w:val="Normal"/>
    <w:next w:val="Normal"/>
    <w:autoRedefine/>
    <w:uiPriority w:val="99"/>
    <w:semiHidden/>
    <w:unhideWhenUsed/>
    <w:rsid w:val="00C00568"/>
    <w:pPr>
      <w:keepLines/>
      <w:ind w:left="1980" w:hanging="220"/>
    </w:pPr>
    <w:rPr>
      <w:rFonts w:eastAsiaTheme="minorHAnsi" w:cstheme="minorBidi"/>
      <w:szCs w:val="22"/>
    </w:rPr>
  </w:style>
  <w:style w:type="paragraph" w:styleId="IndexHeading">
    <w:name w:val="index heading"/>
    <w:basedOn w:val="Normal"/>
    <w:next w:val="Index1"/>
    <w:uiPriority w:val="99"/>
    <w:semiHidden/>
    <w:unhideWhenUsed/>
    <w:rsid w:val="00C00568"/>
    <w:pPr>
      <w:keepLines/>
    </w:pPr>
    <w:rPr>
      <w:rFonts w:asciiTheme="majorHAnsi" w:eastAsiaTheme="majorEastAsia" w:hAnsiTheme="majorHAnsi" w:cstheme="majorBidi"/>
      <w:b/>
      <w:bCs/>
      <w:szCs w:val="22"/>
    </w:rPr>
  </w:style>
  <w:style w:type="character" w:styleId="IntenseEmphasis">
    <w:name w:val="Intense Emphasis"/>
    <w:basedOn w:val="DefaultParagraphFont"/>
    <w:uiPriority w:val="98"/>
    <w:semiHidden/>
    <w:rsid w:val="00C00568"/>
    <w:rPr>
      <w:b/>
      <w:bCs/>
      <w:i/>
      <w:iCs/>
      <w:color w:val="0063A6" w:themeColor="accent1"/>
    </w:rPr>
  </w:style>
  <w:style w:type="paragraph" w:styleId="IntenseQuote">
    <w:name w:val="Intense Quote"/>
    <w:basedOn w:val="Normal"/>
    <w:next w:val="Normal"/>
    <w:link w:val="IntenseQuoteChar"/>
    <w:uiPriority w:val="30"/>
    <w:semiHidden/>
    <w:rsid w:val="00C00568"/>
    <w:pPr>
      <w:keepLines/>
      <w:pBdr>
        <w:bottom w:val="single" w:sz="4" w:space="4" w:color="0063A6" w:themeColor="accent1"/>
      </w:pBdr>
      <w:spacing w:before="200" w:after="280"/>
      <w:ind w:left="936" w:right="936"/>
    </w:pPr>
    <w:rPr>
      <w:rFonts w:eastAsiaTheme="minorHAnsi" w:cstheme="minorBidi"/>
      <w:b/>
      <w:bCs/>
      <w:i/>
      <w:iCs/>
      <w:color w:val="0063A6" w:themeColor="accent1"/>
      <w:szCs w:val="22"/>
    </w:rPr>
  </w:style>
  <w:style w:type="character" w:customStyle="1" w:styleId="IntenseQuoteChar">
    <w:name w:val="Intense Quote Char"/>
    <w:basedOn w:val="DefaultParagraphFont"/>
    <w:link w:val="IntenseQuote"/>
    <w:uiPriority w:val="30"/>
    <w:semiHidden/>
    <w:rsid w:val="00C00568"/>
    <w:rPr>
      <w:b/>
      <w:bCs/>
      <w:i/>
      <w:iCs/>
      <w:color w:val="0063A6" w:themeColor="accent1"/>
    </w:rPr>
  </w:style>
  <w:style w:type="character" w:styleId="IntenseReference">
    <w:name w:val="Intense Reference"/>
    <w:basedOn w:val="DefaultParagraphFont"/>
    <w:uiPriority w:val="32"/>
    <w:semiHidden/>
    <w:rsid w:val="00C00568"/>
    <w:rPr>
      <w:b/>
      <w:bCs/>
      <w:smallCaps/>
      <w:color w:val="00497A" w:themeColor="accent2"/>
      <w:spacing w:val="5"/>
      <w:u w:val="single"/>
    </w:rPr>
  </w:style>
  <w:style w:type="table" w:styleId="LightGrid">
    <w:name w:val="Light Grid"/>
    <w:basedOn w:val="TableNormal"/>
    <w:uiPriority w:val="62"/>
    <w:rsid w:val="00C00568"/>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18" w:space="0" w:color="0063A6" w:themeColor="accent1"/>
          <w:right w:val="single" w:sz="8" w:space="0" w:color="0063A6" w:themeColor="accent1"/>
          <w:insideH w:val="nil"/>
          <w:insideV w:val="single" w:sz="8" w:space="0" w:color="0063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insideH w:val="nil"/>
          <w:insideV w:val="single" w:sz="8" w:space="0" w:color="0063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shd w:val="clear" w:color="auto" w:fill="AADCFF" w:themeFill="accent1" w:themeFillTint="3F"/>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shd w:val="clear" w:color="auto" w:fill="AADCFF" w:themeFill="accent1" w:themeFillTint="3F"/>
      </w:tcPr>
    </w:tblStylePr>
    <w:tblStylePr w:type="band2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tcPr>
    </w:tblStylePr>
  </w:style>
  <w:style w:type="table" w:styleId="LightGrid-Accent2">
    <w:name w:val="Light Grid Accent 2"/>
    <w:basedOn w:val="TableNormal"/>
    <w:uiPriority w:val="62"/>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18" w:space="0" w:color="00497A" w:themeColor="accent2"/>
          <w:right w:val="single" w:sz="8" w:space="0" w:color="00497A" w:themeColor="accent2"/>
          <w:insideH w:val="nil"/>
          <w:insideV w:val="single" w:sz="8" w:space="0" w:color="0049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insideH w:val="nil"/>
          <w:insideV w:val="single" w:sz="8" w:space="0" w:color="0049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shd w:val="clear" w:color="auto" w:fill="9FD8FF" w:themeFill="accent2" w:themeFillTint="3F"/>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shd w:val="clear" w:color="auto" w:fill="9FD8FF" w:themeFill="accent2" w:themeFillTint="3F"/>
      </w:tcPr>
    </w:tblStylePr>
    <w:tblStylePr w:type="band2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tcPr>
    </w:tblStylePr>
  </w:style>
  <w:style w:type="table" w:styleId="LightGrid-Accent3">
    <w:name w:val="Light Grid Accent 3"/>
    <w:basedOn w:val="TableNormal"/>
    <w:uiPriority w:val="62"/>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18" w:space="0" w:color="749CC9" w:themeColor="accent3"/>
          <w:right w:val="single" w:sz="8" w:space="0" w:color="749CC9" w:themeColor="accent3"/>
          <w:insideH w:val="nil"/>
          <w:insideV w:val="single" w:sz="8" w:space="0" w:color="749C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insideH w:val="nil"/>
          <w:insideV w:val="single" w:sz="8" w:space="0" w:color="749C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shd w:val="clear" w:color="auto" w:fill="DCE6F1" w:themeFill="accent3" w:themeFillTint="3F"/>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shd w:val="clear" w:color="auto" w:fill="DCE6F1" w:themeFill="accent3" w:themeFillTint="3F"/>
      </w:tcPr>
    </w:tblStylePr>
    <w:tblStylePr w:type="band2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tcPr>
    </w:tblStylePr>
  </w:style>
  <w:style w:type="table" w:styleId="LightGrid-Accent4">
    <w:name w:val="Light Grid Accent 4"/>
    <w:basedOn w:val="TableNormal"/>
    <w:uiPriority w:val="62"/>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18" w:space="0" w:color="0072CE" w:themeColor="accent4"/>
          <w:right w:val="single" w:sz="8" w:space="0" w:color="0072CE" w:themeColor="accent4"/>
          <w:insideH w:val="nil"/>
          <w:insideV w:val="single" w:sz="8" w:space="0" w:color="0072C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insideH w:val="nil"/>
          <w:insideV w:val="single" w:sz="8" w:space="0" w:color="0072C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shd w:val="clear" w:color="auto" w:fill="B3DDFF" w:themeFill="accent4" w:themeFillTint="3F"/>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shd w:val="clear" w:color="auto" w:fill="B3DDFF" w:themeFill="accent4" w:themeFillTint="3F"/>
      </w:tcPr>
    </w:tblStylePr>
    <w:tblStylePr w:type="band2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tcPr>
    </w:tblStylePr>
  </w:style>
  <w:style w:type="table" w:styleId="LightGrid-Accent5">
    <w:name w:val="Light Grid Accent 5"/>
    <w:basedOn w:val="TableNormal"/>
    <w:uiPriority w:val="62"/>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18" w:space="0" w:color="009CDE" w:themeColor="accent5"/>
          <w:right w:val="single" w:sz="8" w:space="0" w:color="009CDE" w:themeColor="accent5"/>
          <w:insideH w:val="nil"/>
          <w:insideV w:val="single" w:sz="8" w:space="0" w:color="009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insideH w:val="nil"/>
          <w:insideV w:val="single" w:sz="8" w:space="0" w:color="009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shd w:val="clear" w:color="auto" w:fill="B7E9FF" w:themeFill="accent5" w:themeFillTint="3F"/>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shd w:val="clear" w:color="auto" w:fill="B7E9FF" w:themeFill="accent5" w:themeFillTint="3F"/>
      </w:tcPr>
    </w:tblStylePr>
    <w:tblStylePr w:type="band2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tcPr>
    </w:tblStylePr>
  </w:style>
  <w:style w:type="table" w:styleId="LightGrid-Accent6">
    <w:name w:val="Light Grid Accent 6"/>
    <w:basedOn w:val="TableNormal"/>
    <w:uiPriority w:val="62"/>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18" w:space="0" w:color="8A2A2B" w:themeColor="accent6"/>
          <w:right w:val="single" w:sz="8" w:space="0" w:color="8A2A2B" w:themeColor="accent6"/>
          <w:insideH w:val="nil"/>
          <w:insideV w:val="single" w:sz="8" w:space="0" w:color="8A2A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insideH w:val="nil"/>
          <w:insideV w:val="single" w:sz="8" w:space="0" w:color="8A2A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shd w:val="clear" w:color="auto" w:fill="ECC0C0" w:themeFill="accent6" w:themeFillTint="3F"/>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shd w:val="clear" w:color="auto" w:fill="ECC0C0" w:themeFill="accent6" w:themeFillTint="3F"/>
      </w:tcPr>
    </w:tblStylePr>
    <w:tblStylePr w:type="band2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tcPr>
    </w:tblStylePr>
  </w:style>
  <w:style w:type="table" w:styleId="LightList-Accent1">
    <w:name w:val="Light List Accent 1"/>
    <w:basedOn w:val="TableNormal"/>
    <w:uiPriority w:val="61"/>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table" w:styleId="LightList-Accent2">
    <w:name w:val="Light List Accent 2"/>
    <w:basedOn w:val="TableNormal"/>
    <w:uiPriority w:val="61"/>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pPr>
        <w:spacing w:before="0" w:after="0" w:line="240" w:lineRule="auto"/>
      </w:pPr>
      <w:rPr>
        <w:b/>
        <w:bCs/>
        <w:color w:val="FFFFFF" w:themeColor="background1"/>
      </w:rPr>
      <w:tblPr/>
      <w:tcPr>
        <w:shd w:val="clear" w:color="auto" w:fill="00497A" w:themeFill="accent2"/>
      </w:tcPr>
    </w:tblStylePr>
    <w:tblStylePr w:type="lastRow">
      <w:pPr>
        <w:spacing w:before="0" w:after="0" w:line="240" w:lineRule="auto"/>
      </w:pPr>
      <w:rPr>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tcBorders>
      </w:tcPr>
    </w:tblStylePr>
    <w:tblStylePr w:type="firstCol">
      <w:rPr>
        <w:b/>
        <w:bCs/>
      </w:rPr>
    </w:tblStylePr>
    <w:tblStylePr w:type="lastCol">
      <w:rPr>
        <w:b/>
        <w:bCs/>
      </w:r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style>
  <w:style w:type="table" w:styleId="LightList-Accent3">
    <w:name w:val="Light List Accent 3"/>
    <w:basedOn w:val="TableNormal"/>
    <w:uiPriority w:val="61"/>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pPr>
        <w:spacing w:before="0" w:after="0" w:line="240" w:lineRule="auto"/>
      </w:pPr>
      <w:rPr>
        <w:b/>
        <w:bCs/>
        <w:color w:val="FFFFFF" w:themeColor="background1"/>
      </w:rPr>
      <w:tblPr/>
      <w:tcPr>
        <w:shd w:val="clear" w:color="auto" w:fill="749CC9" w:themeFill="accent3"/>
      </w:tcPr>
    </w:tblStylePr>
    <w:tblStylePr w:type="lastRow">
      <w:pPr>
        <w:spacing w:before="0" w:after="0" w:line="240" w:lineRule="auto"/>
      </w:pPr>
      <w:rPr>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tcBorders>
      </w:tcPr>
    </w:tblStylePr>
    <w:tblStylePr w:type="firstCol">
      <w:rPr>
        <w:b/>
        <w:bCs/>
      </w:rPr>
    </w:tblStylePr>
    <w:tblStylePr w:type="lastCol">
      <w:rPr>
        <w:b/>
        <w:bCs/>
      </w:r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style>
  <w:style w:type="table" w:styleId="LightList-Accent4">
    <w:name w:val="Light List Accent 4"/>
    <w:basedOn w:val="TableNormal"/>
    <w:uiPriority w:val="61"/>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5">
    <w:name w:val="Light List Accent 5"/>
    <w:basedOn w:val="TableNormal"/>
    <w:uiPriority w:val="61"/>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pPr>
        <w:spacing w:before="0" w:after="0" w:line="240" w:lineRule="auto"/>
      </w:pPr>
      <w:rPr>
        <w:b/>
        <w:bCs/>
        <w:color w:val="FFFFFF" w:themeColor="background1"/>
      </w:rPr>
      <w:tblPr/>
      <w:tcPr>
        <w:shd w:val="clear" w:color="auto" w:fill="009CDE" w:themeFill="accent5"/>
      </w:tcPr>
    </w:tblStylePr>
    <w:tblStylePr w:type="lastRow">
      <w:pPr>
        <w:spacing w:before="0" w:after="0" w:line="240" w:lineRule="auto"/>
      </w:pPr>
      <w:rPr>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tcBorders>
      </w:tcPr>
    </w:tblStylePr>
    <w:tblStylePr w:type="firstCol">
      <w:rPr>
        <w:b/>
        <w:bCs/>
      </w:rPr>
    </w:tblStylePr>
    <w:tblStylePr w:type="lastCol">
      <w:rPr>
        <w:b/>
        <w:bCs/>
      </w:r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style>
  <w:style w:type="table" w:styleId="LightList-Accent6">
    <w:name w:val="Light List Accent 6"/>
    <w:basedOn w:val="TableNormal"/>
    <w:uiPriority w:val="61"/>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pPr>
        <w:spacing w:before="0" w:after="0" w:line="240" w:lineRule="auto"/>
      </w:pPr>
      <w:rPr>
        <w:b/>
        <w:bCs/>
        <w:color w:val="FFFFFF" w:themeColor="background1"/>
      </w:rPr>
      <w:tblPr/>
      <w:tcPr>
        <w:shd w:val="clear" w:color="auto" w:fill="8A2A2B" w:themeFill="accent6"/>
      </w:tcPr>
    </w:tblStylePr>
    <w:tblStylePr w:type="lastRow">
      <w:pPr>
        <w:spacing w:before="0" w:after="0" w:line="240" w:lineRule="auto"/>
      </w:pPr>
      <w:rPr>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tcBorders>
      </w:tcPr>
    </w:tblStylePr>
    <w:tblStylePr w:type="firstCol">
      <w:rPr>
        <w:b/>
        <w:bCs/>
      </w:rPr>
    </w:tblStylePr>
    <w:tblStylePr w:type="lastCol">
      <w:rPr>
        <w:b/>
        <w:bCs/>
      </w:r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style>
  <w:style w:type="table" w:styleId="LightShading-Accent3">
    <w:name w:val="Light Shading Accent 3"/>
    <w:basedOn w:val="TableNormal"/>
    <w:uiPriority w:val="60"/>
    <w:rsid w:val="00C00568"/>
    <w:pPr>
      <w:spacing w:before="0"/>
    </w:pPr>
    <w:rPr>
      <w:color w:val="4273AA" w:themeColor="accent3" w:themeShade="BF"/>
    </w:rPr>
    <w:tblPr>
      <w:tblStyleRowBandSize w:val="1"/>
      <w:tblStyleColBandSize w:val="1"/>
      <w:tblBorders>
        <w:top w:val="single" w:sz="8" w:space="0" w:color="749CC9" w:themeColor="accent3"/>
        <w:bottom w:val="single" w:sz="8" w:space="0" w:color="749CC9" w:themeColor="accent3"/>
      </w:tblBorders>
    </w:tblPr>
    <w:tblStylePr w:type="fir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la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left w:val="nil"/>
          <w:right w:val="nil"/>
          <w:insideH w:val="nil"/>
          <w:insideV w:val="nil"/>
        </w:tcBorders>
        <w:shd w:val="clear" w:color="auto" w:fill="DCE6F1" w:themeFill="accent3" w:themeFillTint="3F"/>
      </w:tcPr>
    </w:tblStylePr>
  </w:style>
  <w:style w:type="table" w:styleId="LightShading-Accent5">
    <w:name w:val="Light Shading Accent 5"/>
    <w:basedOn w:val="TableNormal"/>
    <w:uiPriority w:val="60"/>
    <w:rsid w:val="00C00568"/>
    <w:pPr>
      <w:spacing w:before="0"/>
    </w:pPr>
    <w:rPr>
      <w:color w:val="0074A6" w:themeColor="accent5" w:themeShade="BF"/>
    </w:rPr>
    <w:tblPr>
      <w:tblStyleRowBandSize w:val="1"/>
      <w:tblStyleColBandSize w:val="1"/>
      <w:tblBorders>
        <w:top w:val="single" w:sz="8" w:space="0" w:color="009CDE" w:themeColor="accent5"/>
        <w:bottom w:val="single" w:sz="8" w:space="0" w:color="009CDE" w:themeColor="accent5"/>
      </w:tblBorders>
    </w:tblPr>
    <w:tblStylePr w:type="fir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la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left w:val="nil"/>
          <w:right w:val="nil"/>
          <w:insideH w:val="nil"/>
          <w:insideV w:val="nil"/>
        </w:tcBorders>
        <w:shd w:val="clear" w:color="auto" w:fill="B7E9FF" w:themeFill="accent5" w:themeFillTint="3F"/>
      </w:tcPr>
    </w:tblStylePr>
  </w:style>
  <w:style w:type="table" w:styleId="LightShading-Accent6">
    <w:name w:val="Light Shading Accent 6"/>
    <w:basedOn w:val="TableNormal"/>
    <w:uiPriority w:val="60"/>
    <w:rsid w:val="00C00568"/>
    <w:pPr>
      <w:spacing w:before="0"/>
    </w:pPr>
    <w:rPr>
      <w:color w:val="671F20" w:themeColor="accent6" w:themeShade="BF"/>
    </w:rPr>
    <w:tblPr>
      <w:tblStyleRowBandSize w:val="1"/>
      <w:tblStyleColBandSize w:val="1"/>
      <w:tblBorders>
        <w:top w:val="single" w:sz="8" w:space="0" w:color="8A2A2B" w:themeColor="accent6"/>
        <w:bottom w:val="single" w:sz="8" w:space="0" w:color="8A2A2B" w:themeColor="accent6"/>
      </w:tblBorders>
    </w:tblPr>
    <w:tblStylePr w:type="fir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la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left w:val="nil"/>
          <w:right w:val="nil"/>
          <w:insideH w:val="nil"/>
          <w:insideV w:val="nil"/>
        </w:tcBorders>
        <w:shd w:val="clear" w:color="auto" w:fill="ECC0C0"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keepLines/>
      <w:ind w:left="566" w:hanging="283"/>
      <w:contextualSpacing/>
    </w:pPr>
    <w:rPr>
      <w:rFonts w:eastAsiaTheme="minorHAnsi" w:cstheme="minorBidi"/>
      <w:szCs w:val="22"/>
    </w:rPr>
  </w:style>
  <w:style w:type="paragraph" w:styleId="List3">
    <w:name w:val="List 3"/>
    <w:basedOn w:val="Normal"/>
    <w:uiPriority w:val="29"/>
    <w:semiHidden/>
    <w:unhideWhenUsed/>
    <w:rsid w:val="00C00568"/>
    <w:pPr>
      <w:keepLines/>
      <w:ind w:left="849" w:hanging="283"/>
      <w:contextualSpacing/>
    </w:pPr>
    <w:rPr>
      <w:rFonts w:eastAsiaTheme="minorHAnsi" w:cstheme="minorBidi"/>
      <w:szCs w:val="22"/>
    </w:rPr>
  </w:style>
  <w:style w:type="paragraph" w:styleId="List4">
    <w:name w:val="List 4"/>
    <w:basedOn w:val="Normal"/>
    <w:uiPriority w:val="29"/>
    <w:semiHidden/>
    <w:unhideWhenUsed/>
    <w:rsid w:val="00C00568"/>
    <w:pPr>
      <w:keepLines/>
      <w:ind w:left="1132" w:hanging="283"/>
      <w:contextualSpacing/>
    </w:pPr>
    <w:rPr>
      <w:rFonts w:eastAsiaTheme="minorHAnsi" w:cstheme="minorBidi"/>
      <w:szCs w:val="22"/>
    </w:rPr>
  </w:style>
  <w:style w:type="paragraph" w:styleId="List5">
    <w:name w:val="List 5"/>
    <w:basedOn w:val="Normal"/>
    <w:uiPriority w:val="29"/>
    <w:semiHidden/>
    <w:unhideWhenUsed/>
    <w:rsid w:val="00C00568"/>
    <w:pPr>
      <w:keepLines/>
      <w:ind w:left="1415" w:hanging="283"/>
      <w:contextualSpacing/>
    </w:pPr>
    <w:rPr>
      <w:rFonts w:eastAsiaTheme="minorHAnsi" w:cstheme="minorBidi"/>
      <w:szCs w:val="22"/>
    </w:r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insideV w:val="single" w:sz="8" w:space="0" w:color="0096FC" w:themeColor="accent1" w:themeTint="BF"/>
      </w:tblBorders>
    </w:tblPr>
    <w:tcPr>
      <w:shd w:val="clear" w:color="auto" w:fill="AADCFF" w:themeFill="accent1" w:themeFillTint="3F"/>
    </w:tcPr>
    <w:tblStylePr w:type="firstRow">
      <w:rPr>
        <w:b/>
        <w:bCs/>
      </w:rPr>
    </w:tblStylePr>
    <w:tblStylePr w:type="lastRow">
      <w:rPr>
        <w:b/>
        <w:bCs/>
      </w:rPr>
      <w:tblPr/>
      <w:tcPr>
        <w:tcBorders>
          <w:top w:val="single" w:sz="18" w:space="0" w:color="0096FC" w:themeColor="accent1" w:themeTint="BF"/>
        </w:tcBorders>
      </w:tcPr>
    </w:tblStylePr>
    <w:tblStylePr w:type="firstCol">
      <w:rPr>
        <w:b/>
        <w:bCs/>
      </w:rPr>
    </w:tblStylePr>
    <w:tblStylePr w:type="lastCol">
      <w:rPr>
        <w:b/>
        <w:bCs/>
      </w:r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MediumGrid1-Accent2">
    <w:name w:val="Medium Grid 1 Accent 2"/>
    <w:basedOn w:val="TableNormal"/>
    <w:uiPriority w:val="67"/>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insideV w:val="single" w:sz="8" w:space="0" w:color="0082DB" w:themeColor="accent2" w:themeTint="BF"/>
      </w:tblBorders>
    </w:tblPr>
    <w:tcPr>
      <w:shd w:val="clear" w:color="auto" w:fill="9FD8FF" w:themeFill="accent2" w:themeFillTint="3F"/>
    </w:tcPr>
    <w:tblStylePr w:type="firstRow">
      <w:rPr>
        <w:b/>
        <w:bCs/>
      </w:rPr>
    </w:tblStylePr>
    <w:tblStylePr w:type="lastRow">
      <w:rPr>
        <w:b/>
        <w:bCs/>
      </w:rPr>
      <w:tblPr/>
      <w:tcPr>
        <w:tcBorders>
          <w:top w:val="single" w:sz="18" w:space="0" w:color="0082DB" w:themeColor="accent2" w:themeTint="BF"/>
        </w:tcBorders>
      </w:tcPr>
    </w:tblStylePr>
    <w:tblStylePr w:type="firstCol">
      <w:rPr>
        <w:b/>
        <w:bCs/>
      </w:rPr>
    </w:tblStylePr>
    <w:tblStylePr w:type="lastCol">
      <w:rPr>
        <w:b/>
        <w:bCs/>
      </w:r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MediumGrid1-Accent3">
    <w:name w:val="Medium Grid 1 Accent 3"/>
    <w:basedOn w:val="TableNormal"/>
    <w:uiPriority w:val="67"/>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insideV w:val="single" w:sz="8" w:space="0" w:color="96B4D6" w:themeColor="accent3" w:themeTint="BF"/>
      </w:tblBorders>
    </w:tblPr>
    <w:tcPr>
      <w:shd w:val="clear" w:color="auto" w:fill="DCE6F1" w:themeFill="accent3" w:themeFillTint="3F"/>
    </w:tcPr>
    <w:tblStylePr w:type="firstRow">
      <w:rPr>
        <w:b/>
        <w:bCs/>
      </w:rPr>
    </w:tblStylePr>
    <w:tblStylePr w:type="lastRow">
      <w:rPr>
        <w:b/>
        <w:bCs/>
      </w:rPr>
      <w:tblPr/>
      <w:tcPr>
        <w:tcBorders>
          <w:top w:val="single" w:sz="18" w:space="0" w:color="96B4D6" w:themeColor="accent3" w:themeTint="BF"/>
        </w:tcBorders>
      </w:tcPr>
    </w:tblStylePr>
    <w:tblStylePr w:type="firstCol">
      <w:rPr>
        <w:b/>
        <w:bCs/>
      </w:rPr>
    </w:tblStylePr>
    <w:tblStylePr w:type="lastCol">
      <w:rPr>
        <w:b/>
        <w:bCs/>
      </w:r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MediumGrid1-Accent4">
    <w:name w:val="Medium Grid 1 Accent 4"/>
    <w:basedOn w:val="TableNormal"/>
    <w:uiPriority w:val="67"/>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insideV w:val="single" w:sz="8" w:space="0" w:color="1B99FF" w:themeColor="accent4" w:themeTint="BF"/>
      </w:tblBorders>
    </w:tblPr>
    <w:tcPr>
      <w:shd w:val="clear" w:color="auto" w:fill="B3DDFF" w:themeFill="accent4" w:themeFillTint="3F"/>
    </w:tcPr>
    <w:tblStylePr w:type="firstRow">
      <w:rPr>
        <w:b/>
        <w:bCs/>
      </w:rPr>
    </w:tblStylePr>
    <w:tblStylePr w:type="lastRow">
      <w:rPr>
        <w:b/>
        <w:bCs/>
      </w:rPr>
      <w:tblPr/>
      <w:tcPr>
        <w:tcBorders>
          <w:top w:val="single" w:sz="18" w:space="0" w:color="1B99FF" w:themeColor="accent4" w:themeTint="BF"/>
        </w:tcBorders>
      </w:tcPr>
    </w:tblStylePr>
    <w:tblStylePr w:type="firstCol">
      <w:rPr>
        <w:b/>
        <w:bCs/>
      </w:rPr>
    </w:tblStylePr>
    <w:tblStylePr w:type="lastCol">
      <w:rPr>
        <w:b/>
        <w:bCs/>
      </w:r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MediumGrid1-Accent5">
    <w:name w:val="Medium Grid 1 Accent 5"/>
    <w:basedOn w:val="TableNormal"/>
    <w:uiPriority w:val="67"/>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insideV w:val="single" w:sz="8" w:space="0" w:color="27BEFF" w:themeColor="accent5" w:themeTint="BF"/>
      </w:tblBorders>
    </w:tblPr>
    <w:tcPr>
      <w:shd w:val="clear" w:color="auto" w:fill="B7E9FF" w:themeFill="accent5" w:themeFillTint="3F"/>
    </w:tcPr>
    <w:tblStylePr w:type="firstRow">
      <w:rPr>
        <w:b/>
        <w:bCs/>
      </w:rPr>
    </w:tblStylePr>
    <w:tblStylePr w:type="lastRow">
      <w:rPr>
        <w:b/>
        <w:bCs/>
      </w:rPr>
      <w:tblPr/>
      <w:tcPr>
        <w:tcBorders>
          <w:top w:val="single" w:sz="18" w:space="0" w:color="27BEFF" w:themeColor="accent5" w:themeTint="BF"/>
        </w:tcBorders>
      </w:tcPr>
    </w:tblStylePr>
    <w:tblStylePr w:type="firstCol">
      <w:rPr>
        <w:b/>
        <w:bCs/>
      </w:rPr>
    </w:tblStylePr>
    <w:tblStylePr w:type="lastCol">
      <w:rPr>
        <w:b/>
        <w:bCs/>
      </w:r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MediumGrid1-Accent6">
    <w:name w:val="Medium Grid 1 Accent 6"/>
    <w:basedOn w:val="TableNormal"/>
    <w:uiPriority w:val="67"/>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insideV w:val="single" w:sz="8" w:space="0" w:color="C54142" w:themeColor="accent6" w:themeTint="BF"/>
      </w:tblBorders>
    </w:tblPr>
    <w:tcPr>
      <w:shd w:val="clear" w:color="auto" w:fill="ECC0C0" w:themeFill="accent6" w:themeFillTint="3F"/>
    </w:tcPr>
    <w:tblStylePr w:type="firstRow">
      <w:rPr>
        <w:b/>
        <w:bCs/>
      </w:rPr>
    </w:tblStylePr>
    <w:tblStylePr w:type="lastRow">
      <w:rPr>
        <w:b/>
        <w:bCs/>
      </w:rPr>
      <w:tblPr/>
      <w:tcPr>
        <w:tcBorders>
          <w:top w:val="single" w:sz="18" w:space="0" w:color="C54142" w:themeColor="accent6" w:themeTint="BF"/>
        </w:tcBorders>
      </w:tcPr>
    </w:tblStylePr>
    <w:tblStylePr w:type="firstCol">
      <w:rPr>
        <w:b/>
        <w:bCs/>
      </w:rPr>
    </w:tblStylePr>
    <w:tblStylePr w:type="lastCol">
      <w:rPr>
        <w:b/>
        <w:bCs/>
      </w:r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MediumGrid2">
    <w:name w:val="Medium Grid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cPr>
      <w:shd w:val="clear" w:color="auto" w:fill="AADC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1" w:themeFillTint="33"/>
      </w:tcPr>
    </w:tblStylePr>
    <w:tblStylePr w:type="band1Vert">
      <w:tblPr/>
      <w:tcPr>
        <w:shd w:val="clear" w:color="auto" w:fill="53B9FF" w:themeFill="accent1" w:themeFillTint="7F"/>
      </w:tcPr>
    </w:tblStylePr>
    <w:tblStylePr w:type="band1Horz">
      <w:tblPr/>
      <w:tcPr>
        <w:tcBorders>
          <w:insideH w:val="single" w:sz="6" w:space="0" w:color="0063A6" w:themeColor="accent1"/>
          <w:insideV w:val="single" w:sz="6" w:space="0" w:color="0063A6" w:themeColor="accent1"/>
        </w:tcBorders>
        <w:shd w:val="clear" w:color="auto" w:fill="53B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cPr>
      <w:shd w:val="clear" w:color="auto" w:fill="9FD8FF" w:themeFill="accent2" w:themeFillTint="3F"/>
    </w:tcPr>
    <w:tblStylePr w:type="firstRow">
      <w:rPr>
        <w:b/>
        <w:bCs/>
        <w:color w:val="000000" w:themeColor="text1"/>
      </w:rPr>
      <w:tblPr/>
      <w:tcPr>
        <w:shd w:val="clear" w:color="auto" w:fill="D8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FFF" w:themeFill="accent2" w:themeFillTint="33"/>
      </w:tcPr>
    </w:tblStylePr>
    <w:tblStylePr w:type="band1Vert">
      <w:tblPr/>
      <w:tcPr>
        <w:shd w:val="clear" w:color="auto" w:fill="3DB0FF" w:themeFill="accent2" w:themeFillTint="7F"/>
      </w:tcPr>
    </w:tblStylePr>
    <w:tblStylePr w:type="band1Horz">
      <w:tblPr/>
      <w:tcPr>
        <w:tcBorders>
          <w:insideH w:val="single" w:sz="6" w:space="0" w:color="00497A" w:themeColor="accent2"/>
          <w:insideV w:val="single" w:sz="6" w:space="0" w:color="00497A" w:themeColor="accent2"/>
        </w:tcBorders>
        <w:shd w:val="clear" w:color="auto" w:fill="3DB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cPr>
      <w:shd w:val="clear" w:color="auto" w:fill="DCE6F1" w:themeFill="accent3" w:themeFillTint="3F"/>
    </w:tcPr>
    <w:tblStylePr w:type="firstRow">
      <w:rPr>
        <w:b/>
        <w:bCs/>
        <w:color w:val="000000" w:themeColor="text1"/>
      </w:rPr>
      <w:tblPr/>
      <w:tcPr>
        <w:shd w:val="clear" w:color="auto" w:fill="F1F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BF4" w:themeFill="accent3" w:themeFillTint="33"/>
      </w:tcPr>
    </w:tblStylePr>
    <w:tblStylePr w:type="band1Vert">
      <w:tblPr/>
      <w:tcPr>
        <w:shd w:val="clear" w:color="auto" w:fill="B9CDE4" w:themeFill="accent3" w:themeFillTint="7F"/>
      </w:tcPr>
    </w:tblStylePr>
    <w:tblStylePr w:type="band1Horz">
      <w:tblPr/>
      <w:tcPr>
        <w:tcBorders>
          <w:insideH w:val="single" w:sz="6" w:space="0" w:color="749CC9" w:themeColor="accent3"/>
          <w:insideV w:val="single" w:sz="6" w:space="0" w:color="749CC9" w:themeColor="accent3"/>
        </w:tcBorders>
        <w:shd w:val="clear" w:color="auto" w:fill="B9C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cPr>
      <w:shd w:val="clear" w:color="auto" w:fill="B3DDFF" w:themeFill="accent4" w:themeFillTint="3F"/>
    </w:tcPr>
    <w:tblStylePr w:type="firstRow">
      <w:rPr>
        <w:b/>
        <w:bCs/>
        <w:color w:val="000000" w:themeColor="text1"/>
      </w:rPr>
      <w:tblPr/>
      <w:tcPr>
        <w:shd w:val="clear" w:color="auto" w:fill="E1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4" w:themeFillTint="33"/>
      </w:tcPr>
    </w:tblStylePr>
    <w:tblStylePr w:type="band1Vert">
      <w:tblPr/>
      <w:tcPr>
        <w:shd w:val="clear" w:color="auto" w:fill="67BBFF" w:themeFill="accent4" w:themeFillTint="7F"/>
      </w:tcPr>
    </w:tblStylePr>
    <w:tblStylePr w:type="band1Horz">
      <w:tblPr/>
      <w:tcPr>
        <w:tcBorders>
          <w:insideH w:val="single" w:sz="6" w:space="0" w:color="0072CE" w:themeColor="accent4"/>
          <w:insideV w:val="single" w:sz="6" w:space="0" w:color="0072CE" w:themeColor="accent4"/>
        </w:tcBorders>
        <w:shd w:val="clear" w:color="auto" w:fill="67B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cPr>
      <w:shd w:val="clear" w:color="auto" w:fill="B7E9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5" w:themeFillTint="33"/>
      </w:tcPr>
    </w:tblStylePr>
    <w:tblStylePr w:type="band1Vert">
      <w:tblPr/>
      <w:tcPr>
        <w:shd w:val="clear" w:color="auto" w:fill="6FD4FF" w:themeFill="accent5" w:themeFillTint="7F"/>
      </w:tcPr>
    </w:tblStylePr>
    <w:tblStylePr w:type="band1Horz">
      <w:tblPr/>
      <w:tcPr>
        <w:tcBorders>
          <w:insideH w:val="single" w:sz="6" w:space="0" w:color="009CDE" w:themeColor="accent5"/>
          <w:insideV w:val="single" w:sz="6" w:space="0" w:color="009CDE" w:themeColor="accent5"/>
        </w:tcBorders>
        <w:shd w:val="clear" w:color="auto" w:fill="6FD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cPr>
      <w:shd w:val="clear" w:color="auto" w:fill="ECC0C0" w:themeFill="accent6" w:themeFillTint="3F"/>
    </w:tcPr>
    <w:tblStylePr w:type="firstRow">
      <w:rPr>
        <w:b/>
        <w:bCs/>
        <w:color w:val="000000" w:themeColor="text1"/>
      </w:rPr>
      <w:tblPr/>
      <w:tcPr>
        <w:shd w:val="clear" w:color="auto" w:fill="F7E5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CCC" w:themeFill="accent6" w:themeFillTint="33"/>
      </w:tcPr>
    </w:tblStylePr>
    <w:tblStylePr w:type="band1Vert">
      <w:tblPr/>
      <w:tcPr>
        <w:shd w:val="clear" w:color="auto" w:fill="D88081" w:themeFill="accent6" w:themeFillTint="7F"/>
      </w:tcPr>
    </w:tblStylePr>
    <w:tblStylePr w:type="band1Horz">
      <w:tblPr/>
      <w:tcPr>
        <w:tcBorders>
          <w:insideH w:val="single" w:sz="6" w:space="0" w:color="8A2A2B" w:themeColor="accent6"/>
          <w:insideV w:val="single" w:sz="6" w:space="0" w:color="8A2A2B" w:themeColor="accent6"/>
        </w:tcBorders>
        <w:shd w:val="clear" w:color="auto" w:fill="D8808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9FF" w:themeFill="accent1" w:themeFillTint="7F"/>
      </w:tcPr>
    </w:tblStylePr>
  </w:style>
  <w:style w:type="table" w:styleId="MediumGrid3-Accent2">
    <w:name w:val="Medium Grid 3 Accent 2"/>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B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B0FF" w:themeFill="accent2" w:themeFillTint="7F"/>
      </w:tcPr>
    </w:tblStylePr>
  </w:style>
  <w:style w:type="table" w:styleId="MediumGrid3-Accent3">
    <w:name w:val="Medium Grid 3 Accent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9C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9C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E4" w:themeFill="accent3" w:themeFillTint="7F"/>
      </w:tcPr>
    </w:tblStylePr>
  </w:style>
  <w:style w:type="table" w:styleId="MediumGrid3-Accent4">
    <w:name w:val="Medium Grid 3 Accent 4"/>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4" w:themeFillTint="7F"/>
      </w:tcPr>
    </w:tblStylePr>
  </w:style>
  <w:style w:type="table" w:styleId="MediumGrid3-Accent5">
    <w:name w:val="Medium Grid 3 Accent 5"/>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4FF" w:themeFill="accent5" w:themeFillTint="7F"/>
      </w:tcPr>
    </w:tblStylePr>
  </w:style>
  <w:style w:type="table" w:styleId="MediumGrid3-Accent6">
    <w:name w:val="Medium Grid 3 Accent 6"/>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A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A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0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081" w:themeFill="accent6" w:themeFillTint="7F"/>
      </w:tcPr>
    </w:tblStylePr>
  </w:style>
  <w:style w:type="table" w:styleId="MediumList1">
    <w:name w:val="Medium List 1"/>
    <w:basedOn w:val="TableNormal"/>
    <w:uiPriority w:val="65"/>
    <w:rsid w:val="00C00568"/>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pPr>
      <w:spacing w:before="0"/>
    </w:pPr>
    <w:rPr>
      <w:color w:val="000000" w:themeColor="text1"/>
    </w:rPr>
    <w:tblPr>
      <w:tblStyleRowBandSize w:val="1"/>
      <w:tblStyleColBandSize w:val="1"/>
      <w:tblBorders>
        <w:top w:val="single" w:sz="8" w:space="0" w:color="0063A6" w:themeColor="accent1"/>
        <w:bottom w:val="single" w:sz="8" w:space="0" w:color="0063A6" w:themeColor="accent1"/>
      </w:tblBorders>
    </w:tblPr>
    <w:tblStylePr w:type="firstRow">
      <w:rPr>
        <w:rFonts w:asciiTheme="majorHAnsi" w:eastAsiaTheme="majorEastAsia" w:hAnsiTheme="majorHAnsi" w:cstheme="majorBidi"/>
      </w:rPr>
      <w:tblPr/>
      <w:tcPr>
        <w:tcBorders>
          <w:top w:val="nil"/>
          <w:bottom w:val="single" w:sz="8" w:space="0" w:color="0063A6" w:themeColor="accent1"/>
        </w:tcBorders>
      </w:tcPr>
    </w:tblStylePr>
    <w:tblStylePr w:type="lastRow">
      <w:rPr>
        <w:b/>
        <w:bCs/>
        <w:color w:val="201547" w:themeColor="text2"/>
      </w:rPr>
      <w:tblPr/>
      <w:tcPr>
        <w:tcBorders>
          <w:top w:val="single" w:sz="8" w:space="0" w:color="0063A6" w:themeColor="accent1"/>
          <w:bottom w:val="single" w:sz="8" w:space="0" w:color="0063A6" w:themeColor="accent1"/>
        </w:tcBorders>
      </w:tcPr>
    </w:tblStylePr>
    <w:tblStylePr w:type="firstCol">
      <w:rPr>
        <w:b/>
        <w:bCs/>
      </w:rPr>
    </w:tblStylePr>
    <w:tblStylePr w:type="lastCol">
      <w:rPr>
        <w:b/>
        <w:bCs/>
      </w:rPr>
      <w:tblPr/>
      <w:tcPr>
        <w:tcBorders>
          <w:top w:val="single" w:sz="8" w:space="0" w:color="0063A6" w:themeColor="accent1"/>
          <w:bottom w:val="single" w:sz="8" w:space="0" w:color="0063A6" w:themeColor="accent1"/>
        </w:tcBorders>
      </w:tcPr>
    </w:tblStylePr>
    <w:tblStylePr w:type="band1Vert">
      <w:tblPr/>
      <w:tcPr>
        <w:shd w:val="clear" w:color="auto" w:fill="AADCFF" w:themeFill="accent1" w:themeFillTint="3F"/>
      </w:tcPr>
    </w:tblStylePr>
    <w:tblStylePr w:type="band1Horz">
      <w:tblPr/>
      <w:tcPr>
        <w:shd w:val="clear" w:color="auto" w:fill="AADCFF" w:themeFill="accent1" w:themeFillTint="3F"/>
      </w:tcPr>
    </w:tblStylePr>
  </w:style>
  <w:style w:type="table" w:styleId="MediumList1-Accent2">
    <w:name w:val="Medium List 1 Accent 2"/>
    <w:basedOn w:val="TableNormal"/>
    <w:uiPriority w:val="65"/>
    <w:rsid w:val="00C00568"/>
    <w:pPr>
      <w:spacing w:before="0"/>
    </w:pPr>
    <w:rPr>
      <w:color w:val="000000" w:themeColor="text1"/>
    </w:rPr>
    <w:tblPr>
      <w:tblStyleRowBandSize w:val="1"/>
      <w:tblStyleColBandSize w:val="1"/>
      <w:tblBorders>
        <w:top w:val="single" w:sz="8" w:space="0" w:color="00497A" w:themeColor="accent2"/>
        <w:bottom w:val="single" w:sz="8" w:space="0" w:color="00497A" w:themeColor="accent2"/>
      </w:tblBorders>
    </w:tblPr>
    <w:tblStylePr w:type="firstRow">
      <w:rPr>
        <w:rFonts w:asciiTheme="majorHAnsi" w:eastAsiaTheme="majorEastAsia" w:hAnsiTheme="majorHAnsi" w:cstheme="majorBidi"/>
      </w:rPr>
      <w:tblPr/>
      <w:tcPr>
        <w:tcBorders>
          <w:top w:val="nil"/>
          <w:bottom w:val="single" w:sz="8" w:space="0" w:color="00497A" w:themeColor="accent2"/>
        </w:tcBorders>
      </w:tcPr>
    </w:tblStylePr>
    <w:tblStylePr w:type="lastRow">
      <w:rPr>
        <w:b/>
        <w:bCs/>
        <w:color w:val="201547" w:themeColor="text2"/>
      </w:rPr>
      <w:tblPr/>
      <w:tcPr>
        <w:tcBorders>
          <w:top w:val="single" w:sz="8" w:space="0" w:color="00497A" w:themeColor="accent2"/>
          <w:bottom w:val="single" w:sz="8" w:space="0" w:color="00497A" w:themeColor="accent2"/>
        </w:tcBorders>
      </w:tcPr>
    </w:tblStylePr>
    <w:tblStylePr w:type="firstCol">
      <w:rPr>
        <w:b/>
        <w:bCs/>
      </w:rPr>
    </w:tblStylePr>
    <w:tblStylePr w:type="lastCol">
      <w:rPr>
        <w:b/>
        <w:bCs/>
      </w:rPr>
      <w:tblPr/>
      <w:tcPr>
        <w:tcBorders>
          <w:top w:val="single" w:sz="8" w:space="0" w:color="00497A" w:themeColor="accent2"/>
          <w:bottom w:val="single" w:sz="8" w:space="0" w:color="00497A" w:themeColor="accent2"/>
        </w:tcBorders>
      </w:tcPr>
    </w:tblStylePr>
    <w:tblStylePr w:type="band1Vert">
      <w:tblPr/>
      <w:tcPr>
        <w:shd w:val="clear" w:color="auto" w:fill="9FD8FF" w:themeFill="accent2" w:themeFillTint="3F"/>
      </w:tcPr>
    </w:tblStylePr>
    <w:tblStylePr w:type="band1Horz">
      <w:tblPr/>
      <w:tcPr>
        <w:shd w:val="clear" w:color="auto" w:fill="9FD8FF" w:themeFill="accent2" w:themeFillTint="3F"/>
      </w:tcPr>
    </w:tblStylePr>
  </w:style>
  <w:style w:type="table" w:styleId="MediumList1-Accent3">
    <w:name w:val="Medium List 1 Accent 3"/>
    <w:basedOn w:val="TableNormal"/>
    <w:uiPriority w:val="65"/>
    <w:rsid w:val="00C00568"/>
    <w:pPr>
      <w:spacing w:before="0"/>
    </w:pPr>
    <w:rPr>
      <w:color w:val="000000" w:themeColor="text1"/>
    </w:rPr>
    <w:tblPr>
      <w:tblStyleRowBandSize w:val="1"/>
      <w:tblStyleColBandSize w:val="1"/>
      <w:tblBorders>
        <w:top w:val="single" w:sz="8" w:space="0" w:color="749CC9" w:themeColor="accent3"/>
        <w:bottom w:val="single" w:sz="8" w:space="0" w:color="749CC9" w:themeColor="accent3"/>
      </w:tblBorders>
    </w:tblPr>
    <w:tblStylePr w:type="firstRow">
      <w:rPr>
        <w:rFonts w:asciiTheme="majorHAnsi" w:eastAsiaTheme="majorEastAsia" w:hAnsiTheme="majorHAnsi" w:cstheme="majorBidi"/>
      </w:rPr>
      <w:tblPr/>
      <w:tcPr>
        <w:tcBorders>
          <w:top w:val="nil"/>
          <w:bottom w:val="single" w:sz="8" w:space="0" w:color="749CC9" w:themeColor="accent3"/>
        </w:tcBorders>
      </w:tcPr>
    </w:tblStylePr>
    <w:tblStylePr w:type="lastRow">
      <w:rPr>
        <w:b/>
        <w:bCs/>
        <w:color w:val="201547" w:themeColor="text2"/>
      </w:rPr>
      <w:tblPr/>
      <w:tcPr>
        <w:tcBorders>
          <w:top w:val="single" w:sz="8" w:space="0" w:color="749CC9" w:themeColor="accent3"/>
          <w:bottom w:val="single" w:sz="8" w:space="0" w:color="749CC9" w:themeColor="accent3"/>
        </w:tcBorders>
      </w:tcPr>
    </w:tblStylePr>
    <w:tblStylePr w:type="firstCol">
      <w:rPr>
        <w:b/>
        <w:bCs/>
      </w:rPr>
    </w:tblStylePr>
    <w:tblStylePr w:type="lastCol">
      <w:rPr>
        <w:b/>
        <w:bCs/>
      </w:rPr>
      <w:tblPr/>
      <w:tcPr>
        <w:tcBorders>
          <w:top w:val="single" w:sz="8" w:space="0" w:color="749CC9" w:themeColor="accent3"/>
          <w:bottom w:val="single" w:sz="8" w:space="0" w:color="749CC9" w:themeColor="accent3"/>
        </w:tcBorders>
      </w:tcPr>
    </w:tblStylePr>
    <w:tblStylePr w:type="band1Vert">
      <w:tblPr/>
      <w:tcPr>
        <w:shd w:val="clear" w:color="auto" w:fill="DCE6F1" w:themeFill="accent3" w:themeFillTint="3F"/>
      </w:tcPr>
    </w:tblStylePr>
    <w:tblStylePr w:type="band1Horz">
      <w:tblPr/>
      <w:tcPr>
        <w:shd w:val="clear" w:color="auto" w:fill="DCE6F1" w:themeFill="accent3" w:themeFillTint="3F"/>
      </w:tcPr>
    </w:tblStylePr>
  </w:style>
  <w:style w:type="table" w:styleId="MediumList1-Accent4">
    <w:name w:val="Medium List 1 Accent 4"/>
    <w:basedOn w:val="TableNormal"/>
    <w:uiPriority w:val="65"/>
    <w:rsid w:val="00C00568"/>
    <w:pPr>
      <w:spacing w:before="0"/>
    </w:pPr>
    <w:rPr>
      <w:color w:val="000000" w:themeColor="text1"/>
    </w:rPr>
    <w:tblPr>
      <w:tblStyleRowBandSize w:val="1"/>
      <w:tblStyleColBandSize w:val="1"/>
      <w:tblBorders>
        <w:top w:val="single" w:sz="8" w:space="0" w:color="0072CE" w:themeColor="accent4"/>
        <w:bottom w:val="single" w:sz="8" w:space="0" w:color="0072CE" w:themeColor="accent4"/>
      </w:tblBorders>
    </w:tblPr>
    <w:tblStylePr w:type="firstRow">
      <w:rPr>
        <w:rFonts w:asciiTheme="majorHAnsi" w:eastAsiaTheme="majorEastAsia" w:hAnsiTheme="majorHAnsi" w:cstheme="majorBidi"/>
      </w:rPr>
      <w:tblPr/>
      <w:tcPr>
        <w:tcBorders>
          <w:top w:val="nil"/>
          <w:bottom w:val="single" w:sz="8" w:space="0" w:color="0072CE" w:themeColor="accent4"/>
        </w:tcBorders>
      </w:tcPr>
    </w:tblStylePr>
    <w:tblStylePr w:type="lastRow">
      <w:rPr>
        <w:b/>
        <w:bCs/>
        <w:color w:val="201547" w:themeColor="text2"/>
      </w:rPr>
      <w:tblPr/>
      <w:tcPr>
        <w:tcBorders>
          <w:top w:val="single" w:sz="8" w:space="0" w:color="0072CE" w:themeColor="accent4"/>
          <w:bottom w:val="single" w:sz="8" w:space="0" w:color="0072CE" w:themeColor="accent4"/>
        </w:tcBorders>
      </w:tcPr>
    </w:tblStylePr>
    <w:tblStylePr w:type="firstCol">
      <w:rPr>
        <w:b/>
        <w:bCs/>
      </w:rPr>
    </w:tblStylePr>
    <w:tblStylePr w:type="lastCol">
      <w:rPr>
        <w:b/>
        <w:bCs/>
      </w:rPr>
      <w:tblPr/>
      <w:tcPr>
        <w:tcBorders>
          <w:top w:val="single" w:sz="8" w:space="0" w:color="0072CE" w:themeColor="accent4"/>
          <w:bottom w:val="single" w:sz="8" w:space="0" w:color="0072CE" w:themeColor="accent4"/>
        </w:tcBorders>
      </w:tcPr>
    </w:tblStylePr>
    <w:tblStylePr w:type="band1Vert">
      <w:tblPr/>
      <w:tcPr>
        <w:shd w:val="clear" w:color="auto" w:fill="B3DDFF" w:themeFill="accent4" w:themeFillTint="3F"/>
      </w:tcPr>
    </w:tblStylePr>
    <w:tblStylePr w:type="band1Horz">
      <w:tblPr/>
      <w:tcPr>
        <w:shd w:val="clear" w:color="auto" w:fill="B3DDFF" w:themeFill="accent4" w:themeFillTint="3F"/>
      </w:tcPr>
    </w:tblStylePr>
  </w:style>
  <w:style w:type="table" w:styleId="MediumList1-Accent5">
    <w:name w:val="Medium List 1 Accent 5"/>
    <w:basedOn w:val="TableNormal"/>
    <w:uiPriority w:val="65"/>
    <w:rsid w:val="00C00568"/>
    <w:pPr>
      <w:spacing w:before="0"/>
    </w:pPr>
    <w:rPr>
      <w:color w:val="000000" w:themeColor="text1"/>
    </w:rPr>
    <w:tblPr>
      <w:tblStyleRowBandSize w:val="1"/>
      <w:tblStyleColBandSize w:val="1"/>
      <w:tblBorders>
        <w:top w:val="single" w:sz="8" w:space="0" w:color="009CDE" w:themeColor="accent5"/>
        <w:bottom w:val="single" w:sz="8" w:space="0" w:color="009CDE" w:themeColor="accent5"/>
      </w:tblBorders>
    </w:tblPr>
    <w:tblStylePr w:type="firstRow">
      <w:rPr>
        <w:rFonts w:asciiTheme="majorHAnsi" w:eastAsiaTheme="majorEastAsia" w:hAnsiTheme="majorHAnsi" w:cstheme="majorBidi"/>
      </w:rPr>
      <w:tblPr/>
      <w:tcPr>
        <w:tcBorders>
          <w:top w:val="nil"/>
          <w:bottom w:val="single" w:sz="8" w:space="0" w:color="009CDE" w:themeColor="accent5"/>
        </w:tcBorders>
      </w:tcPr>
    </w:tblStylePr>
    <w:tblStylePr w:type="lastRow">
      <w:rPr>
        <w:b/>
        <w:bCs/>
        <w:color w:val="201547" w:themeColor="text2"/>
      </w:rPr>
      <w:tblPr/>
      <w:tcPr>
        <w:tcBorders>
          <w:top w:val="single" w:sz="8" w:space="0" w:color="009CDE" w:themeColor="accent5"/>
          <w:bottom w:val="single" w:sz="8" w:space="0" w:color="009CDE" w:themeColor="accent5"/>
        </w:tcBorders>
      </w:tcPr>
    </w:tblStylePr>
    <w:tblStylePr w:type="firstCol">
      <w:rPr>
        <w:b/>
        <w:bCs/>
      </w:rPr>
    </w:tblStylePr>
    <w:tblStylePr w:type="lastCol">
      <w:rPr>
        <w:b/>
        <w:bCs/>
      </w:rPr>
      <w:tblPr/>
      <w:tcPr>
        <w:tcBorders>
          <w:top w:val="single" w:sz="8" w:space="0" w:color="009CDE" w:themeColor="accent5"/>
          <w:bottom w:val="single" w:sz="8" w:space="0" w:color="009CDE" w:themeColor="accent5"/>
        </w:tcBorders>
      </w:tcPr>
    </w:tblStylePr>
    <w:tblStylePr w:type="band1Vert">
      <w:tblPr/>
      <w:tcPr>
        <w:shd w:val="clear" w:color="auto" w:fill="B7E9FF" w:themeFill="accent5" w:themeFillTint="3F"/>
      </w:tcPr>
    </w:tblStylePr>
    <w:tblStylePr w:type="band1Horz">
      <w:tblPr/>
      <w:tcPr>
        <w:shd w:val="clear" w:color="auto" w:fill="B7E9FF" w:themeFill="accent5" w:themeFillTint="3F"/>
      </w:tcPr>
    </w:tblStylePr>
  </w:style>
  <w:style w:type="table" w:styleId="MediumList1-Accent6">
    <w:name w:val="Medium List 1 Accent 6"/>
    <w:basedOn w:val="TableNormal"/>
    <w:uiPriority w:val="65"/>
    <w:rsid w:val="00C00568"/>
    <w:pPr>
      <w:spacing w:before="0"/>
    </w:pPr>
    <w:rPr>
      <w:color w:val="000000" w:themeColor="text1"/>
    </w:rPr>
    <w:tblPr>
      <w:tblStyleRowBandSize w:val="1"/>
      <w:tblStyleColBandSize w:val="1"/>
      <w:tblBorders>
        <w:top w:val="single" w:sz="8" w:space="0" w:color="8A2A2B" w:themeColor="accent6"/>
        <w:bottom w:val="single" w:sz="8" w:space="0" w:color="8A2A2B" w:themeColor="accent6"/>
      </w:tblBorders>
    </w:tblPr>
    <w:tblStylePr w:type="firstRow">
      <w:rPr>
        <w:rFonts w:asciiTheme="majorHAnsi" w:eastAsiaTheme="majorEastAsia" w:hAnsiTheme="majorHAnsi" w:cstheme="majorBidi"/>
      </w:rPr>
      <w:tblPr/>
      <w:tcPr>
        <w:tcBorders>
          <w:top w:val="nil"/>
          <w:bottom w:val="single" w:sz="8" w:space="0" w:color="8A2A2B" w:themeColor="accent6"/>
        </w:tcBorders>
      </w:tcPr>
    </w:tblStylePr>
    <w:tblStylePr w:type="lastRow">
      <w:rPr>
        <w:b/>
        <w:bCs/>
        <w:color w:val="201547" w:themeColor="text2"/>
      </w:rPr>
      <w:tblPr/>
      <w:tcPr>
        <w:tcBorders>
          <w:top w:val="single" w:sz="8" w:space="0" w:color="8A2A2B" w:themeColor="accent6"/>
          <w:bottom w:val="single" w:sz="8" w:space="0" w:color="8A2A2B" w:themeColor="accent6"/>
        </w:tcBorders>
      </w:tcPr>
    </w:tblStylePr>
    <w:tblStylePr w:type="firstCol">
      <w:rPr>
        <w:b/>
        <w:bCs/>
      </w:rPr>
    </w:tblStylePr>
    <w:tblStylePr w:type="lastCol">
      <w:rPr>
        <w:b/>
        <w:bCs/>
      </w:rPr>
      <w:tblPr/>
      <w:tcPr>
        <w:tcBorders>
          <w:top w:val="single" w:sz="8" w:space="0" w:color="8A2A2B" w:themeColor="accent6"/>
          <w:bottom w:val="single" w:sz="8" w:space="0" w:color="8A2A2B" w:themeColor="accent6"/>
        </w:tcBorders>
      </w:tcPr>
    </w:tblStylePr>
    <w:tblStylePr w:type="band1Vert">
      <w:tblPr/>
      <w:tcPr>
        <w:shd w:val="clear" w:color="auto" w:fill="ECC0C0" w:themeFill="accent6" w:themeFillTint="3F"/>
      </w:tcPr>
    </w:tblStylePr>
    <w:tblStylePr w:type="band1Horz">
      <w:tblPr/>
      <w:tcPr>
        <w:shd w:val="clear" w:color="auto" w:fill="ECC0C0" w:themeFill="accent6" w:themeFillTint="3F"/>
      </w:tcPr>
    </w:tblStylePr>
  </w:style>
  <w:style w:type="table" w:styleId="MediumList2">
    <w:name w:val="Medium Lis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rPr>
        <w:sz w:val="24"/>
        <w:szCs w:val="24"/>
      </w:rPr>
      <w:tblPr/>
      <w:tcPr>
        <w:tcBorders>
          <w:top w:val="nil"/>
          <w:left w:val="nil"/>
          <w:bottom w:val="single" w:sz="24" w:space="0" w:color="0063A6" w:themeColor="accent1"/>
          <w:right w:val="nil"/>
          <w:insideH w:val="nil"/>
          <w:insideV w:val="nil"/>
        </w:tcBorders>
        <w:shd w:val="clear" w:color="auto" w:fill="FFFFFF" w:themeFill="background1"/>
      </w:tcPr>
    </w:tblStylePr>
    <w:tblStylePr w:type="lastRow">
      <w:tblPr/>
      <w:tcPr>
        <w:tcBorders>
          <w:top w:val="single" w:sz="8" w:space="0" w:color="0063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6" w:themeColor="accent1"/>
          <w:insideH w:val="nil"/>
          <w:insideV w:val="nil"/>
        </w:tcBorders>
        <w:shd w:val="clear" w:color="auto" w:fill="FFFFFF" w:themeFill="background1"/>
      </w:tcPr>
    </w:tblStylePr>
    <w:tblStylePr w:type="lastCol">
      <w:tblPr/>
      <w:tcPr>
        <w:tcBorders>
          <w:top w:val="nil"/>
          <w:left w:val="single" w:sz="8" w:space="0" w:color="0063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top w:val="nil"/>
          <w:bottom w:val="nil"/>
          <w:insideH w:val="nil"/>
          <w:insideV w:val="nil"/>
        </w:tcBorders>
        <w:shd w:val="clear" w:color="auto" w:fill="AAD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rPr>
        <w:sz w:val="24"/>
        <w:szCs w:val="24"/>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tblPr/>
      <w:tcPr>
        <w:tcBorders>
          <w:top w:val="single" w:sz="8" w:space="0" w:color="0049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A" w:themeColor="accent2"/>
          <w:insideH w:val="nil"/>
          <w:insideV w:val="nil"/>
        </w:tcBorders>
        <w:shd w:val="clear" w:color="auto" w:fill="FFFFFF" w:themeFill="background1"/>
      </w:tcPr>
    </w:tblStylePr>
    <w:tblStylePr w:type="lastCol">
      <w:tblPr/>
      <w:tcPr>
        <w:tcBorders>
          <w:top w:val="nil"/>
          <w:left w:val="single" w:sz="8" w:space="0" w:color="0049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top w:val="nil"/>
          <w:bottom w:val="nil"/>
          <w:insideH w:val="nil"/>
          <w:insideV w:val="nil"/>
        </w:tcBorders>
        <w:shd w:val="clear" w:color="auto" w:fill="9FD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rPr>
        <w:sz w:val="24"/>
        <w:szCs w:val="24"/>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tblPr/>
      <w:tcPr>
        <w:tcBorders>
          <w:top w:val="single" w:sz="8" w:space="0" w:color="749C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CC9" w:themeColor="accent3"/>
          <w:insideH w:val="nil"/>
          <w:insideV w:val="nil"/>
        </w:tcBorders>
        <w:shd w:val="clear" w:color="auto" w:fill="FFFFFF" w:themeFill="background1"/>
      </w:tcPr>
    </w:tblStylePr>
    <w:tblStylePr w:type="lastCol">
      <w:tblPr/>
      <w:tcPr>
        <w:tcBorders>
          <w:top w:val="nil"/>
          <w:left w:val="single" w:sz="8" w:space="0" w:color="749C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top w:val="nil"/>
          <w:bottom w:val="nil"/>
          <w:insideH w:val="nil"/>
          <w:insideV w:val="nil"/>
        </w:tcBorders>
        <w:shd w:val="clear" w:color="auto" w:fill="DCE6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rPr>
        <w:sz w:val="24"/>
        <w:szCs w:val="24"/>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tblPr/>
      <w:tcPr>
        <w:tcBorders>
          <w:top w:val="single" w:sz="8" w:space="0" w:color="0072C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4"/>
          <w:insideH w:val="nil"/>
          <w:insideV w:val="nil"/>
        </w:tcBorders>
        <w:shd w:val="clear" w:color="auto" w:fill="FFFFFF" w:themeFill="background1"/>
      </w:tcPr>
    </w:tblStylePr>
    <w:tblStylePr w:type="lastCol">
      <w:tblPr/>
      <w:tcPr>
        <w:tcBorders>
          <w:top w:val="nil"/>
          <w:left w:val="single" w:sz="8" w:space="0" w:color="0072C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top w:val="nil"/>
          <w:bottom w:val="nil"/>
          <w:insideH w:val="nil"/>
          <w:insideV w:val="nil"/>
        </w:tcBorders>
        <w:shd w:val="clear" w:color="auto" w:fill="B3D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rPr>
        <w:sz w:val="24"/>
        <w:szCs w:val="24"/>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tblPr/>
      <w:tcPr>
        <w:tcBorders>
          <w:top w:val="single" w:sz="8" w:space="0" w:color="009C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E" w:themeColor="accent5"/>
          <w:insideH w:val="nil"/>
          <w:insideV w:val="nil"/>
        </w:tcBorders>
        <w:shd w:val="clear" w:color="auto" w:fill="FFFFFF" w:themeFill="background1"/>
      </w:tcPr>
    </w:tblStylePr>
    <w:tblStylePr w:type="lastCol">
      <w:tblPr/>
      <w:tcPr>
        <w:tcBorders>
          <w:top w:val="nil"/>
          <w:left w:val="single" w:sz="8" w:space="0" w:color="009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top w:val="nil"/>
          <w:bottom w:val="nil"/>
          <w:insideH w:val="nil"/>
          <w:insideV w:val="nil"/>
        </w:tcBorders>
        <w:shd w:val="clear" w:color="auto" w:fill="B7E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rPr>
        <w:sz w:val="24"/>
        <w:szCs w:val="24"/>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tblPr/>
      <w:tcPr>
        <w:tcBorders>
          <w:top w:val="single" w:sz="8" w:space="0" w:color="8A2A2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A2B" w:themeColor="accent6"/>
          <w:insideH w:val="nil"/>
          <w:insideV w:val="nil"/>
        </w:tcBorders>
        <w:shd w:val="clear" w:color="auto" w:fill="FFFFFF" w:themeFill="background1"/>
      </w:tcPr>
    </w:tblStylePr>
    <w:tblStylePr w:type="lastCol">
      <w:tblPr/>
      <w:tcPr>
        <w:tcBorders>
          <w:top w:val="nil"/>
          <w:left w:val="single" w:sz="8" w:space="0" w:color="8A2A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top w:val="nil"/>
          <w:bottom w:val="nil"/>
          <w:insideH w:val="nil"/>
          <w:insideV w:val="nil"/>
        </w:tcBorders>
        <w:shd w:val="clear" w:color="auto" w:fill="EC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tblBorders>
    </w:tblPr>
    <w:tblStylePr w:type="firstRow">
      <w:pPr>
        <w:spacing w:before="0" w:after="0" w:line="240" w:lineRule="auto"/>
      </w:pPr>
      <w:rPr>
        <w:b/>
        <w:bCs/>
        <w:color w:val="FFFFFF" w:themeColor="background1"/>
      </w:rPr>
      <w:tblPr/>
      <w:tcPr>
        <w:tc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shd w:val="clear" w:color="auto" w:fill="0063A6" w:themeFill="accent1"/>
      </w:tcPr>
    </w:tblStylePr>
    <w:tblStylePr w:type="lastRow">
      <w:pPr>
        <w:spacing w:before="0" w:after="0" w:line="240" w:lineRule="auto"/>
      </w:pPr>
      <w:rPr>
        <w:b/>
        <w:bCs/>
      </w:rPr>
      <w:tblPr/>
      <w:tcPr>
        <w:tcBorders>
          <w:top w:val="double" w:sz="6"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1" w:themeFillTint="3F"/>
      </w:tcPr>
    </w:tblStylePr>
    <w:tblStylePr w:type="band1Horz">
      <w:tblPr/>
      <w:tcPr>
        <w:tcBorders>
          <w:insideH w:val="nil"/>
          <w:insideV w:val="nil"/>
        </w:tcBorders>
        <w:shd w:val="clear" w:color="auto" w:fill="AAD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tblBorders>
    </w:tblPr>
    <w:tblStylePr w:type="firstRow">
      <w:pPr>
        <w:spacing w:before="0" w:after="0" w:line="240" w:lineRule="auto"/>
      </w:pPr>
      <w:rPr>
        <w:b/>
        <w:bCs/>
        <w:color w:val="FFFFFF" w:themeColor="background1"/>
      </w:rPr>
      <w:tblPr/>
      <w:tcPr>
        <w:tc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shd w:val="clear" w:color="auto" w:fill="00497A" w:themeFill="accent2"/>
      </w:tcPr>
    </w:tblStylePr>
    <w:tblStylePr w:type="lastRow">
      <w:pPr>
        <w:spacing w:before="0" w:after="0" w:line="240" w:lineRule="auto"/>
      </w:pPr>
      <w:rPr>
        <w:b/>
        <w:bCs/>
      </w:rPr>
      <w:tblPr/>
      <w:tcPr>
        <w:tcBorders>
          <w:top w:val="double" w:sz="6"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D8FF" w:themeFill="accent2" w:themeFillTint="3F"/>
      </w:tcPr>
    </w:tblStylePr>
    <w:tblStylePr w:type="band1Horz">
      <w:tblPr/>
      <w:tcPr>
        <w:tcBorders>
          <w:insideH w:val="nil"/>
          <w:insideV w:val="nil"/>
        </w:tcBorders>
        <w:shd w:val="clear" w:color="auto" w:fill="9FD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tblBorders>
    </w:tblPr>
    <w:tblStylePr w:type="firstRow">
      <w:pPr>
        <w:spacing w:before="0" w:after="0" w:line="240" w:lineRule="auto"/>
      </w:pPr>
      <w:rPr>
        <w:b/>
        <w:bCs/>
        <w:color w:val="FFFFFF" w:themeColor="background1"/>
      </w:rPr>
      <w:tblPr/>
      <w:tcPr>
        <w:tc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shd w:val="clear" w:color="auto" w:fill="749CC9" w:themeFill="accent3"/>
      </w:tcPr>
    </w:tblStylePr>
    <w:tblStylePr w:type="lastRow">
      <w:pPr>
        <w:spacing w:before="0" w:after="0" w:line="240" w:lineRule="auto"/>
      </w:pPr>
      <w:rPr>
        <w:b/>
        <w:bCs/>
      </w:rPr>
      <w:tblPr/>
      <w:tcPr>
        <w:tcBorders>
          <w:top w:val="double" w:sz="6"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6F1" w:themeFill="accent3" w:themeFillTint="3F"/>
      </w:tcPr>
    </w:tblStylePr>
    <w:tblStylePr w:type="band1Horz">
      <w:tblPr/>
      <w:tcPr>
        <w:tcBorders>
          <w:insideH w:val="nil"/>
          <w:insideV w:val="nil"/>
        </w:tcBorders>
        <w:shd w:val="clear" w:color="auto" w:fill="DCE6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tblBorders>
    </w:tblPr>
    <w:tblStylePr w:type="firstRow">
      <w:pPr>
        <w:spacing w:before="0" w:after="0" w:line="240" w:lineRule="auto"/>
      </w:pPr>
      <w:rPr>
        <w:b/>
        <w:bCs/>
        <w:color w:val="FFFFFF" w:themeColor="background1"/>
      </w:rPr>
      <w:tblPr/>
      <w:tcPr>
        <w:tc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shd w:val="clear" w:color="auto" w:fill="0072CE" w:themeFill="accent4"/>
      </w:tcPr>
    </w:tblStylePr>
    <w:tblStylePr w:type="lastRow">
      <w:pPr>
        <w:spacing w:before="0" w:after="0" w:line="240" w:lineRule="auto"/>
      </w:pPr>
      <w:rPr>
        <w:b/>
        <w:bCs/>
      </w:rPr>
      <w:tblPr/>
      <w:tcPr>
        <w:tcBorders>
          <w:top w:val="double" w:sz="6"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4" w:themeFillTint="3F"/>
      </w:tcPr>
    </w:tblStylePr>
    <w:tblStylePr w:type="band1Horz">
      <w:tblPr/>
      <w:tcPr>
        <w:tcBorders>
          <w:insideH w:val="nil"/>
          <w:insideV w:val="nil"/>
        </w:tcBorders>
        <w:shd w:val="clear" w:color="auto" w:fill="B3D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tblBorders>
    </w:tblPr>
    <w:tblStylePr w:type="firstRow">
      <w:pPr>
        <w:spacing w:before="0" w:after="0" w:line="240" w:lineRule="auto"/>
      </w:pPr>
      <w:rPr>
        <w:b/>
        <w:bCs/>
        <w:color w:val="FFFFFF" w:themeColor="background1"/>
      </w:rPr>
      <w:tblPr/>
      <w:tcPr>
        <w:tc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shd w:val="clear" w:color="auto" w:fill="009CDE" w:themeFill="accent5"/>
      </w:tcPr>
    </w:tblStylePr>
    <w:tblStylePr w:type="lastRow">
      <w:pPr>
        <w:spacing w:before="0" w:after="0" w:line="240" w:lineRule="auto"/>
      </w:pPr>
      <w:rPr>
        <w:b/>
        <w:bCs/>
      </w:rPr>
      <w:tblPr/>
      <w:tcPr>
        <w:tcBorders>
          <w:top w:val="double" w:sz="6"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5" w:themeFillTint="3F"/>
      </w:tcPr>
    </w:tblStylePr>
    <w:tblStylePr w:type="band1Horz">
      <w:tblPr/>
      <w:tcPr>
        <w:tcBorders>
          <w:insideH w:val="nil"/>
          <w:insideV w:val="nil"/>
        </w:tcBorders>
        <w:shd w:val="clear" w:color="auto" w:fill="B7E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tblBorders>
    </w:tblPr>
    <w:tblStylePr w:type="firstRow">
      <w:pPr>
        <w:spacing w:before="0" w:after="0" w:line="240" w:lineRule="auto"/>
      </w:pPr>
      <w:rPr>
        <w:b/>
        <w:bCs/>
        <w:color w:val="FFFFFF" w:themeColor="background1"/>
      </w:rPr>
      <w:tblPr/>
      <w:tcPr>
        <w:tc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shd w:val="clear" w:color="auto" w:fill="8A2A2B" w:themeFill="accent6"/>
      </w:tcPr>
    </w:tblStylePr>
    <w:tblStylePr w:type="lastRow">
      <w:pPr>
        <w:spacing w:before="0" w:after="0" w:line="240" w:lineRule="auto"/>
      </w:pPr>
      <w:rPr>
        <w:b/>
        <w:bCs/>
      </w:rPr>
      <w:tblPr/>
      <w:tcPr>
        <w:tcBorders>
          <w:top w:val="double" w:sz="6"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C0C0" w:themeFill="accent6" w:themeFillTint="3F"/>
      </w:tcPr>
    </w:tblStylePr>
    <w:tblStylePr w:type="band1Horz">
      <w:tblPr/>
      <w:tcPr>
        <w:tcBorders>
          <w:insideH w:val="nil"/>
          <w:insideV w:val="nil"/>
        </w:tcBorders>
        <w:shd w:val="clear" w:color="auto" w:fill="EC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6" w:themeFill="accent1"/>
      </w:tcPr>
    </w:tblStylePr>
    <w:tblStylePr w:type="lastCol">
      <w:rPr>
        <w:b/>
        <w:bCs/>
        <w:color w:val="FFFFFF" w:themeColor="background1"/>
      </w:rPr>
      <w:tblPr/>
      <w:tcPr>
        <w:tcBorders>
          <w:left w:val="nil"/>
          <w:right w:val="nil"/>
          <w:insideH w:val="nil"/>
          <w:insideV w:val="nil"/>
        </w:tcBorders>
        <w:shd w:val="clear" w:color="auto" w:fill="0063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9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A" w:themeFill="accent2"/>
      </w:tcPr>
    </w:tblStylePr>
    <w:tblStylePr w:type="lastCol">
      <w:rPr>
        <w:b/>
        <w:bCs/>
        <w:color w:val="FFFFFF" w:themeColor="background1"/>
      </w:rPr>
      <w:tblPr/>
      <w:tcPr>
        <w:tcBorders>
          <w:left w:val="nil"/>
          <w:right w:val="nil"/>
          <w:insideH w:val="nil"/>
          <w:insideV w:val="nil"/>
        </w:tcBorders>
        <w:shd w:val="clear" w:color="auto" w:fill="0049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9C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9CC9" w:themeFill="accent3"/>
      </w:tcPr>
    </w:tblStylePr>
    <w:tblStylePr w:type="lastCol">
      <w:rPr>
        <w:b/>
        <w:bCs/>
        <w:color w:val="FFFFFF" w:themeColor="background1"/>
      </w:rPr>
      <w:tblPr/>
      <w:tcPr>
        <w:tcBorders>
          <w:left w:val="nil"/>
          <w:right w:val="nil"/>
          <w:insideH w:val="nil"/>
          <w:insideV w:val="nil"/>
        </w:tcBorders>
        <w:shd w:val="clear" w:color="auto" w:fill="749C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4"/>
      </w:tcPr>
    </w:tblStylePr>
    <w:tblStylePr w:type="lastCol">
      <w:rPr>
        <w:b/>
        <w:bCs/>
        <w:color w:val="FFFFFF" w:themeColor="background1"/>
      </w:rPr>
      <w:tblPr/>
      <w:tcPr>
        <w:tcBorders>
          <w:left w:val="nil"/>
          <w:right w:val="nil"/>
          <w:insideH w:val="nil"/>
          <w:insideV w:val="nil"/>
        </w:tcBorders>
        <w:shd w:val="clear" w:color="auto" w:fill="0072C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A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A2B" w:themeFill="accent6"/>
      </w:tcPr>
    </w:tblStylePr>
    <w:tblStylePr w:type="lastCol">
      <w:rPr>
        <w:b/>
        <w:bCs/>
        <w:color w:val="FFFFFF" w:themeColor="background1"/>
      </w:rPr>
      <w:tblPr/>
      <w:tcPr>
        <w:tcBorders>
          <w:left w:val="nil"/>
          <w:right w:val="nil"/>
          <w:insideH w:val="nil"/>
          <w:insideV w:val="nil"/>
        </w:tcBorders>
        <w:shd w:val="clear" w:color="auto" w:fill="8A2A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keepLines/>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C00568"/>
    <w:pPr>
      <w:keepLines/>
      <w:spacing w:before="0"/>
    </w:pPr>
  </w:style>
  <w:style w:type="paragraph" w:styleId="NormalWeb">
    <w:name w:val="Normal (Web)"/>
    <w:basedOn w:val="Normal"/>
    <w:uiPriority w:val="99"/>
    <w:semiHidden/>
    <w:unhideWhenUsed/>
    <w:rsid w:val="00C00568"/>
    <w:pPr>
      <w:keepLines/>
    </w:pPr>
    <w:rPr>
      <w:rFonts w:ascii="Times New Roman" w:eastAsiaTheme="minorHAnsi" w:hAnsi="Times New Roman"/>
      <w:szCs w:val="24"/>
    </w:rPr>
  </w:style>
  <w:style w:type="paragraph" w:styleId="NormalIndent">
    <w:name w:val="Normal Indent"/>
    <w:basedOn w:val="Normal"/>
    <w:uiPriority w:val="99"/>
    <w:semiHidden/>
    <w:unhideWhenUsed/>
    <w:rsid w:val="00C00568"/>
    <w:pPr>
      <w:keepLines/>
      <w:ind w:left="720"/>
    </w:pPr>
    <w:rPr>
      <w:rFonts w:eastAsiaTheme="minorHAnsi" w:cstheme="minorBidi"/>
      <w:szCs w:val="22"/>
    </w:rPr>
  </w:style>
  <w:style w:type="paragraph" w:styleId="NoteHeading">
    <w:name w:val="Note Heading"/>
    <w:basedOn w:val="Normal"/>
    <w:next w:val="Normal"/>
    <w:link w:val="NoteHeadingChar"/>
    <w:uiPriority w:val="99"/>
    <w:semiHidden/>
    <w:unhideWhenUsed/>
    <w:rsid w:val="00C00568"/>
    <w:pPr>
      <w:keepLines/>
    </w:pPr>
    <w:rPr>
      <w:rFonts w:eastAsiaTheme="minorHAnsi" w:cstheme="minorBidi"/>
      <w:szCs w:val="22"/>
    </w:rPr>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C00568"/>
    <w:rPr>
      <w:color w:val="808080"/>
    </w:rPr>
  </w:style>
  <w:style w:type="paragraph" w:styleId="PlainText">
    <w:name w:val="Plain Text"/>
    <w:basedOn w:val="Normal"/>
    <w:link w:val="PlainTextChar"/>
    <w:uiPriority w:val="99"/>
    <w:semiHidden/>
    <w:unhideWhenUsed/>
    <w:rsid w:val="00C00568"/>
    <w:pPr>
      <w:keepLines/>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29"/>
    <w:semiHidden/>
    <w:rsid w:val="00C00568"/>
    <w:pPr>
      <w:keepLines/>
    </w:pPr>
    <w:rPr>
      <w:rFonts w:eastAsiaTheme="minorHAnsi" w:cstheme="minorBidi"/>
      <w:i/>
      <w:iCs/>
      <w:color w:val="000000" w:themeColor="text1"/>
      <w:szCs w:val="22"/>
    </w:rPr>
  </w:style>
  <w:style w:type="character" w:customStyle="1" w:styleId="QuoteChar">
    <w:name w:val="Quote Char"/>
    <w:basedOn w:val="DefaultParagraphFont"/>
    <w:link w:val="Quote"/>
    <w:uiPriority w:val="29"/>
    <w:semiHidden/>
    <w:rsid w:val="00C00568"/>
    <w:rPr>
      <w:i/>
      <w:iCs/>
      <w:color w:val="000000" w:themeColor="text1"/>
    </w:rPr>
  </w:style>
  <w:style w:type="paragraph" w:styleId="Salutation">
    <w:name w:val="Salutation"/>
    <w:basedOn w:val="Normal"/>
    <w:next w:val="Normal"/>
    <w:link w:val="SalutationChar"/>
    <w:uiPriority w:val="99"/>
    <w:semiHidden/>
    <w:unhideWhenUsed/>
    <w:rsid w:val="00C00568"/>
    <w:pPr>
      <w:keepLines/>
    </w:pPr>
    <w:rPr>
      <w:rFonts w:eastAsiaTheme="minorHAnsi" w:cstheme="minorBidi"/>
      <w:szCs w:val="22"/>
    </w:rPr>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keepLines/>
      <w:ind w:left="4252"/>
    </w:pPr>
    <w:rPr>
      <w:rFonts w:eastAsiaTheme="minorHAnsi" w:cstheme="minorBidi"/>
      <w:szCs w:val="22"/>
    </w:r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semiHidden/>
    <w:rsid w:val="00C00568"/>
    <w:rPr>
      <w:b/>
      <w:bCs/>
    </w:rPr>
  </w:style>
  <w:style w:type="paragraph" w:styleId="Subtitle">
    <w:name w:val="Subtitle"/>
    <w:basedOn w:val="Normal"/>
    <w:next w:val="Normal"/>
    <w:link w:val="SubtitleChar"/>
    <w:uiPriority w:val="11"/>
    <w:semiHidden/>
    <w:rsid w:val="00C00568"/>
    <w:pPr>
      <w:keepLines/>
      <w:numPr>
        <w:ilvl w:val="1"/>
      </w:numPr>
    </w:pPr>
    <w:rPr>
      <w:rFonts w:asciiTheme="majorHAnsi" w:eastAsiaTheme="majorEastAsia" w:hAnsiTheme="majorHAnsi" w:cstheme="majorBidi"/>
      <w:i/>
      <w:iCs/>
      <w:color w:val="0063A6" w:themeColor="accent1"/>
      <w:spacing w:val="15"/>
      <w:szCs w:val="24"/>
    </w:rPr>
  </w:style>
  <w:style w:type="character" w:customStyle="1" w:styleId="SubtitleChar">
    <w:name w:val="Subtitle Char"/>
    <w:basedOn w:val="DefaultParagraphFont"/>
    <w:link w:val="Subtitle"/>
    <w:uiPriority w:val="11"/>
    <w:semiHidden/>
    <w:rsid w:val="00C00568"/>
    <w:rPr>
      <w:rFonts w:asciiTheme="majorHAnsi" w:eastAsiaTheme="majorEastAsia" w:hAnsiTheme="majorHAnsi" w:cstheme="majorBidi"/>
      <w:i/>
      <w:iCs/>
      <w:color w:val="0063A6" w:themeColor="accent1"/>
      <w:spacing w:val="15"/>
      <w:sz w:val="24"/>
      <w:szCs w:val="24"/>
    </w:rPr>
  </w:style>
  <w:style w:type="character" w:styleId="SubtleReference">
    <w:name w:val="Subtle Reference"/>
    <w:basedOn w:val="DefaultParagraphFont"/>
    <w:uiPriority w:val="31"/>
    <w:semiHidden/>
    <w:rsid w:val="00C00568"/>
    <w:rPr>
      <w:smallCaps/>
      <w:color w:val="00497A"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keepLines/>
      <w:ind w:left="220" w:hanging="220"/>
    </w:pPr>
    <w:rPr>
      <w:rFonts w:eastAsiaTheme="minorHAnsi" w:cstheme="minorBidi"/>
      <w:szCs w:val="22"/>
    </w:rPr>
  </w:style>
  <w:style w:type="paragraph" w:styleId="TableofFigures">
    <w:name w:val="table of figures"/>
    <w:basedOn w:val="Normal"/>
    <w:next w:val="Normal"/>
    <w:uiPriority w:val="99"/>
    <w:semiHidden/>
    <w:unhideWhenUsed/>
    <w:rsid w:val="00C00568"/>
    <w:pPr>
      <w:keepLines/>
    </w:pPr>
    <w:rPr>
      <w:rFonts w:eastAsiaTheme="minorHAnsi" w:cstheme="minorBidi"/>
      <w:szCs w:val="22"/>
    </w:rPr>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rsid w:val="00C00568"/>
    <w:pPr>
      <w:keepLines/>
      <w:pBdr>
        <w:bottom w:val="single" w:sz="8" w:space="4" w:color="0063A6" w:themeColor="accent1"/>
      </w:pBdr>
      <w:spacing w:after="300"/>
      <w:contextualSpacing/>
    </w:pPr>
    <w:rPr>
      <w:rFonts w:asciiTheme="majorHAnsi" w:eastAsiaTheme="majorEastAsia" w:hAnsiTheme="majorHAnsi" w:cstheme="majorBidi"/>
      <w:color w:val="170F34" w:themeColor="text2" w:themeShade="BF"/>
      <w:spacing w:val="5"/>
      <w:kern w:val="28"/>
      <w:sz w:val="52"/>
      <w:szCs w:val="52"/>
    </w:rPr>
  </w:style>
  <w:style w:type="character" w:customStyle="1" w:styleId="TitleChar">
    <w:name w:val="Title Char"/>
    <w:basedOn w:val="DefaultParagraphFont"/>
    <w:link w:val="Title"/>
    <w:uiPriority w:val="10"/>
    <w:semiHidden/>
    <w:rsid w:val="00C00568"/>
    <w:rPr>
      <w:rFonts w:asciiTheme="majorHAnsi" w:eastAsiaTheme="majorEastAsia" w:hAnsiTheme="majorHAnsi" w:cstheme="majorBidi"/>
      <w:color w:val="170F34" w:themeColor="text2" w:themeShade="BF"/>
      <w:spacing w:val="5"/>
      <w:kern w:val="28"/>
      <w:sz w:val="52"/>
      <w:szCs w:val="52"/>
    </w:rPr>
  </w:style>
  <w:style w:type="paragraph" w:styleId="TOAHeading">
    <w:name w:val="toa heading"/>
    <w:basedOn w:val="Normal"/>
    <w:next w:val="Normal"/>
    <w:uiPriority w:val="99"/>
    <w:semiHidden/>
    <w:unhideWhenUsed/>
    <w:rsid w:val="00C00568"/>
    <w:pPr>
      <w:keepLines/>
    </w:pPr>
    <w:rPr>
      <w:rFonts w:asciiTheme="majorHAnsi" w:eastAsiaTheme="majorEastAsia" w:hAnsiTheme="majorHAnsi" w:cstheme="majorBidi"/>
      <w:b/>
      <w:bCs/>
      <w:szCs w:val="24"/>
    </w:rPr>
  </w:style>
  <w:style w:type="paragraph" w:styleId="TOC5">
    <w:name w:val="toc 5"/>
    <w:basedOn w:val="Normal"/>
    <w:next w:val="Normal"/>
    <w:autoRedefine/>
    <w:uiPriority w:val="96"/>
    <w:semiHidden/>
    <w:rsid w:val="00C00568"/>
    <w:pPr>
      <w:keepLines/>
      <w:spacing w:after="100"/>
      <w:ind w:left="880"/>
    </w:pPr>
    <w:rPr>
      <w:rFonts w:eastAsiaTheme="minorHAnsi" w:cstheme="minorBidi"/>
      <w:szCs w:val="22"/>
    </w:rPr>
  </w:style>
  <w:style w:type="paragraph" w:styleId="TOC6">
    <w:name w:val="toc 6"/>
    <w:basedOn w:val="Normal"/>
    <w:next w:val="Normal"/>
    <w:autoRedefine/>
    <w:uiPriority w:val="96"/>
    <w:semiHidden/>
    <w:rsid w:val="00C00568"/>
    <w:pPr>
      <w:keepLines/>
      <w:spacing w:after="100"/>
      <w:ind w:left="1100"/>
    </w:pPr>
    <w:rPr>
      <w:rFonts w:eastAsiaTheme="minorHAnsi" w:cstheme="minorBidi"/>
      <w:szCs w:val="22"/>
    </w:rPr>
  </w:style>
  <w:style w:type="paragraph" w:styleId="TOC8">
    <w:name w:val="toc 8"/>
    <w:basedOn w:val="Normal"/>
    <w:next w:val="Normal"/>
    <w:autoRedefine/>
    <w:uiPriority w:val="96"/>
    <w:semiHidden/>
    <w:rsid w:val="00C00568"/>
    <w:pPr>
      <w:keepLines/>
      <w:spacing w:after="100"/>
      <w:ind w:left="1540"/>
    </w:pPr>
    <w:rPr>
      <w:rFonts w:eastAsiaTheme="minorHAnsi" w:cstheme="minorBidi"/>
      <w:szCs w:val="22"/>
    </w:rPr>
  </w:style>
  <w:style w:type="paragraph" w:styleId="TOCHeading">
    <w:name w:val="TOC Heading"/>
    <w:basedOn w:val="ChapterHeading"/>
    <w:next w:val="Normal"/>
    <w:uiPriority w:val="90"/>
    <w:rsid w:val="00563282"/>
  </w:style>
  <w:style w:type="table" w:customStyle="1" w:styleId="DTFTextTable">
    <w:name w:val="DTF Text Table"/>
    <w:basedOn w:val="DTFTable"/>
    <w:uiPriority w:val="99"/>
    <w:rsid w:val="00917D22"/>
    <w:pPr>
      <w:spacing w:after="120" w:line="216" w:lineRule="auto"/>
      <w:jc w:val="left"/>
    </w:pPr>
    <w:rPr>
      <w:sz w:val="20"/>
    </w:rPr>
    <w:tblPr/>
    <w:tblStylePr w:type="firstRow">
      <w:pPr>
        <w:wordWrap/>
        <w:spacing w:beforeLines="0" w:before="20" w:beforeAutospacing="0" w:afterLines="0" w:after="20" w:afterAutospacing="0" w:line="216"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tcBorders>
          <w:top w:val="nil"/>
          <w:left w:val="nil"/>
          <w:bottom w:val="single" w:sz="6" w:space="0" w:color="auto"/>
          <w:right w:val="nil"/>
          <w:insideH w:val="nil"/>
          <w:insideV w:val="nil"/>
          <w:tl2br w:val="nil"/>
          <w:tr2bl w:val="nil"/>
        </w:tcBorders>
        <w:shd w:val="clear" w:color="auto" w:fill="EBEBEB" w:themeFill="background2"/>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FooterChar"/>
    <w:link w:val="Footereven"/>
    <w:uiPriority w:val="85"/>
    <w:rsid w:val="00A13F11"/>
    <w:rPr>
      <w:rFonts w:asciiTheme="majorHAnsi" w:hAnsiTheme="majorHAnsi"/>
      <w:sz w:val="18"/>
    </w:rPr>
  </w:style>
  <w:style w:type="paragraph" w:customStyle="1" w:styleId="ObjectiveHeading">
    <w:name w:val="Objective Heading"/>
    <w:basedOn w:val="Normal"/>
    <w:next w:val="Normal"/>
    <w:uiPriority w:val="62"/>
    <w:qFormat/>
    <w:rsid w:val="006E2BC5"/>
    <w:pPr>
      <w:keepNext/>
      <w:keepLines/>
      <w:pBdr>
        <w:top w:val="single" w:sz="6" w:space="1" w:color="auto"/>
        <w:left w:val="single" w:sz="6" w:space="4" w:color="auto"/>
        <w:bottom w:val="single" w:sz="6" w:space="1" w:color="auto"/>
        <w:right w:val="single" w:sz="6" w:space="4" w:color="auto"/>
      </w:pBdr>
      <w:shd w:val="clear" w:color="auto" w:fill="F2F2F2" w:themeFill="background1" w:themeFillShade="F2"/>
    </w:pPr>
    <w:rPr>
      <w:rFonts w:asciiTheme="majorHAnsi" w:eastAsiaTheme="minorHAnsi" w:hAnsiTheme="majorHAnsi" w:cstheme="minorBidi"/>
      <w:b/>
      <w:szCs w:val="22"/>
    </w:rPr>
  </w:style>
  <w:style w:type="paragraph" w:customStyle="1" w:styleId="PerformanceMeasureNote">
    <w:name w:val="Performance Measure Note"/>
    <w:basedOn w:val="Normal"/>
    <w:uiPriority w:val="63"/>
    <w:qFormat/>
    <w:rsid w:val="00BC1376"/>
    <w:pPr>
      <w:keepLines/>
      <w:spacing w:before="20" w:after="20"/>
      <w:ind w:left="170"/>
      <w:contextualSpacing/>
    </w:pPr>
    <w:rPr>
      <w:rFonts w:asciiTheme="majorHAnsi" w:eastAsiaTheme="minorHAnsi" w:hAnsiTheme="majorHAnsi" w:cstheme="minorBidi"/>
      <w:i/>
      <w:spacing w:val="-2"/>
      <w:sz w:val="15"/>
      <w:szCs w:val="15"/>
    </w:rPr>
  </w:style>
  <w:style w:type="paragraph" w:customStyle="1" w:styleId="TableUnits">
    <w:name w:val="Table Units"/>
    <w:basedOn w:val="Normal"/>
    <w:next w:val="Normal"/>
    <w:uiPriority w:val="50"/>
    <w:qFormat/>
    <w:rsid w:val="00671538"/>
    <w:pPr>
      <w:keepNext/>
      <w:keepLines/>
      <w:tabs>
        <w:tab w:val="left" w:pos="567"/>
        <w:tab w:val="right" w:pos="9639"/>
        <w:tab w:val="right" w:pos="14572"/>
      </w:tabs>
      <w:spacing w:before="0" w:after="60"/>
      <w:jc w:val="right"/>
    </w:pPr>
    <w:rPr>
      <w:rFonts w:asciiTheme="majorHAnsi" w:eastAsiaTheme="minorHAnsi" w:hAnsiTheme="majorHAnsi" w:cstheme="minorBidi"/>
      <w:b/>
      <w:sz w:val="20"/>
    </w:rPr>
  </w:style>
  <w:style w:type="paragraph" w:customStyle="1" w:styleId="ControlledEntitiesDepartment">
    <w:name w:val="Controlled Entities Department"/>
    <w:basedOn w:val="Normal"/>
    <w:next w:val="Normal"/>
    <w:uiPriority w:val="97"/>
    <w:qFormat/>
    <w:rsid w:val="00A13F11"/>
    <w:pPr>
      <w:shd w:val="clear" w:color="auto" w:fill="D9D9D9" w:themeFill="background1" w:themeFillShade="D9"/>
      <w:spacing w:before="40"/>
    </w:pPr>
    <w:rPr>
      <w:rFonts w:asciiTheme="majorHAnsi" w:hAnsiTheme="majorHAnsi"/>
      <w:b/>
      <w:bCs/>
      <w:color w:val="000000" w:themeColor="text1"/>
      <w:sz w:val="18"/>
      <w:szCs w:val="18"/>
      <w:lang w:eastAsia="en-AU"/>
    </w:rPr>
  </w:style>
  <w:style w:type="paragraph" w:customStyle="1" w:styleId="ControlledEntitiesSector">
    <w:name w:val="Controlled Entities Sector"/>
    <w:basedOn w:val="Normal"/>
    <w:next w:val="ControlledEntitiesDepartment"/>
    <w:uiPriority w:val="98"/>
    <w:qFormat/>
    <w:rsid w:val="00A13F11"/>
    <w:pPr>
      <w:shd w:val="clear" w:color="auto" w:fill="000000" w:themeFill="text1"/>
      <w:spacing w:before="20" w:after="60"/>
      <w:jc w:val="center"/>
    </w:pPr>
    <w:rPr>
      <w:rFonts w:asciiTheme="majorHAnsi" w:hAnsiTheme="majorHAnsi" w:cstheme="minorHAnsi"/>
      <w:b/>
      <w:i/>
      <w:color w:val="FFFFFF" w:themeColor="background1"/>
      <w:sz w:val="18"/>
      <w:szCs w:val="22"/>
      <w:lang w:eastAsia="en-AU"/>
    </w:rPr>
  </w:style>
  <w:style w:type="paragraph" w:customStyle="1" w:styleId="ChapterHeading">
    <w:name w:val="Chapter Heading"/>
    <w:basedOn w:val="Normal"/>
    <w:next w:val="Heading10"/>
    <w:qFormat/>
    <w:rsid w:val="00A13F11"/>
    <w:pPr>
      <w:keepNext/>
      <w:pBdr>
        <w:bottom w:val="single" w:sz="12" w:space="7" w:color="auto"/>
      </w:pBdr>
      <w:spacing w:before="1440" w:after="360"/>
    </w:pPr>
    <w:rPr>
      <w:rFonts w:ascii="Calibri" w:hAnsi="Calibri"/>
      <w:b/>
      <w:caps/>
      <w:sz w:val="36"/>
      <w:szCs w:val="28"/>
    </w:rPr>
  </w:style>
  <w:style w:type="paragraph" w:customStyle="1" w:styleId="Chapterheading0">
    <w:name w:val="Chapter heading"/>
    <w:basedOn w:val="Normal"/>
    <w:next w:val="Heading10"/>
    <w:uiPriority w:val="89"/>
    <w:rsid w:val="00211DD2"/>
    <w:pPr>
      <w:keepNext/>
      <w:keepLines/>
      <w:pBdr>
        <w:bottom w:val="single" w:sz="12" w:space="1" w:color="auto"/>
      </w:pBdr>
      <w:spacing w:before="1440" w:after="360"/>
      <w:outlineLvl w:val="0"/>
    </w:pPr>
    <w:rPr>
      <w:rFonts w:asciiTheme="majorHAnsi" w:eastAsiaTheme="majorEastAsia" w:hAnsiTheme="majorHAnsi" w:cstheme="majorBidi"/>
      <w:b/>
      <w:bCs/>
      <w:caps/>
      <w:spacing w:val="-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image" Target="media/image2.emf"/><Relationship Id="rId34" Type="http://schemas.openxmlformats.org/officeDocument/2006/relationships/footer" Target="footer14.xml"/><Relationship Id="rId42" Type="http://schemas.openxmlformats.org/officeDocument/2006/relationships/header" Target="header13.xml"/><Relationship Id="rId47" Type="http://schemas.openxmlformats.org/officeDocument/2006/relationships/footer" Target="footer22.xml"/><Relationship Id="rId50" Type="http://schemas.openxmlformats.org/officeDocument/2006/relationships/footer" Target="footer23.xml"/><Relationship Id="rId55" Type="http://schemas.openxmlformats.org/officeDocument/2006/relationships/footer" Target="footer26.xml"/><Relationship Id="rId63" Type="http://schemas.openxmlformats.org/officeDocument/2006/relationships/header" Target="header24.xml"/><Relationship Id="rId68" Type="http://schemas.openxmlformats.org/officeDocument/2006/relationships/footer" Target="footer32.xml"/><Relationship Id="rId76" Type="http://schemas.openxmlformats.org/officeDocument/2006/relationships/footer" Target="footer36.xml"/><Relationship Id="rId84" Type="http://schemas.openxmlformats.org/officeDocument/2006/relationships/header" Target="header34.xml"/><Relationship Id="rId89" Type="http://schemas.openxmlformats.org/officeDocument/2006/relationships/footer" Target="footer44.xml"/><Relationship Id="rId97" Type="http://schemas.openxmlformats.org/officeDocument/2006/relationships/footer" Target="footer50.xml"/><Relationship Id="rId7" Type="http://schemas.openxmlformats.org/officeDocument/2006/relationships/footnotes" Target="footnotes.xml"/><Relationship Id="rId71" Type="http://schemas.openxmlformats.org/officeDocument/2006/relationships/header" Target="header28.xml"/><Relationship Id="rId92" Type="http://schemas.openxmlformats.org/officeDocument/2006/relationships/footer" Target="footer45.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header" Target="header19.xml"/><Relationship Id="rId58" Type="http://schemas.openxmlformats.org/officeDocument/2006/relationships/footer" Target="footer27.xml"/><Relationship Id="rId66" Type="http://schemas.openxmlformats.org/officeDocument/2006/relationships/header" Target="header25.xml"/><Relationship Id="rId74" Type="http://schemas.openxmlformats.org/officeDocument/2006/relationships/header" Target="header29.xml"/><Relationship Id="rId79" Type="http://schemas.openxmlformats.org/officeDocument/2006/relationships/header" Target="header32.xml"/><Relationship Id="rId87" Type="http://schemas.openxmlformats.org/officeDocument/2006/relationships/footer" Target="footer42.xml"/><Relationship Id="rId5" Type="http://schemas.openxmlformats.org/officeDocument/2006/relationships/settings" Target="settings.xml"/><Relationship Id="rId61" Type="http://schemas.openxmlformats.org/officeDocument/2006/relationships/footer" Target="footer29.xml"/><Relationship Id="rId82" Type="http://schemas.openxmlformats.org/officeDocument/2006/relationships/header" Target="header33.xml"/><Relationship Id="rId90" Type="http://schemas.openxmlformats.org/officeDocument/2006/relationships/header" Target="header36.xml"/><Relationship Id="rId95" Type="http://schemas.openxmlformats.org/officeDocument/2006/relationships/footer" Target="footer48.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2.xml"/><Relationship Id="rId35"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footer" Target="footer30.xml"/><Relationship Id="rId69" Type="http://schemas.openxmlformats.org/officeDocument/2006/relationships/footer" Target="footer33.xml"/><Relationship Id="rId77" Type="http://schemas.openxmlformats.org/officeDocument/2006/relationships/footer" Target="footer37.xm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4.xml"/><Relationship Id="rId72" Type="http://schemas.openxmlformats.org/officeDocument/2006/relationships/footer" Target="footer34.xml"/><Relationship Id="rId80" Type="http://schemas.openxmlformats.org/officeDocument/2006/relationships/footer" Target="footer38.xml"/><Relationship Id="rId85" Type="http://schemas.openxmlformats.org/officeDocument/2006/relationships/header" Target="header35.xml"/><Relationship Id="rId93" Type="http://schemas.openxmlformats.org/officeDocument/2006/relationships/footer" Target="footer46.xml"/><Relationship Id="rId98" Type="http://schemas.openxmlformats.org/officeDocument/2006/relationships/footer" Target="footer5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7.xml"/><Relationship Id="rId46" Type="http://schemas.openxmlformats.org/officeDocument/2006/relationships/header" Target="header15.xml"/><Relationship Id="rId59" Type="http://schemas.openxmlformats.org/officeDocument/2006/relationships/footer" Target="footer28.xml"/><Relationship Id="rId67" Type="http://schemas.openxmlformats.org/officeDocument/2006/relationships/header" Target="header26.xml"/><Relationship Id="rId20" Type="http://schemas.openxmlformats.org/officeDocument/2006/relationships/footer" Target="footer6.xml"/><Relationship Id="rId41" Type="http://schemas.openxmlformats.org/officeDocument/2006/relationships/footer" Target="footer19.xml"/><Relationship Id="rId54" Type="http://schemas.openxmlformats.org/officeDocument/2006/relationships/footer" Target="footer25.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header" Target="header30.xml"/><Relationship Id="rId83" Type="http://schemas.openxmlformats.org/officeDocument/2006/relationships/footer" Target="footer40.xml"/><Relationship Id="rId88" Type="http://schemas.openxmlformats.org/officeDocument/2006/relationships/footer" Target="footer43.xml"/><Relationship Id="rId91" Type="http://schemas.openxmlformats.org/officeDocument/2006/relationships/header" Target="header37.xml"/><Relationship Id="rId96"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20.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footer" Target="footer31.xml"/><Relationship Id="rId73" Type="http://schemas.openxmlformats.org/officeDocument/2006/relationships/footer" Target="footer35.xml"/><Relationship Id="rId78" Type="http://schemas.openxmlformats.org/officeDocument/2006/relationships/header" Target="header31.xml"/><Relationship Id="rId81" Type="http://schemas.openxmlformats.org/officeDocument/2006/relationships/footer" Target="footer39.xml"/><Relationship Id="rId86" Type="http://schemas.openxmlformats.org/officeDocument/2006/relationships/footer" Target="footer41.xml"/><Relationship Id="rId94" Type="http://schemas.openxmlformats.org/officeDocument/2006/relationships/footer" Target="footer47.xml"/><Relationship Id="rId99" Type="http://schemas.openxmlformats.org/officeDocument/2006/relationships/footer" Target="footer52.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eader" Target="header12.xml"/></Relationships>
</file>

<file path=word/theme/theme1.xml><?xml version="1.0" encoding="utf-8"?>
<a:theme xmlns:a="http://schemas.openxmlformats.org/drawingml/2006/main" name="DTF standard">
  <a:themeElements>
    <a:clrScheme name="DTF colours">
      <a:dk1>
        <a:sysClr val="windowText" lastClr="000000"/>
      </a:dk1>
      <a:lt1>
        <a:sysClr val="window" lastClr="FFFFFF"/>
      </a:lt1>
      <a:dk2>
        <a:srgbClr val="201547"/>
      </a:dk2>
      <a:lt2>
        <a:srgbClr val="EBEBEB"/>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DTF publications">
      <a:majorFont>
        <a:latin typeface="Calibri"/>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590C-9CCC-4591-B9FD-1EFA048E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18365</Words>
  <Characters>104687</Characters>
  <Application>Microsoft Office Word</Application>
  <DocSecurity>0</DocSecurity>
  <Lines>872</Lines>
  <Paragraphs>245</Paragraphs>
  <ScaleCrop>false</ScaleCrop>
  <LinksUpToDate>false</LinksUpToDate>
  <CharactersWithSpaces>122807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2018-03-14T21:48:00Z</dcterms:created>
  <dcterms:modified xsi:type="dcterms:W3CDTF">2018-03-14T21:48:00Z</dcterms:modified>
</cp:coreProperties>
</file>