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8C3" w:rsidRPr="007B2462" w:rsidRDefault="00F918C3" w:rsidP="001171BB">
      <w:pPr>
        <w:pBdr>
          <w:bottom w:val="single" w:sz="12" w:space="0" w:color="auto"/>
        </w:pBdr>
        <w:spacing w:before="1560"/>
        <w:jc w:val="center"/>
        <w:rPr>
          <w:rFonts w:ascii="Calibri" w:hAnsi="Calibri"/>
          <w:b/>
          <w:sz w:val="52"/>
          <w:szCs w:val="52"/>
        </w:rPr>
      </w:pPr>
      <w:bookmarkStart w:id="0" w:name="_GoBack"/>
      <w:bookmarkEnd w:id="0"/>
      <w:r>
        <w:rPr>
          <w:rFonts w:ascii="Calibri" w:hAnsi="Calibri"/>
          <w:b/>
          <w:sz w:val="52"/>
          <w:szCs w:val="52"/>
        </w:rPr>
        <w:t>Strategy and Outlook</w:t>
      </w:r>
    </w:p>
    <w:p w:rsidR="00F918C3" w:rsidRPr="00E34C95" w:rsidRDefault="00F918C3" w:rsidP="001171BB">
      <w:pPr>
        <w:jc w:val="center"/>
        <w:rPr>
          <w:rFonts w:ascii="Calibri" w:hAnsi="Calibri"/>
          <w:b/>
          <w:sz w:val="50"/>
          <w:szCs w:val="52"/>
        </w:rPr>
      </w:pPr>
      <w:r w:rsidRPr="007B2462">
        <w:rPr>
          <w:rFonts w:ascii="Calibri" w:hAnsi="Calibri"/>
          <w:b/>
          <w:sz w:val="52"/>
          <w:szCs w:val="52"/>
        </w:rPr>
        <w:t>201</w:t>
      </w:r>
      <w:r>
        <w:rPr>
          <w:rFonts w:ascii="Calibri" w:hAnsi="Calibri"/>
          <w:b/>
          <w:sz w:val="52"/>
          <w:szCs w:val="52"/>
        </w:rPr>
        <w:t>8</w:t>
      </w:r>
      <w:r>
        <w:rPr>
          <w:rFonts w:ascii="Calibri" w:hAnsi="Calibri"/>
          <w:b/>
          <w:sz w:val="52"/>
          <w:szCs w:val="52"/>
        </w:rPr>
        <w:noBreakHyphen/>
        <w:t>19</w:t>
      </w:r>
    </w:p>
    <w:p w:rsidR="00F918C3" w:rsidRDefault="00F918C3" w:rsidP="001171BB">
      <w:pPr>
        <w:jc w:val="center"/>
        <w:rPr>
          <w:rFonts w:ascii="Calibri" w:hAnsi="Calibri"/>
          <w:sz w:val="30"/>
          <w:szCs w:val="30"/>
        </w:rPr>
      </w:pPr>
    </w:p>
    <w:p w:rsidR="00F918C3" w:rsidRPr="007B2462" w:rsidRDefault="00F918C3" w:rsidP="001171BB">
      <w:pPr>
        <w:jc w:val="center"/>
        <w:rPr>
          <w:rFonts w:ascii="Calibri" w:hAnsi="Calibri"/>
          <w:sz w:val="30"/>
          <w:szCs w:val="30"/>
        </w:rPr>
      </w:pPr>
    </w:p>
    <w:p w:rsidR="00F918C3" w:rsidRDefault="00F918C3" w:rsidP="001171BB">
      <w:pPr>
        <w:jc w:val="center"/>
        <w:rPr>
          <w:sz w:val="36"/>
          <w:szCs w:val="36"/>
        </w:rPr>
      </w:pPr>
      <w:r>
        <w:rPr>
          <w:noProof/>
          <w:sz w:val="36"/>
          <w:szCs w:val="36"/>
          <w:lang w:eastAsia="en-AU"/>
        </w:rPr>
        <w:drawing>
          <wp:inline distT="0" distB="0" distL="0" distR="0" wp14:anchorId="0ACD9E3E" wp14:editId="0D3C6281">
            <wp:extent cx="932688" cy="115214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 of Arms_full transparency_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2688" cy="1152144"/>
                    </a:xfrm>
                    <a:prstGeom prst="rect">
                      <a:avLst/>
                    </a:prstGeom>
                  </pic:spPr>
                </pic:pic>
              </a:graphicData>
            </a:graphic>
          </wp:inline>
        </w:drawing>
      </w:r>
    </w:p>
    <w:p w:rsidR="00F918C3" w:rsidRPr="007B2462" w:rsidRDefault="00F918C3" w:rsidP="001171BB">
      <w:pPr>
        <w:jc w:val="center"/>
        <w:rPr>
          <w:sz w:val="36"/>
          <w:szCs w:val="36"/>
        </w:rPr>
      </w:pPr>
    </w:p>
    <w:p w:rsidR="00F918C3" w:rsidRPr="007B2462" w:rsidRDefault="00F918C3" w:rsidP="001171BB">
      <w:pPr>
        <w:jc w:val="center"/>
        <w:rPr>
          <w:sz w:val="36"/>
          <w:szCs w:val="36"/>
        </w:rPr>
      </w:pPr>
    </w:p>
    <w:p w:rsidR="00F918C3" w:rsidRPr="007B2462" w:rsidRDefault="00F918C3" w:rsidP="001171BB">
      <w:pPr>
        <w:jc w:val="center"/>
        <w:rPr>
          <w:sz w:val="36"/>
          <w:szCs w:val="36"/>
        </w:rPr>
      </w:pPr>
    </w:p>
    <w:p w:rsidR="00F918C3" w:rsidRPr="007B2462" w:rsidRDefault="00F918C3" w:rsidP="001171BB">
      <w:pPr>
        <w:jc w:val="center"/>
        <w:rPr>
          <w:rFonts w:ascii="Calibri" w:hAnsi="Calibri"/>
          <w:sz w:val="28"/>
          <w:szCs w:val="28"/>
        </w:rPr>
      </w:pPr>
      <w:r w:rsidRPr="007B2462">
        <w:rPr>
          <w:rFonts w:ascii="Calibri" w:hAnsi="Calibri"/>
          <w:sz w:val="28"/>
          <w:szCs w:val="28"/>
        </w:rPr>
        <w:t>Presented by</w:t>
      </w:r>
    </w:p>
    <w:p w:rsidR="00F918C3" w:rsidRPr="00D26163" w:rsidRDefault="00F918C3" w:rsidP="001171BB">
      <w:pPr>
        <w:jc w:val="center"/>
        <w:rPr>
          <w:rFonts w:ascii="Calibri" w:hAnsi="Calibri" w:cs="Calibri"/>
          <w:b/>
          <w:sz w:val="36"/>
          <w:szCs w:val="36"/>
        </w:rPr>
      </w:pPr>
      <w:r w:rsidRPr="00D26163">
        <w:rPr>
          <w:rFonts w:ascii="Calibri" w:hAnsi="Calibri" w:cs="Calibri"/>
          <w:b/>
          <w:sz w:val="36"/>
          <w:szCs w:val="36"/>
        </w:rPr>
        <w:t>Tim Pallas MP</w:t>
      </w:r>
    </w:p>
    <w:p w:rsidR="00F918C3" w:rsidRPr="00D26163" w:rsidRDefault="00F918C3" w:rsidP="001171BB">
      <w:pPr>
        <w:jc w:val="center"/>
        <w:rPr>
          <w:rFonts w:ascii="Calibri" w:hAnsi="Calibri" w:cs="Calibri"/>
          <w:sz w:val="28"/>
          <w:szCs w:val="28"/>
        </w:rPr>
      </w:pPr>
      <w:r w:rsidRPr="00D26163">
        <w:rPr>
          <w:rFonts w:ascii="Calibri" w:hAnsi="Calibri" w:cs="Calibri"/>
          <w:sz w:val="28"/>
          <w:szCs w:val="28"/>
        </w:rPr>
        <w:t>Treasurer of the State of Victoria</w:t>
      </w:r>
    </w:p>
    <w:p w:rsidR="00F918C3" w:rsidRPr="007B2462" w:rsidRDefault="00F918C3" w:rsidP="001171BB">
      <w:pPr>
        <w:jc w:val="center"/>
        <w:rPr>
          <w:rFonts w:ascii="Calibri" w:hAnsi="Calibri"/>
          <w:sz w:val="30"/>
          <w:szCs w:val="30"/>
        </w:rPr>
      </w:pPr>
      <w:r w:rsidRPr="007B2462">
        <w:rPr>
          <w:rFonts w:ascii="Calibri" w:hAnsi="Calibri"/>
          <w:sz w:val="30"/>
          <w:szCs w:val="30"/>
        </w:rPr>
        <w:t>for the information of Honourable Members</w:t>
      </w:r>
    </w:p>
    <w:p w:rsidR="00F918C3" w:rsidRPr="007B2462" w:rsidRDefault="00F918C3" w:rsidP="001171BB">
      <w:pPr>
        <w:jc w:val="center"/>
        <w:rPr>
          <w:rFonts w:ascii="Calibri" w:hAnsi="Calibri"/>
          <w:sz w:val="36"/>
          <w:szCs w:val="36"/>
        </w:rPr>
      </w:pPr>
    </w:p>
    <w:p w:rsidR="00F918C3" w:rsidRDefault="00F918C3" w:rsidP="001171BB">
      <w:pPr>
        <w:jc w:val="center"/>
        <w:rPr>
          <w:rFonts w:ascii="Calibri" w:hAnsi="Calibri"/>
          <w:b/>
          <w:sz w:val="36"/>
          <w:szCs w:val="36"/>
        </w:rPr>
      </w:pPr>
      <w:r w:rsidRPr="007B2462">
        <w:rPr>
          <w:rFonts w:ascii="Calibri" w:hAnsi="Calibri"/>
          <w:b/>
          <w:sz w:val="36"/>
          <w:szCs w:val="36"/>
        </w:rPr>
        <w:t>Budget Paper No. </w:t>
      </w:r>
      <w:r>
        <w:rPr>
          <w:rFonts w:ascii="Calibri" w:hAnsi="Calibri"/>
          <w:b/>
          <w:sz w:val="36"/>
          <w:szCs w:val="36"/>
        </w:rPr>
        <w:t>2</w:t>
      </w:r>
    </w:p>
    <w:p w:rsidR="00F918C3" w:rsidRDefault="00F918C3" w:rsidP="001171BB"/>
    <w:p w:rsidR="00F23C20" w:rsidRDefault="00F23C20" w:rsidP="001171BB">
      <w:pPr>
        <w:sectPr w:rsidR="00F23C20" w:rsidSect="00FA73AC">
          <w:headerReference w:type="even" r:id="rId10"/>
          <w:headerReference w:type="default" r:id="rId11"/>
          <w:footerReference w:type="even" r:id="rId12"/>
          <w:footerReference w:type="default" r:id="rId13"/>
          <w:headerReference w:type="first" r:id="rId14"/>
          <w:footerReference w:type="first" r:id="rId15"/>
          <w:type w:val="continuous"/>
          <w:pgSz w:w="9979" w:h="14175" w:code="9"/>
          <w:pgMar w:top="850" w:right="1134" w:bottom="850" w:left="1134" w:header="624" w:footer="567" w:gutter="0"/>
          <w:cols w:sep="1" w:space="567"/>
          <w:docGrid w:linePitch="360"/>
        </w:sectPr>
      </w:pPr>
    </w:p>
    <w:p w:rsidR="00F23C20" w:rsidRPr="00F23C20" w:rsidRDefault="00F23C20" w:rsidP="00F23C20">
      <w:pPr>
        <w:rPr>
          <w:rFonts w:ascii="Calibri" w:hAnsi="Calibri"/>
          <w:sz w:val="18"/>
          <w:szCs w:val="18"/>
        </w:rPr>
      </w:pPr>
      <w:r w:rsidRPr="00F23C20">
        <w:rPr>
          <w:rFonts w:ascii="Calibri" w:hAnsi="Calibri"/>
          <w:sz w:val="18"/>
          <w:szCs w:val="18"/>
        </w:rPr>
        <w:t>The Secretary</w:t>
      </w:r>
      <w:r>
        <w:rPr>
          <w:rFonts w:ascii="Calibri" w:hAnsi="Calibri"/>
          <w:sz w:val="18"/>
          <w:szCs w:val="18"/>
        </w:rPr>
        <w:br/>
      </w:r>
      <w:r w:rsidRPr="00F23C20">
        <w:rPr>
          <w:rFonts w:ascii="Calibri" w:hAnsi="Calibri"/>
          <w:sz w:val="18"/>
          <w:szCs w:val="18"/>
        </w:rPr>
        <w:t>Department of Treasury and Finance</w:t>
      </w:r>
      <w:r>
        <w:rPr>
          <w:rFonts w:ascii="Calibri" w:hAnsi="Calibri"/>
          <w:sz w:val="18"/>
          <w:szCs w:val="18"/>
        </w:rPr>
        <w:br/>
      </w:r>
      <w:r w:rsidRPr="00F23C20">
        <w:rPr>
          <w:rFonts w:ascii="Calibri" w:hAnsi="Calibri"/>
          <w:sz w:val="18"/>
          <w:szCs w:val="18"/>
        </w:rPr>
        <w:t>1 Treasury Place</w:t>
      </w:r>
      <w:r>
        <w:rPr>
          <w:rFonts w:ascii="Calibri" w:hAnsi="Calibri"/>
          <w:sz w:val="18"/>
          <w:szCs w:val="18"/>
        </w:rPr>
        <w:br/>
      </w:r>
      <w:r w:rsidRPr="00F23C20">
        <w:rPr>
          <w:rFonts w:ascii="Calibri" w:hAnsi="Calibri"/>
          <w:sz w:val="18"/>
          <w:szCs w:val="18"/>
        </w:rPr>
        <w:t>Melbourne, Victoria, 3002</w:t>
      </w:r>
      <w:r>
        <w:rPr>
          <w:rFonts w:ascii="Calibri" w:hAnsi="Calibri"/>
          <w:sz w:val="18"/>
          <w:szCs w:val="18"/>
        </w:rPr>
        <w:br/>
      </w:r>
      <w:r w:rsidRPr="00F23C20">
        <w:rPr>
          <w:rFonts w:ascii="Calibri" w:hAnsi="Calibri"/>
          <w:sz w:val="18"/>
          <w:szCs w:val="18"/>
        </w:rPr>
        <w:t>Australia</w:t>
      </w:r>
      <w:r>
        <w:rPr>
          <w:rFonts w:ascii="Calibri" w:hAnsi="Calibri"/>
          <w:sz w:val="18"/>
          <w:szCs w:val="18"/>
        </w:rPr>
        <w:br/>
      </w:r>
      <w:r w:rsidRPr="00F23C20">
        <w:rPr>
          <w:rFonts w:ascii="Calibri" w:hAnsi="Calibri"/>
          <w:sz w:val="18"/>
          <w:szCs w:val="18"/>
        </w:rPr>
        <w:t>Tel: +61 3 9651 5111</w:t>
      </w:r>
      <w:r>
        <w:rPr>
          <w:rFonts w:ascii="Calibri" w:hAnsi="Calibri"/>
          <w:sz w:val="18"/>
          <w:szCs w:val="18"/>
        </w:rPr>
        <w:br/>
      </w:r>
      <w:r w:rsidRPr="00F23C20">
        <w:rPr>
          <w:rFonts w:ascii="Calibri" w:hAnsi="Calibri"/>
          <w:sz w:val="18"/>
          <w:szCs w:val="18"/>
        </w:rPr>
        <w:t>Fax: +61 3 9651 2062</w:t>
      </w:r>
      <w:r>
        <w:rPr>
          <w:rFonts w:ascii="Calibri" w:hAnsi="Calibri"/>
          <w:sz w:val="18"/>
          <w:szCs w:val="18"/>
        </w:rPr>
        <w:br/>
      </w:r>
      <w:r w:rsidRPr="00F23C20">
        <w:rPr>
          <w:rFonts w:ascii="Calibri" w:hAnsi="Calibri"/>
          <w:sz w:val="18"/>
          <w:szCs w:val="18"/>
        </w:rPr>
        <w:t>Website: budget.vic.gov.au</w:t>
      </w:r>
    </w:p>
    <w:p w:rsidR="00F23C20" w:rsidRDefault="00F23C20" w:rsidP="00F23C20">
      <w:pPr>
        <w:rPr>
          <w:rFonts w:ascii="Calibri" w:hAnsi="Calibri"/>
          <w:sz w:val="18"/>
          <w:szCs w:val="18"/>
        </w:rPr>
      </w:pPr>
      <w:r w:rsidRPr="00F23C20">
        <w:rPr>
          <w:rFonts w:ascii="Calibri" w:hAnsi="Calibri"/>
          <w:sz w:val="18"/>
          <w:szCs w:val="18"/>
        </w:rPr>
        <w:t>Authorised by the Victorian Government</w:t>
      </w:r>
      <w:r>
        <w:rPr>
          <w:rFonts w:ascii="Calibri" w:hAnsi="Calibri"/>
          <w:sz w:val="18"/>
          <w:szCs w:val="18"/>
        </w:rPr>
        <w:br/>
      </w:r>
      <w:r w:rsidRPr="00F23C20">
        <w:rPr>
          <w:rFonts w:ascii="Calibri" w:hAnsi="Calibri"/>
          <w:sz w:val="18"/>
          <w:szCs w:val="18"/>
        </w:rPr>
        <w:t>1 Treasury Place, Melbourne, 3002</w:t>
      </w:r>
    </w:p>
    <w:p w:rsidR="00F23C20" w:rsidRPr="00F23C20" w:rsidRDefault="00F23C20" w:rsidP="00F23C20">
      <w:pPr>
        <w:rPr>
          <w:rFonts w:ascii="Calibri" w:hAnsi="Calibri"/>
          <w:sz w:val="18"/>
          <w:szCs w:val="18"/>
        </w:rPr>
      </w:pPr>
      <w:r w:rsidRPr="00F23C20">
        <w:rPr>
          <w:rFonts w:ascii="Calibri" w:hAnsi="Calibri"/>
          <w:sz w:val="18"/>
          <w:szCs w:val="18"/>
        </w:rPr>
        <w:t>Printed by Doculink, Port Melbourne</w:t>
      </w:r>
      <w:r>
        <w:rPr>
          <w:rFonts w:ascii="Calibri" w:hAnsi="Calibri"/>
          <w:sz w:val="18"/>
          <w:szCs w:val="18"/>
        </w:rPr>
        <w:br/>
      </w:r>
      <w:r w:rsidRPr="00F23C20">
        <w:rPr>
          <w:rFonts w:ascii="Calibri" w:hAnsi="Calibri"/>
          <w:sz w:val="18"/>
          <w:szCs w:val="18"/>
        </w:rPr>
        <w:t>Printed on recycled paper</w:t>
      </w:r>
    </w:p>
    <w:p w:rsidR="00F23C20" w:rsidRPr="00F23C20" w:rsidRDefault="00F23C20" w:rsidP="00F23C20">
      <w:pPr>
        <w:rPr>
          <w:rFonts w:ascii="Calibri" w:hAnsi="Calibri"/>
          <w:sz w:val="18"/>
          <w:szCs w:val="18"/>
        </w:rPr>
      </w:pPr>
      <w:r w:rsidRPr="00F23C20">
        <w:rPr>
          <w:rFonts w:ascii="Calibri" w:hAnsi="Calibri"/>
          <w:sz w:val="18"/>
          <w:szCs w:val="18"/>
        </w:rPr>
        <w:t>This publication makes reference to the 2018-19</w:t>
      </w:r>
      <w:r>
        <w:rPr>
          <w:rFonts w:ascii="Calibri" w:hAnsi="Calibri"/>
          <w:sz w:val="18"/>
          <w:szCs w:val="18"/>
        </w:rPr>
        <w:br/>
      </w:r>
      <w:r w:rsidRPr="00F23C20">
        <w:rPr>
          <w:rFonts w:ascii="Calibri" w:hAnsi="Calibri"/>
          <w:sz w:val="18"/>
          <w:szCs w:val="18"/>
        </w:rPr>
        <w:t>Budget paper set which includes:</w:t>
      </w:r>
      <w:r>
        <w:rPr>
          <w:rFonts w:ascii="Calibri" w:hAnsi="Calibri"/>
          <w:sz w:val="18"/>
          <w:szCs w:val="18"/>
        </w:rPr>
        <w:br/>
      </w:r>
      <w:r w:rsidRPr="00F23C20">
        <w:rPr>
          <w:rFonts w:ascii="Calibri" w:hAnsi="Calibri"/>
          <w:sz w:val="18"/>
          <w:szCs w:val="18"/>
        </w:rPr>
        <w:t>Budget Paper No. 1 – Treasurer’s Speech</w:t>
      </w:r>
      <w:r>
        <w:rPr>
          <w:rFonts w:ascii="Calibri" w:hAnsi="Calibri"/>
          <w:sz w:val="18"/>
          <w:szCs w:val="18"/>
        </w:rPr>
        <w:br/>
      </w:r>
      <w:r w:rsidRPr="00F23C20">
        <w:rPr>
          <w:rFonts w:ascii="Calibri" w:hAnsi="Calibri"/>
          <w:sz w:val="18"/>
          <w:szCs w:val="18"/>
        </w:rPr>
        <w:t>Budget Paper No. 2 – Strategy and Outlook</w:t>
      </w:r>
      <w:r>
        <w:rPr>
          <w:rFonts w:ascii="Calibri" w:hAnsi="Calibri"/>
          <w:sz w:val="18"/>
          <w:szCs w:val="18"/>
        </w:rPr>
        <w:br/>
      </w:r>
      <w:r w:rsidRPr="00F23C20">
        <w:rPr>
          <w:rFonts w:ascii="Calibri" w:hAnsi="Calibri"/>
          <w:sz w:val="18"/>
          <w:szCs w:val="18"/>
        </w:rPr>
        <w:t>Budget Paper No. 3 – Service Delivery</w:t>
      </w:r>
      <w:r>
        <w:rPr>
          <w:rFonts w:ascii="Calibri" w:hAnsi="Calibri"/>
          <w:sz w:val="18"/>
          <w:szCs w:val="18"/>
        </w:rPr>
        <w:br/>
      </w:r>
      <w:r w:rsidRPr="00F23C20">
        <w:rPr>
          <w:rFonts w:ascii="Calibri" w:hAnsi="Calibri"/>
          <w:sz w:val="18"/>
          <w:szCs w:val="18"/>
        </w:rPr>
        <w:t>Budget Paper No. 4 – State Capital Program</w:t>
      </w:r>
      <w:r>
        <w:rPr>
          <w:rFonts w:ascii="Calibri" w:hAnsi="Calibri"/>
          <w:sz w:val="18"/>
          <w:szCs w:val="18"/>
        </w:rPr>
        <w:br/>
      </w:r>
      <w:r w:rsidRPr="00F23C20">
        <w:rPr>
          <w:rFonts w:ascii="Calibri" w:hAnsi="Calibri"/>
          <w:sz w:val="18"/>
          <w:szCs w:val="18"/>
        </w:rPr>
        <w:t>Budget Paper No. 5 – Statement of Finances</w:t>
      </w:r>
      <w:r>
        <w:rPr>
          <w:rFonts w:ascii="Calibri" w:hAnsi="Calibri"/>
          <w:sz w:val="18"/>
          <w:szCs w:val="18"/>
        </w:rPr>
        <w:br/>
      </w:r>
      <w:r w:rsidRPr="00F23C20">
        <w:rPr>
          <w:rFonts w:ascii="Calibri" w:hAnsi="Calibri"/>
          <w:sz w:val="18"/>
          <w:szCs w:val="18"/>
        </w:rPr>
        <w:t>(incorporating Quarterly Financial Report No. 3)</w:t>
      </w:r>
    </w:p>
    <w:p w:rsidR="00F23C20" w:rsidRPr="00F23C20" w:rsidRDefault="00F23C20" w:rsidP="00F23C20">
      <w:pPr>
        <w:rPr>
          <w:rFonts w:ascii="Calibri" w:hAnsi="Calibri"/>
          <w:sz w:val="18"/>
          <w:szCs w:val="18"/>
        </w:rPr>
      </w:pPr>
      <w:r>
        <w:rPr>
          <w:rFonts w:ascii="Calibri" w:hAnsi="Calibri"/>
          <w:sz w:val="18"/>
          <w:szCs w:val="18"/>
        </w:rPr>
        <w:br w:type="column"/>
      </w:r>
      <w:r w:rsidRPr="00F23C20">
        <w:rPr>
          <w:rFonts w:ascii="Calibri" w:hAnsi="Calibri"/>
          <w:sz w:val="18"/>
          <w:szCs w:val="18"/>
        </w:rPr>
        <w:t>© State of Victoria 2018</w:t>
      </w:r>
      <w:r>
        <w:rPr>
          <w:rFonts w:ascii="Calibri" w:hAnsi="Calibri"/>
          <w:sz w:val="18"/>
          <w:szCs w:val="18"/>
        </w:rPr>
        <w:br/>
      </w:r>
      <w:r w:rsidRPr="00F23C20">
        <w:rPr>
          <w:rFonts w:ascii="Calibri" w:hAnsi="Calibri"/>
          <w:sz w:val="18"/>
          <w:szCs w:val="18"/>
        </w:rPr>
        <w:t>(Department of Treasury and Finance)</w:t>
      </w:r>
    </w:p>
    <w:p w:rsidR="00F23C20" w:rsidRDefault="00F23C20" w:rsidP="00F23C20">
      <w:pPr>
        <w:rPr>
          <w:rFonts w:ascii="Calibri" w:hAnsi="Calibri"/>
          <w:sz w:val="18"/>
          <w:szCs w:val="18"/>
        </w:rPr>
      </w:pPr>
      <w:r>
        <w:rPr>
          <w:rFonts w:ascii="Calibri" w:hAnsi="Calibri"/>
          <w:noProof/>
          <w:sz w:val="18"/>
          <w:szCs w:val="18"/>
          <w:lang w:eastAsia="en-AU"/>
        </w:rPr>
        <w:drawing>
          <wp:inline distT="0" distB="0" distL="0" distR="0">
            <wp:extent cx="1054100" cy="368805"/>
            <wp:effectExtent l="0" t="0" r="0" b="0"/>
            <wp:docPr id="14" name="Picture 1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701" cy="369365"/>
                    </a:xfrm>
                    <a:prstGeom prst="rect">
                      <a:avLst/>
                    </a:prstGeom>
                  </pic:spPr>
                </pic:pic>
              </a:graphicData>
            </a:graphic>
          </wp:inline>
        </w:drawing>
      </w:r>
    </w:p>
    <w:p w:rsidR="00F23C20" w:rsidRDefault="00F23C20" w:rsidP="00F23C20">
      <w:pPr>
        <w:rPr>
          <w:rFonts w:ascii="Calibri" w:hAnsi="Calibri"/>
          <w:sz w:val="18"/>
          <w:szCs w:val="18"/>
        </w:rPr>
      </w:pPr>
      <w:r w:rsidRPr="00F23C20">
        <w:rPr>
          <w:rFonts w:ascii="Calibri" w:hAnsi="Calibri"/>
          <w:sz w:val="18"/>
          <w:szCs w:val="18"/>
        </w:rPr>
        <w:t>You are free to re-use this work under a Creative</w:t>
      </w:r>
      <w:r>
        <w:rPr>
          <w:rFonts w:ascii="Calibri" w:hAnsi="Calibri"/>
          <w:sz w:val="18"/>
          <w:szCs w:val="18"/>
        </w:rPr>
        <w:br/>
      </w:r>
      <w:r w:rsidRPr="00F23C20">
        <w:rPr>
          <w:rFonts w:ascii="Calibri" w:hAnsi="Calibri"/>
          <w:sz w:val="18"/>
          <w:szCs w:val="18"/>
        </w:rPr>
        <w:t>Commons Attribution 4.0 licence, provided you</w:t>
      </w:r>
      <w:r>
        <w:rPr>
          <w:rFonts w:ascii="Calibri" w:hAnsi="Calibri"/>
          <w:sz w:val="18"/>
          <w:szCs w:val="18"/>
        </w:rPr>
        <w:br/>
      </w:r>
      <w:r w:rsidRPr="00F23C20">
        <w:rPr>
          <w:rFonts w:ascii="Calibri" w:hAnsi="Calibri"/>
          <w:sz w:val="18"/>
          <w:szCs w:val="18"/>
        </w:rPr>
        <w:t>credit the State of Victoria (Department of Treasury</w:t>
      </w:r>
      <w:r>
        <w:rPr>
          <w:rFonts w:ascii="Calibri" w:hAnsi="Calibri"/>
          <w:sz w:val="18"/>
          <w:szCs w:val="18"/>
        </w:rPr>
        <w:br/>
      </w:r>
      <w:r w:rsidRPr="00F23C20">
        <w:rPr>
          <w:rFonts w:ascii="Calibri" w:hAnsi="Calibri"/>
          <w:sz w:val="18"/>
          <w:szCs w:val="18"/>
        </w:rPr>
        <w:t>and Finance) as author, indicate if changes were</w:t>
      </w:r>
      <w:r>
        <w:rPr>
          <w:rFonts w:ascii="Calibri" w:hAnsi="Calibri"/>
          <w:sz w:val="18"/>
          <w:szCs w:val="18"/>
        </w:rPr>
        <w:br/>
      </w:r>
      <w:r w:rsidRPr="00F23C20">
        <w:rPr>
          <w:rFonts w:ascii="Calibri" w:hAnsi="Calibri"/>
          <w:sz w:val="18"/>
          <w:szCs w:val="18"/>
        </w:rPr>
        <w:t>made and comply with the other licence terms.</w:t>
      </w:r>
      <w:r>
        <w:rPr>
          <w:rFonts w:ascii="Calibri" w:hAnsi="Calibri"/>
          <w:sz w:val="18"/>
          <w:szCs w:val="18"/>
        </w:rPr>
        <w:br/>
      </w:r>
      <w:r w:rsidRPr="00F23C20">
        <w:rPr>
          <w:rFonts w:ascii="Calibri" w:hAnsi="Calibri"/>
          <w:sz w:val="18"/>
          <w:szCs w:val="18"/>
        </w:rPr>
        <w:t>The licence does not apply to any branding,</w:t>
      </w:r>
      <w:r>
        <w:rPr>
          <w:rFonts w:ascii="Calibri" w:hAnsi="Calibri"/>
          <w:sz w:val="18"/>
          <w:szCs w:val="18"/>
        </w:rPr>
        <w:br/>
      </w:r>
      <w:r w:rsidRPr="00F23C20">
        <w:rPr>
          <w:rFonts w:ascii="Calibri" w:hAnsi="Calibri"/>
          <w:sz w:val="18"/>
          <w:szCs w:val="18"/>
        </w:rPr>
        <w:t>including Government logos.</w:t>
      </w:r>
    </w:p>
    <w:p w:rsidR="00F23C20" w:rsidRDefault="00F23C20" w:rsidP="00F23C20">
      <w:pPr>
        <w:rPr>
          <w:rFonts w:ascii="Calibri" w:hAnsi="Calibri"/>
          <w:sz w:val="18"/>
          <w:szCs w:val="18"/>
        </w:rPr>
      </w:pPr>
      <w:r w:rsidRPr="00F23C20">
        <w:rPr>
          <w:rFonts w:ascii="Calibri" w:hAnsi="Calibri"/>
          <w:sz w:val="18"/>
          <w:szCs w:val="18"/>
        </w:rPr>
        <w:t>Copyright queries may be directed to</w:t>
      </w:r>
      <w:r>
        <w:rPr>
          <w:rFonts w:ascii="Calibri" w:hAnsi="Calibri"/>
          <w:sz w:val="18"/>
          <w:szCs w:val="18"/>
        </w:rPr>
        <w:br/>
      </w:r>
      <w:r w:rsidRPr="00F23C20">
        <w:rPr>
          <w:rFonts w:ascii="Calibri" w:hAnsi="Calibri"/>
          <w:sz w:val="18"/>
          <w:szCs w:val="18"/>
        </w:rPr>
        <w:t>IPpolicy@dtf.vic.gov.au.</w:t>
      </w:r>
    </w:p>
    <w:p w:rsidR="00F918C3" w:rsidRPr="00F23C20" w:rsidRDefault="00F23C20" w:rsidP="00F23C20">
      <w:pPr>
        <w:rPr>
          <w:rFonts w:ascii="Calibri" w:hAnsi="Calibri"/>
          <w:sz w:val="18"/>
          <w:szCs w:val="18"/>
        </w:rPr>
      </w:pPr>
      <w:r w:rsidRPr="00F23C20">
        <w:rPr>
          <w:rFonts w:ascii="Calibri" w:hAnsi="Calibri"/>
          <w:sz w:val="18"/>
          <w:szCs w:val="18"/>
        </w:rPr>
        <w:t>ISSN 2204-9185 (print)</w:t>
      </w:r>
      <w:r>
        <w:rPr>
          <w:rFonts w:ascii="Calibri" w:hAnsi="Calibri"/>
          <w:sz w:val="18"/>
          <w:szCs w:val="18"/>
        </w:rPr>
        <w:br/>
      </w:r>
      <w:r w:rsidRPr="00F23C20">
        <w:rPr>
          <w:rFonts w:ascii="Calibri" w:hAnsi="Calibri"/>
          <w:sz w:val="18"/>
          <w:szCs w:val="18"/>
        </w:rPr>
        <w:t>ISSN 2204-9177 (online)</w:t>
      </w:r>
      <w:r>
        <w:rPr>
          <w:rFonts w:ascii="Calibri" w:hAnsi="Calibri"/>
          <w:sz w:val="18"/>
          <w:szCs w:val="18"/>
        </w:rPr>
        <w:br/>
      </w:r>
      <w:r w:rsidRPr="00F23C20">
        <w:rPr>
          <w:rFonts w:ascii="Calibri" w:hAnsi="Calibri"/>
          <w:sz w:val="18"/>
          <w:szCs w:val="18"/>
        </w:rPr>
        <w:t>Published May 2018</w:t>
      </w:r>
    </w:p>
    <w:p w:rsidR="00F918C3" w:rsidRDefault="00F918C3" w:rsidP="00D75029">
      <w:pPr>
        <w:sectPr w:rsidR="00F918C3" w:rsidSect="00F23C20">
          <w:pgSz w:w="9979" w:h="14184" w:code="131"/>
          <w:pgMar w:top="850" w:right="1138" w:bottom="850" w:left="1138" w:header="619" w:footer="562" w:gutter="0"/>
          <w:cols w:num="2" w:space="563" w:equalWidth="0">
            <w:col w:w="3570" w:space="332"/>
            <w:col w:w="3801"/>
          </w:cols>
          <w:vAlign w:val="bottom"/>
          <w:docGrid w:linePitch="360"/>
        </w:sectPr>
      </w:pPr>
    </w:p>
    <w:p w:rsidR="00F918C3" w:rsidRPr="006F6363" w:rsidRDefault="00F918C3" w:rsidP="001171BB">
      <w:pPr>
        <w:pBdr>
          <w:bottom w:val="single" w:sz="6" w:space="1" w:color="auto"/>
        </w:pBdr>
        <w:spacing w:before="960" w:after="360"/>
        <w:rPr>
          <w:rFonts w:ascii="Calibri" w:hAnsi="Calibri"/>
          <w:b/>
          <w:caps/>
          <w:sz w:val="36"/>
        </w:rPr>
      </w:pPr>
      <w:bookmarkStart w:id="1" w:name="_Toc481013395"/>
      <w:r w:rsidRPr="006F6363">
        <w:rPr>
          <w:rFonts w:ascii="Calibri" w:hAnsi="Calibri"/>
          <w:b/>
          <w:caps/>
          <w:sz w:val="36"/>
        </w:rPr>
        <w:lastRenderedPageBreak/>
        <w:t>TABLE OF CONTENTS</w:t>
      </w:r>
      <w:bookmarkEnd w:id="1"/>
    </w:p>
    <w:p w:rsidR="006371F3" w:rsidRDefault="00F918C3">
      <w:pPr>
        <w:pStyle w:val="TOC1"/>
        <w:rPr>
          <w:rFonts w:asciiTheme="minorHAnsi" w:eastAsiaTheme="minorEastAsia" w:hAnsiTheme="minorHAnsi"/>
          <w:b w:val="0"/>
          <w:spacing w:val="0"/>
          <w:szCs w:val="22"/>
          <w:lang w:eastAsia="en-AU"/>
        </w:rPr>
      </w:pPr>
      <w:r>
        <w:fldChar w:fldCharType="begin" w:fldLock="1"/>
      </w:r>
      <w:r>
        <w:instrText xml:space="preserve"> TOC \h \z \t "Heading 1,2,Chapter Heading,1" </w:instrText>
      </w:r>
      <w:r>
        <w:fldChar w:fldCharType="separate"/>
      </w:r>
      <w:hyperlink w:anchor="_Toc512629744" w:history="1">
        <w:r w:rsidR="006371F3" w:rsidRPr="00222818">
          <w:rPr>
            <w:rStyle w:val="Hyperlink"/>
          </w:rPr>
          <w:t>Chapter 1 – Economic and fiscal overview</w:t>
        </w:r>
        <w:r w:rsidR="006371F3">
          <w:rPr>
            <w:webHidden/>
          </w:rPr>
          <w:tab/>
        </w:r>
        <w:r w:rsidR="006371F3">
          <w:rPr>
            <w:webHidden/>
          </w:rPr>
          <w:fldChar w:fldCharType="begin" w:fldLock="1"/>
        </w:r>
        <w:r w:rsidR="006371F3">
          <w:rPr>
            <w:webHidden/>
          </w:rPr>
          <w:instrText xml:space="preserve"> PAGEREF _Toc512629744 \h </w:instrText>
        </w:r>
        <w:r w:rsidR="006371F3">
          <w:rPr>
            <w:webHidden/>
          </w:rPr>
        </w:r>
        <w:r w:rsidR="006371F3">
          <w:rPr>
            <w:webHidden/>
          </w:rPr>
          <w:fldChar w:fldCharType="separate"/>
        </w:r>
        <w:r w:rsidR="00B42920">
          <w:rPr>
            <w:webHidden/>
          </w:rPr>
          <w:t>1</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45" w:history="1">
        <w:r w:rsidR="006371F3" w:rsidRPr="00222818">
          <w:rPr>
            <w:rStyle w:val="Hyperlink"/>
          </w:rPr>
          <w:t>The engine of the nation</w:t>
        </w:r>
        <w:r w:rsidR="006371F3">
          <w:rPr>
            <w:webHidden/>
          </w:rPr>
          <w:tab/>
        </w:r>
        <w:r w:rsidR="006371F3">
          <w:rPr>
            <w:webHidden/>
          </w:rPr>
          <w:fldChar w:fldCharType="begin" w:fldLock="1"/>
        </w:r>
        <w:r w:rsidR="006371F3">
          <w:rPr>
            <w:webHidden/>
          </w:rPr>
          <w:instrText xml:space="preserve"> PAGEREF _Toc512629745 \h </w:instrText>
        </w:r>
        <w:r w:rsidR="006371F3">
          <w:rPr>
            <w:webHidden/>
          </w:rPr>
        </w:r>
        <w:r w:rsidR="006371F3">
          <w:rPr>
            <w:webHidden/>
          </w:rPr>
          <w:fldChar w:fldCharType="separate"/>
        </w:r>
        <w:r w:rsidR="00B42920">
          <w:rPr>
            <w:webHidden/>
          </w:rPr>
          <w:t>2</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46" w:history="1">
        <w:r w:rsidR="006371F3" w:rsidRPr="00222818">
          <w:rPr>
            <w:rStyle w:val="Hyperlink"/>
          </w:rPr>
          <w:t>Strong financial foundations</w:t>
        </w:r>
        <w:r w:rsidR="006371F3">
          <w:rPr>
            <w:webHidden/>
          </w:rPr>
          <w:tab/>
        </w:r>
        <w:r w:rsidR="006371F3">
          <w:rPr>
            <w:webHidden/>
          </w:rPr>
          <w:fldChar w:fldCharType="begin" w:fldLock="1"/>
        </w:r>
        <w:r w:rsidR="006371F3">
          <w:rPr>
            <w:webHidden/>
          </w:rPr>
          <w:instrText xml:space="preserve"> PAGEREF _Toc512629746 \h </w:instrText>
        </w:r>
        <w:r w:rsidR="006371F3">
          <w:rPr>
            <w:webHidden/>
          </w:rPr>
        </w:r>
        <w:r w:rsidR="006371F3">
          <w:rPr>
            <w:webHidden/>
          </w:rPr>
          <w:fldChar w:fldCharType="separate"/>
        </w:r>
        <w:r w:rsidR="00B42920">
          <w:rPr>
            <w:webHidden/>
          </w:rPr>
          <w:t>4</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47" w:history="1">
        <w:r w:rsidR="006371F3" w:rsidRPr="00222818">
          <w:rPr>
            <w:rStyle w:val="Hyperlink"/>
          </w:rPr>
          <w:t>Creating opportunities through skills</w:t>
        </w:r>
        <w:r w:rsidR="006371F3">
          <w:rPr>
            <w:webHidden/>
          </w:rPr>
          <w:tab/>
        </w:r>
        <w:r w:rsidR="006371F3">
          <w:rPr>
            <w:webHidden/>
          </w:rPr>
          <w:fldChar w:fldCharType="begin" w:fldLock="1"/>
        </w:r>
        <w:r w:rsidR="006371F3">
          <w:rPr>
            <w:webHidden/>
          </w:rPr>
          <w:instrText xml:space="preserve"> PAGEREF _Toc512629747 \h </w:instrText>
        </w:r>
        <w:r w:rsidR="006371F3">
          <w:rPr>
            <w:webHidden/>
          </w:rPr>
        </w:r>
        <w:r w:rsidR="006371F3">
          <w:rPr>
            <w:webHidden/>
          </w:rPr>
          <w:fldChar w:fldCharType="separate"/>
        </w:r>
        <w:r w:rsidR="00B42920">
          <w:rPr>
            <w:webHidden/>
          </w:rPr>
          <w:t>7</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48" w:history="1">
        <w:r w:rsidR="006371F3" w:rsidRPr="00222818">
          <w:rPr>
            <w:rStyle w:val="Hyperlink"/>
          </w:rPr>
          <w:t>Victoria’s big build</w:t>
        </w:r>
        <w:r w:rsidR="006371F3">
          <w:rPr>
            <w:webHidden/>
          </w:rPr>
          <w:tab/>
        </w:r>
        <w:r w:rsidR="006371F3">
          <w:rPr>
            <w:webHidden/>
          </w:rPr>
          <w:fldChar w:fldCharType="begin" w:fldLock="1"/>
        </w:r>
        <w:r w:rsidR="006371F3">
          <w:rPr>
            <w:webHidden/>
          </w:rPr>
          <w:instrText xml:space="preserve"> PAGEREF _Toc512629748 \h </w:instrText>
        </w:r>
        <w:r w:rsidR="006371F3">
          <w:rPr>
            <w:webHidden/>
          </w:rPr>
        </w:r>
        <w:r w:rsidR="006371F3">
          <w:rPr>
            <w:webHidden/>
          </w:rPr>
          <w:fldChar w:fldCharType="separate"/>
        </w:r>
        <w:r w:rsidR="00B42920">
          <w:rPr>
            <w:webHidden/>
          </w:rPr>
          <w:t>8</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49" w:history="1">
        <w:r w:rsidR="006371F3" w:rsidRPr="00222818">
          <w:rPr>
            <w:rStyle w:val="Hyperlink"/>
          </w:rPr>
          <w:t>The Education State</w:t>
        </w:r>
        <w:r w:rsidR="006371F3">
          <w:rPr>
            <w:webHidden/>
          </w:rPr>
          <w:tab/>
        </w:r>
        <w:r w:rsidR="006371F3">
          <w:rPr>
            <w:webHidden/>
          </w:rPr>
          <w:fldChar w:fldCharType="begin" w:fldLock="1"/>
        </w:r>
        <w:r w:rsidR="006371F3">
          <w:rPr>
            <w:webHidden/>
          </w:rPr>
          <w:instrText xml:space="preserve"> PAGEREF _Toc512629749 \h </w:instrText>
        </w:r>
        <w:r w:rsidR="006371F3">
          <w:rPr>
            <w:webHidden/>
          </w:rPr>
        </w:r>
        <w:r w:rsidR="006371F3">
          <w:rPr>
            <w:webHidden/>
          </w:rPr>
          <w:fldChar w:fldCharType="separate"/>
        </w:r>
        <w:r w:rsidR="00B42920">
          <w:rPr>
            <w:webHidden/>
          </w:rPr>
          <w:t>9</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0" w:history="1">
        <w:r w:rsidR="006371F3" w:rsidRPr="00222818">
          <w:rPr>
            <w:rStyle w:val="Hyperlink"/>
          </w:rPr>
          <w:t>Delivering better, faster care</w:t>
        </w:r>
        <w:r w:rsidR="006371F3">
          <w:rPr>
            <w:webHidden/>
          </w:rPr>
          <w:tab/>
        </w:r>
        <w:r w:rsidR="006371F3">
          <w:rPr>
            <w:webHidden/>
          </w:rPr>
          <w:fldChar w:fldCharType="begin" w:fldLock="1"/>
        </w:r>
        <w:r w:rsidR="006371F3">
          <w:rPr>
            <w:webHidden/>
          </w:rPr>
          <w:instrText xml:space="preserve"> PAGEREF _Toc512629750 \h </w:instrText>
        </w:r>
        <w:r w:rsidR="006371F3">
          <w:rPr>
            <w:webHidden/>
          </w:rPr>
        </w:r>
        <w:r w:rsidR="006371F3">
          <w:rPr>
            <w:webHidden/>
          </w:rPr>
          <w:fldChar w:fldCharType="separate"/>
        </w:r>
        <w:r w:rsidR="00B42920">
          <w:rPr>
            <w:webHidden/>
          </w:rPr>
          <w:t>9</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1" w:history="1">
        <w:r w:rsidR="006371F3" w:rsidRPr="00222818">
          <w:rPr>
            <w:rStyle w:val="Hyperlink"/>
          </w:rPr>
          <w:t>Keeping Victorians safe</w:t>
        </w:r>
        <w:r w:rsidR="006371F3">
          <w:rPr>
            <w:webHidden/>
          </w:rPr>
          <w:tab/>
        </w:r>
        <w:r w:rsidR="006371F3">
          <w:rPr>
            <w:webHidden/>
          </w:rPr>
          <w:fldChar w:fldCharType="begin" w:fldLock="1"/>
        </w:r>
        <w:r w:rsidR="006371F3">
          <w:rPr>
            <w:webHidden/>
          </w:rPr>
          <w:instrText xml:space="preserve"> PAGEREF _Toc512629751 \h </w:instrText>
        </w:r>
        <w:r w:rsidR="006371F3">
          <w:rPr>
            <w:webHidden/>
          </w:rPr>
        </w:r>
        <w:r w:rsidR="006371F3">
          <w:rPr>
            <w:webHidden/>
          </w:rPr>
          <w:fldChar w:fldCharType="separate"/>
        </w:r>
        <w:r w:rsidR="00B42920">
          <w:rPr>
            <w:webHidden/>
          </w:rPr>
          <w:t>11</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2" w:history="1">
        <w:r w:rsidR="006371F3" w:rsidRPr="00222818">
          <w:rPr>
            <w:rStyle w:val="Hyperlink"/>
          </w:rPr>
          <w:t>A strong, fair Victoria</w:t>
        </w:r>
        <w:r w:rsidR="006371F3">
          <w:rPr>
            <w:webHidden/>
          </w:rPr>
          <w:tab/>
        </w:r>
        <w:r w:rsidR="006371F3">
          <w:rPr>
            <w:webHidden/>
          </w:rPr>
          <w:fldChar w:fldCharType="begin" w:fldLock="1"/>
        </w:r>
        <w:r w:rsidR="006371F3">
          <w:rPr>
            <w:webHidden/>
          </w:rPr>
          <w:instrText xml:space="preserve"> PAGEREF _Toc512629752 \h </w:instrText>
        </w:r>
        <w:r w:rsidR="006371F3">
          <w:rPr>
            <w:webHidden/>
          </w:rPr>
        </w:r>
        <w:r w:rsidR="006371F3">
          <w:rPr>
            <w:webHidden/>
          </w:rPr>
          <w:fldChar w:fldCharType="separate"/>
        </w:r>
        <w:r w:rsidR="00B42920">
          <w:rPr>
            <w:webHidden/>
          </w:rPr>
          <w:t>12</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3" w:history="1">
        <w:r w:rsidR="006371F3" w:rsidRPr="00222818">
          <w:rPr>
            <w:rStyle w:val="Hyperlink"/>
          </w:rPr>
          <w:t>Delivering on our commitments</w:t>
        </w:r>
        <w:r w:rsidR="006371F3">
          <w:rPr>
            <w:webHidden/>
          </w:rPr>
          <w:tab/>
        </w:r>
        <w:r w:rsidR="006371F3">
          <w:rPr>
            <w:webHidden/>
          </w:rPr>
          <w:fldChar w:fldCharType="begin" w:fldLock="1"/>
        </w:r>
        <w:r w:rsidR="006371F3">
          <w:rPr>
            <w:webHidden/>
          </w:rPr>
          <w:instrText xml:space="preserve"> PAGEREF _Toc512629753 \h </w:instrText>
        </w:r>
        <w:r w:rsidR="006371F3">
          <w:rPr>
            <w:webHidden/>
          </w:rPr>
        </w:r>
        <w:r w:rsidR="006371F3">
          <w:rPr>
            <w:webHidden/>
          </w:rPr>
          <w:fldChar w:fldCharType="separate"/>
        </w:r>
        <w:r w:rsidR="00B42920">
          <w:rPr>
            <w:webHidden/>
          </w:rPr>
          <w:t>13</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54" w:history="1">
        <w:r w:rsidR="006371F3" w:rsidRPr="00222818">
          <w:rPr>
            <w:rStyle w:val="Hyperlink"/>
          </w:rPr>
          <w:t>Chapter 2 – Economic outlook</w:t>
        </w:r>
        <w:r w:rsidR="006371F3">
          <w:rPr>
            <w:webHidden/>
          </w:rPr>
          <w:tab/>
        </w:r>
        <w:r w:rsidR="006371F3">
          <w:rPr>
            <w:webHidden/>
          </w:rPr>
          <w:fldChar w:fldCharType="begin" w:fldLock="1"/>
        </w:r>
        <w:r w:rsidR="006371F3">
          <w:rPr>
            <w:webHidden/>
          </w:rPr>
          <w:instrText xml:space="preserve"> PAGEREF _Toc512629754 \h </w:instrText>
        </w:r>
        <w:r w:rsidR="006371F3">
          <w:rPr>
            <w:webHidden/>
          </w:rPr>
        </w:r>
        <w:r w:rsidR="006371F3">
          <w:rPr>
            <w:webHidden/>
          </w:rPr>
          <w:fldChar w:fldCharType="separate"/>
        </w:r>
        <w:r w:rsidR="00B42920">
          <w:rPr>
            <w:webHidden/>
          </w:rPr>
          <w:t>15</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5" w:history="1">
        <w:r w:rsidR="006371F3" w:rsidRPr="00222818">
          <w:rPr>
            <w:rStyle w:val="Hyperlink"/>
          </w:rPr>
          <w:t>Victorian economic conditions</w:t>
        </w:r>
        <w:r w:rsidR="00B42920">
          <w:rPr>
            <w:rStyle w:val="Hyperlink"/>
          </w:rPr>
          <w:t xml:space="preserve"> </w:t>
        </w:r>
        <w:r w:rsidR="006371F3" w:rsidRPr="00222818">
          <w:rPr>
            <w:rStyle w:val="Hyperlink"/>
          </w:rPr>
          <w:t>and outlook</w:t>
        </w:r>
        <w:r w:rsidR="006371F3">
          <w:rPr>
            <w:webHidden/>
          </w:rPr>
          <w:tab/>
        </w:r>
        <w:r w:rsidR="006371F3">
          <w:rPr>
            <w:webHidden/>
          </w:rPr>
          <w:fldChar w:fldCharType="begin" w:fldLock="1"/>
        </w:r>
        <w:r w:rsidR="006371F3">
          <w:rPr>
            <w:webHidden/>
          </w:rPr>
          <w:instrText xml:space="preserve"> PAGEREF _Toc512629755 \h </w:instrText>
        </w:r>
        <w:r w:rsidR="006371F3">
          <w:rPr>
            <w:webHidden/>
          </w:rPr>
        </w:r>
        <w:r w:rsidR="006371F3">
          <w:rPr>
            <w:webHidden/>
          </w:rPr>
          <w:fldChar w:fldCharType="separate"/>
        </w:r>
        <w:r w:rsidR="00B42920">
          <w:rPr>
            <w:webHidden/>
          </w:rPr>
          <w:t>15</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6" w:history="1">
        <w:r w:rsidR="006371F3" w:rsidRPr="00222818">
          <w:rPr>
            <w:rStyle w:val="Hyperlink"/>
          </w:rPr>
          <w:t>Other economic indicators</w:t>
        </w:r>
        <w:r w:rsidR="006371F3">
          <w:rPr>
            <w:webHidden/>
          </w:rPr>
          <w:tab/>
        </w:r>
        <w:r w:rsidR="006371F3">
          <w:rPr>
            <w:webHidden/>
          </w:rPr>
          <w:fldChar w:fldCharType="begin" w:fldLock="1"/>
        </w:r>
        <w:r w:rsidR="006371F3">
          <w:rPr>
            <w:webHidden/>
          </w:rPr>
          <w:instrText xml:space="preserve"> PAGEREF _Toc512629756 \h </w:instrText>
        </w:r>
        <w:r w:rsidR="006371F3">
          <w:rPr>
            <w:webHidden/>
          </w:rPr>
        </w:r>
        <w:r w:rsidR="006371F3">
          <w:rPr>
            <w:webHidden/>
          </w:rPr>
          <w:fldChar w:fldCharType="separate"/>
        </w:r>
        <w:r w:rsidR="00B42920">
          <w:rPr>
            <w:webHidden/>
          </w:rPr>
          <w:t>20</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7" w:history="1">
        <w:r w:rsidR="006371F3" w:rsidRPr="00222818">
          <w:rPr>
            <w:rStyle w:val="Hyperlink"/>
          </w:rPr>
          <w:t>Australian economic conditions and outlook</w:t>
        </w:r>
        <w:r w:rsidR="006371F3">
          <w:rPr>
            <w:webHidden/>
          </w:rPr>
          <w:tab/>
        </w:r>
        <w:r w:rsidR="006371F3">
          <w:rPr>
            <w:webHidden/>
          </w:rPr>
          <w:fldChar w:fldCharType="begin" w:fldLock="1"/>
        </w:r>
        <w:r w:rsidR="006371F3">
          <w:rPr>
            <w:webHidden/>
          </w:rPr>
          <w:instrText xml:space="preserve"> PAGEREF _Toc512629757 \h </w:instrText>
        </w:r>
        <w:r w:rsidR="006371F3">
          <w:rPr>
            <w:webHidden/>
          </w:rPr>
        </w:r>
        <w:r w:rsidR="006371F3">
          <w:rPr>
            <w:webHidden/>
          </w:rPr>
          <w:fldChar w:fldCharType="separate"/>
        </w:r>
        <w:r w:rsidR="00B42920">
          <w:rPr>
            <w:webHidden/>
          </w:rPr>
          <w:t>23</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8" w:history="1">
        <w:r w:rsidR="006371F3" w:rsidRPr="00222818">
          <w:rPr>
            <w:rStyle w:val="Hyperlink"/>
          </w:rPr>
          <w:t>International economic conditions and outlook</w:t>
        </w:r>
        <w:r w:rsidR="006371F3">
          <w:rPr>
            <w:webHidden/>
          </w:rPr>
          <w:tab/>
        </w:r>
        <w:r w:rsidR="006371F3">
          <w:rPr>
            <w:webHidden/>
          </w:rPr>
          <w:fldChar w:fldCharType="begin" w:fldLock="1"/>
        </w:r>
        <w:r w:rsidR="006371F3">
          <w:rPr>
            <w:webHidden/>
          </w:rPr>
          <w:instrText xml:space="preserve"> PAGEREF _Toc512629758 \h </w:instrText>
        </w:r>
        <w:r w:rsidR="006371F3">
          <w:rPr>
            <w:webHidden/>
          </w:rPr>
        </w:r>
        <w:r w:rsidR="006371F3">
          <w:rPr>
            <w:webHidden/>
          </w:rPr>
          <w:fldChar w:fldCharType="separate"/>
        </w:r>
        <w:r w:rsidR="00B42920">
          <w:rPr>
            <w:webHidden/>
          </w:rPr>
          <w:t>24</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59" w:history="1">
        <w:r w:rsidR="006371F3" w:rsidRPr="00222818">
          <w:rPr>
            <w:rStyle w:val="Hyperlink"/>
          </w:rPr>
          <w:t>Risks to the outlook</w:t>
        </w:r>
        <w:r w:rsidR="006371F3">
          <w:rPr>
            <w:webHidden/>
          </w:rPr>
          <w:tab/>
        </w:r>
        <w:r w:rsidR="006371F3">
          <w:rPr>
            <w:webHidden/>
          </w:rPr>
          <w:fldChar w:fldCharType="begin" w:fldLock="1"/>
        </w:r>
        <w:r w:rsidR="006371F3">
          <w:rPr>
            <w:webHidden/>
          </w:rPr>
          <w:instrText xml:space="preserve"> PAGEREF _Toc512629759 \h </w:instrText>
        </w:r>
        <w:r w:rsidR="006371F3">
          <w:rPr>
            <w:webHidden/>
          </w:rPr>
        </w:r>
        <w:r w:rsidR="006371F3">
          <w:rPr>
            <w:webHidden/>
          </w:rPr>
          <w:fldChar w:fldCharType="separate"/>
        </w:r>
        <w:r w:rsidR="00B42920">
          <w:rPr>
            <w:webHidden/>
          </w:rPr>
          <w:t>25</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60" w:history="1">
        <w:r w:rsidR="006371F3" w:rsidRPr="00222818">
          <w:rPr>
            <w:rStyle w:val="Hyperlink"/>
          </w:rPr>
          <w:t>Chapter 3 – Investing in Victorian skills for jobs</w:t>
        </w:r>
        <w:r w:rsidR="006371F3">
          <w:rPr>
            <w:webHidden/>
          </w:rPr>
          <w:tab/>
        </w:r>
        <w:r w:rsidR="006371F3">
          <w:rPr>
            <w:webHidden/>
          </w:rPr>
          <w:fldChar w:fldCharType="begin" w:fldLock="1"/>
        </w:r>
        <w:r w:rsidR="006371F3">
          <w:rPr>
            <w:webHidden/>
          </w:rPr>
          <w:instrText xml:space="preserve"> PAGEREF _Toc512629760 \h </w:instrText>
        </w:r>
        <w:r w:rsidR="006371F3">
          <w:rPr>
            <w:webHidden/>
          </w:rPr>
        </w:r>
        <w:r w:rsidR="006371F3">
          <w:rPr>
            <w:webHidden/>
          </w:rPr>
          <w:fldChar w:fldCharType="separate"/>
        </w:r>
        <w:r w:rsidR="00B42920">
          <w:rPr>
            <w:webHidden/>
          </w:rPr>
          <w:t>27</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1" w:history="1">
        <w:r w:rsidR="006371F3" w:rsidRPr="00222818">
          <w:rPr>
            <w:rStyle w:val="Hyperlink"/>
          </w:rPr>
          <w:t>Introduction</w:t>
        </w:r>
        <w:r w:rsidR="006371F3">
          <w:rPr>
            <w:webHidden/>
          </w:rPr>
          <w:tab/>
        </w:r>
        <w:r w:rsidR="006371F3">
          <w:rPr>
            <w:webHidden/>
          </w:rPr>
          <w:fldChar w:fldCharType="begin" w:fldLock="1"/>
        </w:r>
        <w:r w:rsidR="006371F3">
          <w:rPr>
            <w:webHidden/>
          </w:rPr>
          <w:instrText xml:space="preserve"> PAGEREF _Toc512629761 \h </w:instrText>
        </w:r>
        <w:r w:rsidR="006371F3">
          <w:rPr>
            <w:webHidden/>
          </w:rPr>
        </w:r>
        <w:r w:rsidR="006371F3">
          <w:rPr>
            <w:webHidden/>
          </w:rPr>
          <w:fldChar w:fldCharType="separate"/>
        </w:r>
        <w:r w:rsidR="00B42920">
          <w:rPr>
            <w:webHidden/>
          </w:rPr>
          <w:t>27</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2" w:history="1">
        <w:r w:rsidR="006371F3" w:rsidRPr="00222818">
          <w:rPr>
            <w:rStyle w:val="Hyperlink"/>
          </w:rPr>
          <w:t>More skills, better jobs</w:t>
        </w:r>
        <w:r w:rsidR="006371F3">
          <w:rPr>
            <w:webHidden/>
          </w:rPr>
          <w:tab/>
        </w:r>
        <w:r w:rsidR="006371F3">
          <w:rPr>
            <w:webHidden/>
          </w:rPr>
          <w:fldChar w:fldCharType="begin" w:fldLock="1"/>
        </w:r>
        <w:r w:rsidR="006371F3">
          <w:rPr>
            <w:webHidden/>
          </w:rPr>
          <w:instrText xml:space="preserve"> PAGEREF _Toc512629762 \h </w:instrText>
        </w:r>
        <w:r w:rsidR="006371F3">
          <w:rPr>
            <w:webHidden/>
          </w:rPr>
        </w:r>
        <w:r w:rsidR="006371F3">
          <w:rPr>
            <w:webHidden/>
          </w:rPr>
          <w:fldChar w:fldCharType="separate"/>
        </w:r>
        <w:r w:rsidR="00B42920">
          <w:rPr>
            <w:webHidden/>
          </w:rPr>
          <w:t>30</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3" w:history="1">
        <w:r w:rsidR="006371F3" w:rsidRPr="00222818">
          <w:rPr>
            <w:rStyle w:val="Hyperlink"/>
          </w:rPr>
          <w:t>Investing for the future</w:t>
        </w:r>
        <w:r w:rsidR="006371F3">
          <w:rPr>
            <w:webHidden/>
          </w:rPr>
          <w:tab/>
        </w:r>
        <w:r w:rsidR="006371F3">
          <w:rPr>
            <w:webHidden/>
          </w:rPr>
          <w:fldChar w:fldCharType="begin" w:fldLock="1"/>
        </w:r>
        <w:r w:rsidR="006371F3">
          <w:rPr>
            <w:webHidden/>
          </w:rPr>
          <w:instrText xml:space="preserve"> PAGEREF _Toc512629763 \h </w:instrText>
        </w:r>
        <w:r w:rsidR="006371F3">
          <w:rPr>
            <w:webHidden/>
          </w:rPr>
        </w:r>
        <w:r w:rsidR="006371F3">
          <w:rPr>
            <w:webHidden/>
          </w:rPr>
          <w:fldChar w:fldCharType="separate"/>
        </w:r>
        <w:r w:rsidR="00B42920">
          <w:rPr>
            <w:webHidden/>
          </w:rPr>
          <w:t>36</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4" w:history="1">
        <w:r w:rsidR="006371F3" w:rsidRPr="00222818">
          <w:rPr>
            <w:rStyle w:val="Hyperlink"/>
          </w:rPr>
          <w:t>Skilling Victoria’s workforce</w:t>
        </w:r>
        <w:r w:rsidR="006371F3">
          <w:rPr>
            <w:webHidden/>
          </w:rPr>
          <w:tab/>
        </w:r>
        <w:r w:rsidR="006371F3">
          <w:rPr>
            <w:webHidden/>
          </w:rPr>
          <w:fldChar w:fldCharType="begin" w:fldLock="1"/>
        </w:r>
        <w:r w:rsidR="006371F3">
          <w:rPr>
            <w:webHidden/>
          </w:rPr>
          <w:instrText xml:space="preserve"> PAGEREF _Toc512629764 \h </w:instrText>
        </w:r>
        <w:r w:rsidR="006371F3">
          <w:rPr>
            <w:webHidden/>
          </w:rPr>
        </w:r>
        <w:r w:rsidR="006371F3">
          <w:rPr>
            <w:webHidden/>
          </w:rPr>
          <w:fldChar w:fldCharType="separate"/>
        </w:r>
        <w:r w:rsidR="00B42920">
          <w:rPr>
            <w:webHidden/>
          </w:rPr>
          <w:t>45</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65" w:history="1">
        <w:r w:rsidR="006371F3" w:rsidRPr="00222818">
          <w:rPr>
            <w:rStyle w:val="Hyperlink"/>
          </w:rPr>
          <w:t>Chapter 4 – Budget position and outlook</w:t>
        </w:r>
        <w:r w:rsidR="006371F3">
          <w:rPr>
            <w:webHidden/>
          </w:rPr>
          <w:tab/>
        </w:r>
        <w:r w:rsidR="006371F3">
          <w:rPr>
            <w:webHidden/>
          </w:rPr>
          <w:fldChar w:fldCharType="begin" w:fldLock="1"/>
        </w:r>
        <w:r w:rsidR="006371F3">
          <w:rPr>
            <w:webHidden/>
          </w:rPr>
          <w:instrText xml:space="preserve"> PAGEREF _Toc512629765 \h </w:instrText>
        </w:r>
        <w:r w:rsidR="006371F3">
          <w:rPr>
            <w:webHidden/>
          </w:rPr>
        </w:r>
        <w:r w:rsidR="006371F3">
          <w:rPr>
            <w:webHidden/>
          </w:rPr>
          <w:fldChar w:fldCharType="separate"/>
        </w:r>
        <w:r w:rsidR="00B42920">
          <w:rPr>
            <w:webHidden/>
          </w:rPr>
          <w:t>47</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6" w:history="1">
        <w:r w:rsidR="006371F3" w:rsidRPr="00222818">
          <w:rPr>
            <w:rStyle w:val="Hyperlink"/>
          </w:rPr>
          <w:t>General government sector</w:t>
        </w:r>
        <w:r w:rsidR="006371F3">
          <w:rPr>
            <w:webHidden/>
          </w:rPr>
          <w:tab/>
        </w:r>
        <w:r w:rsidR="006371F3">
          <w:rPr>
            <w:webHidden/>
          </w:rPr>
          <w:fldChar w:fldCharType="begin" w:fldLock="1"/>
        </w:r>
        <w:r w:rsidR="006371F3">
          <w:rPr>
            <w:webHidden/>
          </w:rPr>
          <w:instrText xml:space="preserve"> PAGEREF _Toc512629766 \h </w:instrText>
        </w:r>
        <w:r w:rsidR="006371F3">
          <w:rPr>
            <w:webHidden/>
          </w:rPr>
        </w:r>
        <w:r w:rsidR="006371F3">
          <w:rPr>
            <w:webHidden/>
          </w:rPr>
          <w:fldChar w:fldCharType="separate"/>
        </w:r>
        <w:r w:rsidR="00B42920">
          <w:rPr>
            <w:webHidden/>
          </w:rPr>
          <w:t>48</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7" w:history="1">
        <w:r w:rsidR="006371F3" w:rsidRPr="00222818">
          <w:rPr>
            <w:rStyle w:val="Hyperlink"/>
          </w:rPr>
          <w:t>Budget and forward estimates outlook</w:t>
        </w:r>
        <w:r w:rsidR="006371F3">
          <w:rPr>
            <w:webHidden/>
          </w:rPr>
          <w:tab/>
        </w:r>
        <w:r w:rsidR="006371F3">
          <w:rPr>
            <w:webHidden/>
          </w:rPr>
          <w:fldChar w:fldCharType="begin" w:fldLock="1"/>
        </w:r>
        <w:r w:rsidR="006371F3">
          <w:rPr>
            <w:webHidden/>
          </w:rPr>
          <w:instrText xml:space="preserve"> PAGEREF _Toc512629767 \h </w:instrText>
        </w:r>
        <w:r w:rsidR="006371F3">
          <w:rPr>
            <w:webHidden/>
          </w:rPr>
        </w:r>
        <w:r w:rsidR="006371F3">
          <w:rPr>
            <w:webHidden/>
          </w:rPr>
          <w:fldChar w:fldCharType="separate"/>
        </w:r>
        <w:r w:rsidR="00B42920">
          <w:rPr>
            <w:webHidden/>
          </w:rPr>
          <w:t>49</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68" w:history="1">
        <w:r w:rsidR="006371F3" w:rsidRPr="00222818">
          <w:rPr>
            <w:rStyle w:val="Hyperlink"/>
          </w:rPr>
          <w:t>Fiscal risks</w:t>
        </w:r>
        <w:r w:rsidR="006371F3">
          <w:rPr>
            <w:webHidden/>
          </w:rPr>
          <w:tab/>
        </w:r>
        <w:r w:rsidR="006371F3">
          <w:rPr>
            <w:webHidden/>
          </w:rPr>
          <w:fldChar w:fldCharType="begin" w:fldLock="1"/>
        </w:r>
        <w:r w:rsidR="006371F3">
          <w:rPr>
            <w:webHidden/>
          </w:rPr>
          <w:instrText xml:space="preserve"> PAGEREF _Toc512629768 \h </w:instrText>
        </w:r>
        <w:r w:rsidR="006371F3">
          <w:rPr>
            <w:webHidden/>
          </w:rPr>
        </w:r>
        <w:r w:rsidR="006371F3">
          <w:rPr>
            <w:webHidden/>
          </w:rPr>
          <w:fldChar w:fldCharType="separate"/>
        </w:r>
        <w:r w:rsidR="00B42920">
          <w:rPr>
            <w:webHidden/>
          </w:rPr>
          <w:t>58</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69" w:history="1">
        <w:r w:rsidR="006371F3" w:rsidRPr="00222818">
          <w:rPr>
            <w:rStyle w:val="Hyperlink"/>
          </w:rPr>
          <w:t>Chapter 5 – Position and outlook of the broader public sector</w:t>
        </w:r>
        <w:r w:rsidR="006371F3">
          <w:rPr>
            <w:webHidden/>
          </w:rPr>
          <w:tab/>
        </w:r>
        <w:r w:rsidR="006371F3">
          <w:rPr>
            <w:webHidden/>
          </w:rPr>
          <w:fldChar w:fldCharType="begin" w:fldLock="1"/>
        </w:r>
        <w:r w:rsidR="006371F3">
          <w:rPr>
            <w:webHidden/>
          </w:rPr>
          <w:instrText xml:space="preserve"> PAGEREF _Toc512629769 \h </w:instrText>
        </w:r>
        <w:r w:rsidR="006371F3">
          <w:rPr>
            <w:webHidden/>
          </w:rPr>
        </w:r>
        <w:r w:rsidR="006371F3">
          <w:rPr>
            <w:webHidden/>
          </w:rPr>
          <w:fldChar w:fldCharType="separate"/>
        </w:r>
        <w:r w:rsidR="00B42920">
          <w:rPr>
            <w:webHidden/>
          </w:rPr>
          <w:t>63</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70" w:history="1">
        <w:r w:rsidR="006371F3" w:rsidRPr="00222818">
          <w:rPr>
            <w:rStyle w:val="Hyperlink"/>
          </w:rPr>
          <w:t>Non</w:t>
        </w:r>
        <w:r w:rsidR="006371F3" w:rsidRPr="00222818">
          <w:rPr>
            <w:rStyle w:val="Hyperlink"/>
          </w:rPr>
          <w:noBreakHyphen/>
          <w:t>financial public sector</w:t>
        </w:r>
        <w:r w:rsidR="006371F3">
          <w:rPr>
            <w:webHidden/>
          </w:rPr>
          <w:tab/>
        </w:r>
        <w:r w:rsidR="006371F3">
          <w:rPr>
            <w:webHidden/>
          </w:rPr>
          <w:fldChar w:fldCharType="begin" w:fldLock="1"/>
        </w:r>
        <w:r w:rsidR="006371F3">
          <w:rPr>
            <w:webHidden/>
          </w:rPr>
          <w:instrText xml:space="preserve"> PAGEREF _Toc512629770 \h </w:instrText>
        </w:r>
        <w:r w:rsidR="006371F3">
          <w:rPr>
            <w:webHidden/>
          </w:rPr>
        </w:r>
        <w:r w:rsidR="006371F3">
          <w:rPr>
            <w:webHidden/>
          </w:rPr>
          <w:fldChar w:fldCharType="separate"/>
        </w:r>
        <w:r w:rsidR="00B42920">
          <w:rPr>
            <w:webHidden/>
          </w:rPr>
          <w:t>64</w:t>
        </w:r>
        <w:r w:rsidR="006371F3">
          <w:rPr>
            <w:webHidden/>
          </w:rPr>
          <w:fldChar w:fldCharType="end"/>
        </w:r>
      </w:hyperlink>
    </w:p>
    <w:p w:rsidR="006371F3" w:rsidRDefault="006371F3">
      <w:pPr>
        <w:keepLines w:val="0"/>
        <w:rPr>
          <w:rStyle w:val="Hyperlink"/>
          <w:rFonts w:asciiTheme="majorHAnsi" w:hAnsiTheme="majorHAnsi"/>
          <w:b/>
          <w:noProof/>
          <w:spacing w:val="-2"/>
          <w:szCs w:val="19"/>
        </w:rPr>
      </w:pPr>
      <w:r>
        <w:rPr>
          <w:rStyle w:val="Hyperlink"/>
          <w:noProof/>
        </w:rPr>
        <w:br w:type="page"/>
      </w:r>
    </w:p>
    <w:p w:rsidR="0065116F" w:rsidRPr="00A049FF" w:rsidRDefault="0065116F" w:rsidP="0065116F">
      <w:pPr>
        <w:pStyle w:val="TOC2"/>
        <w:spacing w:after="480"/>
        <w:ind w:hanging="284"/>
        <w:rPr>
          <w:rStyle w:val="Hyperlink"/>
          <w:b/>
          <w:color w:val="auto"/>
          <w:sz w:val="26"/>
          <w:szCs w:val="26"/>
          <w:u w:val="none"/>
        </w:rPr>
      </w:pPr>
      <w:r w:rsidRPr="00A049FF">
        <w:rPr>
          <w:rStyle w:val="Hyperlink"/>
          <w:b/>
          <w:color w:val="auto"/>
          <w:sz w:val="26"/>
          <w:szCs w:val="26"/>
          <w:u w:val="none"/>
        </w:rPr>
        <w:lastRenderedPageBreak/>
        <w:t xml:space="preserve">Table of contents </w:t>
      </w:r>
      <w:r w:rsidRPr="00A049FF">
        <w:rPr>
          <w:rStyle w:val="Hyperlink"/>
          <w:b/>
          <w:i/>
          <w:color w:val="auto"/>
          <w:sz w:val="26"/>
          <w:szCs w:val="26"/>
          <w:u w:val="none"/>
        </w:rPr>
        <w:t>(continued)</w:t>
      </w:r>
    </w:p>
    <w:p w:rsidR="006371F3" w:rsidRDefault="001437C2">
      <w:pPr>
        <w:pStyle w:val="TOC1"/>
        <w:rPr>
          <w:rFonts w:asciiTheme="minorHAnsi" w:eastAsiaTheme="minorEastAsia" w:hAnsiTheme="minorHAnsi"/>
          <w:b w:val="0"/>
          <w:spacing w:val="0"/>
          <w:szCs w:val="22"/>
          <w:lang w:eastAsia="en-AU"/>
        </w:rPr>
      </w:pPr>
      <w:hyperlink w:anchor="_Toc512629771" w:history="1">
        <w:r w:rsidR="006371F3" w:rsidRPr="00222818">
          <w:rPr>
            <w:rStyle w:val="Hyperlink"/>
          </w:rPr>
          <w:t>Appendix A – Sensitivity analysis</w:t>
        </w:r>
        <w:r w:rsidR="006371F3">
          <w:rPr>
            <w:webHidden/>
          </w:rPr>
          <w:tab/>
        </w:r>
        <w:r w:rsidR="006371F3">
          <w:rPr>
            <w:webHidden/>
          </w:rPr>
          <w:fldChar w:fldCharType="begin" w:fldLock="1"/>
        </w:r>
        <w:r w:rsidR="006371F3">
          <w:rPr>
            <w:webHidden/>
          </w:rPr>
          <w:instrText xml:space="preserve"> PAGEREF _Toc512629771 \h </w:instrText>
        </w:r>
        <w:r w:rsidR="006371F3">
          <w:rPr>
            <w:webHidden/>
          </w:rPr>
        </w:r>
        <w:r w:rsidR="006371F3">
          <w:rPr>
            <w:webHidden/>
          </w:rPr>
          <w:fldChar w:fldCharType="separate"/>
        </w:r>
        <w:r w:rsidR="00B42920">
          <w:rPr>
            <w:webHidden/>
          </w:rPr>
          <w:t>71</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72" w:history="1">
        <w:r w:rsidR="006371F3" w:rsidRPr="00222818">
          <w:rPr>
            <w:rStyle w:val="Hyperlink"/>
          </w:rPr>
          <w:t>Fiscal impacts of variations to the economic outlook</w:t>
        </w:r>
        <w:r w:rsidR="006371F3">
          <w:rPr>
            <w:webHidden/>
          </w:rPr>
          <w:tab/>
        </w:r>
        <w:r w:rsidR="006371F3">
          <w:rPr>
            <w:webHidden/>
          </w:rPr>
          <w:fldChar w:fldCharType="begin" w:fldLock="1"/>
        </w:r>
        <w:r w:rsidR="006371F3">
          <w:rPr>
            <w:webHidden/>
          </w:rPr>
          <w:instrText xml:space="preserve"> PAGEREF _Toc512629772 \h </w:instrText>
        </w:r>
        <w:r w:rsidR="006371F3">
          <w:rPr>
            <w:webHidden/>
          </w:rPr>
        </w:r>
        <w:r w:rsidR="006371F3">
          <w:rPr>
            <w:webHidden/>
          </w:rPr>
          <w:fldChar w:fldCharType="separate"/>
        </w:r>
        <w:r w:rsidR="00B42920">
          <w:rPr>
            <w:webHidden/>
          </w:rPr>
          <w:t>72</w:t>
        </w:r>
        <w:r w:rsidR="006371F3">
          <w:rPr>
            <w:webHidden/>
          </w:rPr>
          <w:fldChar w:fldCharType="end"/>
        </w:r>
      </w:hyperlink>
    </w:p>
    <w:p w:rsidR="006371F3" w:rsidRDefault="001437C2">
      <w:pPr>
        <w:pStyle w:val="TOC2"/>
        <w:rPr>
          <w:rFonts w:asciiTheme="minorHAnsi" w:eastAsiaTheme="minorEastAsia" w:hAnsiTheme="minorHAnsi"/>
          <w:spacing w:val="0"/>
          <w:szCs w:val="22"/>
          <w:lang w:eastAsia="en-AU"/>
        </w:rPr>
      </w:pPr>
      <w:hyperlink w:anchor="_Toc512629773" w:history="1">
        <w:r w:rsidR="006371F3" w:rsidRPr="00222818">
          <w:rPr>
            <w:rStyle w:val="Hyperlink"/>
          </w:rPr>
          <w:t>Sensitivity to independent variations in major economic parameters</w:t>
        </w:r>
        <w:r w:rsidR="006371F3">
          <w:rPr>
            <w:webHidden/>
          </w:rPr>
          <w:tab/>
        </w:r>
        <w:r w:rsidR="006371F3">
          <w:rPr>
            <w:webHidden/>
          </w:rPr>
          <w:fldChar w:fldCharType="begin" w:fldLock="1"/>
        </w:r>
        <w:r w:rsidR="006371F3">
          <w:rPr>
            <w:webHidden/>
          </w:rPr>
          <w:instrText xml:space="preserve"> PAGEREF _Toc512629773 \h </w:instrText>
        </w:r>
        <w:r w:rsidR="006371F3">
          <w:rPr>
            <w:webHidden/>
          </w:rPr>
        </w:r>
        <w:r w:rsidR="006371F3">
          <w:rPr>
            <w:webHidden/>
          </w:rPr>
          <w:fldChar w:fldCharType="separate"/>
        </w:r>
        <w:r w:rsidR="00B42920">
          <w:rPr>
            <w:webHidden/>
          </w:rPr>
          <w:t>79</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74" w:history="1">
        <w:r w:rsidR="006371F3" w:rsidRPr="00222818">
          <w:rPr>
            <w:rStyle w:val="Hyperlink"/>
          </w:rPr>
          <w:t>Style conventions</w:t>
        </w:r>
        <w:r w:rsidR="006371F3">
          <w:rPr>
            <w:webHidden/>
          </w:rPr>
          <w:tab/>
        </w:r>
        <w:r w:rsidR="006371F3">
          <w:rPr>
            <w:webHidden/>
          </w:rPr>
          <w:fldChar w:fldCharType="begin" w:fldLock="1"/>
        </w:r>
        <w:r w:rsidR="006371F3">
          <w:rPr>
            <w:webHidden/>
          </w:rPr>
          <w:instrText xml:space="preserve"> PAGEREF _Toc512629774 \h </w:instrText>
        </w:r>
        <w:r w:rsidR="006371F3">
          <w:rPr>
            <w:webHidden/>
          </w:rPr>
        </w:r>
        <w:r w:rsidR="006371F3">
          <w:rPr>
            <w:webHidden/>
          </w:rPr>
          <w:fldChar w:fldCharType="separate"/>
        </w:r>
        <w:r w:rsidR="00B42920">
          <w:rPr>
            <w:webHidden/>
          </w:rPr>
          <w:t>83</w:t>
        </w:r>
        <w:r w:rsidR="006371F3">
          <w:rPr>
            <w:webHidden/>
          </w:rPr>
          <w:fldChar w:fldCharType="end"/>
        </w:r>
      </w:hyperlink>
    </w:p>
    <w:p w:rsidR="006371F3" w:rsidRDefault="001437C2">
      <w:pPr>
        <w:pStyle w:val="TOC1"/>
        <w:rPr>
          <w:rFonts w:asciiTheme="minorHAnsi" w:eastAsiaTheme="minorEastAsia" w:hAnsiTheme="minorHAnsi"/>
          <w:b w:val="0"/>
          <w:spacing w:val="0"/>
          <w:szCs w:val="22"/>
          <w:lang w:eastAsia="en-AU"/>
        </w:rPr>
      </w:pPr>
      <w:hyperlink w:anchor="_Toc512629775" w:history="1">
        <w:r w:rsidR="006371F3" w:rsidRPr="00222818">
          <w:rPr>
            <w:rStyle w:val="Hyperlink"/>
          </w:rPr>
          <w:t>Index</w:t>
        </w:r>
        <w:r w:rsidR="006371F3">
          <w:rPr>
            <w:webHidden/>
          </w:rPr>
          <w:tab/>
        </w:r>
        <w:r w:rsidR="006371F3">
          <w:rPr>
            <w:webHidden/>
          </w:rPr>
          <w:fldChar w:fldCharType="begin" w:fldLock="1"/>
        </w:r>
        <w:r w:rsidR="006371F3">
          <w:rPr>
            <w:webHidden/>
          </w:rPr>
          <w:instrText xml:space="preserve"> PAGEREF _Toc512629775 \h </w:instrText>
        </w:r>
        <w:r w:rsidR="006371F3">
          <w:rPr>
            <w:webHidden/>
          </w:rPr>
        </w:r>
        <w:r w:rsidR="006371F3">
          <w:rPr>
            <w:webHidden/>
          </w:rPr>
          <w:fldChar w:fldCharType="separate"/>
        </w:r>
        <w:r w:rsidR="00B42920">
          <w:rPr>
            <w:webHidden/>
          </w:rPr>
          <w:t>85</w:t>
        </w:r>
        <w:r w:rsidR="006371F3">
          <w:rPr>
            <w:webHidden/>
          </w:rPr>
          <w:fldChar w:fldCharType="end"/>
        </w:r>
      </w:hyperlink>
    </w:p>
    <w:p w:rsidR="00F918C3" w:rsidRDefault="00F918C3" w:rsidP="00D75029">
      <w:r>
        <w:rPr>
          <w:rFonts w:asciiTheme="majorHAnsi" w:hAnsiTheme="majorHAnsi"/>
          <w:noProof/>
          <w:spacing w:val="-2"/>
          <w:szCs w:val="19"/>
        </w:rPr>
        <w:fldChar w:fldCharType="end"/>
      </w:r>
    </w:p>
    <w:p w:rsidR="00F918C3" w:rsidRDefault="00F918C3" w:rsidP="00D75029"/>
    <w:p w:rsidR="00F918C3" w:rsidRDefault="00F918C3" w:rsidP="00D75029"/>
    <w:p w:rsidR="00F918C3" w:rsidRDefault="00F918C3" w:rsidP="00D75029"/>
    <w:p w:rsidR="00F918C3" w:rsidRDefault="00F918C3" w:rsidP="00D75029">
      <w:pPr>
        <w:sectPr w:rsidR="00F918C3" w:rsidSect="001171BB">
          <w:headerReference w:type="even" r:id="rId17"/>
          <w:footerReference w:type="even" r:id="rId18"/>
          <w:footerReference w:type="default" r:id="rId19"/>
          <w:type w:val="oddPage"/>
          <w:pgSz w:w="9979" w:h="14175" w:code="9"/>
          <w:pgMar w:top="850" w:right="1134" w:bottom="850" w:left="1134" w:header="624" w:footer="567" w:gutter="0"/>
          <w:pgNumType w:fmt="lowerRoman" w:start="1"/>
          <w:cols w:sep="1" w:space="567"/>
          <w:docGrid w:linePitch="360"/>
        </w:sectPr>
      </w:pPr>
    </w:p>
    <w:p w:rsidR="00F918C3" w:rsidRPr="00BB71B2" w:rsidRDefault="00F918C3" w:rsidP="004605F1">
      <w:pPr>
        <w:pStyle w:val="ChapterHeading0"/>
      </w:pPr>
      <w:bookmarkStart w:id="2" w:name="_Toc472072539"/>
      <w:bookmarkStart w:id="3" w:name="_Toc512629744"/>
      <w:r w:rsidRPr="00BB71B2">
        <w:t>Chapter 1 – Economic and fiscal overview</w:t>
      </w:r>
      <w:bookmarkEnd w:id="2"/>
      <w:bookmarkEnd w:id="3"/>
    </w:p>
    <w:p w:rsidR="00F918C3" w:rsidRPr="002510BC" w:rsidRDefault="00F918C3" w:rsidP="00792D9A">
      <w:r w:rsidRPr="002510BC">
        <w:t>For the past three years the Government has been getting things done: investing in education and skills</w:t>
      </w:r>
      <w:r>
        <w:fldChar w:fldCharType="begin"/>
      </w:r>
      <w:r>
        <w:instrText xml:space="preserve"> XE "</w:instrText>
      </w:r>
      <w:r w:rsidRPr="00D02DCA">
        <w:instrText>Skills</w:instrText>
      </w:r>
      <w:r>
        <w:instrText xml:space="preserve">" </w:instrText>
      </w:r>
      <w:r>
        <w:fldChar w:fldCharType="end"/>
      </w:r>
      <w:r>
        <w:t>;</w:t>
      </w:r>
      <w:r w:rsidRPr="002510BC">
        <w:t xml:space="preserve"> improving healthcare</w:t>
      </w:r>
      <w:r>
        <w:t>;</w:t>
      </w:r>
      <w:r w:rsidRPr="002510BC">
        <w:t xml:space="preserve"> building new roads and rail lines</w:t>
      </w:r>
      <w:r>
        <w:t>;</w:t>
      </w:r>
      <w:r w:rsidRPr="002510BC">
        <w:t xml:space="preserve"> making our community safer</w:t>
      </w:r>
      <w:r>
        <w:t>;</w:t>
      </w:r>
      <w:r w:rsidRPr="002510BC">
        <w:t xml:space="preserve"> and creating more jobs for Victorians. The </w:t>
      </w:r>
      <w:r w:rsidRPr="002510BC">
        <w:rPr>
          <w:i/>
        </w:rPr>
        <w:t>2018</w:t>
      </w:r>
      <w:r>
        <w:rPr>
          <w:i/>
        </w:rPr>
        <w:noBreakHyphen/>
      </w:r>
      <w:r w:rsidRPr="002510BC">
        <w:rPr>
          <w:i/>
        </w:rPr>
        <w:t>19 Budget</w:t>
      </w:r>
      <w:r w:rsidRPr="002510BC">
        <w:t xml:space="preserve"> continues this momentum, maintaining a robust economy while delivering the services and infrastructure our growing state needs.</w:t>
      </w:r>
    </w:p>
    <w:p w:rsidR="00F918C3" w:rsidRPr="002510BC" w:rsidRDefault="00F918C3" w:rsidP="005F6CC9">
      <w:pPr>
        <w:ind w:right="-86"/>
      </w:pPr>
      <w:bookmarkStart w:id="4" w:name="BP2Ch1GDP"/>
      <w:bookmarkStart w:id="5" w:name="BP2Ch1GSP"/>
      <w:r w:rsidRPr="002510BC">
        <w:t xml:space="preserve">The </w:t>
      </w:r>
      <w:r w:rsidRPr="002510BC">
        <w:rPr>
          <w:i/>
        </w:rPr>
        <w:t>2018</w:t>
      </w:r>
      <w:r>
        <w:rPr>
          <w:i/>
        </w:rPr>
        <w:noBreakHyphen/>
      </w:r>
      <w:r w:rsidRPr="002510BC">
        <w:rPr>
          <w:i/>
        </w:rPr>
        <w:t>19 Budget</w:t>
      </w:r>
      <w:r w:rsidRPr="002510BC">
        <w:t xml:space="preserve"> is underpinned by strong economic and fiscal management. Real gross state product (GSP) increased by 3.3</w:t>
      </w:r>
      <w:r>
        <w:t> per cent</w:t>
      </w:r>
      <w:r w:rsidRPr="002510BC">
        <w:t xml:space="preserve"> in 2016</w:t>
      </w:r>
      <w:r>
        <w:noBreakHyphen/>
      </w:r>
      <w:r w:rsidRPr="002510BC">
        <w:t>17, the strongest of all the states and well above national real gross domestic product (GDP) growth of 2.0</w:t>
      </w:r>
      <w:r>
        <w:t> per cent</w:t>
      </w:r>
      <w:r w:rsidRPr="002510BC">
        <w:t>. Importantly, the benefits of our economic</w:t>
      </w:r>
      <w:r>
        <w:t xml:space="preserve"> success are being shared. Our l</w:t>
      </w:r>
      <w:r w:rsidRPr="002510BC">
        <w:t>iving standards are increasing, with GSP per capita growing by 0.9</w:t>
      </w:r>
      <w:r>
        <w:t> per cent</w:t>
      </w:r>
      <w:r w:rsidRPr="002510BC">
        <w:t xml:space="preserve"> in 2016</w:t>
      </w:r>
      <w:r>
        <w:noBreakHyphen/>
      </w:r>
      <w:r w:rsidRPr="002510BC">
        <w:t>17</w:t>
      </w:r>
      <w:r>
        <w:t>, above the 0.2 per cent growth experienced across Australia</w:t>
      </w:r>
      <w:r w:rsidRPr="002510BC">
        <w:t>. This was the third successive rise in Victoria’s GSP per capita, the longest period of growth since the global financial crisis.</w:t>
      </w:r>
    </w:p>
    <w:p w:rsidR="00F918C3" w:rsidRPr="002510BC" w:rsidRDefault="00F918C3" w:rsidP="005F6CC9">
      <w:r w:rsidRPr="002510BC">
        <w:t>Victoria’s economic strength means more Victorians have the security and dignity of a job. More than 117 000 new jobs were added in 2016</w:t>
      </w:r>
      <w:r>
        <w:noBreakHyphen/>
      </w:r>
      <w:r w:rsidRPr="002510BC">
        <w:t>17, the highest number of all the states, and more than 70</w:t>
      </w:r>
      <w:r>
        <w:t> per cent</w:t>
      </w:r>
      <w:r w:rsidRPr="002510BC">
        <w:t xml:space="preserve"> of all new jobs created across Australia. From November 2014 to March 2018, employment in Victoria grew by 11.4</w:t>
      </w:r>
      <w:r>
        <w:t> per cent</w:t>
      </w:r>
      <w:r w:rsidRPr="002510BC">
        <w:t xml:space="preserve"> or </w:t>
      </w:r>
      <w:r>
        <w:t>333 900 </w:t>
      </w:r>
      <w:r w:rsidRPr="002510BC">
        <w:t>persons, with the majority of jobs being in full</w:t>
      </w:r>
      <w:r>
        <w:noBreakHyphen/>
      </w:r>
      <w:r w:rsidRPr="002510BC">
        <w:t>time employment and spread broadly across industries and regions. In 2017, employment in regional Victoria increased by 3.1</w:t>
      </w:r>
      <w:r>
        <w:t> per cent</w:t>
      </w:r>
      <w:r w:rsidRPr="002510BC">
        <w:t>, while the regional unemployment rate</w:t>
      </w:r>
      <w:r>
        <w:fldChar w:fldCharType="begin"/>
      </w:r>
      <w:r>
        <w:instrText xml:space="preserve"> XE "</w:instrText>
      </w:r>
      <w:r w:rsidRPr="00D02DCA">
        <w:instrText>Unemployment rate</w:instrText>
      </w:r>
      <w:r>
        <w:instrText xml:space="preserve">" </w:instrText>
      </w:r>
      <w:r>
        <w:fldChar w:fldCharType="end"/>
      </w:r>
      <w:r w:rsidRPr="002510BC">
        <w:t xml:space="preserve"> declined to 5.4</w:t>
      </w:r>
      <w:r>
        <w:t> per cent</w:t>
      </w:r>
      <w:r w:rsidRPr="002510BC">
        <w:t>.</w:t>
      </w:r>
    </w:p>
    <w:p w:rsidR="00F918C3" w:rsidRDefault="00F918C3" w:rsidP="005F6CC9">
      <w:r w:rsidRPr="00795D89">
        <w:t xml:space="preserve">The </w:t>
      </w:r>
      <w:r w:rsidRPr="00795D89">
        <w:rPr>
          <w:i/>
        </w:rPr>
        <w:t>2018</w:t>
      </w:r>
      <w:r>
        <w:rPr>
          <w:i/>
        </w:rPr>
        <w:noBreakHyphen/>
      </w:r>
      <w:r w:rsidRPr="00795D89">
        <w:rPr>
          <w:i/>
        </w:rPr>
        <w:t>19 Budget</w:t>
      </w:r>
      <w:r w:rsidRPr="00795D89">
        <w:t xml:space="preserve"> continues the Government’s clear fiscal strategy</w:t>
      </w:r>
      <w:r>
        <w:t xml:space="preserve"> with</w:t>
      </w:r>
      <w:r w:rsidRPr="00795D89">
        <w:t xml:space="preserve"> Victoria’s finances remain</w:t>
      </w:r>
      <w:r>
        <w:t>ing</w:t>
      </w:r>
      <w:r w:rsidRPr="00795D89">
        <w:t xml:space="preserve"> in excellent health, reflected in the State’s triple</w:t>
      </w:r>
      <w:r>
        <w:noBreakHyphen/>
      </w:r>
      <w:r w:rsidRPr="00795D89">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rsidRPr="00795D89">
        <w:t>. Looking forward, the operating surplus</w:t>
      </w:r>
      <w:r>
        <w:fldChar w:fldCharType="begin"/>
      </w:r>
      <w:r>
        <w:instrText xml:space="preserve"> XE "</w:instrText>
      </w:r>
      <w:r w:rsidRPr="00D02DCA">
        <w:instrText>Operating surplus</w:instrText>
      </w:r>
      <w:r>
        <w:instrText xml:space="preserve">" </w:instrText>
      </w:r>
      <w:r>
        <w:fldChar w:fldCharType="end"/>
      </w:r>
      <w:r w:rsidRPr="00795D89">
        <w:t xml:space="preserve"> is expected to be $1.4</w:t>
      </w:r>
      <w:r w:rsidR="006371F3">
        <w:t> billion</w:t>
      </w:r>
      <w:r w:rsidRPr="00795D89">
        <w:t xml:space="preserve"> in 2018</w:t>
      </w:r>
      <w:r>
        <w:noBreakHyphen/>
      </w:r>
      <w:r w:rsidRPr="00795D89">
        <w:t>19, and</w:t>
      </w:r>
      <w:r w:rsidRPr="002510BC">
        <w:t xml:space="preserve"> </w:t>
      </w:r>
      <w:r w:rsidRPr="00A319C1">
        <w:t>average $2.5</w:t>
      </w:r>
      <w:r w:rsidR="006371F3">
        <w:t> billion</w:t>
      </w:r>
      <w:r w:rsidRPr="00A319C1">
        <w:t xml:space="preserve"> a year over the forward estimates. Government infrastructure investment</w:t>
      </w:r>
      <w:r>
        <w:fldChar w:fldCharType="begin"/>
      </w:r>
      <w:r>
        <w:instrText xml:space="preserve"> XE "</w:instrText>
      </w:r>
      <w:r w:rsidRPr="00D02DCA">
        <w:instrText>Government infrastructure investment</w:instrText>
      </w:r>
      <w:r>
        <w:instrText xml:space="preserve">" </w:instrText>
      </w:r>
      <w:r>
        <w:fldChar w:fldCharType="end"/>
      </w:r>
      <w:r w:rsidRPr="00A319C1">
        <w:t xml:space="preserve"> </w:t>
      </w:r>
      <w:r>
        <w:t>will reach $13.7</w:t>
      </w:r>
      <w:r w:rsidR="006371F3">
        <w:t> billion</w:t>
      </w:r>
      <w:r>
        <w:t xml:space="preserve"> in 2018</w:t>
      </w:r>
      <w:r>
        <w:noBreakHyphen/>
        <w:t xml:space="preserve">19, and </w:t>
      </w:r>
      <w:r w:rsidRPr="00A319C1">
        <w:t>average $10.1</w:t>
      </w:r>
      <w:r w:rsidR="006371F3">
        <w:t> billion</w:t>
      </w:r>
      <w:r w:rsidRPr="00A319C1">
        <w:t xml:space="preserve"> a year over the budget and forward estimates</w:t>
      </w:r>
      <w:r>
        <w:t xml:space="preserve">. This is </w:t>
      </w:r>
      <w:r w:rsidRPr="00A319C1">
        <w:t>more than double the average of $4.9</w:t>
      </w:r>
      <w:r w:rsidR="006371F3">
        <w:t> billion</w:t>
      </w:r>
      <w:r w:rsidRPr="00A319C1">
        <w:t xml:space="preserve"> a year from 2005</w:t>
      </w:r>
      <w:r>
        <w:noBreakHyphen/>
      </w:r>
      <w:r w:rsidRPr="00A319C1">
        <w:t>06 to 2014</w:t>
      </w:r>
      <w:r>
        <w:noBreakHyphen/>
      </w:r>
      <w:r w:rsidRPr="00A319C1">
        <w:t xml:space="preserve">15. Total infrastructure investment announced by this Government since </w:t>
      </w:r>
      <w:r>
        <w:t xml:space="preserve">2014 </w:t>
      </w:r>
      <w:r w:rsidRPr="00A319C1">
        <w:t xml:space="preserve">is expected to </w:t>
      </w:r>
      <w:r>
        <w:t>support the creation of over 75 </w:t>
      </w:r>
      <w:r w:rsidRPr="00A319C1">
        <w:t>000 new jobs.</w:t>
      </w:r>
    </w:p>
    <w:p w:rsidR="00F918C3" w:rsidRDefault="00F918C3" w:rsidP="005F6CC9">
      <w:r>
        <w:t xml:space="preserve">The </w:t>
      </w:r>
      <w:r w:rsidRPr="00F90C6E">
        <w:rPr>
          <w:i/>
        </w:rPr>
        <w:t>2018</w:t>
      </w:r>
      <w:r>
        <w:rPr>
          <w:i/>
        </w:rPr>
        <w:noBreakHyphen/>
      </w:r>
      <w:r w:rsidRPr="00F90C6E">
        <w:rPr>
          <w:i/>
        </w:rPr>
        <w:t>19 Budget</w:t>
      </w:r>
      <w:r>
        <w:t xml:space="preserve"> continues the momentum of investing in a growing Victoria. The budget ensures the next generation of Victorians will have the skills</w:t>
      </w:r>
      <w:r>
        <w:fldChar w:fldCharType="begin"/>
      </w:r>
      <w:r>
        <w:instrText xml:space="preserve"> XE "</w:instrText>
      </w:r>
      <w:r w:rsidRPr="00D02DCA">
        <w:instrText>Skills</w:instrText>
      </w:r>
      <w:r>
        <w:instrText xml:space="preserve">" </w:instrText>
      </w:r>
      <w:r>
        <w:fldChar w:fldCharType="end"/>
      </w:r>
      <w:r>
        <w:t xml:space="preserve"> to keep building the state by offering priority TAFE</w:t>
      </w:r>
      <w:r w:rsidR="008C27C4">
        <w:fldChar w:fldCharType="begin"/>
      </w:r>
      <w:r w:rsidR="008C27C4">
        <w:instrText xml:space="preserve"> XE "</w:instrText>
      </w:r>
      <w:r w:rsidR="008C27C4" w:rsidRPr="008F218F">
        <w:instrText>TAFE</w:instrText>
      </w:r>
      <w:r w:rsidR="008C27C4">
        <w:instrText xml:space="preserve">" </w:instrText>
      </w:r>
      <w:r w:rsidR="008C27C4">
        <w:fldChar w:fldCharType="end"/>
      </w:r>
      <w:r>
        <w:t xml:space="preserve"> courses free and creating an opportunity for students to start an apprenticeship at school. It delivers new and upgraded roads to get people out of traffic and home sooner, and continues the overhaul of Victoria’s public transport</w:t>
      </w:r>
      <w:r>
        <w:fldChar w:fldCharType="begin"/>
      </w:r>
      <w:r>
        <w:instrText xml:space="preserve"> XE "</w:instrText>
      </w:r>
      <w:r w:rsidRPr="00D02DCA">
        <w:instrText>Public transport</w:instrText>
      </w:r>
      <w:r>
        <w:instrText xml:space="preserve">" </w:instrText>
      </w:r>
      <w:r>
        <w:fldChar w:fldCharType="end"/>
      </w:r>
      <w:r>
        <w:t xml:space="preserve"> network. It builds good schools</w:t>
      </w:r>
      <w:r>
        <w:fldChar w:fldCharType="begin"/>
      </w:r>
      <w:r>
        <w:instrText xml:space="preserve"> XE "</w:instrText>
      </w:r>
      <w:r w:rsidRPr="00D02DCA">
        <w:instrText>Schools</w:instrText>
      </w:r>
      <w:r>
        <w:instrText xml:space="preserve">" </w:instrText>
      </w:r>
      <w:r>
        <w:fldChar w:fldCharType="end"/>
      </w:r>
      <w:r>
        <w:t xml:space="preserve"> close to home, and upgrades existing schools. It grows jobs by further reducing the payroll tax rate in regional Victoria. Finally, the </w:t>
      </w:r>
      <w:r w:rsidRPr="007B27BD">
        <w:rPr>
          <w:i/>
        </w:rPr>
        <w:t>2018</w:t>
      </w:r>
      <w:r>
        <w:rPr>
          <w:i/>
        </w:rPr>
        <w:noBreakHyphen/>
      </w:r>
      <w:r w:rsidRPr="007B27BD">
        <w:rPr>
          <w:i/>
        </w:rPr>
        <w:t>19 Budget</w:t>
      </w:r>
      <w:r>
        <w:t xml:space="preserve"> includes the biggest investment in mental health</w:t>
      </w:r>
      <w:r>
        <w:fldChar w:fldCharType="begin"/>
      </w:r>
      <w:r>
        <w:instrText xml:space="preserve"> XE "</w:instrText>
      </w:r>
      <w:r w:rsidRPr="00D02DCA">
        <w:instrText>Health:</w:instrText>
      </w:r>
      <w:r>
        <w:instrText xml:space="preserve">Mental health" </w:instrText>
      </w:r>
      <w:r>
        <w:fldChar w:fldCharType="end"/>
      </w:r>
      <w:r>
        <w:t xml:space="preserve"> services in Victoria’s history, with more beds and specialist emergency departments to give patients the treatment they need. Amidst this, Victoria remains one of only 10 sub</w:t>
      </w:r>
      <w:r>
        <w:noBreakHyphen/>
        <w:t>sovereign governments in the world with a triple</w:t>
      </w:r>
      <w:r>
        <w:noBreakHyphen/>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t xml:space="preserve"> from both major rating agencies. </w:t>
      </w:r>
    </w:p>
    <w:p w:rsidR="00F918C3" w:rsidRPr="002510BC" w:rsidRDefault="00F918C3" w:rsidP="00C8585A">
      <w:pPr>
        <w:pStyle w:val="Heading10"/>
      </w:pPr>
      <w:bookmarkStart w:id="6" w:name="_Toc512629745"/>
      <w:r w:rsidRPr="002510BC">
        <w:t>The engine of the nation</w:t>
      </w:r>
      <w:bookmarkEnd w:id="6"/>
    </w:p>
    <w:p w:rsidR="00F918C3" w:rsidRPr="002510BC" w:rsidRDefault="00F918C3" w:rsidP="001215A6">
      <w:pPr>
        <w:pStyle w:val="Heading20"/>
      </w:pPr>
      <w:r w:rsidRPr="002510BC">
        <w:t xml:space="preserve">Improving living standards and growing jobs </w:t>
      </w:r>
    </w:p>
    <w:p w:rsidR="00F918C3" w:rsidRPr="002510BC" w:rsidRDefault="00F918C3" w:rsidP="00792D9A">
      <w:r w:rsidRPr="002510BC">
        <w:t>Victoria’s real GSP rose by 3.3</w:t>
      </w:r>
      <w:r>
        <w:t> per cent</w:t>
      </w:r>
      <w:r w:rsidRPr="002510BC">
        <w:t xml:space="preserve"> in 2016</w:t>
      </w:r>
      <w:r>
        <w:noBreakHyphen/>
      </w:r>
      <w:r w:rsidRPr="002510BC">
        <w:t>17, the highest rate of expansion of any state and well above national real GDP growth of 2.0</w:t>
      </w:r>
      <w:r>
        <w:t> per cent</w:t>
      </w:r>
      <w:r w:rsidRPr="002510BC">
        <w:t>. Over the past three years, real GSP growth has averaged 3.2</w:t>
      </w:r>
      <w:r>
        <w:t> per cent</w:t>
      </w:r>
      <w:r w:rsidRPr="002510BC">
        <w:t xml:space="preserve"> a year. This represents a return to the rates of growth last experienced before the global financial crisis, and is a marked improvement on the average growth of just 2.0</w:t>
      </w:r>
      <w:r>
        <w:t> per cent</w:t>
      </w:r>
      <w:r w:rsidRPr="002510BC">
        <w:t xml:space="preserve"> in the period between 2010</w:t>
      </w:r>
      <w:r>
        <w:noBreakHyphen/>
      </w:r>
      <w:r w:rsidRPr="002510BC">
        <w:t>11 and 2013</w:t>
      </w:r>
      <w:r>
        <w:noBreakHyphen/>
      </w:r>
      <w:r w:rsidRPr="002510BC">
        <w:t>14 (Chart 1.1).</w:t>
      </w:r>
      <w:r>
        <w:fldChar w:fldCharType="begin"/>
      </w:r>
      <w:r>
        <w:instrText xml:space="preserve"> XE "</w:instrText>
      </w:r>
      <w:r w:rsidRPr="003E00A0">
        <w:instrText>Gross domestic product</w:instrText>
      </w:r>
      <w:r>
        <w:instrText xml:space="preserve">" \r "BP2Ch1GDP" </w:instrText>
      </w:r>
      <w:r>
        <w:fldChar w:fldCharType="end"/>
      </w:r>
    </w:p>
    <w:bookmarkEnd w:id="4"/>
    <w:p w:rsidR="00F918C3" w:rsidRPr="002510BC" w:rsidRDefault="00F918C3" w:rsidP="004C6831">
      <w:pPr>
        <w:pStyle w:val="TableHeading"/>
        <w:spacing w:before="180"/>
      </w:pPr>
      <w:r w:rsidRPr="002510BC">
        <w:t>Chart 1.1:</w:t>
      </w:r>
      <w:r w:rsidRPr="002510BC">
        <w:tab/>
        <w:t>Victorian real GSP growth, 2006</w:t>
      </w:r>
      <w:r>
        <w:noBreakHyphen/>
      </w:r>
      <w:r w:rsidRPr="002510BC">
        <w:t>07 to 2016</w:t>
      </w:r>
      <w:r>
        <w:noBreakHyphen/>
      </w:r>
      <w:r w:rsidRPr="002510BC">
        <w:t>17</w:t>
      </w:r>
    </w:p>
    <w:p w:rsidR="00F918C3" w:rsidRPr="002510BC" w:rsidRDefault="00A9166F" w:rsidP="00901D9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45pt;height:254.6pt">
            <v:imagedata r:id="rId20" o:title=""/>
          </v:shape>
        </w:pict>
      </w:r>
    </w:p>
    <w:p w:rsidR="00F918C3" w:rsidRPr="002510BC" w:rsidRDefault="00F918C3" w:rsidP="008E65F8">
      <w:pPr>
        <w:pStyle w:val="Source"/>
      </w:pPr>
      <w:r w:rsidRPr="002510BC">
        <w:t>Source: Australian Bureau of Statistics</w:t>
      </w:r>
    </w:p>
    <w:p w:rsidR="00F918C3" w:rsidRPr="002510BC" w:rsidRDefault="00F918C3" w:rsidP="005F6CC9">
      <w:pPr>
        <w:rPr>
          <w:rFonts w:ascii="Garamond" w:hAnsi="Garamond"/>
        </w:rPr>
      </w:pPr>
      <w:r w:rsidRPr="002510BC">
        <w:t>The Victorian economy is expected to record another year of above</w:t>
      </w:r>
      <w:r>
        <w:noBreakHyphen/>
      </w:r>
      <w:r w:rsidRPr="002510BC">
        <w:t>trend growth in 2017</w:t>
      </w:r>
      <w:r>
        <w:noBreakHyphen/>
      </w:r>
      <w:r w:rsidRPr="002510BC">
        <w:t>18, with growth projected to stabilise at the trend rate of 2.75</w:t>
      </w:r>
      <w:r>
        <w:t> per cent</w:t>
      </w:r>
      <w:r w:rsidRPr="002510BC">
        <w:t xml:space="preserve"> a year in 2018</w:t>
      </w:r>
      <w:r>
        <w:noBreakHyphen/>
      </w:r>
      <w:r w:rsidRPr="002510BC">
        <w:t xml:space="preserve">19 and over the forward estimates. </w:t>
      </w:r>
      <w:r w:rsidRPr="002510BC">
        <w:rPr>
          <w:rFonts w:ascii="Garamond" w:hAnsi="Garamond"/>
        </w:rPr>
        <w:t>Household consumption</w:t>
      </w:r>
      <w:r>
        <w:rPr>
          <w:rFonts w:ascii="Garamond" w:hAnsi="Garamond"/>
        </w:rPr>
        <w:fldChar w:fldCharType="begin"/>
      </w:r>
      <w:r>
        <w:rPr>
          <w:rFonts w:ascii="Garamond" w:hAnsi="Garamond"/>
        </w:rPr>
        <w:instrText xml:space="preserve"> XE "</w:instrText>
      </w:r>
      <w:r w:rsidRPr="00D02DCA">
        <w:instrText>Household consumption</w:instrText>
      </w:r>
      <w:r>
        <w:instrText>"</w:instrText>
      </w:r>
      <w:r>
        <w:rPr>
          <w:rFonts w:ascii="Garamond" w:hAnsi="Garamond"/>
        </w:rPr>
        <w:instrText xml:space="preserve"> </w:instrText>
      </w:r>
      <w:r>
        <w:rPr>
          <w:rFonts w:ascii="Garamond" w:hAnsi="Garamond"/>
        </w:rPr>
        <w:fldChar w:fldCharType="end"/>
      </w:r>
      <w:r w:rsidRPr="002510BC">
        <w:rPr>
          <w:rFonts w:ascii="Garamond" w:hAnsi="Garamond"/>
        </w:rPr>
        <w:t xml:space="preserve"> and public demand are expected to make the largest contributions to growth, the latter reflecting the Government’s large infrastructure program.</w:t>
      </w:r>
      <w:r w:rsidRPr="002510BC">
        <w:t xml:space="preserve"> </w:t>
      </w:r>
    </w:p>
    <w:p w:rsidR="00F918C3" w:rsidRDefault="00F918C3" w:rsidP="00711211">
      <w:r w:rsidRPr="002510BC">
        <w:t>Victoria’s population is expected to grow by 2.2</w:t>
      </w:r>
      <w:r>
        <w:t> per cent</w:t>
      </w:r>
      <w:r w:rsidRPr="002510BC">
        <w:t xml:space="preserve"> in 2018</w:t>
      </w:r>
      <w:r>
        <w:noBreakHyphen/>
      </w:r>
      <w:r w:rsidRPr="002510BC">
        <w:t>19, easing to 2.0</w:t>
      </w:r>
      <w:r>
        <w:t> per cent</w:t>
      </w:r>
      <w:r w:rsidRPr="002510BC">
        <w:t xml:space="preserve"> </w:t>
      </w:r>
      <w:r w:rsidRPr="00795D89">
        <w:t>a year from 2020</w:t>
      </w:r>
      <w:r>
        <w:noBreakHyphen/>
      </w:r>
      <w:r w:rsidRPr="00795D89">
        <w:t>21, while inflation</w:t>
      </w:r>
      <w:r>
        <w:fldChar w:fldCharType="begin"/>
      </w:r>
      <w:r>
        <w:instrText xml:space="preserve"> XE "</w:instrText>
      </w:r>
      <w:r w:rsidRPr="00D02DCA">
        <w:instrText>Inflation</w:instrText>
      </w:r>
      <w:r>
        <w:instrText xml:space="preserve">" </w:instrText>
      </w:r>
      <w:r>
        <w:fldChar w:fldCharType="end"/>
      </w:r>
      <w:r w:rsidRPr="00795D89">
        <w:t xml:space="preserve"> and wages growth </w:t>
      </w:r>
      <w:r>
        <w:fldChar w:fldCharType="begin"/>
      </w:r>
      <w:r>
        <w:instrText xml:space="preserve"> XE "</w:instrText>
      </w:r>
      <w:r w:rsidRPr="00D02DCA">
        <w:instrText>Wages</w:instrText>
      </w:r>
      <w:r>
        <w:instrText xml:space="preserve">" </w:instrText>
      </w:r>
      <w:r>
        <w:fldChar w:fldCharType="end"/>
      </w:r>
      <w:r w:rsidRPr="00795D89">
        <w:t>are forecast to rise toward their</w:t>
      </w:r>
      <w:r w:rsidRPr="002510BC">
        <w:t xml:space="preserve"> trend rate.</w:t>
      </w:r>
    </w:p>
    <w:p w:rsidR="00F918C3" w:rsidRPr="002510BC" w:rsidRDefault="00F918C3" w:rsidP="00711211">
      <w:r w:rsidRPr="002510BC">
        <w:t>Real GSP has grown faster than the population in each of the past three years. This is the longest period of sustained growth in real GSP per capita since the global financial crisis, and proof that Victoria’s economic strength is improving the average living standard of Victorians. GSP per capita is expected to continue to rise in future years as growth in real economic activity outpaces population growth</w:t>
      </w:r>
      <w:r>
        <w:fldChar w:fldCharType="begin"/>
      </w:r>
      <w:r>
        <w:instrText xml:space="preserve"> XE "</w:instrText>
      </w:r>
      <w:r w:rsidRPr="00D02DCA">
        <w:instrText>Population</w:instrText>
      </w:r>
      <w:r>
        <w:instrText xml:space="preserve"> g</w:instrText>
      </w:r>
      <w:r w:rsidRPr="00D02DCA">
        <w:instrText>rowth</w:instrText>
      </w:r>
      <w:r>
        <w:instrText xml:space="preserve">" </w:instrText>
      </w:r>
      <w:r>
        <w:fldChar w:fldCharType="end"/>
      </w:r>
      <w:r w:rsidRPr="002510BC">
        <w:t xml:space="preserve"> in each year to the end of the forward estimates (Chart 1.2).</w:t>
      </w:r>
    </w:p>
    <w:p w:rsidR="00F918C3" w:rsidRPr="002510BC" w:rsidRDefault="00F918C3" w:rsidP="00021829">
      <w:pPr>
        <w:pStyle w:val="TableHeading"/>
      </w:pPr>
      <w:r w:rsidRPr="002510BC">
        <w:t>Chart 1.2:</w:t>
      </w:r>
      <w:r w:rsidRPr="002510BC">
        <w:tab/>
        <w:t>Victoria’s real GSP growth per capita, 2006</w:t>
      </w:r>
      <w:r>
        <w:noBreakHyphen/>
      </w:r>
      <w:r w:rsidRPr="002510BC">
        <w:t>07 to 2021</w:t>
      </w:r>
      <w:r>
        <w:noBreakHyphen/>
      </w:r>
      <w:r w:rsidRPr="002510BC">
        <w:t>22</w:t>
      </w:r>
    </w:p>
    <w:p w:rsidR="00F918C3" w:rsidRPr="002510BC" w:rsidRDefault="00A9166F" w:rsidP="00AF7722">
      <w:r>
        <w:pict>
          <v:shape id="_x0000_i1026" type="#_x0000_t75" style="width:384.2pt;height:270.15pt">
            <v:imagedata r:id="rId21" o:title=""/>
          </v:shape>
        </w:pict>
      </w:r>
    </w:p>
    <w:p w:rsidR="00F918C3" w:rsidRPr="002510BC" w:rsidRDefault="00F918C3" w:rsidP="00F36268">
      <w:pPr>
        <w:pStyle w:val="Source"/>
      </w:pPr>
      <w:r w:rsidRPr="002510BC">
        <w:t>Source: Australian Bureau of Statistics</w:t>
      </w:r>
    </w:p>
    <w:p w:rsidR="00F918C3" w:rsidRPr="002510BC" w:rsidRDefault="00F918C3" w:rsidP="007E19A9">
      <w:r w:rsidRPr="002510BC">
        <w:t>The clearest measure of the strength of the Victorian economy is the number of jobs that have been created – 33</w:t>
      </w:r>
      <w:r>
        <w:t>3 9</w:t>
      </w:r>
      <w:r w:rsidRPr="002510BC">
        <w:t>00 since the Government came to office in November 2014. Employment</w:t>
      </w:r>
      <w:r>
        <w:fldChar w:fldCharType="begin"/>
      </w:r>
      <w:r>
        <w:instrText xml:space="preserve"> XE "</w:instrText>
      </w:r>
      <w:r w:rsidRPr="00D02DCA">
        <w:instrText>Employment</w:instrText>
      </w:r>
      <w:r>
        <w:instrText xml:space="preserve">" </w:instrText>
      </w:r>
      <w:r>
        <w:fldChar w:fldCharType="end"/>
      </w:r>
      <w:r w:rsidRPr="002510BC">
        <w:t xml:space="preserve"> has grown at an above</w:t>
      </w:r>
      <w:r>
        <w:noBreakHyphen/>
      </w:r>
      <w:r w:rsidRPr="002510BC">
        <w:t>trend rate for three years; further growth of 2.75</w:t>
      </w:r>
      <w:r>
        <w:t> per cent</w:t>
      </w:r>
      <w:r w:rsidRPr="002510BC">
        <w:t xml:space="preserve"> is expected in 2017</w:t>
      </w:r>
      <w:r>
        <w:noBreakHyphen/>
      </w:r>
      <w:r w:rsidRPr="002510BC">
        <w:t>18 and 2.0</w:t>
      </w:r>
      <w:r>
        <w:t> per cent</w:t>
      </w:r>
      <w:r w:rsidRPr="002510BC">
        <w:t xml:space="preserve"> in 2018</w:t>
      </w:r>
      <w:r>
        <w:noBreakHyphen/>
      </w:r>
      <w:r w:rsidRPr="002510BC">
        <w:t>19.</w:t>
      </w:r>
    </w:p>
    <w:p w:rsidR="00F918C3" w:rsidRPr="002510BC" w:rsidRDefault="00F918C3" w:rsidP="00792D9A">
      <w:r w:rsidRPr="002510BC">
        <w:t>The strength of Victoria’s labour market is broad</w:t>
      </w:r>
      <w:r>
        <w:noBreakHyphen/>
      </w:r>
      <w:r w:rsidRPr="002510BC">
        <w:t>based. Full</w:t>
      </w:r>
      <w:r>
        <w:noBreakHyphen/>
      </w:r>
      <w:r w:rsidRPr="002510BC">
        <w:t>time employment has grown strongly and the youth unemployment rate</w:t>
      </w:r>
      <w:r>
        <w:fldChar w:fldCharType="begin"/>
      </w:r>
      <w:r>
        <w:instrText xml:space="preserve"> XE "</w:instrText>
      </w:r>
      <w:r w:rsidRPr="00D02DCA">
        <w:instrText>Unemployment rate</w:instrText>
      </w:r>
      <w:r>
        <w:instrText xml:space="preserve">" </w:instrText>
      </w:r>
      <w:r>
        <w:fldChar w:fldCharType="end"/>
      </w:r>
      <w:r w:rsidRPr="002510BC">
        <w:t xml:space="preserve"> has fallen to be the second lowest in the nation. The majority of Victoria’s 19 industry groups expanded their employment in 2016</w:t>
      </w:r>
      <w:r>
        <w:noBreakHyphen/>
      </w:r>
      <w:r w:rsidRPr="002510BC">
        <w:t>17, while employment in regional Victoria rose by 3.1</w:t>
      </w:r>
      <w:r>
        <w:t> per cent</w:t>
      </w:r>
      <w:r w:rsidRPr="002510BC">
        <w:t xml:space="preserve"> in 2017.</w:t>
      </w:r>
    </w:p>
    <w:p w:rsidR="00F918C3" w:rsidRDefault="00F918C3" w:rsidP="00914D57">
      <w:r w:rsidRPr="002510BC">
        <w:t xml:space="preserve">Victoria is the engine driving the national economy, outperforming the </w:t>
      </w:r>
      <w:r>
        <w:t>rest of Australia</w:t>
      </w:r>
      <w:r w:rsidRPr="002510BC">
        <w:t xml:space="preserve"> across a broad range of economic indicators in 2016</w:t>
      </w:r>
      <w:r>
        <w:noBreakHyphen/>
      </w:r>
      <w:r w:rsidRPr="002510BC">
        <w:t>17 (Chart 1.3).</w:t>
      </w:r>
      <w:r>
        <w:t xml:space="preserve"> Real GSP growth in Victoria of 3.3 per cent in 2016</w:t>
      </w:r>
      <w:r>
        <w:noBreakHyphen/>
        <w:t>17 was more than double the rate of growth across the rest of Australia, while real GSP per capita rose at quadruple the rate.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t xml:space="preserve"> and full</w:t>
      </w:r>
      <w:r>
        <w:noBreakHyphen/>
        <w:t>time employment growth both rose at an above trend rate of 3.9 per cent a year in Victoria, while the rest of Australia experienced much lower employment growth and a loss in full</w:t>
      </w:r>
      <w:r>
        <w:noBreakHyphen/>
        <w:t xml:space="preserve">time employment. </w:t>
      </w:r>
    </w:p>
    <w:p w:rsidR="00F918C3" w:rsidRPr="002510BC" w:rsidRDefault="00F918C3" w:rsidP="00914D57">
      <w:r>
        <w:t>Since 2013</w:t>
      </w:r>
      <w:r>
        <w:noBreakHyphen/>
        <w:t>14, real GSP in Victoria has expanded by 10.1 per cent, well above the rate of growth across the rest of Australia. All three drivers of growth – population, participation and productivity – contributed positively to the Victorian economy over this period. The contribution from participation was strong, reflecting high labour force participation</w:t>
      </w:r>
      <w:r>
        <w:fldChar w:fldCharType="begin"/>
      </w:r>
      <w:r>
        <w:instrText xml:space="preserve"> XE "</w:instrText>
      </w:r>
      <w:r w:rsidRPr="00D02DCA">
        <w:instrText>Labour force participation</w:instrText>
      </w:r>
      <w:r>
        <w:instrText xml:space="preserve">" </w:instrText>
      </w:r>
      <w:r>
        <w:fldChar w:fldCharType="end"/>
      </w:r>
      <w:r>
        <w:t xml:space="preserve"> amidst one of the strongest employment cycles in Victoria’s history. Productivity</w:t>
      </w:r>
      <w:r>
        <w:fldChar w:fldCharType="begin"/>
      </w:r>
      <w:r>
        <w:instrText xml:space="preserve"> XE "</w:instrText>
      </w:r>
      <w:r w:rsidRPr="00D02DCA">
        <w:instrText>Productivity</w:instrText>
      </w:r>
      <w:r>
        <w:instrText xml:space="preserve">" </w:instrText>
      </w:r>
      <w:r>
        <w:fldChar w:fldCharType="end"/>
      </w:r>
      <w:r>
        <w:t xml:space="preserve"> also made a positive contribution, indicating that output per worker has increased even during a period of above</w:t>
      </w:r>
      <w:r>
        <w:noBreakHyphen/>
        <w:t>trend population and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t xml:space="preserve">. </w:t>
      </w:r>
    </w:p>
    <w:p w:rsidR="00F918C3" w:rsidRPr="002510BC" w:rsidRDefault="00F918C3" w:rsidP="007750B6">
      <w:pPr>
        <w:pStyle w:val="TableHeading"/>
      </w:pPr>
      <w:r w:rsidRPr="002510BC">
        <w:t>Chart 1.3:</w:t>
      </w:r>
      <w:r w:rsidRPr="002510BC">
        <w:tab/>
        <w:t>Selected economic indicators for Victoria and the rest of Australia, 2016</w:t>
      </w:r>
      <w:r>
        <w:noBreakHyphen/>
      </w:r>
      <w:r w:rsidRPr="002510BC">
        <w:t>17</w:t>
      </w:r>
    </w:p>
    <w:p w:rsidR="00F918C3" w:rsidRPr="002510BC" w:rsidRDefault="00A9166F" w:rsidP="007750B6">
      <w:r>
        <w:pict>
          <v:shape id="_x0000_i1027" type="#_x0000_t75" style="width:384.75pt;height:260.95pt">
            <v:imagedata r:id="rId22" o:title=""/>
          </v:shape>
        </w:pict>
      </w:r>
    </w:p>
    <w:p w:rsidR="00F918C3" w:rsidRPr="002510BC" w:rsidRDefault="00F918C3" w:rsidP="0068142B">
      <w:pPr>
        <w:pStyle w:val="Source"/>
      </w:pPr>
      <w:r w:rsidRPr="002510BC">
        <w:t>Source: Australian Bureau of Statistics</w:t>
      </w:r>
    </w:p>
    <w:p w:rsidR="00F918C3" w:rsidRPr="002510BC" w:rsidRDefault="00F918C3" w:rsidP="00200DDD">
      <w:pPr>
        <w:pStyle w:val="Heading10"/>
      </w:pPr>
      <w:bookmarkStart w:id="7" w:name="_Toc512629746"/>
      <w:r w:rsidRPr="002510BC">
        <w:t>Strong financial foundations</w:t>
      </w:r>
      <w:bookmarkEnd w:id="7"/>
    </w:p>
    <w:p w:rsidR="00F918C3" w:rsidRPr="00795D89" w:rsidRDefault="00F918C3" w:rsidP="009C416F">
      <w:r w:rsidRPr="00795D89">
        <w:t xml:space="preserve">The </w:t>
      </w:r>
      <w:r w:rsidRPr="00795D89">
        <w:rPr>
          <w:i/>
        </w:rPr>
        <w:t>2018</w:t>
      </w:r>
      <w:r>
        <w:rPr>
          <w:i/>
        </w:rPr>
        <w:noBreakHyphen/>
      </w:r>
      <w:r w:rsidRPr="00795D89">
        <w:rPr>
          <w:i/>
        </w:rPr>
        <w:t>19 Budget</w:t>
      </w:r>
      <w:r w:rsidRPr="00795D89">
        <w:t xml:space="preserve"> consolidates the Government’s demonstrated track record of responsible financial management</w:t>
      </w:r>
      <w:r>
        <w:fldChar w:fldCharType="begin"/>
      </w:r>
      <w:r>
        <w:instrText xml:space="preserve"> XE "</w:instrText>
      </w:r>
      <w:r w:rsidRPr="00D02DCA">
        <w:instrText>Financial management</w:instrText>
      </w:r>
      <w:r>
        <w:instrText xml:space="preserve">" </w:instrText>
      </w:r>
      <w:r>
        <w:fldChar w:fldCharType="end"/>
      </w:r>
      <w:r w:rsidRPr="00795D89">
        <w:t>.</w:t>
      </w:r>
    </w:p>
    <w:p w:rsidR="00F918C3" w:rsidRPr="002510BC" w:rsidRDefault="00F918C3" w:rsidP="009C416F">
      <w:r w:rsidRPr="00795D89">
        <w:t>The general government operating surplus</w:t>
      </w:r>
      <w:r>
        <w:fldChar w:fldCharType="begin"/>
      </w:r>
      <w:r>
        <w:instrText xml:space="preserve"> XE "</w:instrText>
      </w:r>
      <w:r w:rsidRPr="00D02DCA">
        <w:instrText>Operating surplus</w:instrText>
      </w:r>
      <w:r>
        <w:instrText xml:space="preserve">" </w:instrText>
      </w:r>
      <w:r>
        <w:fldChar w:fldCharType="end"/>
      </w:r>
      <w:r w:rsidRPr="00795D89">
        <w:t xml:space="preserve"> (net result from transactions) is estimated to be $1.4</w:t>
      </w:r>
      <w:r w:rsidR="006371F3">
        <w:t> billion</w:t>
      </w:r>
      <w:r w:rsidRPr="00795D89">
        <w:t xml:space="preserve"> in 2018</w:t>
      </w:r>
      <w:r>
        <w:noBreakHyphen/>
      </w:r>
      <w:r w:rsidRPr="00795D89">
        <w:t>19, and average $2.5</w:t>
      </w:r>
      <w:r w:rsidR="006371F3">
        <w:t> billion</w:t>
      </w:r>
      <w:r w:rsidRPr="00795D89">
        <w:t xml:space="preserve"> a year across the forward estimates. Over the next four years, revenue is expected to grow by an average of 4.0</w:t>
      </w:r>
      <w:r>
        <w:t> per cent</w:t>
      </w:r>
      <w:r w:rsidRPr="00795D89">
        <w:t xml:space="preserve"> a year, which is greater than average annual expenses growth of 3.9</w:t>
      </w:r>
      <w:r>
        <w:t> per cent</w:t>
      </w:r>
      <w:r w:rsidRPr="00795D89">
        <w:t xml:space="preserve">. </w:t>
      </w:r>
      <w:r>
        <w:t>Net debt</w:t>
      </w:r>
      <w:r>
        <w:fldChar w:fldCharType="begin"/>
      </w:r>
      <w:r>
        <w:instrText xml:space="preserve"> XE "</w:instrText>
      </w:r>
      <w:r w:rsidRPr="00D02DCA">
        <w:instrText>Debt:Net debt</w:instrText>
      </w:r>
      <w:r>
        <w:instrText xml:space="preserve">" </w:instrText>
      </w:r>
      <w:r>
        <w:fldChar w:fldCharType="end"/>
      </w:r>
      <w:r>
        <w:t xml:space="preserve"> as a percentage</w:t>
      </w:r>
      <w:r w:rsidRPr="00795D89">
        <w:t xml:space="preserve"> of GSP is expected to be 4.6</w:t>
      </w:r>
      <w:r>
        <w:t> per cent</w:t>
      </w:r>
      <w:r w:rsidRPr="00795D89">
        <w:t xml:space="preserve"> at June 2018 and increase to 6.0</w:t>
      </w:r>
      <w:r>
        <w:t> per cent</w:t>
      </w:r>
      <w:r w:rsidRPr="00795D89">
        <w:t xml:space="preserve"> by June 2021, and remain at that level in 2021</w:t>
      </w:r>
      <w:r>
        <w:noBreakHyphen/>
      </w:r>
      <w:r w:rsidRPr="00795D89">
        <w:t xml:space="preserve">22. </w:t>
      </w:r>
    </w:p>
    <w:p w:rsidR="00F918C3" w:rsidRPr="002510BC" w:rsidRDefault="00F918C3" w:rsidP="00F91E37">
      <w:pPr>
        <w:pStyle w:val="TableHeading"/>
        <w:spacing w:before="180"/>
        <w:rPr>
          <w:bCs/>
          <w:lang w:val="en-US"/>
        </w:rPr>
      </w:pPr>
      <w:r w:rsidRPr="002510BC">
        <w:t xml:space="preserve">Table 1.1: </w:t>
      </w:r>
      <w:r w:rsidRPr="002510BC">
        <w:tab/>
        <w:t>General government fiscal aggregates</w:t>
      </w:r>
      <w:r w:rsidRPr="002510BC">
        <w:rPr>
          <w:b w:val="0"/>
          <w:sz w:val="16"/>
          <w:vertAlign w:val="superscript"/>
        </w:rPr>
        <w:t>(a)</w:t>
      </w:r>
    </w:p>
    <w:tbl>
      <w:tblPr>
        <w:tblStyle w:val="DTFTable"/>
        <w:tblW w:w="7761" w:type="dxa"/>
        <w:tblInd w:w="45" w:type="dxa"/>
        <w:tblLayout w:type="fixed"/>
        <w:tblCellMar>
          <w:left w:w="45" w:type="dxa"/>
          <w:right w:w="45" w:type="dxa"/>
        </w:tblCellMar>
        <w:tblLook w:val="06E0" w:firstRow="1" w:lastRow="1" w:firstColumn="1" w:lastColumn="0" w:noHBand="1" w:noVBand="1"/>
      </w:tblPr>
      <w:tblGrid>
        <w:gridCol w:w="2069"/>
        <w:gridCol w:w="811"/>
        <w:gridCol w:w="811"/>
        <w:gridCol w:w="816"/>
        <w:gridCol w:w="811"/>
        <w:gridCol w:w="816"/>
        <w:gridCol w:w="811"/>
        <w:gridCol w:w="816"/>
      </w:tblGrid>
      <w:tr w:rsidR="00F918C3" w:rsidRPr="002510BC" w:rsidTr="00F91E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shd w:val="solid" w:color="000000" w:fill="FFFFFF"/>
          </w:tcPr>
          <w:p w:rsidR="00F918C3" w:rsidRPr="002510BC" w:rsidRDefault="00F918C3" w:rsidP="00F91E37">
            <w:pPr>
              <w:autoSpaceDE w:val="0"/>
              <w:autoSpaceDN w:val="0"/>
              <w:adjustRightInd w:val="0"/>
              <w:rPr>
                <w:rFonts w:eastAsiaTheme="minorEastAsia" w:cs="Calibri"/>
                <w:color w:val="000000"/>
                <w:szCs w:val="17"/>
                <w:lang w:eastAsia="en-AU"/>
              </w:rPr>
            </w:pPr>
            <w:r w:rsidRPr="002510BC">
              <w:rPr>
                <w:rFonts w:eastAsiaTheme="minorEastAsia" w:cs="Calibri"/>
                <w:color w:val="000000"/>
                <w:szCs w:val="17"/>
                <w:lang w:eastAsia="en-AU"/>
              </w:rPr>
              <w:t xml:space="preserve"> </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Unit of</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2016</w:t>
            </w:r>
            <w:r>
              <w:rPr>
                <w:rFonts w:eastAsiaTheme="minorEastAsia" w:cs="Calibri"/>
                <w:iCs/>
                <w:color w:val="FFFFFF"/>
                <w:szCs w:val="17"/>
                <w:lang w:eastAsia="en-AU"/>
              </w:rPr>
              <w:noBreakHyphen/>
            </w:r>
            <w:r w:rsidRPr="002510BC">
              <w:rPr>
                <w:rFonts w:eastAsiaTheme="minorEastAsia" w:cs="Calibri"/>
                <w:iCs/>
                <w:color w:val="FFFFFF"/>
                <w:szCs w:val="17"/>
                <w:lang w:eastAsia="en-AU"/>
              </w:rPr>
              <w:t>17</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2017</w:t>
            </w:r>
            <w:r>
              <w:rPr>
                <w:rFonts w:eastAsiaTheme="minorEastAsia" w:cs="Calibri"/>
                <w:iCs/>
                <w:color w:val="FFFFFF"/>
                <w:szCs w:val="17"/>
                <w:lang w:eastAsia="en-AU"/>
              </w:rPr>
              <w:noBreakHyphen/>
            </w:r>
            <w:r w:rsidRPr="002510BC">
              <w:rPr>
                <w:rFonts w:eastAsiaTheme="minorEastAsia" w:cs="Calibri"/>
                <w:iCs/>
                <w:color w:val="FFFFFF"/>
                <w:szCs w:val="17"/>
                <w:lang w:eastAsia="en-AU"/>
              </w:rPr>
              <w:t>18</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2018</w:t>
            </w:r>
            <w:r>
              <w:rPr>
                <w:rFonts w:eastAsiaTheme="minorEastAsia" w:cs="Calibri"/>
                <w:iCs/>
                <w:color w:val="FFFFFF"/>
                <w:szCs w:val="17"/>
                <w:lang w:eastAsia="en-AU"/>
              </w:rPr>
              <w:noBreakHyphen/>
            </w:r>
            <w:r w:rsidRPr="002510BC">
              <w:rPr>
                <w:rFonts w:eastAsiaTheme="minorEastAsia" w:cs="Calibri"/>
                <w:iCs/>
                <w:color w:val="FFFFFF"/>
                <w:szCs w:val="17"/>
                <w:lang w:eastAsia="en-AU"/>
              </w:rPr>
              <w:t>19</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2019</w:t>
            </w:r>
            <w:r>
              <w:rPr>
                <w:rFonts w:eastAsiaTheme="minorEastAsia" w:cs="Calibri"/>
                <w:iCs/>
                <w:color w:val="FFFFFF"/>
                <w:szCs w:val="17"/>
                <w:lang w:eastAsia="en-AU"/>
              </w:rPr>
              <w:noBreakHyphen/>
            </w:r>
            <w:r w:rsidRPr="002510BC">
              <w:rPr>
                <w:rFonts w:eastAsiaTheme="minorEastAsia" w:cs="Calibri"/>
                <w:iCs/>
                <w:color w:val="FFFFFF"/>
                <w:szCs w:val="17"/>
                <w:lang w:eastAsia="en-AU"/>
              </w:rPr>
              <w:t>20</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2020</w:t>
            </w:r>
            <w:r>
              <w:rPr>
                <w:rFonts w:eastAsiaTheme="minorEastAsia" w:cs="Calibri"/>
                <w:iCs/>
                <w:color w:val="FFFFFF"/>
                <w:szCs w:val="17"/>
                <w:lang w:eastAsia="en-AU"/>
              </w:rPr>
              <w:noBreakHyphen/>
            </w:r>
            <w:r w:rsidRPr="002510BC">
              <w:rPr>
                <w:rFonts w:eastAsiaTheme="minorEastAsia" w:cs="Calibri"/>
                <w:iCs/>
                <w:color w:val="FFFFFF"/>
                <w:szCs w:val="17"/>
                <w:lang w:eastAsia="en-AU"/>
              </w:rPr>
              <w:t>21</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2021</w:t>
            </w:r>
            <w:r>
              <w:rPr>
                <w:rFonts w:eastAsiaTheme="minorEastAsia" w:cs="Calibri"/>
                <w:iCs/>
                <w:color w:val="FFFFFF"/>
                <w:szCs w:val="17"/>
                <w:lang w:eastAsia="en-AU"/>
              </w:rPr>
              <w:noBreakHyphen/>
            </w:r>
            <w:r w:rsidRPr="002510BC">
              <w:rPr>
                <w:rFonts w:eastAsiaTheme="minorEastAsia" w:cs="Calibri"/>
                <w:iCs/>
                <w:color w:val="FFFFFF"/>
                <w:szCs w:val="17"/>
                <w:lang w:eastAsia="en-AU"/>
              </w:rPr>
              <w:t>22</w:t>
            </w:r>
          </w:p>
        </w:tc>
      </w:tr>
      <w:tr w:rsidR="00F918C3" w:rsidRPr="002510BC" w:rsidTr="00F91E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rPr>
                <w:rFonts w:eastAsiaTheme="minorEastAsia" w:cs="Calibri"/>
                <w:color w:val="000000"/>
                <w:szCs w:val="17"/>
                <w:lang w:eastAsia="en-AU"/>
              </w:rPr>
            </w:pPr>
            <w:r w:rsidRPr="002510BC">
              <w:rPr>
                <w:rFonts w:eastAsiaTheme="minorEastAsia" w:cs="Calibri"/>
                <w:color w:val="000000"/>
                <w:szCs w:val="17"/>
                <w:lang w:eastAsia="en-AU"/>
              </w:rPr>
              <w:t xml:space="preserve"> </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measure</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actual</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revised</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budget</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estimate</w:t>
            </w:r>
          </w:p>
        </w:tc>
        <w:tc>
          <w:tcPr>
            <w:tcW w:w="811"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estimate</w:t>
            </w:r>
          </w:p>
        </w:tc>
        <w:tc>
          <w:tcPr>
            <w:tcW w:w="816" w:type="dxa"/>
            <w:tcBorders>
              <w:top w:val="nil"/>
              <w:left w:val="nil"/>
              <w:bottom w:val="nil"/>
              <w:right w:val="nil"/>
            </w:tcBorders>
            <w:shd w:val="solid" w:color="000000" w:fill="FFFFFF"/>
          </w:tcPr>
          <w:p w:rsidR="00F918C3" w:rsidRPr="002510BC" w:rsidRDefault="00F918C3" w:rsidP="00F91E3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510BC">
              <w:rPr>
                <w:rFonts w:eastAsiaTheme="minorEastAsia" w:cs="Calibri"/>
                <w:iCs/>
                <w:color w:val="FFFFFF"/>
                <w:szCs w:val="17"/>
                <w:lang w:eastAsia="en-AU"/>
              </w:rPr>
              <w:t>estimate</w:t>
            </w:r>
          </w:p>
        </w:tc>
      </w:tr>
      <w:tr w:rsidR="00F918C3" w:rsidRPr="002510BC" w:rsidTr="00F91E37">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2510BC" w:rsidRDefault="00F918C3" w:rsidP="00F91E37">
            <w:pPr>
              <w:keepLines w:val="0"/>
              <w:autoSpaceDE w:val="0"/>
              <w:autoSpaceDN w:val="0"/>
              <w:adjustRightInd w:val="0"/>
              <w:rPr>
                <w:rFonts w:eastAsiaTheme="minorEastAsia" w:cs="Calibri"/>
                <w:color w:val="000000"/>
                <w:szCs w:val="17"/>
                <w:lang w:eastAsia="en-AU"/>
              </w:rPr>
            </w:pPr>
            <w:r w:rsidRPr="002510BC">
              <w:rPr>
                <w:rFonts w:eastAsiaTheme="minorEastAsia" w:cs="Calibri"/>
                <w:color w:val="000000"/>
                <w:szCs w:val="17"/>
                <w:lang w:eastAsia="en-AU"/>
              </w:rPr>
              <w:t>Net result from transactions</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2.7</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2.0</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1.4</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2.0</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2.7</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2.9</w:t>
            </w:r>
          </w:p>
        </w:tc>
      </w:tr>
      <w:tr w:rsidR="00F918C3" w:rsidRPr="002510BC" w:rsidTr="00F91E37">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2510BC" w:rsidRDefault="00F918C3" w:rsidP="009A6836">
            <w:pPr>
              <w:keepLines w:val="0"/>
              <w:autoSpaceDE w:val="0"/>
              <w:autoSpaceDN w:val="0"/>
              <w:adjustRightInd w:val="0"/>
              <w:rPr>
                <w:rFonts w:eastAsiaTheme="minorEastAsia" w:cs="Calibri"/>
                <w:color w:val="000000"/>
                <w:szCs w:val="17"/>
                <w:lang w:eastAsia="en-AU"/>
              </w:rPr>
            </w:pPr>
            <w:r w:rsidRPr="002510BC">
              <w:rPr>
                <w:rFonts w:eastAsiaTheme="minorEastAsia" w:cs="Calibri"/>
                <w:color w:val="000000"/>
                <w:szCs w:val="17"/>
                <w:lang w:eastAsia="en-AU"/>
              </w:rPr>
              <w:t xml:space="preserve">Government infrastructure investment </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9.1</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11.6</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13.7</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10.0</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8.9</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7.6</w:t>
            </w:r>
          </w:p>
        </w:tc>
      </w:tr>
      <w:tr w:rsidR="00F918C3" w:rsidRPr="002510BC" w:rsidTr="00F91E37">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2510BC" w:rsidRDefault="00F918C3" w:rsidP="009A6836">
            <w:pPr>
              <w:keepLines w:val="0"/>
              <w:autoSpaceDE w:val="0"/>
              <w:autoSpaceDN w:val="0"/>
              <w:adjustRightInd w:val="0"/>
              <w:rPr>
                <w:rFonts w:eastAsiaTheme="minorEastAsia" w:cs="Calibri"/>
                <w:color w:val="000000"/>
                <w:szCs w:val="17"/>
                <w:lang w:eastAsia="en-AU"/>
              </w:rPr>
            </w:pPr>
            <w:r w:rsidRPr="002510BC">
              <w:rPr>
                <w:rFonts w:eastAsiaTheme="minorEastAsia" w:cs="Calibri"/>
                <w:color w:val="000000"/>
                <w:szCs w:val="17"/>
                <w:lang w:eastAsia="en-AU"/>
              </w:rPr>
              <w:t>Net debt</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510BC">
              <w:rPr>
                <w:rFonts w:eastAsiaTheme="minorEastAsia" w:cs="Calibri"/>
                <w:color w:val="000000"/>
                <w:szCs w:val="17"/>
                <w:lang w:eastAsia="en-AU"/>
              </w:rPr>
              <w:t>15.8</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19.6</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24.3</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28.0</w:t>
            </w:r>
          </w:p>
        </w:tc>
        <w:tc>
          <w:tcPr>
            <w:tcW w:w="811"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29.8</w:t>
            </w:r>
          </w:p>
        </w:tc>
        <w:tc>
          <w:tcPr>
            <w:tcW w:w="816" w:type="dxa"/>
            <w:tcBorders>
              <w:top w:val="nil"/>
              <w:left w:val="nil"/>
              <w:bottom w:val="nil"/>
              <w:right w:val="nil"/>
            </w:tcBorders>
          </w:tcPr>
          <w:p w:rsidR="00F918C3" w:rsidRPr="002510BC" w:rsidRDefault="00F918C3" w:rsidP="00F91E3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2510BC">
              <w:rPr>
                <w:rFonts w:eastAsiaTheme="minorEastAsia" w:cs="Calibri"/>
                <w:color w:val="000000"/>
                <w:szCs w:val="18"/>
                <w:lang w:eastAsia="en-AU"/>
              </w:rPr>
              <w:t>31.4</w:t>
            </w:r>
          </w:p>
        </w:tc>
      </w:tr>
      <w:tr w:rsidR="00F918C3" w:rsidRPr="00476712" w:rsidTr="00F91E3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top w:val="nil"/>
              <w:bottom w:val="single" w:sz="12" w:space="0" w:color="auto"/>
            </w:tcBorders>
          </w:tcPr>
          <w:p w:rsidR="00F918C3" w:rsidRPr="00476712" w:rsidRDefault="00F918C3" w:rsidP="009A6836">
            <w:pPr>
              <w:keepLines w:val="0"/>
              <w:autoSpaceDE w:val="0"/>
              <w:autoSpaceDN w:val="0"/>
              <w:adjustRightInd w:val="0"/>
              <w:rPr>
                <w:rFonts w:eastAsiaTheme="minorEastAsia" w:cs="Calibri"/>
                <w:b w:val="0"/>
                <w:color w:val="000000"/>
                <w:szCs w:val="17"/>
                <w:lang w:eastAsia="en-AU"/>
              </w:rPr>
            </w:pPr>
            <w:r w:rsidRPr="00476712">
              <w:rPr>
                <w:rFonts w:eastAsiaTheme="minorEastAsia" w:cs="Calibri"/>
                <w:b w:val="0"/>
                <w:color w:val="000000"/>
                <w:szCs w:val="17"/>
                <w:lang w:eastAsia="en-AU"/>
              </w:rPr>
              <w:t xml:space="preserve">Net debt to GSP </w:t>
            </w:r>
          </w:p>
        </w:tc>
        <w:tc>
          <w:tcPr>
            <w:tcW w:w="811" w:type="dxa"/>
            <w:tcBorders>
              <w:top w:val="nil"/>
              <w:bottom w:val="single" w:sz="12" w:space="0" w:color="auto"/>
            </w:tcBorders>
          </w:tcPr>
          <w:p w:rsidR="00F918C3" w:rsidRPr="00476712" w:rsidRDefault="00F918C3" w:rsidP="00F91E37">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476712">
              <w:rPr>
                <w:rFonts w:eastAsiaTheme="minorEastAsia" w:cs="Calibri"/>
                <w:b w:val="0"/>
                <w:color w:val="000000"/>
                <w:szCs w:val="17"/>
                <w:lang w:eastAsia="en-AU"/>
              </w:rPr>
              <w:t>per cent</w:t>
            </w:r>
          </w:p>
        </w:tc>
        <w:tc>
          <w:tcPr>
            <w:tcW w:w="811"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476712">
              <w:rPr>
                <w:rFonts w:eastAsiaTheme="minorEastAsia" w:cs="Calibri"/>
                <w:b w:val="0"/>
                <w:color w:val="000000"/>
                <w:szCs w:val="17"/>
                <w:lang w:eastAsia="en-AU"/>
              </w:rPr>
              <w:t>3.9</w:t>
            </w:r>
          </w:p>
        </w:tc>
        <w:tc>
          <w:tcPr>
            <w:tcW w:w="816"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8"/>
                <w:lang w:eastAsia="en-AU"/>
              </w:rPr>
            </w:pPr>
            <w:r w:rsidRPr="00476712">
              <w:rPr>
                <w:rFonts w:eastAsiaTheme="minorEastAsia" w:cs="Calibri"/>
                <w:b w:val="0"/>
                <w:color w:val="000000"/>
                <w:szCs w:val="18"/>
                <w:lang w:eastAsia="en-AU"/>
              </w:rPr>
              <w:t>4.6</w:t>
            </w:r>
          </w:p>
        </w:tc>
        <w:tc>
          <w:tcPr>
            <w:tcW w:w="811"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8"/>
                <w:lang w:eastAsia="en-AU"/>
              </w:rPr>
            </w:pPr>
            <w:r w:rsidRPr="00476712">
              <w:rPr>
                <w:rFonts w:eastAsiaTheme="minorEastAsia" w:cs="Calibri"/>
                <w:b w:val="0"/>
                <w:color w:val="000000"/>
                <w:szCs w:val="18"/>
                <w:lang w:eastAsia="en-AU"/>
              </w:rPr>
              <w:t>5.4</w:t>
            </w:r>
          </w:p>
        </w:tc>
        <w:tc>
          <w:tcPr>
            <w:tcW w:w="816"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8"/>
                <w:lang w:eastAsia="en-AU"/>
              </w:rPr>
            </w:pPr>
            <w:r w:rsidRPr="00476712">
              <w:rPr>
                <w:rFonts w:eastAsiaTheme="minorEastAsia" w:cs="Calibri"/>
                <w:b w:val="0"/>
                <w:color w:val="000000"/>
                <w:szCs w:val="18"/>
                <w:lang w:eastAsia="en-AU"/>
              </w:rPr>
              <w:t>5.9</w:t>
            </w:r>
          </w:p>
        </w:tc>
        <w:tc>
          <w:tcPr>
            <w:tcW w:w="811"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8"/>
                <w:lang w:eastAsia="en-AU"/>
              </w:rPr>
            </w:pPr>
            <w:r w:rsidRPr="00476712">
              <w:rPr>
                <w:rFonts w:eastAsiaTheme="minorEastAsia" w:cs="Calibri"/>
                <w:b w:val="0"/>
                <w:color w:val="000000"/>
                <w:szCs w:val="18"/>
                <w:lang w:eastAsia="en-AU"/>
              </w:rPr>
              <w:t>6.0</w:t>
            </w:r>
          </w:p>
        </w:tc>
        <w:tc>
          <w:tcPr>
            <w:tcW w:w="816" w:type="dxa"/>
            <w:tcBorders>
              <w:top w:val="nil"/>
              <w:bottom w:val="single" w:sz="12" w:space="0" w:color="auto"/>
            </w:tcBorders>
          </w:tcPr>
          <w:p w:rsidR="00F918C3" w:rsidRPr="00476712" w:rsidRDefault="00F918C3" w:rsidP="00F91E3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8"/>
                <w:lang w:eastAsia="en-AU"/>
              </w:rPr>
            </w:pPr>
            <w:r w:rsidRPr="00476712">
              <w:rPr>
                <w:rFonts w:eastAsiaTheme="minorEastAsia" w:cs="Calibri"/>
                <w:b w:val="0"/>
                <w:color w:val="000000"/>
                <w:szCs w:val="18"/>
                <w:lang w:eastAsia="en-AU"/>
              </w:rPr>
              <w:t>6.0</w:t>
            </w:r>
          </w:p>
        </w:tc>
      </w:tr>
    </w:tbl>
    <w:p w:rsidR="00F918C3" w:rsidRPr="002510BC" w:rsidRDefault="00F918C3" w:rsidP="00F91E37">
      <w:pPr>
        <w:pStyle w:val="Source"/>
      </w:pPr>
      <w:r w:rsidRPr="002510BC">
        <w:t>Source: Department of Treasury and Finance</w:t>
      </w:r>
    </w:p>
    <w:p w:rsidR="00F918C3" w:rsidRPr="002510BC" w:rsidRDefault="00F918C3" w:rsidP="004F28EA">
      <w:pPr>
        <w:pStyle w:val="Note"/>
      </w:pPr>
      <w:r w:rsidRPr="002510BC">
        <w:t>Note:</w:t>
      </w:r>
    </w:p>
    <w:p w:rsidR="00F918C3" w:rsidRPr="002510BC" w:rsidRDefault="00F918C3" w:rsidP="009542AF">
      <w:pPr>
        <w:pStyle w:val="Note"/>
      </w:pPr>
      <w:r w:rsidRPr="002510BC">
        <w:t xml:space="preserve">(a) </w:t>
      </w:r>
      <w:r w:rsidRPr="002510BC">
        <w:tab/>
        <w:t xml:space="preserve">Refer to Budget Paper </w:t>
      </w:r>
      <w:r>
        <w:t xml:space="preserve">No. </w:t>
      </w:r>
      <w:r w:rsidRPr="002510BC">
        <w:t xml:space="preserve">2 </w:t>
      </w:r>
      <w:r>
        <w:t xml:space="preserve">, </w:t>
      </w:r>
      <w:r w:rsidRPr="002510BC">
        <w:t>Chapter 4</w:t>
      </w:r>
      <w:r>
        <w:t>,</w:t>
      </w:r>
      <w:r w:rsidRPr="002510BC">
        <w:t xml:space="preserve"> </w:t>
      </w:r>
      <w:r>
        <w:t>T</w:t>
      </w:r>
      <w:r w:rsidRPr="002510BC">
        <w:t>able 4.1 for notes on interpretation of key aggregates.</w:t>
      </w:r>
    </w:p>
    <w:p w:rsidR="00F918C3" w:rsidRPr="002510BC" w:rsidRDefault="00F918C3" w:rsidP="00222C5E">
      <w:r w:rsidRPr="002510BC">
        <w:t>In each of its four budgets the Government has adhered to a clear and robust fiscal framework, enabling investments in services and infrastructure to meet the needs of a growing population while maintaining net debt</w:t>
      </w:r>
      <w:r>
        <w:fldChar w:fldCharType="begin"/>
      </w:r>
      <w:r>
        <w:instrText xml:space="preserve"> XE "</w:instrText>
      </w:r>
      <w:r w:rsidRPr="00D02DCA">
        <w:instrText>Debt:Net debt</w:instrText>
      </w:r>
      <w:r>
        <w:instrText xml:space="preserve">" </w:instrText>
      </w:r>
      <w:r>
        <w:fldChar w:fldCharType="end"/>
      </w:r>
      <w:r w:rsidRPr="002510BC">
        <w:t xml:space="preserve"> </w:t>
      </w:r>
      <w:r>
        <w:t xml:space="preserve">as a percentage of GSP at </w:t>
      </w:r>
      <w:r w:rsidRPr="002510BC">
        <w:t>no greater than its peak over the previous five years.</w:t>
      </w:r>
      <w:r>
        <w:fldChar w:fldCharType="begin"/>
      </w:r>
      <w:r>
        <w:instrText xml:space="preserve"> XE "</w:instrText>
      </w:r>
      <w:r w:rsidRPr="00C6266A">
        <w:instrText>Gross state product</w:instrText>
      </w:r>
      <w:r>
        <w:instrText xml:space="preserve">" \r "BP2Ch1GSP" </w:instrText>
      </w:r>
      <w:r>
        <w:fldChar w:fldCharType="end"/>
      </w:r>
    </w:p>
    <w:bookmarkEnd w:id="5"/>
    <w:p w:rsidR="00F918C3" w:rsidRPr="002510BC" w:rsidRDefault="00F918C3" w:rsidP="009C416F">
      <w:r w:rsidRPr="002510BC">
        <w:t xml:space="preserve">The </w:t>
      </w:r>
      <w:r w:rsidRPr="002510BC">
        <w:rPr>
          <w:i/>
        </w:rPr>
        <w:t>2018</w:t>
      </w:r>
      <w:r>
        <w:rPr>
          <w:i/>
        </w:rPr>
        <w:noBreakHyphen/>
      </w:r>
      <w:r w:rsidRPr="002510BC">
        <w:rPr>
          <w:i/>
        </w:rPr>
        <w:t xml:space="preserve">19 Budget </w:t>
      </w:r>
      <w:r w:rsidRPr="002510BC">
        <w:t>funds $9.4</w:t>
      </w:r>
      <w:r w:rsidR="006371F3">
        <w:t> billion</w:t>
      </w:r>
      <w:r w:rsidRPr="002510BC">
        <w:t xml:space="preserve"> of new output initiatives with major funding increases for skills</w:t>
      </w:r>
      <w:r>
        <w:fldChar w:fldCharType="begin"/>
      </w:r>
      <w:r>
        <w:instrText xml:space="preserve"> XE "</w:instrText>
      </w:r>
      <w:r w:rsidRPr="00D02DCA">
        <w:instrText>Skills</w:instrText>
      </w:r>
      <w:r>
        <w:instrText xml:space="preserve">" </w:instrText>
      </w:r>
      <w:r>
        <w:fldChar w:fldCharType="end"/>
      </w:r>
      <w:r w:rsidRPr="002510BC">
        <w:t>, schools</w:t>
      </w:r>
      <w:r>
        <w:fldChar w:fldCharType="begin"/>
      </w:r>
      <w:r>
        <w:instrText xml:space="preserve"> XE "</w:instrText>
      </w:r>
      <w:r w:rsidRPr="00D02DCA">
        <w:instrText>Schools</w:instrText>
      </w:r>
      <w:r>
        <w:instrText xml:space="preserve">" </w:instrText>
      </w:r>
      <w:r>
        <w:fldChar w:fldCharType="end"/>
      </w:r>
      <w:r w:rsidRPr="002510BC">
        <w:t>, health, mental health</w:t>
      </w:r>
      <w:r>
        <w:fldChar w:fldCharType="begin"/>
      </w:r>
      <w:r>
        <w:instrText xml:space="preserve"> XE "</w:instrText>
      </w:r>
      <w:r w:rsidRPr="00D02DCA">
        <w:instrText>Health:</w:instrText>
      </w:r>
      <w:r>
        <w:instrText xml:space="preserve">Mental health" </w:instrText>
      </w:r>
      <w:r>
        <w:fldChar w:fldCharType="end"/>
      </w:r>
      <w:r w:rsidRPr="002510BC">
        <w:t xml:space="preserve"> and community safety</w:t>
      </w:r>
      <w:r>
        <w:fldChar w:fldCharType="begin"/>
      </w:r>
      <w:r>
        <w:instrText xml:space="preserve"> XE "</w:instrText>
      </w:r>
      <w:r w:rsidRPr="00D02DCA">
        <w:instrText>Safety</w:instrText>
      </w:r>
      <w:r>
        <w:instrText xml:space="preserve">" </w:instrText>
      </w:r>
      <w:r>
        <w:fldChar w:fldCharType="end"/>
      </w:r>
      <w:r w:rsidRPr="002510BC">
        <w:t>.</w:t>
      </w:r>
    </w:p>
    <w:p w:rsidR="00F918C3" w:rsidRPr="002510BC" w:rsidRDefault="00F918C3" w:rsidP="007009BF">
      <w:r w:rsidRPr="00795D89">
        <w:t xml:space="preserve">The </w:t>
      </w:r>
      <w:r w:rsidRPr="00795D89">
        <w:rPr>
          <w:i/>
        </w:rPr>
        <w:t>2018</w:t>
      </w:r>
      <w:r>
        <w:rPr>
          <w:i/>
        </w:rPr>
        <w:noBreakHyphen/>
      </w:r>
      <w:r w:rsidRPr="00795D89">
        <w:rPr>
          <w:i/>
        </w:rPr>
        <w:t xml:space="preserve">19 Budget </w:t>
      </w:r>
      <w:r w:rsidRPr="00795D89">
        <w:t>also funds a further $9.3</w:t>
      </w:r>
      <w:r w:rsidR="006371F3">
        <w:t> billion</w:t>
      </w:r>
      <w:r w:rsidRPr="00795D89">
        <w:t xml:space="preserve"> in new asset initiatives, underscoring the Government’s commitment to building productivity</w:t>
      </w:r>
      <w:r>
        <w:noBreakHyphen/>
      </w:r>
      <w:r w:rsidRPr="00795D89">
        <w:t>enhancing infrastructure that will create jobs, drive economic growth</w:t>
      </w:r>
      <w:r>
        <w:fldChar w:fldCharType="begin"/>
      </w:r>
      <w:r>
        <w:instrText xml:space="preserve"> XE "</w:instrText>
      </w:r>
      <w:r w:rsidRPr="00D02DCA">
        <w:instrText>Economic growth</w:instrText>
      </w:r>
      <w:r>
        <w:instrText xml:space="preserve">" </w:instrText>
      </w:r>
      <w:r>
        <w:fldChar w:fldCharType="end"/>
      </w:r>
      <w:r w:rsidRPr="00795D89">
        <w:t xml:space="preserve"> and improve living standards for all Victorians.</w:t>
      </w:r>
      <w:r w:rsidRPr="002510BC">
        <w:t xml:space="preserve"> Overall, government infrastructure investment</w:t>
      </w:r>
      <w:r w:rsidR="008C27C4">
        <w:fldChar w:fldCharType="begin"/>
      </w:r>
      <w:r w:rsidR="008C27C4">
        <w:instrText xml:space="preserve"> XE "</w:instrText>
      </w:r>
      <w:r w:rsidR="008C27C4" w:rsidRPr="00D02DCA">
        <w:instrText>Government infrastructure investment</w:instrText>
      </w:r>
      <w:r w:rsidR="008C27C4">
        <w:instrText xml:space="preserve">" </w:instrText>
      </w:r>
      <w:r w:rsidR="008C27C4">
        <w:fldChar w:fldCharType="end"/>
      </w:r>
      <w:r w:rsidR="008C27C4">
        <w:t>f</w:t>
      </w:r>
      <w:r w:rsidRPr="002510BC">
        <w:t xml:space="preserve"> is forecast to average $10.1</w:t>
      </w:r>
      <w:r w:rsidR="006371F3">
        <w:t> billion</w:t>
      </w:r>
      <w:r w:rsidRPr="002510BC">
        <w:t xml:space="preserve"> a year over the budget and forward estimates, more than double the average of $4.9</w:t>
      </w:r>
      <w:r w:rsidR="006371F3">
        <w:t> billion</w:t>
      </w:r>
      <w:r w:rsidRPr="002510BC">
        <w:t xml:space="preserve"> a year from 2005</w:t>
      </w:r>
      <w:r>
        <w:noBreakHyphen/>
      </w:r>
      <w:r w:rsidRPr="002510BC">
        <w:t>06 to 2014</w:t>
      </w:r>
      <w:r>
        <w:noBreakHyphen/>
      </w:r>
      <w:r w:rsidRPr="002510BC">
        <w:t xml:space="preserve">15 (Chart 1.4). </w:t>
      </w:r>
    </w:p>
    <w:p w:rsidR="00F918C3" w:rsidRPr="002510BC" w:rsidRDefault="00F918C3" w:rsidP="00F91E37">
      <w:pPr>
        <w:pStyle w:val="TableHeading"/>
        <w:rPr>
          <w:vertAlign w:val="superscript"/>
        </w:rPr>
      </w:pPr>
      <w:r w:rsidRPr="002510BC">
        <w:t>Chart 1.4:</w:t>
      </w:r>
      <w:r w:rsidRPr="002510BC">
        <w:tab/>
        <w:t xml:space="preserve">Government infrastructure investment </w:t>
      </w:r>
      <w:r w:rsidRPr="002510BC">
        <w:rPr>
          <w:vertAlign w:val="superscript"/>
        </w:rPr>
        <w:t>(a)</w:t>
      </w:r>
      <w:r>
        <w:rPr>
          <w:vertAlign w:val="superscript"/>
        </w:rPr>
        <w:t>(b)</w:t>
      </w:r>
    </w:p>
    <w:p w:rsidR="00F918C3" w:rsidRPr="002510BC" w:rsidRDefault="00A9166F" w:rsidP="00F91E37">
      <w:r>
        <w:pict>
          <v:shape id="_x0000_i1028" type="#_x0000_t75" style="width:384.2pt;height:262.65pt">
            <v:imagedata r:id="rId23" o:title=""/>
          </v:shape>
        </w:pict>
      </w:r>
    </w:p>
    <w:p w:rsidR="00F918C3" w:rsidRPr="002510BC" w:rsidRDefault="00F918C3" w:rsidP="008E65F8">
      <w:pPr>
        <w:pStyle w:val="Source"/>
      </w:pPr>
      <w:r w:rsidRPr="002510BC">
        <w:t>Source: Department of Treasury and Finance</w:t>
      </w:r>
    </w:p>
    <w:p w:rsidR="00F918C3" w:rsidRPr="00AC1CD8" w:rsidRDefault="00F918C3" w:rsidP="00354086">
      <w:pPr>
        <w:pStyle w:val="Note"/>
      </w:pPr>
      <w:r w:rsidRPr="00AC1CD8">
        <w:t>Notes:</w:t>
      </w:r>
    </w:p>
    <w:p w:rsidR="00F918C3" w:rsidRDefault="00F918C3" w:rsidP="006901E3">
      <w:pPr>
        <w:pStyle w:val="Note"/>
      </w:pPr>
      <w:r w:rsidRPr="00AC1CD8">
        <w:t>(a)</w:t>
      </w:r>
      <w:r w:rsidRPr="00AC1CD8">
        <w:tab/>
        <w:t xml:space="preserve">Refer to </w:t>
      </w:r>
      <w:r>
        <w:t xml:space="preserve">Budget Paper No. 2, Chapter 4, Chart 4.1 for notes on interpretation of </w:t>
      </w:r>
      <w:r w:rsidRPr="00AC1CD8">
        <w:t>general government infrastructure investment</w:t>
      </w:r>
      <w:r w:rsidR="008C27C4">
        <w:fldChar w:fldCharType="begin"/>
      </w:r>
      <w:r w:rsidR="008C27C4">
        <w:instrText xml:space="preserve"> XE "</w:instrText>
      </w:r>
      <w:r w:rsidR="008C27C4" w:rsidRPr="00D02DCA">
        <w:instrText>Government infrastructure investment</w:instrText>
      </w:r>
      <w:r w:rsidR="008C27C4">
        <w:instrText xml:space="preserve">" </w:instrText>
      </w:r>
      <w:r w:rsidR="008C27C4">
        <w:fldChar w:fldCharType="end"/>
      </w:r>
      <w:r w:rsidRPr="00AC1CD8">
        <w:t>.</w:t>
      </w:r>
      <w:r w:rsidRPr="002510BC">
        <w:t xml:space="preserve"> </w:t>
      </w:r>
    </w:p>
    <w:p w:rsidR="00F918C3" w:rsidRDefault="00F918C3" w:rsidP="00AC1CD8">
      <w:pPr>
        <w:pStyle w:val="Note"/>
      </w:pPr>
      <w:r>
        <w:t>(b</w:t>
      </w:r>
      <w:r w:rsidRPr="00AC1CD8">
        <w:t>)</w:t>
      </w:r>
      <w:r w:rsidRPr="00AC1CD8">
        <w:tab/>
      </w:r>
      <w:r>
        <w:t>The figure for 2017</w:t>
      </w:r>
      <w:r>
        <w:noBreakHyphen/>
        <w:t>18 is an estimate.</w:t>
      </w:r>
    </w:p>
    <w:p w:rsidR="00F918C3" w:rsidRPr="002510BC" w:rsidRDefault="00F918C3" w:rsidP="006901E3">
      <w:pPr>
        <w:pStyle w:val="Note"/>
      </w:pPr>
    </w:p>
    <w:p w:rsidR="00F918C3" w:rsidRPr="002510BC" w:rsidRDefault="00F918C3">
      <w:pPr>
        <w:keepLines w:val="0"/>
      </w:pPr>
      <w:r w:rsidRPr="002510BC">
        <w:br w:type="page"/>
      </w:r>
    </w:p>
    <w:p w:rsidR="00F918C3" w:rsidRPr="00795D89" w:rsidRDefault="00F918C3" w:rsidP="00650F11">
      <w:r w:rsidRPr="002510BC">
        <w:t>The Government’s record infrastructure program has been supported by its innovative approach of recycling assets to fund new capital projects. Following the success of the $9.7</w:t>
      </w:r>
      <w:r w:rsidR="006371F3">
        <w:t> billion</w:t>
      </w:r>
      <w:r w:rsidRPr="002510BC">
        <w:t xml:space="preserve"> lease of the operations of the Port of Melbourne, the Government recently agreed to terms for the sale of Victoria’s share of Snowy Hydro Limited</w:t>
      </w:r>
      <w:r w:rsidR="008C27C4">
        <w:fldChar w:fldCharType="begin"/>
      </w:r>
      <w:r w:rsidR="008C27C4">
        <w:instrText xml:space="preserve"> XE "</w:instrText>
      </w:r>
      <w:r w:rsidR="008C27C4" w:rsidRPr="00D9222F">
        <w:instrText>Snowy Hydro Limited</w:instrText>
      </w:r>
      <w:r w:rsidR="008C27C4">
        <w:instrText xml:space="preserve">" </w:instrText>
      </w:r>
      <w:r w:rsidR="008C27C4">
        <w:fldChar w:fldCharType="end"/>
      </w:r>
      <w:r w:rsidRPr="002510BC">
        <w:t xml:space="preserve"> to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2510BC">
        <w:t xml:space="preserve"> for $2.1</w:t>
      </w:r>
      <w:r w:rsidR="006371F3">
        <w:t> billion</w:t>
      </w:r>
      <w:r w:rsidRPr="002510BC">
        <w:t xml:space="preserve">, more than half of which will be invested in regional </w:t>
      </w:r>
      <w:r w:rsidRPr="00795D89">
        <w:t>Victoria.</w:t>
      </w:r>
      <w:r w:rsidRPr="00795D89">
        <w:rPr>
          <w:rStyle w:val="FootnoteReference"/>
        </w:rPr>
        <w:footnoteReference w:id="1"/>
      </w:r>
      <w:r w:rsidRPr="00795D89">
        <w:t xml:space="preserve"> The Government is also in the process of commercialising land titles and registry functions of Land Use Victoria</w:t>
      </w:r>
      <w:r w:rsidR="008C27C4">
        <w:fldChar w:fldCharType="begin"/>
      </w:r>
      <w:r w:rsidR="008C27C4">
        <w:instrText xml:space="preserve"> XE "</w:instrText>
      </w:r>
      <w:r w:rsidR="008C27C4" w:rsidRPr="00491595">
        <w:instrText>Land Use Victoria</w:instrText>
      </w:r>
      <w:r w:rsidR="008C27C4">
        <w:instrText xml:space="preserve">" </w:instrText>
      </w:r>
      <w:r w:rsidR="008C27C4">
        <w:fldChar w:fldCharType="end"/>
      </w:r>
      <w:r w:rsidRPr="00795D89">
        <w:t>.</w:t>
      </w:r>
    </w:p>
    <w:p w:rsidR="00F918C3" w:rsidRPr="002510BC" w:rsidRDefault="00F918C3" w:rsidP="00650F11">
      <w:r w:rsidRPr="00795D89">
        <w:t>Asset recycling</w:t>
      </w:r>
      <w:r>
        <w:fldChar w:fldCharType="begin"/>
      </w:r>
      <w:r>
        <w:instrText xml:space="preserve"> XE "</w:instrText>
      </w:r>
      <w:r w:rsidRPr="00D02DCA">
        <w:instrText>Asset recycling</w:instrText>
      </w:r>
      <w:r>
        <w:instrText xml:space="preserve">" </w:instrText>
      </w:r>
      <w:r>
        <w:fldChar w:fldCharType="end"/>
      </w:r>
      <w:r w:rsidRPr="00795D89">
        <w:t xml:space="preserve"> releases</w:t>
      </w:r>
      <w:r w:rsidR="006371F3">
        <w:t> billion</w:t>
      </w:r>
      <w:r w:rsidRPr="00795D89">
        <w:t xml:space="preserve">s of dollars tied up in mature assets to reinvest in infrastructure, generating thousands of jobs across </w:t>
      </w:r>
      <w:r>
        <w:t>Victoria</w:t>
      </w:r>
      <w:r w:rsidRPr="00795D89">
        <w:t xml:space="preserve"> and improving</w:t>
      </w:r>
      <w:r w:rsidRPr="002510BC">
        <w:t xml:space="preserve"> economic productivity.</w:t>
      </w:r>
    </w:p>
    <w:p w:rsidR="00F918C3" w:rsidRPr="002510BC" w:rsidRDefault="00F918C3" w:rsidP="00011B47">
      <w:r w:rsidRPr="002510BC">
        <w:t xml:space="preserve">The </w:t>
      </w:r>
      <w:r w:rsidRPr="002510BC">
        <w:rPr>
          <w:i/>
        </w:rPr>
        <w:t>2018</w:t>
      </w:r>
      <w:r>
        <w:rPr>
          <w:i/>
        </w:rPr>
        <w:noBreakHyphen/>
      </w:r>
      <w:r w:rsidRPr="002510BC">
        <w:rPr>
          <w:i/>
        </w:rPr>
        <w:t xml:space="preserve">19 Budget </w:t>
      </w:r>
      <w:r w:rsidRPr="002510BC">
        <w:t>reflects the Government’s long</w:t>
      </w:r>
      <w:r>
        <w:noBreakHyphen/>
      </w:r>
      <w:r w:rsidRPr="002510BC">
        <w:t>term financial management</w:t>
      </w:r>
      <w:r>
        <w:fldChar w:fldCharType="begin"/>
      </w:r>
      <w:r>
        <w:instrText xml:space="preserve"> XE "</w:instrText>
      </w:r>
      <w:r w:rsidRPr="00D02DCA">
        <w:instrText>Financial management</w:instrText>
      </w:r>
      <w:r>
        <w:instrText xml:space="preserve">" </w:instrText>
      </w:r>
      <w:r>
        <w:fldChar w:fldCharType="end"/>
      </w:r>
      <w:r w:rsidRPr="002510BC">
        <w:t xml:space="preserve"> objectives as set out in Table 1.2.</w:t>
      </w:r>
    </w:p>
    <w:p w:rsidR="00F918C3" w:rsidRPr="002510BC" w:rsidRDefault="00F918C3" w:rsidP="00711F09">
      <w:pPr>
        <w:pStyle w:val="TableHeading"/>
      </w:pPr>
      <w:r w:rsidRPr="002510BC">
        <w:t xml:space="preserve">Table 1.2: </w:t>
      </w:r>
      <w:r w:rsidRPr="002510BC">
        <w:tab/>
        <w:t>Long</w:t>
      </w:r>
      <w:r>
        <w:noBreakHyphen/>
      </w:r>
      <w:r w:rsidRPr="002510BC">
        <w:t>term financial management objectives</w:t>
      </w:r>
    </w:p>
    <w:tbl>
      <w:tblPr>
        <w:tblStyle w:val="DTFTable"/>
        <w:tblW w:w="7767" w:type="dxa"/>
        <w:tblInd w:w="45" w:type="dxa"/>
        <w:tblLayout w:type="fixed"/>
        <w:tblCellMar>
          <w:left w:w="45" w:type="dxa"/>
          <w:right w:w="45" w:type="dxa"/>
        </w:tblCellMar>
        <w:tblLook w:val="0620" w:firstRow="1" w:lastRow="0" w:firstColumn="0" w:lastColumn="0" w:noHBand="1" w:noVBand="1"/>
      </w:tblPr>
      <w:tblGrid>
        <w:gridCol w:w="2340"/>
        <w:gridCol w:w="5427"/>
      </w:tblGrid>
      <w:tr w:rsidR="00F918C3" w:rsidRPr="002510BC" w:rsidTr="00711F09">
        <w:trPr>
          <w:cnfStyle w:val="100000000000" w:firstRow="1" w:lastRow="0" w:firstColumn="0" w:lastColumn="0" w:oddVBand="0" w:evenVBand="0" w:oddHBand="0" w:evenHBand="0" w:firstRowFirstColumn="0" w:firstRowLastColumn="0" w:lastRowFirstColumn="0" w:lastRowLastColumn="0"/>
          <w:tblHeader/>
        </w:trPr>
        <w:tc>
          <w:tcPr>
            <w:tcW w:w="2340" w:type="dxa"/>
            <w:tcBorders>
              <w:top w:val="nil"/>
              <w:left w:val="nil"/>
              <w:bottom w:val="nil"/>
              <w:right w:val="nil"/>
            </w:tcBorders>
            <w:shd w:val="solid" w:color="000000" w:fill="auto"/>
          </w:tcPr>
          <w:p w:rsidR="00F918C3" w:rsidRPr="002510BC" w:rsidRDefault="00F918C3" w:rsidP="00711F09">
            <w:pPr>
              <w:keepLines w:val="0"/>
              <w:autoSpaceDE w:val="0"/>
              <w:autoSpaceDN w:val="0"/>
              <w:adjustRightInd w:val="0"/>
              <w:jc w:val="left"/>
              <w:rPr>
                <w:rFonts w:eastAsiaTheme="minorEastAsia" w:cs="Calibri"/>
                <w:iCs/>
                <w:color w:val="FFFFFF"/>
                <w:szCs w:val="20"/>
                <w:lang w:eastAsia="en-AU"/>
              </w:rPr>
            </w:pPr>
            <w:r w:rsidRPr="002510BC">
              <w:rPr>
                <w:rFonts w:eastAsiaTheme="minorEastAsia" w:cs="Calibri"/>
                <w:iCs/>
                <w:color w:val="FFFFFF"/>
                <w:szCs w:val="20"/>
                <w:lang w:eastAsia="en-AU"/>
              </w:rPr>
              <w:t>Priority</w:t>
            </w:r>
          </w:p>
        </w:tc>
        <w:tc>
          <w:tcPr>
            <w:tcW w:w="5427" w:type="dxa"/>
            <w:tcBorders>
              <w:top w:val="nil"/>
              <w:left w:val="nil"/>
              <w:bottom w:val="nil"/>
              <w:right w:val="nil"/>
            </w:tcBorders>
            <w:shd w:val="solid" w:color="000000" w:fill="auto"/>
          </w:tcPr>
          <w:p w:rsidR="00F918C3" w:rsidRPr="002510BC" w:rsidRDefault="00F918C3" w:rsidP="00711F09">
            <w:pPr>
              <w:keepLines w:val="0"/>
              <w:autoSpaceDE w:val="0"/>
              <w:autoSpaceDN w:val="0"/>
              <w:adjustRightInd w:val="0"/>
              <w:jc w:val="left"/>
              <w:rPr>
                <w:rFonts w:eastAsiaTheme="minorEastAsia" w:cs="Calibri"/>
                <w:iCs/>
                <w:color w:val="FFFFFF"/>
                <w:szCs w:val="20"/>
                <w:lang w:eastAsia="en-AU"/>
              </w:rPr>
            </w:pPr>
            <w:r w:rsidRPr="002510BC">
              <w:rPr>
                <w:rFonts w:eastAsiaTheme="minorEastAsia" w:cs="Calibri"/>
                <w:iCs/>
                <w:color w:val="FFFFFF"/>
                <w:szCs w:val="20"/>
                <w:lang w:eastAsia="en-AU"/>
              </w:rPr>
              <w:t>Objective</w:t>
            </w:r>
          </w:p>
        </w:tc>
      </w:tr>
      <w:tr w:rsidR="00F918C3" w:rsidRPr="002510BC" w:rsidTr="00711F09">
        <w:tc>
          <w:tcPr>
            <w:tcW w:w="2340" w:type="dxa"/>
            <w:tcBorders>
              <w:top w:val="nil"/>
              <w:left w:val="nil"/>
              <w:bottom w:val="nil"/>
              <w:right w:val="nil"/>
            </w:tcBorders>
          </w:tcPr>
          <w:p w:rsidR="00F918C3" w:rsidRPr="002510BC" w:rsidRDefault="00F918C3" w:rsidP="009A6836">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Sound financial management</w:t>
            </w:r>
          </w:p>
        </w:tc>
        <w:tc>
          <w:tcPr>
            <w:tcW w:w="5427" w:type="dxa"/>
            <w:tcBorders>
              <w:top w:val="nil"/>
              <w:left w:val="nil"/>
              <w:bottom w:val="nil"/>
              <w:right w:val="nil"/>
            </w:tcBorders>
          </w:tcPr>
          <w:p w:rsidR="00F918C3" w:rsidRPr="002510BC" w:rsidRDefault="00F918C3" w:rsidP="007D4665">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Victoria’s finances will be managed in a responsible manner to provide capacity to fund services and infrastructure at levels consistent with maintaining a triple</w:t>
            </w:r>
            <w:r>
              <w:rPr>
                <w:rFonts w:eastAsiaTheme="minorEastAsia" w:cs="Calibri"/>
                <w:color w:val="000000"/>
                <w:szCs w:val="20"/>
                <w:lang w:eastAsia="en-AU"/>
              </w:rPr>
              <w:noBreakHyphen/>
            </w:r>
            <w:r w:rsidRPr="002510BC">
              <w:rPr>
                <w:rFonts w:eastAsiaTheme="minorEastAsia" w:cs="Calibri"/>
                <w:color w:val="000000"/>
                <w:szCs w:val="20"/>
                <w:lang w:eastAsia="en-AU"/>
              </w:rPr>
              <w:t>A credit rating</w:t>
            </w:r>
            <w:r>
              <w:rPr>
                <w:rFonts w:eastAsiaTheme="minorEastAsia" w:cs="Calibri"/>
                <w:color w:val="000000"/>
                <w:szCs w:val="20"/>
                <w:lang w:eastAsia="en-AU"/>
              </w:rPr>
              <w:fldChar w:fldCharType="begin"/>
            </w:r>
            <w:r>
              <w:instrText xml:space="preserve"> XE "</w:instrText>
            </w:r>
            <w:r w:rsidRPr="00AB1212">
              <w:instrText>Triple</w:instrText>
            </w:r>
            <w:r w:rsidRPr="00AB1212">
              <w:noBreakHyphen/>
              <w:instrText>A credit rating</w:instrText>
            </w:r>
            <w:r>
              <w:instrText xml:space="preserve">" </w:instrText>
            </w:r>
            <w:r>
              <w:rPr>
                <w:rFonts w:eastAsiaTheme="minorEastAsia" w:cs="Calibri"/>
                <w:color w:val="000000"/>
                <w:szCs w:val="20"/>
                <w:lang w:eastAsia="en-AU"/>
              </w:rPr>
              <w:fldChar w:fldCharType="end"/>
            </w:r>
            <w:r w:rsidRPr="002510BC">
              <w:rPr>
                <w:rFonts w:eastAsiaTheme="minorEastAsia" w:cs="Calibri"/>
                <w:color w:val="000000"/>
                <w:szCs w:val="20"/>
                <w:lang w:eastAsia="en-AU"/>
              </w:rPr>
              <w:t>.</w:t>
            </w:r>
          </w:p>
        </w:tc>
      </w:tr>
      <w:tr w:rsidR="00F918C3" w:rsidRPr="002510BC" w:rsidTr="00711F09">
        <w:tc>
          <w:tcPr>
            <w:tcW w:w="2340" w:type="dxa"/>
            <w:tcBorders>
              <w:top w:val="nil"/>
              <w:left w:val="nil"/>
              <w:bottom w:val="nil"/>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Improved services</w:t>
            </w:r>
          </w:p>
        </w:tc>
        <w:tc>
          <w:tcPr>
            <w:tcW w:w="5427" w:type="dxa"/>
            <w:tcBorders>
              <w:top w:val="nil"/>
              <w:left w:val="nil"/>
              <w:bottom w:val="nil"/>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Public services will improve over time.</w:t>
            </w:r>
          </w:p>
        </w:tc>
      </w:tr>
      <w:tr w:rsidR="00F918C3" w:rsidRPr="002510BC" w:rsidTr="00711F09">
        <w:tc>
          <w:tcPr>
            <w:tcW w:w="2340" w:type="dxa"/>
            <w:tcBorders>
              <w:top w:val="nil"/>
              <w:left w:val="nil"/>
              <w:bottom w:val="nil"/>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Building infrastructure</w:t>
            </w:r>
          </w:p>
        </w:tc>
        <w:tc>
          <w:tcPr>
            <w:tcW w:w="5427" w:type="dxa"/>
            <w:tcBorders>
              <w:top w:val="nil"/>
              <w:left w:val="nil"/>
              <w:bottom w:val="nil"/>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Public infrastructure will grow steadily over time to meet the needs of a growing population.</w:t>
            </w:r>
          </w:p>
        </w:tc>
      </w:tr>
      <w:tr w:rsidR="00F918C3" w:rsidRPr="002510BC" w:rsidTr="00711F09">
        <w:tc>
          <w:tcPr>
            <w:tcW w:w="2340" w:type="dxa"/>
            <w:tcBorders>
              <w:top w:val="nil"/>
              <w:left w:val="nil"/>
              <w:bottom w:val="single" w:sz="12" w:space="0" w:color="auto"/>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Efficient use of public resources</w:t>
            </w:r>
          </w:p>
        </w:tc>
        <w:tc>
          <w:tcPr>
            <w:tcW w:w="5427" w:type="dxa"/>
            <w:tcBorders>
              <w:top w:val="nil"/>
              <w:left w:val="nil"/>
              <w:bottom w:val="single" w:sz="12" w:space="0" w:color="auto"/>
              <w:right w:val="nil"/>
            </w:tcBorders>
          </w:tcPr>
          <w:p w:rsidR="00F918C3" w:rsidRPr="002510BC" w:rsidRDefault="00F918C3" w:rsidP="00711F09">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Public sector resources will be invested in services and infrastructure to maximise the economic, social and environmental benefits.</w:t>
            </w:r>
          </w:p>
        </w:tc>
      </w:tr>
    </w:tbl>
    <w:p w:rsidR="00F918C3" w:rsidRPr="002510BC" w:rsidRDefault="00F918C3" w:rsidP="00837F39">
      <w:pPr>
        <w:pStyle w:val="Source"/>
      </w:pPr>
    </w:p>
    <w:p w:rsidR="00F918C3" w:rsidRPr="002510BC" w:rsidRDefault="00F918C3" w:rsidP="00011B47">
      <w:r w:rsidRPr="002510BC">
        <w:t>Progress towards these long</w:t>
      </w:r>
      <w:r>
        <w:noBreakHyphen/>
      </w:r>
      <w:r w:rsidRPr="002510BC">
        <w:t>term financial management</w:t>
      </w:r>
      <w:r>
        <w:fldChar w:fldCharType="begin"/>
      </w:r>
      <w:r>
        <w:instrText xml:space="preserve"> XE "</w:instrText>
      </w:r>
      <w:r w:rsidRPr="00D02DCA">
        <w:instrText>Financial management</w:instrText>
      </w:r>
      <w:r>
        <w:instrText xml:space="preserve">" </w:instrText>
      </w:r>
      <w:r>
        <w:fldChar w:fldCharType="end"/>
      </w:r>
      <w:r w:rsidRPr="002510BC">
        <w:t xml:space="preserve"> objectives is </w:t>
      </w:r>
      <w:r w:rsidRPr="00795D89">
        <w:t>supported</w:t>
      </w:r>
      <w:r w:rsidRPr="002510BC">
        <w:t xml:space="preserve"> by the measures and targets in Table 1.3.</w:t>
      </w:r>
    </w:p>
    <w:p w:rsidR="00F918C3" w:rsidRPr="002510BC" w:rsidRDefault="00F918C3" w:rsidP="007750B6">
      <w:pPr>
        <w:pStyle w:val="TableHeading"/>
        <w:rPr>
          <w:bCs/>
          <w:lang w:val="en-US"/>
        </w:rPr>
      </w:pPr>
      <w:r w:rsidRPr="002510BC">
        <w:t xml:space="preserve">Table 1.3: </w:t>
      </w:r>
      <w:r w:rsidRPr="002510BC">
        <w:tab/>
        <w:t xml:space="preserve">Financial measures and targets for </w:t>
      </w:r>
      <w:r w:rsidRPr="00BC1D23">
        <w:t xml:space="preserve">the </w:t>
      </w:r>
      <w:r w:rsidRPr="00BC1D23">
        <w:rPr>
          <w:i/>
        </w:rPr>
        <w:t>2018</w:t>
      </w:r>
      <w:r>
        <w:rPr>
          <w:i/>
        </w:rPr>
        <w:noBreakHyphen/>
      </w:r>
      <w:r w:rsidRPr="00BC1D23">
        <w:rPr>
          <w:i/>
        </w:rPr>
        <w:t>19 Budget</w:t>
      </w:r>
    </w:p>
    <w:tbl>
      <w:tblPr>
        <w:tblStyle w:val="DTFTable"/>
        <w:tblW w:w="7767" w:type="dxa"/>
        <w:tblInd w:w="45" w:type="dxa"/>
        <w:tblLayout w:type="fixed"/>
        <w:tblCellMar>
          <w:left w:w="45" w:type="dxa"/>
          <w:right w:w="45" w:type="dxa"/>
        </w:tblCellMar>
        <w:tblLook w:val="0620" w:firstRow="1" w:lastRow="0" w:firstColumn="0" w:lastColumn="0" w:noHBand="1" w:noVBand="1"/>
      </w:tblPr>
      <w:tblGrid>
        <w:gridCol w:w="2341"/>
        <w:gridCol w:w="5426"/>
      </w:tblGrid>
      <w:tr w:rsidR="00F918C3" w:rsidRPr="002510BC" w:rsidTr="007750B6">
        <w:trPr>
          <w:cnfStyle w:val="100000000000" w:firstRow="1" w:lastRow="0" w:firstColumn="0" w:lastColumn="0" w:oddVBand="0" w:evenVBand="0" w:oddHBand="0" w:evenHBand="0" w:firstRowFirstColumn="0" w:firstRowLastColumn="0" w:lastRowFirstColumn="0" w:lastRowLastColumn="0"/>
          <w:tblHeader/>
        </w:trPr>
        <w:tc>
          <w:tcPr>
            <w:tcW w:w="2341" w:type="dxa"/>
            <w:tcBorders>
              <w:top w:val="nil"/>
              <w:left w:val="nil"/>
              <w:bottom w:val="nil"/>
              <w:right w:val="nil"/>
            </w:tcBorders>
            <w:shd w:val="solid" w:color="000000" w:fill="auto"/>
          </w:tcPr>
          <w:p w:rsidR="00F918C3" w:rsidRPr="002510BC" w:rsidRDefault="00F918C3" w:rsidP="007750B6">
            <w:pPr>
              <w:autoSpaceDE w:val="0"/>
              <w:autoSpaceDN w:val="0"/>
              <w:adjustRightInd w:val="0"/>
              <w:jc w:val="left"/>
              <w:rPr>
                <w:rFonts w:eastAsiaTheme="minorEastAsia" w:cs="Calibri"/>
                <w:iCs/>
                <w:color w:val="FFFFFF"/>
                <w:szCs w:val="20"/>
                <w:lang w:eastAsia="en-AU"/>
              </w:rPr>
            </w:pPr>
            <w:r w:rsidRPr="002510BC">
              <w:rPr>
                <w:rFonts w:eastAsiaTheme="minorEastAsia" w:cs="Calibri"/>
                <w:iCs/>
                <w:color w:val="FFFFFF"/>
                <w:szCs w:val="20"/>
                <w:lang w:eastAsia="en-AU"/>
              </w:rPr>
              <w:t>Financial measures</w:t>
            </w:r>
          </w:p>
        </w:tc>
        <w:tc>
          <w:tcPr>
            <w:tcW w:w="5426" w:type="dxa"/>
            <w:tcBorders>
              <w:top w:val="nil"/>
              <w:left w:val="nil"/>
              <w:bottom w:val="nil"/>
              <w:right w:val="nil"/>
            </w:tcBorders>
            <w:shd w:val="solid" w:color="000000" w:fill="auto"/>
          </w:tcPr>
          <w:p w:rsidR="00F918C3" w:rsidRPr="002510BC" w:rsidRDefault="00F918C3" w:rsidP="007750B6">
            <w:pPr>
              <w:keepLines w:val="0"/>
              <w:autoSpaceDE w:val="0"/>
              <w:autoSpaceDN w:val="0"/>
              <w:adjustRightInd w:val="0"/>
              <w:jc w:val="left"/>
              <w:rPr>
                <w:rFonts w:eastAsiaTheme="minorEastAsia" w:cs="Calibri"/>
                <w:iCs/>
                <w:color w:val="FFFFFF"/>
                <w:szCs w:val="20"/>
                <w:lang w:eastAsia="en-AU"/>
              </w:rPr>
            </w:pPr>
            <w:r w:rsidRPr="002510BC">
              <w:rPr>
                <w:rFonts w:eastAsiaTheme="minorEastAsia" w:cs="Calibri"/>
                <w:iCs/>
                <w:color w:val="FFFFFF"/>
                <w:szCs w:val="20"/>
                <w:lang w:eastAsia="en-AU"/>
              </w:rPr>
              <w:t>Target</w:t>
            </w:r>
          </w:p>
        </w:tc>
      </w:tr>
      <w:tr w:rsidR="00F918C3" w:rsidRPr="002510BC" w:rsidTr="007750B6">
        <w:tc>
          <w:tcPr>
            <w:tcW w:w="2341" w:type="dxa"/>
            <w:tcBorders>
              <w:top w:val="nil"/>
              <w:left w:val="nil"/>
              <w:bottom w:val="nil"/>
              <w:right w:val="nil"/>
            </w:tcBorders>
          </w:tcPr>
          <w:p w:rsidR="00F918C3" w:rsidRPr="002510BC" w:rsidRDefault="00F918C3" w:rsidP="009A6836">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Net debt</w:t>
            </w:r>
          </w:p>
        </w:tc>
        <w:tc>
          <w:tcPr>
            <w:tcW w:w="5426" w:type="dxa"/>
            <w:tcBorders>
              <w:top w:val="nil"/>
              <w:left w:val="nil"/>
              <w:bottom w:val="nil"/>
              <w:right w:val="nil"/>
            </w:tcBorders>
          </w:tcPr>
          <w:p w:rsidR="00F918C3" w:rsidRPr="002510BC" w:rsidRDefault="00F918C3" w:rsidP="00BE3D71">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General government net debt</w:t>
            </w:r>
            <w:r>
              <w:rPr>
                <w:rFonts w:eastAsiaTheme="minorEastAsia" w:cs="Calibri"/>
                <w:color w:val="000000"/>
                <w:szCs w:val="20"/>
                <w:lang w:eastAsia="en-AU"/>
              </w:rPr>
              <w:fldChar w:fldCharType="begin"/>
            </w:r>
            <w:r>
              <w:instrText xml:space="preserve"> XE "</w:instrText>
            </w:r>
            <w:r w:rsidRPr="00624710">
              <w:instrText>Debt:General government net debt</w:instrText>
            </w:r>
            <w:r>
              <w:instrText xml:space="preserve">" </w:instrText>
            </w:r>
            <w:r>
              <w:rPr>
                <w:rFonts w:eastAsiaTheme="minorEastAsia" w:cs="Calibri"/>
                <w:color w:val="000000"/>
                <w:szCs w:val="20"/>
                <w:lang w:eastAsia="en-AU"/>
              </w:rPr>
              <w:fldChar w:fldCharType="end"/>
            </w:r>
            <w:r w:rsidRPr="002510BC">
              <w:rPr>
                <w:rFonts w:eastAsiaTheme="minorEastAsia" w:cs="Calibri"/>
                <w:color w:val="000000"/>
                <w:szCs w:val="20"/>
                <w:lang w:eastAsia="en-AU"/>
              </w:rPr>
              <w:t xml:space="preserve"> as a percentage of GSP to be maintained at a sustainable level over the medium term.</w:t>
            </w:r>
          </w:p>
        </w:tc>
      </w:tr>
      <w:tr w:rsidR="00F918C3" w:rsidRPr="002510BC" w:rsidTr="007750B6">
        <w:tc>
          <w:tcPr>
            <w:tcW w:w="2341" w:type="dxa"/>
            <w:tcBorders>
              <w:top w:val="nil"/>
              <w:left w:val="nil"/>
              <w:bottom w:val="nil"/>
              <w:right w:val="nil"/>
            </w:tcBorders>
          </w:tcPr>
          <w:p w:rsidR="00F918C3" w:rsidRPr="002510BC" w:rsidRDefault="00F918C3" w:rsidP="009A6836">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 xml:space="preserve">Superannuation liabilities </w:t>
            </w:r>
          </w:p>
        </w:tc>
        <w:tc>
          <w:tcPr>
            <w:tcW w:w="5426" w:type="dxa"/>
            <w:tcBorders>
              <w:top w:val="nil"/>
              <w:left w:val="nil"/>
              <w:bottom w:val="nil"/>
              <w:right w:val="nil"/>
            </w:tcBorders>
          </w:tcPr>
          <w:p w:rsidR="00F918C3" w:rsidRPr="002510BC" w:rsidRDefault="00F918C3" w:rsidP="00BE3D71">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Fully fund the unfunded superannuation liability by 2035.</w:t>
            </w:r>
          </w:p>
        </w:tc>
      </w:tr>
      <w:tr w:rsidR="00F918C3" w:rsidRPr="002510BC" w:rsidTr="007750B6">
        <w:tc>
          <w:tcPr>
            <w:tcW w:w="2341" w:type="dxa"/>
            <w:tcBorders>
              <w:top w:val="nil"/>
              <w:left w:val="nil"/>
              <w:bottom w:val="single" w:sz="12" w:space="0" w:color="auto"/>
              <w:right w:val="nil"/>
            </w:tcBorders>
          </w:tcPr>
          <w:p w:rsidR="00F918C3" w:rsidRPr="002510BC" w:rsidRDefault="00F918C3" w:rsidP="009A6836">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Operating surplus</w:t>
            </w:r>
          </w:p>
        </w:tc>
        <w:tc>
          <w:tcPr>
            <w:tcW w:w="5426" w:type="dxa"/>
            <w:tcBorders>
              <w:top w:val="nil"/>
              <w:left w:val="nil"/>
              <w:bottom w:val="single" w:sz="12" w:space="0" w:color="auto"/>
              <w:right w:val="nil"/>
            </w:tcBorders>
          </w:tcPr>
          <w:p w:rsidR="00F918C3" w:rsidRPr="002510BC" w:rsidRDefault="00F918C3" w:rsidP="00BE3D71">
            <w:pPr>
              <w:keepLines w:val="0"/>
              <w:autoSpaceDE w:val="0"/>
              <w:autoSpaceDN w:val="0"/>
              <w:adjustRightInd w:val="0"/>
              <w:jc w:val="left"/>
              <w:rPr>
                <w:rFonts w:eastAsiaTheme="minorEastAsia" w:cs="Calibri"/>
                <w:color w:val="000000"/>
                <w:szCs w:val="20"/>
                <w:lang w:eastAsia="en-AU"/>
              </w:rPr>
            </w:pPr>
            <w:r w:rsidRPr="002510BC">
              <w:rPr>
                <w:rFonts w:eastAsiaTheme="minorEastAsia" w:cs="Calibri"/>
                <w:color w:val="000000"/>
                <w:szCs w:val="20"/>
                <w:lang w:eastAsia="en-AU"/>
              </w:rPr>
              <w:t>A net operating surplus consistent with maintaining general government net debt at a sustainable level over the medium term.</w:t>
            </w:r>
          </w:p>
        </w:tc>
      </w:tr>
      <w:tr w:rsidR="00F918C3" w:rsidRPr="002510BC" w:rsidTr="007750B6">
        <w:trPr>
          <w:trHeight w:hRule="exact" w:val="120"/>
        </w:trPr>
        <w:tc>
          <w:tcPr>
            <w:tcW w:w="2341" w:type="dxa"/>
            <w:tcBorders>
              <w:top w:val="nil"/>
              <w:left w:val="nil"/>
              <w:bottom w:val="nil"/>
              <w:right w:val="nil"/>
            </w:tcBorders>
          </w:tcPr>
          <w:p w:rsidR="00F918C3" w:rsidRPr="002510BC" w:rsidRDefault="00F918C3" w:rsidP="007750B6">
            <w:pPr>
              <w:keepLines w:val="0"/>
              <w:autoSpaceDE w:val="0"/>
              <w:autoSpaceDN w:val="0"/>
              <w:adjustRightInd w:val="0"/>
              <w:jc w:val="left"/>
              <w:rPr>
                <w:rFonts w:eastAsiaTheme="minorEastAsia" w:cs="Calibri"/>
                <w:color w:val="000000"/>
                <w:szCs w:val="18"/>
                <w:lang w:eastAsia="en-AU"/>
              </w:rPr>
            </w:pPr>
          </w:p>
        </w:tc>
        <w:tc>
          <w:tcPr>
            <w:tcW w:w="5426" w:type="dxa"/>
            <w:tcBorders>
              <w:top w:val="nil"/>
              <w:left w:val="nil"/>
              <w:bottom w:val="nil"/>
              <w:right w:val="nil"/>
            </w:tcBorders>
          </w:tcPr>
          <w:p w:rsidR="00F918C3" w:rsidRPr="002510BC" w:rsidRDefault="00F918C3" w:rsidP="007750B6">
            <w:pPr>
              <w:keepLines w:val="0"/>
              <w:autoSpaceDE w:val="0"/>
              <w:autoSpaceDN w:val="0"/>
              <w:adjustRightInd w:val="0"/>
              <w:jc w:val="left"/>
              <w:rPr>
                <w:rFonts w:eastAsiaTheme="minorEastAsia" w:cs="Calibri"/>
                <w:color w:val="000000"/>
                <w:szCs w:val="18"/>
                <w:lang w:eastAsia="en-AU"/>
              </w:rPr>
            </w:pPr>
          </w:p>
        </w:tc>
      </w:tr>
      <w:tr w:rsidR="00F918C3" w:rsidRPr="002510BC" w:rsidTr="007750B6">
        <w:trPr>
          <w:trHeight w:hRule="exact" w:val="120"/>
        </w:trPr>
        <w:tc>
          <w:tcPr>
            <w:tcW w:w="2341" w:type="dxa"/>
            <w:tcBorders>
              <w:top w:val="nil"/>
              <w:left w:val="nil"/>
              <w:bottom w:val="nil"/>
              <w:right w:val="nil"/>
            </w:tcBorders>
          </w:tcPr>
          <w:p w:rsidR="00F918C3" w:rsidRPr="002510BC" w:rsidRDefault="00F918C3" w:rsidP="007750B6">
            <w:pPr>
              <w:keepLines w:val="0"/>
              <w:autoSpaceDE w:val="0"/>
              <w:autoSpaceDN w:val="0"/>
              <w:adjustRightInd w:val="0"/>
              <w:jc w:val="left"/>
              <w:rPr>
                <w:rFonts w:eastAsiaTheme="minorEastAsia" w:cs="Calibri"/>
                <w:color w:val="000000"/>
                <w:szCs w:val="18"/>
                <w:lang w:eastAsia="en-AU"/>
              </w:rPr>
            </w:pPr>
          </w:p>
        </w:tc>
        <w:tc>
          <w:tcPr>
            <w:tcW w:w="5426" w:type="dxa"/>
            <w:tcBorders>
              <w:top w:val="nil"/>
              <w:left w:val="nil"/>
              <w:bottom w:val="nil"/>
              <w:right w:val="nil"/>
            </w:tcBorders>
          </w:tcPr>
          <w:p w:rsidR="00F918C3" w:rsidRPr="002510BC" w:rsidRDefault="00F918C3" w:rsidP="007750B6">
            <w:pPr>
              <w:keepLines w:val="0"/>
              <w:autoSpaceDE w:val="0"/>
              <w:autoSpaceDN w:val="0"/>
              <w:adjustRightInd w:val="0"/>
              <w:jc w:val="left"/>
              <w:rPr>
                <w:rFonts w:eastAsiaTheme="minorEastAsia" w:cs="Calibri"/>
                <w:color w:val="000000"/>
                <w:szCs w:val="18"/>
                <w:lang w:eastAsia="en-AU"/>
              </w:rPr>
            </w:pPr>
          </w:p>
        </w:tc>
      </w:tr>
    </w:tbl>
    <w:p w:rsidR="00F918C3" w:rsidRPr="002510BC" w:rsidRDefault="00F918C3" w:rsidP="007750B6">
      <w:pPr>
        <w:rPr>
          <w:rFonts w:asciiTheme="majorHAnsi" w:hAnsiTheme="majorHAnsi"/>
          <w:sz w:val="20"/>
          <w:szCs w:val="20"/>
        </w:rPr>
      </w:pPr>
    </w:p>
    <w:p w:rsidR="00F918C3" w:rsidRPr="002510BC" w:rsidRDefault="00F918C3" w:rsidP="00F6439C">
      <w:pPr>
        <w:pStyle w:val="Heading10"/>
      </w:pPr>
      <w:r w:rsidRPr="002510BC">
        <w:br w:type="page"/>
      </w:r>
    </w:p>
    <w:p w:rsidR="00F918C3" w:rsidRPr="002510BC" w:rsidRDefault="00F918C3" w:rsidP="00506A41">
      <w:pPr>
        <w:pStyle w:val="Heading10"/>
      </w:pPr>
      <w:bookmarkStart w:id="8" w:name="_Toc512629747"/>
      <w:r w:rsidRPr="002510BC">
        <w:t>Creating opportunities through skills</w:t>
      </w:r>
      <w:bookmarkEnd w:id="8"/>
    </w:p>
    <w:p w:rsidR="00F918C3" w:rsidRPr="00795D89" w:rsidRDefault="00F918C3" w:rsidP="00847F68">
      <w:r>
        <w:t xml:space="preserve">Victoria’s growing economy is creating a high demand for </w:t>
      </w:r>
      <w:r w:rsidRPr="002510BC">
        <w:t>skilled jobs</w:t>
      </w:r>
      <w:r>
        <w:t xml:space="preserve">, and </w:t>
      </w:r>
      <w:r w:rsidRPr="002510BC">
        <w:t xml:space="preserve">the Government's sustained investment in services and infrastructure has accelerated </w:t>
      </w:r>
      <w:r>
        <w:t>this demand</w:t>
      </w:r>
      <w:r w:rsidRPr="00795D89">
        <w:t xml:space="preserve">. </w:t>
      </w:r>
      <w:r>
        <w:t xml:space="preserve">The </w:t>
      </w:r>
      <w:r w:rsidRPr="00553A13">
        <w:rPr>
          <w:i/>
        </w:rPr>
        <w:t>2018</w:t>
      </w:r>
      <w:r>
        <w:rPr>
          <w:i/>
        </w:rPr>
        <w:noBreakHyphen/>
      </w:r>
      <w:r w:rsidRPr="00553A13">
        <w:rPr>
          <w:i/>
        </w:rPr>
        <w:t>19 Budget</w:t>
      </w:r>
      <w:r>
        <w:t xml:space="preserve"> invests to deliver access to high</w:t>
      </w:r>
      <w:r>
        <w:noBreakHyphen/>
        <w:t>quality training</w:t>
      </w:r>
      <w:r>
        <w:fldChar w:fldCharType="begin"/>
      </w:r>
      <w:r>
        <w:instrText xml:space="preserve"> XE "</w:instrText>
      </w:r>
      <w:r w:rsidRPr="00D02DCA">
        <w:instrText>Training</w:instrText>
      </w:r>
      <w:r>
        <w:instrText xml:space="preserve">" </w:instrText>
      </w:r>
      <w:r>
        <w:fldChar w:fldCharType="end"/>
      </w:r>
      <w:r>
        <w:t xml:space="preserve"> through the TAFE</w:t>
      </w:r>
      <w:r w:rsidR="008C27C4">
        <w:fldChar w:fldCharType="begin"/>
      </w:r>
      <w:r w:rsidR="008C27C4">
        <w:instrText xml:space="preserve"> XE "</w:instrText>
      </w:r>
      <w:r w:rsidR="008C27C4" w:rsidRPr="008F218F">
        <w:instrText>TAFE</w:instrText>
      </w:r>
      <w:r w:rsidR="008C27C4">
        <w:instrText xml:space="preserve">" </w:instrText>
      </w:r>
      <w:r w:rsidR="008C27C4">
        <w:fldChar w:fldCharType="end"/>
      </w:r>
      <w:r>
        <w:t xml:space="preserve"> and training sector, giving Victorian workers the skills</w:t>
      </w:r>
      <w:r>
        <w:fldChar w:fldCharType="begin"/>
      </w:r>
      <w:r>
        <w:instrText xml:space="preserve"> XE "</w:instrText>
      </w:r>
      <w:r w:rsidRPr="00D02DCA">
        <w:instrText>Skills</w:instrText>
      </w:r>
      <w:r>
        <w:instrText xml:space="preserve">" </w:instrText>
      </w:r>
      <w:r>
        <w:fldChar w:fldCharType="end"/>
      </w:r>
      <w:r>
        <w:t xml:space="preserve"> they need and Victorian businesses the workers that they require. </w:t>
      </w:r>
    </w:p>
    <w:p w:rsidR="00F918C3" w:rsidRPr="00795D89" w:rsidRDefault="00F918C3" w:rsidP="0012445A">
      <w:r w:rsidRPr="00795D89">
        <w:t xml:space="preserve">The </w:t>
      </w:r>
      <w:r w:rsidRPr="00795D89">
        <w:rPr>
          <w:i/>
        </w:rPr>
        <w:t>2018</w:t>
      </w:r>
      <w:r>
        <w:rPr>
          <w:i/>
        </w:rPr>
        <w:noBreakHyphen/>
      </w:r>
      <w:r w:rsidRPr="00795D89">
        <w:rPr>
          <w:i/>
        </w:rPr>
        <w:t>19 Budget</w:t>
      </w:r>
      <w:r w:rsidRPr="00795D89">
        <w:t xml:space="preserve"> provides $304</w:t>
      </w:r>
      <w:r w:rsidR="006371F3">
        <w:t> million</w:t>
      </w:r>
      <w:r w:rsidRPr="00795D89">
        <w:t xml:space="preserve"> </w:t>
      </w:r>
      <w:r>
        <w:t>to create thousands of new TAFE</w:t>
      </w:r>
      <w:r w:rsidR="008C27C4">
        <w:fldChar w:fldCharType="begin"/>
      </w:r>
      <w:r w:rsidR="008C27C4">
        <w:instrText xml:space="preserve"> XE "</w:instrText>
      </w:r>
      <w:r w:rsidR="008C27C4" w:rsidRPr="008F218F">
        <w:instrText>TAFE</w:instrText>
      </w:r>
      <w:r w:rsidR="008C27C4">
        <w:instrText xml:space="preserve">" </w:instrText>
      </w:r>
      <w:r w:rsidR="008C27C4">
        <w:fldChar w:fldCharType="end"/>
      </w:r>
      <w:r>
        <w:t xml:space="preserve"> and training places, allowing more Victorians to access training</w:t>
      </w:r>
      <w:r w:rsidRPr="00795D89">
        <w:t>.</w:t>
      </w:r>
    </w:p>
    <w:p w:rsidR="00F918C3" w:rsidRPr="00795D89" w:rsidRDefault="00F918C3" w:rsidP="0012445A">
      <w:r>
        <w:t>T</w:t>
      </w:r>
      <w:r w:rsidRPr="00795D89">
        <w:t xml:space="preserve">he budget </w:t>
      </w:r>
      <w:r>
        <w:t xml:space="preserve">further </w:t>
      </w:r>
      <w:r w:rsidRPr="00795D89">
        <w:t>provides $172</w:t>
      </w:r>
      <w:r w:rsidR="006371F3">
        <w:t> million</w:t>
      </w:r>
      <w:r w:rsidRPr="00795D89">
        <w:t xml:space="preserve"> to make training</w:t>
      </w:r>
      <w:r>
        <w:fldChar w:fldCharType="begin"/>
      </w:r>
      <w:r>
        <w:instrText xml:space="preserve"> XE "</w:instrText>
      </w:r>
      <w:r w:rsidRPr="00D02DCA">
        <w:instrText>Training</w:instrText>
      </w:r>
      <w:r>
        <w:instrText xml:space="preserve">" </w:instrText>
      </w:r>
      <w:r>
        <w:fldChar w:fldCharType="end"/>
      </w:r>
      <w:r w:rsidRPr="00795D89">
        <w:t xml:space="preserve"> </w:t>
      </w:r>
      <w:r>
        <w:t xml:space="preserve">for students </w:t>
      </w:r>
      <w:r w:rsidRPr="00795D89">
        <w:t xml:space="preserve">at TAFEs free for </w:t>
      </w:r>
      <w:r>
        <w:t xml:space="preserve">30 </w:t>
      </w:r>
      <w:r w:rsidRPr="00795D89">
        <w:t xml:space="preserve">priority courses, from </w:t>
      </w:r>
      <w:r>
        <w:t>1 January 2019. In addition, 18 Apprenticeship P</w:t>
      </w:r>
      <w:r w:rsidRPr="00795D89">
        <w:t>athway</w:t>
      </w:r>
      <w:r w:rsidR="00B42920">
        <w:fldChar w:fldCharType="begin"/>
      </w:r>
      <w:r w:rsidR="00B42920">
        <w:instrText xml:space="preserve"> XE "</w:instrText>
      </w:r>
      <w:r w:rsidR="00B42920" w:rsidRPr="00B25D8F">
        <w:instrText>Apprenticeships:Apprenticeship Pathways</w:instrText>
      </w:r>
      <w:r w:rsidR="00B42920">
        <w:instrText xml:space="preserve">" </w:instrText>
      </w:r>
      <w:r w:rsidR="00B42920">
        <w:fldChar w:fldCharType="end"/>
      </w:r>
      <w:r w:rsidRPr="00795D89">
        <w:t xml:space="preserve"> courses in government priority sectors will also be free. </w:t>
      </w:r>
      <w:r>
        <w:t>These quality courses will focus on the skills</w:t>
      </w:r>
      <w:r>
        <w:fldChar w:fldCharType="begin"/>
      </w:r>
      <w:r>
        <w:instrText xml:space="preserve"> XE "</w:instrText>
      </w:r>
      <w:r w:rsidRPr="00D02DCA">
        <w:instrText>Skills</w:instrText>
      </w:r>
      <w:r>
        <w:instrText xml:space="preserve">" </w:instrText>
      </w:r>
      <w:r>
        <w:fldChar w:fldCharType="end"/>
      </w:r>
      <w:r>
        <w:t xml:space="preserve"> the economy needs – building infrastructure projects, responding to family violence, and caring for older Victorians or people living with disability. </w:t>
      </w:r>
    </w:p>
    <w:p w:rsidR="00F918C3" w:rsidRPr="00795D89" w:rsidRDefault="00F918C3" w:rsidP="0030255D">
      <w:r>
        <w:t xml:space="preserve">To help young people get the skills they need, the budget includes </w:t>
      </w:r>
      <w:r w:rsidRPr="002B50AD">
        <w:t>$49.</w:t>
      </w:r>
      <w:r>
        <w:t>8</w:t>
      </w:r>
      <w:r w:rsidR="006371F3">
        <w:t> million</w:t>
      </w:r>
      <w:r>
        <w:t xml:space="preserve"> for </w:t>
      </w:r>
      <w:r w:rsidRPr="003D2AC1">
        <w:rPr>
          <w:i/>
        </w:rPr>
        <w:t>Head Start Apprenticeships and Traineeships</w:t>
      </w:r>
      <w:r w:rsidR="008C27C4">
        <w:rPr>
          <w:i/>
        </w:rPr>
        <w:fldChar w:fldCharType="begin"/>
      </w:r>
      <w:r w:rsidR="008C27C4">
        <w:instrText xml:space="preserve"> XE "</w:instrText>
      </w:r>
      <w:r w:rsidR="008C27C4" w:rsidRPr="00E12CD4">
        <w:instrText>A</w:instrText>
      </w:r>
      <w:r w:rsidR="00B42920">
        <w:instrText>pprentice</w:instrText>
      </w:r>
      <w:r w:rsidR="008C27C4" w:rsidRPr="00E12CD4">
        <w:instrText>ships:Head Start Apprenticeships and Traineeships</w:instrText>
      </w:r>
      <w:r w:rsidR="008C27C4">
        <w:instrText xml:space="preserve">" </w:instrText>
      </w:r>
      <w:r w:rsidR="008C27C4">
        <w:rPr>
          <w:i/>
        </w:rPr>
        <w:fldChar w:fldCharType="end"/>
      </w:r>
      <w:r w:rsidRPr="000D2A49">
        <w:t xml:space="preserve"> </w:t>
      </w:r>
      <w:r>
        <w:t>that will give secondary school students the option of an additional year of school</w:t>
      </w:r>
      <w:r w:rsidRPr="000D2A49">
        <w:t xml:space="preserve"> to learn their trade at school and get a job sooner. </w:t>
      </w:r>
      <w:r>
        <w:t xml:space="preserve">The </w:t>
      </w:r>
      <w:r>
        <w:rPr>
          <w:i/>
        </w:rPr>
        <w:t>2018</w:t>
      </w:r>
      <w:r>
        <w:rPr>
          <w:i/>
        </w:rPr>
        <w:noBreakHyphen/>
      </w:r>
      <w:r w:rsidRPr="00911CF9">
        <w:rPr>
          <w:i/>
        </w:rPr>
        <w:t>19 Budget</w:t>
      </w:r>
      <w:r>
        <w:t xml:space="preserve"> also funds $25.9</w:t>
      </w:r>
      <w:r w:rsidR="006371F3">
        <w:t> million</w:t>
      </w:r>
      <w:r>
        <w:t xml:space="preserve"> to improve the quality and availability of secondary vocational pathways. Careers education</w:t>
      </w:r>
      <w:r w:rsidRPr="000D2A49">
        <w:t xml:space="preserve"> for secondary school students will commence </w:t>
      </w:r>
      <w:r>
        <w:t>from Year 7</w:t>
      </w:r>
      <w:r w:rsidRPr="000D2A49">
        <w:t>, to ensure that students can tailor their coursework to suit their longer</w:t>
      </w:r>
      <w:r>
        <w:noBreakHyphen/>
      </w:r>
      <w:r w:rsidRPr="000D2A49">
        <w:t>term career</w:t>
      </w:r>
      <w:r>
        <w:t xml:space="preserve"> objectives</w:t>
      </w:r>
      <w:r w:rsidRPr="00795D89">
        <w:t>.</w:t>
      </w:r>
      <w:r>
        <w:t xml:space="preserve"> </w:t>
      </w:r>
    </w:p>
    <w:p w:rsidR="00F918C3" w:rsidRPr="00795D89" w:rsidRDefault="00F918C3" w:rsidP="00381CA8">
      <w:pPr>
        <w:pStyle w:val="Heading20"/>
      </w:pPr>
      <w:r w:rsidRPr="00795D89">
        <w:t>Working with business to create jobs</w:t>
      </w:r>
    </w:p>
    <w:p w:rsidR="00F918C3" w:rsidRPr="00795D89" w:rsidRDefault="00F918C3" w:rsidP="00912BE9">
      <w:pPr>
        <w:spacing w:before="80"/>
      </w:pPr>
      <w:r w:rsidRPr="00795D89">
        <w:t xml:space="preserve">The </w:t>
      </w:r>
      <w:r w:rsidRPr="00795D89">
        <w:rPr>
          <w:i/>
        </w:rPr>
        <w:t>2016</w:t>
      </w:r>
      <w:r>
        <w:rPr>
          <w:i/>
        </w:rPr>
        <w:noBreakHyphen/>
      </w:r>
      <w:r w:rsidRPr="00795D89">
        <w:rPr>
          <w:i/>
        </w:rPr>
        <w:t>17 Budget</w:t>
      </w:r>
      <w:r w:rsidRPr="00795D89">
        <w:t xml:space="preserve"> announced the payroll tax threshold would progressively increase to $650</w:t>
      </w:r>
      <w:r>
        <w:t> </w:t>
      </w:r>
      <w:r w:rsidRPr="00795D89">
        <w:t>000</w:t>
      </w:r>
      <w:r>
        <w:t xml:space="preserve">, which cut </w:t>
      </w:r>
      <w:r w:rsidRPr="00795D89">
        <w:t>tax</w:t>
      </w:r>
      <w:r>
        <w:t>es</w:t>
      </w:r>
      <w:r w:rsidRPr="00795D89">
        <w:t xml:space="preserve"> for </w:t>
      </w:r>
      <w:r>
        <w:t xml:space="preserve">more than </w:t>
      </w:r>
      <w:r w:rsidRPr="00795D89">
        <w:t>36</w:t>
      </w:r>
      <w:r>
        <w:t> </w:t>
      </w:r>
      <w:r w:rsidRPr="00795D89">
        <w:t xml:space="preserve">000 </w:t>
      </w:r>
      <w:r>
        <w:t xml:space="preserve">Victorian </w:t>
      </w:r>
      <w:r w:rsidRPr="00795D89">
        <w:t xml:space="preserve">businesses. The </w:t>
      </w:r>
      <w:r w:rsidRPr="00795D89">
        <w:rPr>
          <w:i/>
        </w:rPr>
        <w:t>2017</w:t>
      </w:r>
      <w:r>
        <w:rPr>
          <w:i/>
        </w:rPr>
        <w:noBreakHyphen/>
      </w:r>
      <w:r w:rsidRPr="00795D89">
        <w:rPr>
          <w:i/>
        </w:rPr>
        <w:t>18 Budget</w:t>
      </w:r>
      <w:r w:rsidRPr="00795D89">
        <w:t xml:space="preserve"> brought forward these threshold </w:t>
      </w:r>
      <w:r>
        <w:t xml:space="preserve">increases </w:t>
      </w:r>
      <w:r w:rsidRPr="00795D89">
        <w:t xml:space="preserve">and </w:t>
      </w:r>
      <w:r>
        <w:t>also reduced</w:t>
      </w:r>
      <w:r w:rsidRPr="00795D89">
        <w:t xml:space="preserve"> the tax rate for regional employers to 3.65</w:t>
      </w:r>
      <w:r>
        <w:t> per cent – Australia’s first regional payroll tax</w:t>
      </w:r>
      <w:r>
        <w:fldChar w:fldCharType="begin"/>
      </w:r>
      <w:r>
        <w:instrText xml:space="preserve"> XE "</w:instrText>
      </w:r>
      <w:r w:rsidRPr="00D02DCA">
        <w:instrText>Taxation:Regional payroll tax</w:instrText>
      </w:r>
      <w:r>
        <w:instrText xml:space="preserve">" </w:instrText>
      </w:r>
      <w:r>
        <w:fldChar w:fldCharType="end"/>
      </w:r>
      <w:r>
        <w:t xml:space="preserve"> rate</w:t>
      </w:r>
      <w:r w:rsidRPr="00795D89">
        <w:t xml:space="preserve">. This budget further </w:t>
      </w:r>
      <w:r>
        <w:t>reduces</w:t>
      </w:r>
      <w:r w:rsidRPr="00795D89">
        <w:t xml:space="preserve"> the payroll tax rate for regional employers to 2.425</w:t>
      </w:r>
      <w:r>
        <w:t> per cent, making it the lowest payroll tax rate in Australia</w:t>
      </w:r>
      <w:r w:rsidRPr="00795D89">
        <w:t>.</w:t>
      </w:r>
      <w:r>
        <w:t xml:space="preserve"> In its last two budgets, the Government has halved the rate of payroll tax for businesses that are based in regional Victoria and pay at least 85 per cent of their wages to regional employees. </w:t>
      </w:r>
    </w:p>
    <w:p w:rsidR="00F918C3" w:rsidRPr="00795D89" w:rsidRDefault="00F918C3" w:rsidP="00264BFE">
      <w:pPr>
        <w:spacing w:before="80"/>
      </w:pPr>
      <w:r>
        <w:t>To help support and create jobs</w:t>
      </w:r>
      <w:r w:rsidRPr="00403E91">
        <w:t>, this budget provides a $10</w:t>
      </w:r>
      <w:r w:rsidR="006371F3">
        <w:t> million</w:t>
      </w:r>
      <w:r w:rsidRPr="00403E91">
        <w:t xml:space="preserve"> extension to the Pre</w:t>
      </w:r>
      <w:r>
        <w:t>mier’s Jobs and Investment Fund</w:t>
      </w:r>
      <w:r>
        <w:fldChar w:fldCharType="begin"/>
      </w:r>
      <w:r>
        <w:instrText xml:space="preserve"> XE "</w:instrText>
      </w:r>
      <w:r w:rsidRPr="00D0130A">
        <w:instrText>Premier’s Jobs and Investment Fund</w:instrText>
      </w:r>
      <w:r>
        <w:instrText xml:space="preserve">" </w:instrText>
      </w:r>
      <w:r>
        <w:fldChar w:fldCharType="end"/>
      </w:r>
      <w:r>
        <w:t>;</w:t>
      </w:r>
      <w:r w:rsidRPr="00403E91">
        <w:t xml:space="preserve"> $</w:t>
      </w:r>
      <w:r>
        <w:t>13.5</w:t>
      </w:r>
      <w:r w:rsidR="006371F3">
        <w:t> million</w:t>
      </w:r>
      <w:r w:rsidRPr="00403E91">
        <w:t xml:space="preserve"> for the small and me</w:t>
      </w:r>
      <w:r>
        <w:t>dium enterprise sector; and $16.1</w:t>
      </w:r>
      <w:r w:rsidR="006371F3">
        <w:t> million</w:t>
      </w:r>
      <w:r w:rsidRPr="00403E91">
        <w:t xml:space="preserve"> to grow agricultural exports – all creating new local jobs</w:t>
      </w:r>
      <w:r>
        <w:t xml:space="preserve">. </w:t>
      </w:r>
      <w:r w:rsidRPr="00403E91">
        <w:t>The Government will continue to encourage interstate and international companies to invest in Victoria through a $55</w:t>
      </w:r>
      <w:r w:rsidR="006371F3">
        <w:t> million</w:t>
      </w:r>
      <w:r w:rsidRPr="00403E91">
        <w:t xml:space="preserve"> boost to the Investment Attraction and Assistance Program</w:t>
      </w:r>
      <w:r>
        <w:fldChar w:fldCharType="begin"/>
      </w:r>
      <w:r>
        <w:instrText xml:space="preserve"> XE "</w:instrText>
      </w:r>
      <w:r w:rsidRPr="004F1AEA">
        <w:instrText>Investment Attraction and Assistance Program</w:instrText>
      </w:r>
      <w:r>
        <w:instrText xml:space="preserve">" </w:instrText>
      </w:r>
      <w:r>
        <w:fldChar w:fldCharType="end"/>
      </w:r>
      <w:r w:rsidRPr="00403E91">
        <w:t xml:space="preserve">. </w:t>
      </w:r>
    </w:p>
    <w:p w:rsidR="00F918C3" w:rsidRPr="00795D89" w:rsidRDefault="00F918C3" w:rsidP="00912BE9">
      <w:pPr>
        <w:spacing w:before="80"/>
      </w:pPr>
      <w:r w:rsidRPr="00795D89">
        <w:t xml:space="preserve">Building on </w:t>
      </w:r>
      <w:r>
        <w:t>previous significant investment</w:t>
      </w:r>
      <w:r w:rsidRPr="00795D89">
        <w:t xml:space="preserve">, the Government is </w:t>
      </w:r>
      <w:r>
        <w:t xml:space="preserve">providing </w:t>
      </w:r>
      <w:r w:rsidRPr="00795D89">
        <w:t>an additional $51</w:t>
      </w:r>
      <w:r>
        <w:t>.1</w:t>
      </w:r>
      <w:r w:rsidR="006371F3">
        <w:t> million</w:t>
      </w:r>
      <w:r w:rsidRPr="00795D89">
        <w:t xml:space="preserve"> in the </w:t>
      </w:r>
      <w:r w:rsidRPr="00795D89">
        <w:rPr>
          <w:i/>
        </w:rPr>
        <w:t>2018</w:t>
      </w:r>
      <w:r>
        <w:rPr>
          <w:i/>
        </w:rPr>
        <w:noBreakHyphen/>
      </w:r>
      <w:r w:rsidRPr="00795D89">
        <w:rPr>
          <w:i/>
        </w:rPr>
        <w:t>19 Budget</w:t>
      </w:r>
      <w:r w:rsidRPr="00795D89">
        <w:t xml:space="preserve"> </w:t>
      </w:r>
      <w:r>
        <w:t>for tourism marketing, attracting business events and expanding the Major Events Fund</w:t>
      </w:r>
      <w:r>
        <w:fldChar w:fldCharType="begin"/>
      </w:r>
      <w:r>
        <w:instrText xml:space="preserve"> XE "Major Events Fund" </w:instrText>
      </w:r>
      <w:r>
        <w:fldChar w:fldCharType="end"/>
      </w:r>
      <w:r>
        <w:t>. A further $4.6</w:t>
      </w:r>
      <w:r w:rsidR="006371F3">
        <w:t> million</w:t>
      </w:r>
      <w:r>
        <w:t xml:space="preserve"> in funding will help commercialise Victoria’s biomedical research into local jobs and industry, while $103</w:t>
      </w:r>
      <w:r w:rsidR="006371F3">
        <w:t> million</w:t>
      </w:r>
      <w:r>
        <w:t xml:space="preserve"> of funding, including a $50</w:t>
      </w:r>
      <w:r w:rsidR="006371F3">
        <w:t> million</w:t>
      </w:r>
      <w:r>
        <w:t xml:space="preserv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t xml:space="preserve"> contribution, will be invested in a hydrogen energy supply chain pilot project. </w:t>
      </w:r>
    </w:p>
    <w:p w:rsidR="00F918C3" w:rsidRPr="00795D89" w:rsidRDefault="00F918C3" w:rsidP="00F918C3">
      <w:pPr>
        <w:pStyle w:val="Heading10"/>
      </w:pPr>
      <w:bookmarkStart w:id="9" w:name="_Toc512629748"/>
      <w:r w:rsidRPr="00795D89">
        <w:t>Victoria</w:t>
      </w:r>
      <w:r>
        <w:t>’</w:t>
      </w:r>
      <w:r w:rsidRPr="00795D89">
        <w:t xml:space="preserve">s </w:t>
      </w:r>
      <w:r>
        <w:t>big build</w:t>
      </w:r>
      <w:bookmarkEnd w:id="9"/>
    </w:p>
    <w:p w:rsidR="00F918C3" w:rsidRPr="00795D89" w:rsidRDefault="00F918C3" w:rsidP="00792D9A">
      <w:r>
        <w:t>Over the past three budgets, the Government has committed more than $40</w:t>
      </w:r>
      <w:r w:rsidR="006371F3">
        <w:t> billion</w:t>
      </w:r>
      <w:r>
        <w:t xml:space="preserve"> to the Victorian road and rail network that gets people out of traffic and home sooner</w:t>
      </w:r>
      <w:r w:rsidRPr="00795D89">
        <w:t>.</w:t>
      </w:r>
      <w:r>
        <w:t xml:space="preserve"> The </w:t>
      </w:r>
      <w:r w:rsidRPr="00361BF3">
        <w:rPr>
          <w:i/>
        </w:rPr>
        <w:t>2018</w:t>
      </w:r>
      <w:r>
        <w:rPr>
          <w:i/>
        </w:rPr>
        <w:noBreakHyphen/>
      </w:r>
      <w:r w:rsidRPr="00361BF3">
        <w:rPr>
          <w:i/>
        </w:rPr>
        <w:t>19 Budget</w:t>
      </w:r>
      <w:r>
        <w:t xml:space="preserve"> invests almost $4.3</w:t>
      </w:r>
      <w:r w:rsidR="006371F3">
        <w:t> billion</w:t>
      </w:r>
      <w:r>
        <w:t xml:space="preserve"> for better roads around Victoria and $1.9</w:t>
      </w:r>
      <w:r w:rsidR="006371F3">
        <w:t> billion</w:t>
      </w:r>
      <w:r>
        <w:t xml:space="preserve"> to continue the overhaul of Victoria’s public transport</w:t>
      </w:r>
      <w:r>
        <w:fldChar w:fldCharType="begin"/>
      </w:r>
      <w:r>
        <w:instrText xml:space="preserve"> XE "</w:instrText>
      </w:r>
      <w:r w:rsidRPr="00D02DCA">
        <w:instrText>Public transport</w:instrText>
      </w:r>
      <w:r>
        <w:instrText xml:space="preserve">" </w:instrText>
      </w:r>
      <w:r>
        <w:fldChar w:fldCharType="end"/>
      </w:r>
      <w:r>
        <w:t xml:space="preserve"> network. </w:t>
      </w:r>
    </w:p>
    <w:p w:rsidR="00F918C3" w:rsidRPr="00795D89" w:rsidRDefault="00F918C3" w:rsidP="00200DDD">
      <w:pPr>
        <w:pStyle w:val="Heading20"/>
      </w:pPr>
      <w:r w:rsidRPr="00795D89">
        <w:t xml:space="preserve">Upgrading </w:t>
      </w:r>
      <w:r>
        <w:t xml:space="preserve">Victoria’s </w:t>
      </w:r>
      <w:r w:rsidRPr="00795D89">
        <w:t>roads</w:t>
      </w:r>
    </w:p>
    <w:p w:rsidR="00F918C3" w:rsidRDefault="00F918C3" w:rsidP="0035739B">
      <w:pPr>
        <w:rPr>
          <w:iCs/>
        </w:rPr>
      </w:pPr>
      <w:r>
        <w:rPr>
          <w:iCs/>
        </w:rPr>
        <w:t>Our suburbs are growing rapidly. This budget invests $2.2</w:t>
      </w:r>
      <w:r w:rsidR="006371F3">
        <w:rPr>
          <w:iCs/>
        </w:rPr>
        <w:t> billion</w:t>
      </w:r>
      <w:r>
        <w:rPr>
          <w:iCs/>
        </w:rPr>
        <w:t xml:space="preserve"> in the Suburban Roads Upgrade</w:t>
      </w:r>
      <w:r w:rsidR="008C27C4">
        <w:rPr>
          <w:iCs/>
        </w:rPr>
        <w:fldChar w:fldCharType="begin"/>
      </w:r>
      <w:r w:rsidR="008C27C4">
        <w:instrText xml:space="preserve"> XE "</w:instrText>
      </w:r>
      <w:r w:rsidR="008C27C4" w:rsidRPr="005A1DCE">
        <w:rPr>
          <w:iCs/>
        </w:rPr>
        <w:instrText>Suburban Roads Upgrade</w:instrText>
      </w:r>
      <w:r w:rsidR="008C27C4">
        <w:instrText xml:space="preserve">" </w:instrText>
      </w:r>
      <w:r w:rsidR="008C27C4">
        <w:rPr>
          <w:iCs/>
        </w:rPr>
        <w:fldChar w:fldCharType="end"/>
      </w:r>
      <w:r>
        <w:rPr>
          <w:iCs/>
        </w:rPr>
        <w:t xml:space="preserve"> in Melbourne’s northern and south</w:t>
      </w:r>
      <w:r>
        <w:rPr>
          <w:iCs/>
        </w:rPr>
        <w:noBreakHyphen/>
        <w:t>eastern suburbs, building on the Western Roads Upgrade</w:t>
      </w:r>
      <w:r>
        <w:rPr>
          <w:iCs/>
        </w:rPr>
        <w:fldChar w:fldCharType="begin"/>
      </w:r>
      <w:r>
        <w:rPr>
          <w:iCs/>
        </w:rPr>
        <w:instrText xml:space="preserve"> XE "</w:instrText>
      </w:r>
      <w:r w:rsidRPr="00D02DCA">
        <w:instrText>Western Roads Upgrade</w:instrText>
      </w:r>
      <w:r>
        <w:instrText>"</w:instrText>
      </w:r>
      <w:r>
        <w:rPr>
          <w:iCs/>
        </w:rPr>
        <w:instrText xml:space="preserve"> </w:instrText>
      </w:r>
      <w:r>
        <w:rPr>
          <w:iCs/>
        </w:rPr>
        <w:fldChar w:fldCharType="end"/>
      </w:r>
      <w:r>
        <w:rPr>
          <w:iCs/>
        </w:rPr>
        <w:t xml:space="preserve"> funded in last year’s budget. This will update and improve the local roads that drivers in Melbourne’s outer suburbs use every day.</w:t>
      </w:r>
    </w:p>
    <w:p w:rsidR="00F918C3" w:rsidRDefault="00F918C3" w:rsidP="0035739B">
      <w:pPr>
        <w:rPr>
          <w:iCs/>
        </w:rPr>
      </w:pPr>
      <w:r>
        <w:rPr>
          <w:iCs/>
        </w:rPr>
        <w:t xml:space="preserve">In the past three budgets, the Government has invested in upgrades to the M80 Ring Road, Monash, Tullamarine and West Gate freeways. The </w:t>
      </w:r>
      <w:r w:rsidRPr="00A22098">
        <w:rPr>
          <w:i/>
          <w:iCs/>
        </w:rPr>
        <w:t>2018</w:t>
      </w:r>
      <w:r>
        <w:rPr>
          <w:i/>
          <w:iCs/>
        </w:rPr>
        <w:noBreakHyphen/>
      </w:r>
      <w:r w:rsidRPr="00A22098">
        <w:rPr>
          <w:i/>
          <w:iCs/>
        </w:rPr>
        <w:t>19</w:t>
      </w:r>
      <w:r>
        <w:rPr>
          <w:i/>
          <w:iCs/>
        </w:rPr>
        <w:t xml:space="preserve"> Budget</w:t>
      </w:r>
      <w:r>
        <w:rPr>
          <w:iCs/>
        </w:rPr>
        <w:t xml:space="preserve"> continues this investment with $110</w:t>
      </w:r>
      <w:r w:rsidR="006371F3">
        <w:rPr>
          <w:iCs/>
        </w:rPr>
        <w:t> million</w:t>
      </w:r>
      <w:r>
        <w:rPr>
          <w:iCs/>
        </w:rPr>
        <w:t xml:space="preserve"> to fast track the completion of detailed design and planning for the North East Link</w:t>
      </w:r>
      <w:r w:rsidR="008C27C4">
        <w:rPr>
          <w:iCs/>
        </w:rPr>
        <w:fldChar w:fldCharType="begin"/>
      </w:r>
      <w:r w:rsidR="008C27C4">
        <w:instrText xml:space="preserve"> XE "</w:instrText>
      </w:r>
      <w:r w:rsidR="008C27C4" w:rsidRPr="00D9222F">
        <w:rPr>
          <w:iCs/>
        </w:rPr>
        <w:instrText>North East Link</w:instrText>
      </w:r>
      <w:r w:rsidR="008C27C4">
        <w:instrText xml:space="preserve">" </w:instrText>
      </w:r>
      <w:r w:rsidR="008C27C4">
        <w:rPr>
          <w:iCs/>
        </w:rPr>
        <w:fldChar w:fldCharType="end"/>
      </w:r>
      <w:r>
        <w:rPr>
          <w:iCs/>
        </w:rPr>
        <w:t xml:space="preserve"> – the missing link in Melbourne’s freeway network. The Government is also investing a further $75</w:t>
      </w:r>
      <w:r w:rsidR="006371F3">
        <w:rPr>
          <w:iCs/>
        </w:rPr>
        <w:t> million</w:t>
      </w:r>
      <w:r>
        <w:rPr>
          <w:iCs/>
        </w:rPr>
        <w:t xml:space="preserve"> in the Mordialloc Bypass</w:t>
      </w:r>
      <w:r>
        <w:rPr>
          <w:iCs/>
        </w:rPr>
        <w:fldChar w:fldCharType="begin"/>
      </w:r>
      <w:r>
        <w:rPr>
          <w:iCs/>
        </w:rPr>
        <w:instrText xml:space="preserve"> XE "</w:instrText>
      </w:r>
      <w:r w:rsidRPr="00D02DCA">
        <w:instrText>Mordialloc Bypass</w:instrText>
      </w:r>
      <w:r>
        <w:instrText>"</w:instrText>
      </w:r>
      <w:r>
        <w:rPr>
          <w:iCs/>
        </w:rPr>
        <w:instrText xml:space="preserve"> </w:instrText>
      </w:r>
      <w:r>
        <w:rPr>
          <w:iCs/>
        </w:rPr>
        <w:fldChar w:fldCharType="end"/>
      </w:r>
      <w:r>
        <w:rPr>
          <w:iCs/>
        </w:rPr>
        <w:t xml:space="preserve"> to build a four</w:t>
      </w:r>
      <w:r>
        <w:rPr>
          <w:iCs/>
        </w:rPr>
        <w:noBreakHyphen/>
        <w:t>lane freeway connection between the Mornington Peninsula Freeway at Springvale Road and the Dingley Bypass, bringing total investment to $375</w:t>
      </w:r>
      <w:r w:rsidR="006371F3">
        <w:rPr>
          <w:iCs/>
        </w:rPr>
        <w:t> million</w:t>
      </w:r>
      <w:r>
        <w:rPr>
          <w:iCs/>
        </w:rPr>
        <w:t xml:space="preserve">. </w:t>
      </w:r>
    </w:p>
    <w:p w:rsidR="00F918C3" w:rsidRPr="00795D89" w:rsidRDefault="00F918C3" w:rsidP="0035739B">
      <w:r>
        <w:t xml:space="preserve">The </w:t>
      </w:r>
      <w:r w:rsidRPr="007B27BD">
        <w:rPr>
          <w:i/>
        </w:rPr>
        <w:t>2018</w:t>
      </w:r>
      <w:r>
        <w:rPr>
          <w:i/>
        </w:rPr>
        <w:noBreakHyphen/>
      </w:r>
      <w:r w:rsidRPr="007B27BD">
        <w:rPr>
          <w:i/>
        </w:rPr>
        <w:t>19 Budget</w:t>
      </w:r>
      <w:r>
        <w:t xml:space="preserve"> also </w:t>
      </w:r>
      <w:r w:rsidRPr="00596D09">
        <w:t>allocates $941</w:t>
      </w:r>
      <w:r w:rsidR="006371F3">
        <w:t> million</w:t>
      </w:r>
      <w:r w:rsidRPr="00596D09">
        <w:t xml:space="preserve"> for Victoria’s</w:t>
      </w:r>
      <w:r>
        <w:t xml:space="preserve"> regional road network. Regional Roads Victoria</w:t>
      </w:r>
      <w:r>
        <w:fldChar w:fldCharType="begin"/>
      </w:r>
      <w:r>
        <w:instrText xml:space="preserve"> XE "Regional Roads Victoria" </w:instrText>
      </w:r>
      <w:r>
        <w:fldChar w:fldCharType="end"/>
      </w:r>
      <w:r>
        <w:t xml:space="preserve"> (RRV) will be a new division of VicRoads, based in Ballarat and with staff in regional centres across the state to give regional Victorians the roads they can rely on.</w:t>
      </w:r>
    </w:p>
    <w:p w:rsidR="00F918C3" w:rsidRPr="002510BC" w:rsidRDefault="00F918C3" w:rsidP="005519BB">
      <w:pPr>
        <w:pStyle w:val="Heading20"/>
      </w:pPr>
      <w:bookmarkStart w:id="10" w:name="BP2Ch1PublicTransport"/>
      <w:r w:rsidRPr="00795D89">
        <w:t>Building a world</w:t>
      </w:r>
      <w:r>
        <w:noBreakHyphen/>
      </w:r>
      <w:r w:rsidRPr="00795D89">
        <w:t>class public transport network</w:t>
      </w:r>
    </w:p>
    <w:p w:rsidR="00F918C3" w:rsidRPr="002510BC" w:rsidRDefault="00F918C3" w:rsidP="00A12576">
      <w:r w:rsidRPr="002510BC">
        <w:t xml:space="preserve">More people than ever rely on our public transport network. </w:t>
      </w:r>
    </w:p>
    <w:p w:rsidR="00F918C3" w:rsidRPr="00795D89" w:rsidRDefault="00F918C3" w:rsidP="00A12576">
      <w:r w:rsidRPr="002510BC">
        <w:t xml:space="preserve">Over the past three years, the Government has </w:t>
      </w:r>
      <w:r>
        <w:t>undertaken an</w:t>
      </w:r>
      <w:r w:rsidRPr="002510BC">
        <w:t xml:space="preserve"> </w:t>
      </w:r>
      <w:r>
        <w:t>overhaul of Victoria’s</w:t>
      </w:r>
      <w:r w:rsidRPr="002510BC">
        <w:t xml:space="preserve"> public transport infrastructure</w:t>
      </w:r>
      <w:r>
        <w:t>, including building the Metro Tunnel</w:t>
      </w:r>
      <w:r w:rsidR="008C27C4">
        <w:fldChar w:fldCharType="begin"/>
      </w:r>
      <w:r w:rsidR="008C27C4">
        <w:instrText xml:space="preserve"> XE "</w:instrText>
      </w:r>
      <w:r w:rsidR="008C27C4" w:rsidRPr="005873EA">
        <w:instrText>Metro Tunnel</w:instrText>
      </w:r>
      <w:r w:rsidR="008C27C4">
        <w:instrText xml:space="preserve">" </w:instrText>
      </w:r>
      <w:r w:rsidR="008C27C4">
        <w:fldChar w:fldCharType="end"/>
      </w:r>
      <w:r>
        <w:t xml:space="preserve"> to untangle the entire train network, extending the South Morang link to Mernda, removing 50 dangerous and congested level crossings and purchasing hundreds of new metro and regional train carriages</w:t>
      </w:r>
      <w:r w:rsidRPr="00403E91">
        <w:t>.</w:t>
      </w:r>
    </w:p>
    <w:p w:rsidR="00F918C3" w:rsidRPr="002510BC" w:rsidRDefault="00F918C3" w:rsidP="00CD0333">
      <w:r w:rsidRPr="002510BC">
        <w:t xml:space="preserve">The </w:t>
      </w:r>
      <w:r w:rsidRPr="002510BC">
        <w:rPr>
          <w:i/>
        </w:rPr>
        <w:t>2018</w:t>
      </w:r>
      <w:r>
        <w:rPr>
          <w:i/>
        </w:rPr>
        <w:noBreakHyphen/>
      </w:r>
      <w:r w:rsidRPr="002510BC">
        <w:rPr>
          <w:i/>
        </w:rPr>
        <w:t xml:space="preserve">19 Budget </w:t>
      </w:r>
      <w:r w:rsidRPr="002510BC">
        <w:t xml:space="preserve">consolidates these major </w:t>
      </w:r>
      <w:r>
        <w:t xml:space="preserve">projects </w:t>
      </w:r>
      <w:r w:rsidRPr="002510BC">
        <w:t xml:space="preserve">with </w:t>
      </w:r>
      <w:r>
        <w:t>an additional $1.9</w:t>
      </w:r>
      <w:r w:rsidR="006371F3">
        <w:t> billion</w:t>
      </w:r>
      <w:r>
        <w:t xml:space="preserve"> of </w:t>
      </w:r>
      <w:r w:rsidRPr="002510BC">
        <w:t xml:space="preserve">public transport infrastructure </w:t>
      </w:r>
      <w:r>
        <w:t xml:space="preserve">investment </w:t>
      </w:r>
      <w:r w:rsidRPr="002510BC">
        <w:t>that will reduce travel times and address overcrowding.</w:t>
      </w:r>
    </w:p>
    <w:p w:rsidR="00F918C3" w:rsidRDefault="00F918C3" w:rsidP="00CD0333">
      <w:r w:rsidRPr="00795D89">
        <w:t xml:space="preserve">Victoria’s rail network will be improved </w:t>
      </w:r>
      <w:r w:rsidRPr="00403E91">
        <w:t>by the $572</w:t>
      </w:r>
      <w:r w:rsidR="006371F3">
        <w:t> million</w:t>
      </w:r>
      <w:r w:rsidRPr="00403E91">
        <w:t xml:space="preserve"> </w:t>
      </w:r>
      <w:r>
        <w:t xml:space="preserve">investment to enable and plan for the duplication of the Cranbourne line, deliver power and signalling upgrades from the city to Cranbourne and Pakenham and undertake detailed design work to enable new high capacity metro trains to run to Sunbury. </w:t>
      </w:r>
    </w:p>
    <w:p w:rsidR="00F918C3" w:rsidRDefault="00F918C3" w:rsidP="00CD0333">
      <w:r w:rsidRPr="00795D89">
        <w:t>A further five X’Trapolis trains</w:t>
      </w:r>
      <w:r w:rsidR="008C27C4">
        <w:fldChar w:fldCharType="begin"/>
      </w:r>
      <w:r w:rsidR="008C27C4">
        <w:instrText xml:space="preserve"> XE "</w:instrText>
      </w:r>
      <w:r w:rsidR="008C27C4" w:rsidRPr="007C0790">
        <w:instrText>X’Trapolis trains</w:instrText>
      </w:r>
      <w:r w:rsidR="008C27C4">
        <w:instrText xml:space="preserve">" </w:instrText>
      </w:r>
      <w:r w:rsidR="008C27C4">
        <w:fldChar w:fldCharType="end"/>
      </w:r>
      <w:r w:rsidRPr="00795D89">
        <w:t xml:space="preserve"> are being ordered to meet increasing demand on the metropolitan network</w:t>
      </w:r>
      <w:r>
        <w:t>,</w:t>
      </w:r>
      <w:r w:rsidRPr="00795D89">
        <w:t xml:space="preserve"> and </w:t>
      </w:r>
      <w:r>
        <w:t>$89.4</w:t>
      </w:r>
      <w:r w:rsidR="006371F3">
        <w:t> million</w:t>
      </w:r>
      <w:r>
        <w:t xml:space="preserve"> is being committed to extend and add more services on the South Morang line to Mernda, along with additional services on the Hurstbridge and Dandenong lines.</w:t>
      </w:r>
      <w:r>
        <w:fldChar w:fldCharType="begin"/>
      </w:r>
      <w:r>
        <w:instrText xml:space="preserve"> XE "</w:instrText>
      </w:r>
      <w:r w:rsidRPr="00927460">
        <w:instrText>Public transport</w:instrText>
      </w:r>
      <w:r>
        <w:instrText xml:space="preserve">" \r "BP2Ch1PublicTransport" </w:instrText>
      </w:r>
      <w:r>
        <w:fldChar w:fldCharType="end"/>
      </w:r>
      <w:r>
        <w:t xml:space="preserve"> </w:t>
      </w:r>
    </w:p>
    <w:p w:rsidR="00F918C3" w:rsidRPr="00795D89" w:rsidRDefault="00F918C3" w:rsidP="00F918C3">
      <w:pPr>
        <w:pStyle w:val="Heading10"/>
      </w:pPr>
      <w:bookmarkStart w:id="11" w:name="_Toc512629749"/>
      <w:bookmarkEnd w:id="10"/>
      <w:r w:rsidRPr="00F918C3">
        <w:t>The</w:t>
      </w:r>
      <w:r w:rsidRPr="00795D89">
        <w:rPr>
          <w:caps w:val="0"/>
        </w:rPr>
        <w:t xml:space="preserve"> </w:t>
      </w:r>
      <w:r w:rsidRPr="00F918C3">
        <w:t>Education State</w:t>
      </w:r>
      <w:bookmarkEnd w:id="11"/>
    </w:p>
    <w:p w:rsidR="00F918C3" w:rsidRPr="00403E91" w:rsidRDefault="00F918C3" w:rsidP="00D2193A">
      <w:r>
        <w:t xml:space="preserve">The </w:t>
      </w:r>
      <w:r w:rsidRPr="009D4331">
        <w:rPr>
          <w:i/>
        </w:rPr>
        <w:t>2018</w:t>
      </w:r>
      <w:r>
        <w:rPr>
          <w:i/>
        </w:rPr>
        <w:noBreakHyphen/>
      </w:r>
      <w:r w:rsidRPr="009D4331">
        <w:rPr>
          <w:i/>
        </w:rPr>
        <w:t>19 Budget</w:t>
      </w:r>
      <w:r>
        <w:t xml:space="preserve"> continues to build on the </w:t>
      </w:r>
      <w:r w:rsidRPr="009D4331">
        <w:t>$</w:t>
      </w:r>
      <w:r>
        <w:t>6</w:t>
      </w:r>
      <w:r w:rsidR="006371F3">
        <w:t> billion</w:t>
      </w:r>
      <w:r w:rsidRPr="009D4331">
        <w:t xml:space="preserve"> </w:t>
      </w:r>
      <w:r>
        <w:t xml:space="preserve">the Government has invested </w:t>
      </w:r>
      <w:r w:rsidRPr="009D4331">
        <w:t>in Victoria’s schools</w:t>
      </w:r>
      <w:r>
        <w:fldChar w:fldCharType="begin"/>
      </w:r>
      <w:r>
        <w:instrText xml:space="preserve"> XE "</w:instrText>
      </w:r>
      <w:r w:rsidRPr="00D02DCA">
        <w:instrText>Schools</w:instrText>
      </w:r>
      <w:r>
        <w:instrText xml:space="preserve">" </w:instrText>
      </w:r>
      <w:r>
        <w:fldChar w:fldCharType="end"/>
      </w:r>
      <w:r>
        <w:t xml:space="preserve"> since 2014</w:t>
      </w:r>
      <w:r w:rsidRPr="009D4331">
        <w:t xml:space="preserve">. </w:t>
      </w:r>
      <w:r>
        <w:t>W</w:t>
      </w:r>
      <w:r w:rsidRPr="00795D89">
        <w:t>ith an estimated 90 000 new students entering Victorian schools over the next five years</w:t>
      </w:r>
      <w:r>
        <w:t>, effort is required to ensure every Victorian has access to a good quality school, and the opportunity for a better life</w:t>
      </w:r>
      <w:r w:rsidRPr="00403E91">
        <w:t xml:space="preserve">. The </w:t>
      </w:r>
      <w:r w:rsidRPr="00403E91">
        <w:rPr>
          <w:i/>
        </w:rPr>
        <w:t>2018</w:t>
      </w:r>
      <w:r>
        <w:rPr>
          <w:i/>
        </w:rPr>
        <w:noBreakHyphen/>
      </w:r>
      <w:r w:rsidRPr="00403E91">
        <w:rPr>
          <w:i/>
        </w:rPr>
        <w:t xml:space="preserve">19 Budget </w:t>
      </w:r>
      <w:r w:rsidRPr="00403E91">
        <w:t xml:space="preserve">provides </w:t>
      </w:r>
      <w:r w:rsidRPr="001F79F6">
        <w:t>nearly $</w:t>
      </w:r>
      <w:r>
        <w:t>1.3</w:t>
      </w:r>
      <w:r w:rsidR="006371F3">
        <w:t> billion</w:t>
      </w:r>
      <w:r w:rsidRPr="00795D89">
        <w:t xml:space="preserve"> in school infrastructure funding</w:t>
      </w:r>
      <w:r>
        <w:t xml:space="preserve"> </w:t>
      </w:r>
      <w:r w:rsidRPr="00403E91">
        <w:t xml:space="preserve">that will build or plan 28 new schools and upgrade more than 130 others, through: </w:t>
      </w:r>
    </w:p>
    <w:p w:rsidR="00F918C3" w:rsidRPr="00403E91" w:rsidRDefault="00F918C3" w:rsidP="005E7A0A">
      <w:pPr>
        <w:pStyle w:val="ListBullet"/>
        <w:numPr>
          <w:ilvl w:val="0"/>
          <w:numId w:val="20"/>
        </w:numPr>
      </w:pPr>
      <w:r w:rsidRPr="00403E91">
        <w:t>$272</w:t>
      </w:r>
      <w:r w:rsidR="006371F3">
        <w:t> million</w:t>
      </w:r>
      <w:r w:rsidRPr="00403E91">
        <w:t xml:space="preserve"> to purchase land for new school sites; </w:t>
      </w:r>
    </w:p>
    <w:p w:rsidR="00F918C3" w:rsidRPr="00403E91" w:rsidRDefault="00F918C3" w:rsidP="005E7A0A">
      <w:pPr>
        <w:pStyle w:val="ListBullet"/>
        <w:numPr>
          <w:ilvl w:val="0"/>
          <w:numId w:val="20"/>
        </w:numPr>
      </w:pPr>
      <w:r w:rsidRPr="00403E91">
        <w:t>$</w:t>
      </w:r>
      <w:r w:rsidRPr="00BB6FC1">
        <w:t>353</w:t>
      </w:r>
      <w:r w:rsidR="006371F3">
        <w:t> million</w:t>
      </w:r>
      <w:r w:rsidRPr="00403E91">
        <w:t xml:space="preserve"> in investment </w:t>
      </w:r>
      <w:r>
        <w:t>for</w:t>
      </w:r>
      <w:r w:rsidRPr="00403E91">
        <w:t xml:space="preserve"> new </w:t>
      </w:r>
      <w:r>
        <w:t xml:space="preserve">and planned </w:t>
      </w:r>
      <w:r w:rsidRPr="00403E91">
        <w:t>school projects; and</w:t>
      </w:r>
    </w:p>
    <w:p w:rsidR="00F918C3" w:rsidRPr="00403E91" w:rsidRDefault="00F918C3" w:rsidP="005E7A0A">
      <w:pPr>
        <w:pStyle w:val="ListBullet"/>
        <w:numPr>
          <w:ilvl w:val="0"/>
          <w:numId w:val="20"/>
        </w:numPr>
      </w:pPr>
      <w:r w:rsidRPr="00403E91">
        <w:t>$483</w:t>
      </w:r>
      <w:r w:rsidR="006371F3">
        <w:t> million</w:t>
      </w:r>
      <w:r w:rsidRPr="00403E91">
        <w:t xml:space="preserve"> to upgrade existing schools</w:t>
      </w:r>
      <w:r>
        <w:fldChar w:fldCharType="begin"/>
      </w:r>
      <w:r>
        <w:instrText xml:space="preserve"> XE "</w:instrText>
      </w:r>
      <w:r w:rsidRPr="00D02DCA">
        <w:instrText>Schools</w:instrText>
      </w:r>
      <w:r>
        <w:instrText xml:space="preserve">" </w:instrText>
      </w:r>
      <w:r>
        <w:fldChar w:fldCharType="end"/>
      </w:r>
      <w:r w:rsidRPr="00403E91">
        <w:t xml:space="preserve">. </w:t>
      </w:r>
    </w:p>
    <w:p w:rsidR="00F918C3" w:rsidRDefault="00F918C3" w:rsidP="00D2193A">
      <w:r>
        <w:t>The investment in the Education State</w:t>
      </w:r>
      <w:r>
        <w:fldChar w:fldCharType="begin"/>
      </w:r>
      <w:r>
        <w:instrText xml:space="preserve"> XE "</w:instrText>
      </w:r>
      <w:r w:rsidRPr="00D02DCA">
        <w:instrText>Education State</w:instrText>
      </w:r>
      <w:r>
        <w:instrText xml:space="preserve">" </w:instrText>
      </w:r>
      <w:r>
        <w:fldChar w:fldCharType="end"/>
      </w:r>
      <w:r>
        <w:t xml:space="preserve"> is covering every corner of Victoria, with $775</w:t>
      </w:r>
      <w:r w:rsidR="006371F3">
        <w:t> million</w:t>
      </w:r>
      <w:r>
        <w:t xml:space="preserve"> already invested in regional Victorian schools</w:t>
      </w:r>
      <w:r>
        <w:fldChar w:fldCharType="begin"/>
      </w:r>
      <w:r>
        <w:instrText xml:space="preserve"> XE "</w:instrText>
      </w:r>
      <w:r w:rsidRPr="00D02DCA">
        <w:instrText>Schools</w:instrText>
      </w:r>
      <w:r>
        <w:instrText xml:space="preserve">" </w:instrText>
      </w:r>
      <w:r>
        <w:fldChar w:fldCharType="end"/>
      </w:r>
      <w:r>
        <w:t>. This budget commits a further $181</w:t>
      </w:r>
      <w:r w:rsidR="006371F3">
        <w:t> million</w:t>
      </w:r>
      <w:r>
        <w:t xml:space="preserve"> to build, plan and upgrade 60 regional schools, including plans to build five new schools and upgrade 55 existing primary and secondary schools. </w:t>
      </w:r>
    </w:p>
    <w:p w:rsidR="00F918C3" w:rsidRDefault="00F918C3" w:rsidP="00D2193A">
      <w:r>
        <w:t>A further $126</w:t>
      </w:r>
      <w:r w:rsidR="006371F3">
        <w:t> million</w:t>
      </w:r>
      <w:r>
        <w:t xml:space="preserve"> is provided statewide for the relocatable classrooms program, school pride and sport funds, and an asbestos removal program. </w:t>
      </w:r>
    </w:p>
    <w:p w:rsidR="00F918C3" w:rsidRDefault="00F918C3" w:rsidP="00D2193A">
      <w:r w:rsidRPr="00403E91">
        <w:t xml:space="preserve">The </w:t>
      </w:r>
      <w:r w:rsidRPr="00403E91">
        <w:rPr>
          <w:i/>
        </w:rPr>
        <w:t>2018</w:t>
      </w:r>
      <w:r>
        <w:rPr>
          <w:i/>
        </w:rPr>
        <w:noBreakHyphen/>
      </w:r>
      <w:r w:rsidRPr="00403E91">
        <w:rPr>
          <w:i/>
        </w:rPr>
        <w:t>19 Budget</w:t>
      </w:r>
      <w:r>
        <w:t xml:space="preserve"> provides $43.8</w:t>
      </w:r>
      <w:r w:rsidR="006371F3">
        <w:t> million</w:t>
      </w:r>
      <w:r w:rsidRPr="00403E91">
        <w:t xml:space="preserve"> to reduce secondary school dropout rates through the Navigator program, as well as $22</w:t>
      </w:r>
      <w:r>
        <w:t>.1</w:t>
      </w:r>
      <w:r w:rsidR="006371F3">
        <w:t> million</w:t>
      </w:r>
      <w:r w:rsidRPr="00403E91">
        <w:t xml:space="preserve"> to support quality teaching in core literacy and numeracy</w:t>
      </w:r>
      <w:r>
        <w:fldChar w:fldCharType="begin"/>
      </w:r>
      <w:r>
        <w:instrText xml:space="preserve"> XE "</w:instrText>
      </w:r>
      <w:r w:rsidRPr="00DE217D">
        <w:instrText>Education:Literacy and numeracy</w:instrText>
      </w:r>
      <w:r>
        <w:instrText xml:space="preserve">" </w:instrText>
      </w:r>
      <w:r>
        <w:fldChar w:fldCharType="end"/>
      </w:r>
      <w:r w:rsidRPr="00403E91">
        <w:t xml:space="preserve"> skills</w:t>
      </w:r>
      <w:r>
        <w:fldChar w:fldCharType="begin"/>
      </w:r>
      <w:r>
        <w:instrText xml:space="preserve"> XE "</w:instrText>
      </w:r>
      <w:r w:rsidRPr="00D02DCA">
        <w:instrText>Skills</w:instrText>
      </w:r>
      <w:r>
        <w:instrText xml:space="preserve">" </w:instrText>
      </w:r>
      <w:r>
        <w:fldChar w:fldCharType="end"/>
      </w:r>
      <w:r w:rsidRPr="00403E91">
        <w:t xml:space="preserve"> </w:t>
      </w:r>
      <w:r>
        <w:t>and $32.9</w:t>
      </w:r>
      <w:r w:rsidR="006371F3">
        <w:t> million</w:t>
      </w:r>
      <w:r w:rsidRPr="00403E91">
        <w:t xml:space="preserve"> for 200 additional </w:t>
      </w:r>
      <w:r>
        <w:t>primary maths and science specialist teachers</w:t>
      </w:r>
      <w:r w:rsidRPr="00403E91">
        <w:t xml:space="preserve">. </w:t>
      </w:r>
    </w:p>
    <w:p w:rsidR="00F918C3" w:rsidRPr="00795D89" w:rsidRDefault="00F918C3" w:rsidP="00D2193A">
      <w:r w:rsidRPr="00795D89">
        <w:t xml:space="preserve">This budget </w:t>
      </w:r>
      <w:r>
        <w:t>positions Victoria as a national leader</w:t>
      </w:r>
      <w:r w:rsidRPr="00795D89">
        <w:t xml:space="preserve"> in inclusive education</w:t>
      </w:r>
      <w:r>
        <w:t xml:space="preserve"> with $288</w:t>
      </w:r>
      <w:r w:rsidR="006371F3">
        <w:t> million</w:t>
      </w:r>
      <w:r>
        <w:t xml:space="preserve"> to support students living with disability or additional learning needs</w:t>
      </w:r>
      <w:r w:rsidRPr="00795D89">
        <w:t xml:space="preserve">. </w:t>
      </w:r>
      <w:r>
        <w:t>This includes $65.5</w:t>
      </w:r>
      <w:r w:rsidR="006371F3">
        <w:t> million</w:t>
      </w:r>
      <w:r>
        <w:t xml:space="preserve"> for student health and we</w:t>
      </w:r>
      <w:r w:rsidRPr="001F79F6">
        <w:t>llbeing reforms, and $55.6</w:t>
      </w:r>
      <w:r w:rsidR="006371F3">
        <w:t> million</w:t>
      </w:r>
      <w:r w:rsidRPr="001F79F6">
        <w:t xml:space="preserve"> to upgrade 15</w:t>
      </w:r>
      <w:r>
        <w:t> </w:t>
      </w:r>
      <w:r w:rsidRPr="001F79F6">
        <w:t>specialist schools</w:t>
      </w:r>
      <w:r>
        <w:fldChar w:fldCharType="begin"/>
      </w:r>
      <w:r>
        <w:instrText xml:space="preserve"> XE "</w:instrText>
      </w:r>
      <w:r w:rsidRPr="00D02DCA">
        <w:instrText>Schools</w:instrText>
      </w:r>
      <w:r>
        <w:instrText xml:space="preserve">" </w:instrText>
      </w:r>
      <w:r>
        <w:fldChar w:fldCharType="end"/>
      </w:r>
      <w:r w:rsidRPr="001F79F6">
        <w:t xml:space="preserve"> across Victoria.</w:t>
      </w:r>
    </w:p>
    <w:p w:rsidR="00F918C3" w:rsidRPr="002510BC" w:rsidRDefault="00F918C3" w:rsidP="00F918C3">
      <w:pPr>
        <w:pStyle w:val="Heading10"/>
      </w:pPr>
      <w:bookmarkStart w:id="12" w:name="_Toc512629750"/>
      <w:r w:rsidRPr="002510BC">
        <w:t>Delivering better, faster care</w:t>
      </w:r>
      <w:bookmarkEnd w:id="12"/>
    </w:p>
    <w:p w:rsidR="00F918C3" w:rsidRPr="00795D89" w:rsidRDefault="00F918C3" w:rsidP="00F40707">
      <w:pPr>
        <w:spacing w:before="80"/>
      </w:pPr>
      <w:r w:rsidRPr="00795D89">
        <w:t>All Victorians should be able to access quality healthcare close to home.</w:t>
      </w:r>
    </w:p>
    <w:p w:rsidR="00F918C3" w:rsidRPr="00795D89" w:rsidRDefault="00F918C3" w:rsidP="00F40707">
      <w:pPr>
        <w:spacing w:before="80"/>
      </w:pPr>
      <w:r w:rsidRPr="00795D89">
        <w:t xml:space="preserve">Over the past three years, the Government has </w:t>
      </w:r>
      <w:r>
        <w:t>undertaken record investment</w:t>
      </w:r>
      <w:r w:rsidRPr="00795D89">
        <w:t xml:space="preserve"> in healthcare, including </w:t>
      </w:r>
      <w:r>
        <w:t>in hospitals</w:t>
      </w:r>
      <w:r>
        <w:fldChar w:fldCharType="begin"/>
      </w:r>
      <w:r>
        <w:instrText xml:space="preserve"> XE "</w:instrText>
      </w:r>
      <w:r w:rsidRPr="00D02DCA">
        <w:instrText>Health:Hospitals</w:instrText>
      </w:r>
      <w:r>
        <w:instrText xml:space="preserve">" </w:instrText>
      </w:r>
      <w:r>
        <w:fldChar w:fldCharType="end"/>
      </w:r>
      <w:r>
        <w:t xml:space="preserve">, </w:t>
      </w:r>
      <w:r w:rsidRPr="00795D89">
        <w:t>mental health</w:t>
      </w:r>
      <w:r>
        <w:fldChar w:fldCharType="begin"/>
      </w:r>
      <w:r>
        <w:instrText xml:space="preserve"> XE "</w:instrText>
      </w:r>
      <w:r w:rsidRPr="00D02DCA">
        <w:instrText>Health:</w:instrText>
      </w:r>
      <w:r>
        <w:instrText xml:space="preserve">Mental health" </w:instrText>
      </w:r>
      <w:r>
        <w:fldChar w:fldCharType="end"/>
      </w:r>
      <w:r>
        <w:t xml:space="preserve"> support</w:t>
      </w:r>
      <w:r w:rsidRPr="00795D89">
        <w:t>, ambulance services and paramedics. This funding has improved the health and wellbeing of Victorians, but there is still more to do.</w:t>
      </w:r>
    </w:p>
    <w:p w:rsidR="00F918C3" w:rsidRPr="00795D89" w:rsidRDefault="00F918C3" w:rsidP="00F40707">
      <w:pPr>
        <w:pStyle w:val="Heading20"/>
        <w:spacing w:before="180"/>
      </w:pPr>
      <w:r>
        <w:t xml:space="preserve">Better hospitals for better health </w:t>
      </w:r>
    </w:p>
    <w:p w:rsidR="00F918C3" w:rsidRPr="00795D89" w:rsidRDefault="00F918C3" w:rsidP="00F40707">
      <w:pPr>
        <w:spacing w:before="80"/>
      </w:pPr>
      <w:r w:rsidRPr="00795D89">
        <w:t xml:space="preserve">The </w:t>
      </w:r>
      <w:r w:rsidRPr="0045709E">
        <w:rPr>
          <w:i/>
        </w:rPr>
        <w:t>2018</w:t>
      </w:r>
      <w:r>
        <w:rPr>
          <w:i/>
        </w:rPr>
        <w:noBreakHyphen/>
      </w:r>
      <w:r w:rsidRPr="0045709E">
        <w:rPr>
          <w:i/>
        </w:rPr>
        <w:t>19 Budget</w:t>
      </w:r>
      <w:r w:rsidRPr="00795D89">
        <w:t xml:space="preserve"> </w:t>
      </w:r>
      <w:r>
        <w:t xml:space="preserve">invests </w:t>
      </w:r>
      <w:r w:rsidRPr="00B136D9">
        <w:t>$</w:t>
      </w:r>
      <w:r>
        <w:t>1.2</w:t>
      </w:r>
      <w:r w:rsidR="006371F3">
        <w:t> billion</w:t>
      </w:r>
      <w:r w:rsidRPr="00795D89">
        <w:t xml:space="preserve"> </w:t>
      </w:r>
      <w:r>
        <w:t>to build and expand hospitals</w:t>
      </w:r>
      <w:r>
        <w:fldChar w:fldCharType="begin"/>
      </w:r>
      <w:r>
        <w:instrText xml:space="preserve"> XE "</w:instrText>
      </w:r>
      <w:r w:rsidRPr="00D02DCA">
        <w:instrText>Health:Hospitals</w:instrText>
      </w:r>
      <w:r>
        <w:instrText xml:space="preserve">" </w:instrText>
      </w:r>
      <w:r>
        <w:fldChar w:fldCharType="end"/>
      </w:r>
      <w:r>
        <w:t xml:space="preserve"> across the state. Works include</w:t>
      </w:r>
      <w:r w:rsidRPr="00795D89">
        <w:t xml:space="preserve"> upgrading the Alfred Hospital</w:t>
      </w:r>
      <w:r w:rsidR="008C27C4">
        <w:fldChar w:fldCharType="begin"/>
      </w:r>
      <w:r w:rsidR="008C27C4">
        <w:instrText xml:space="preserve"> XE "</w:instrText>
      </w:r>
      <w:r w:rsidR="008C27C4" w:rsidRPr="008D422F">
        <w:instrText>Alfred Hospital</w:instrText>
      </w:r>
      <w:r w:rsidR="008C27C4">
        <w:instrText xml:space="preserve">" </w:instrText>
      </w:r>
      <w:r w:rsidR="008C27C4">
        <w:fldChar w:fldCharType="end"/>
      </w:r>
      <w:r>
        <w:t>,</w:t>
      </w:r>
      <w:r w:rsidRPr="00795D89">
        <w:t xml:space="preserve"> delivering electronic medical records to the Parkville Precinct</w:t>
      </w:r>
      <w:r w:rsidR="008C27C4">
        <w:fldChar w:fldCharType="begin"/>
      </w:r>
      <w:r w:rsidR="008C27C4">
        <w:instrText xml:space="preserve"> XE "</w:instrText>
      </w:r>
      <w:r w:rsidR="008C27C4" w:rsidRPr="004D13A2">
        <w:instrText>Parkville Precinct</w:instrText>
      </w:r>
      <w:r w:rsidR="008C27C4">
        <w:instrText xml:space="preserve">" </w:instrText>
      </w:r>
      <w:r w:rsidR="008C27C4">
        <w:fldChar w:fldCharType="end"/>
      </w:r>
      <w:r>
        <w:t xml:space="preserve"> and </w:t>
      </w:r>
      <w:r w:rsidRPr="00795D89">
        <w:t>funding an expansion of the Sunshine Hospital</w:t>
      </w:r>
      <w:r w:rsidR="008C27C4">
        <w:fldChar w:fldCharType="begin"/>
      </w:r>
      <w:r w:rsidR="008C27C4">
        <w:instrText xml:space="preserve"> XE "</w:instrText>
      </w:r>
      <w:r w:rsidR="008C27C4" w:rsidRPr="008F218F">
        <w:instrText>Sunshine Hospital</w:instrText>
      </w:r>
      <w:r w:rsidR="008C27C4">
        <w:instrText xml:space="preserve">" </w:instrText>
      </w:r>
      <w:r w:rsidR="008C27C4">
        <w:fldChar w:fldCharType="end"/>
      </w:r>
      <w:r w:rsidRPr="00795D89">
        <w:t xml:space="preserve"> emergency department to meet </w:t>
      </w:r>
      <w:r w:rsidRPr="00227438">
        <w:t xml:space="preserve">demand in Melbourne’s west. </w:t>
      </w:r>
    </w:p>
    <w:p w:rsidR="00F918C3" w:rsidRPr="002510BC" w:rsidRDefault="00F918C3" w:rsidP="00DF210D">
      <w:pPr>
        <w:spacing w:before="80"/>
      </w:pPr>
      <w:r>
        <w:t>Recognising that h</w:t>
      </w:r>
      <w:r w:rsidRPr="00795D89">
        <w:t xml:space="preserve">eart disease is one of the biggest killers of Victorians, </w:t>
      </w:r>
      <w:r>
        <w:t xml:space="preserve">this budget commits to </w:t>
      </w:r>
      <w:r w:rsidRPr="00795D89">
        <w:t>build</w:t>
      </w:r>
      <w:r>
        <w:t>ing</w:t>
      </w:r>
      <w:r w:rsidRPr="00795D89">
        <w:t xml:space="preserve"> Australia’s first specialist standalone heart hospital</w:t>
      </w:r>
      <w:r>
        <w:t>,</w:t>
      </w:r>
      <w:r w:rsidRPr="00795D89">
        <w:t xml:space="preserve"> to bring together the very best cardiac care, technology, treatment, education and research in one world</w:t>
      </w:r>
      <w:r>
        <w:noBreakHyphen/>
      </w:r>
      <w:r w:rsidRPr="00795D89">
        <w:t>class facility at</w:t>
      </w:r>
      <w:r w:rsidRPr="002510BC">
        <w:t xml:space="preserve"> Monash University Clayton</w:t>
      </w:r>
      <w:r w:rsidR="008C27C4">
        <w:fldChar w:fldCharType="begin"/>
      </w:r>
      <w:r w:rsidR="008C27C4">
        <w:instrText xml:space="preserve"> XE "</w:instrText>
      </w:r>
      <w:r w:rsidR="008C27C4" w:rsidRPr="004D13A2">
        <w:instrText>Monash University Clayton</w:instrText>
      </w:r>
      <w:r w:rsidR="008C27C4">
        <w:instrText xml:space="preserve">" </w:instrText>
      </w:r>
      <w:r w:rsidR="008C27C4">
        <w:fldChar w:fldCharType="end"/>
      </w:r>
      <w:r w:rsidRPr="002510BC">
        <w:t>.</w:t>
      </w:r>
    </w:p>
    <w:p w:rsidR="00F918C3" w:rsidRPr="002510BC" w:rsidRDefault="00F918C3" w:rsidP="00DF210D">
      <w:pPr>
        <w:spacing w:before="80"/>
      </w:pPr>
      <w:r w:rsidRPr="002510BC">
        <w:t>Victorian health services</w:t>
      </w:r>
      <w:r>
        <w:fldChar w:fldCharType="begin"/>
      </w:r>
      <w:r>
        <w:instrText xml:space="preserve"> XE "</w:instrText>
      </w:r>
      <w:r w:rsidRPr="00D02DCA">
        <w:instrText>Health:Services</w:instrText>
      </w:r>
      <w:r>
        <w:instrText xml:space="preserve">" </w:instrText>
      </w:r>
      <w:r>
        <w:fldChar w:fldCharType="end"/>
      </w:r>
      <w:r w:rsidRPr="002510BC">
        <w:t xml:space="preserve"> will receive a record </w:t>
      </w:r>
      <w:r w:rsidRPr="00403E91">
        <w:t>investment of $</w:t>
      </w:r>
      <w:r>
        <w:t>2.1</w:t>
      </w:r>
      <w:r w:rsidR="006371F3">
        <w:t> billion</w:t>
      </w:r>
      <w:r w:rsidRPr="002510BC">
        <w:t xml:space="preserve"> to address increasing demand on our hospitals</w:t>
      </w:r>
      <w:r>
        <w:fldChar w:fldCharType="begin"/>
      </w:r>
      <w:r>
        <w:instrText xml:space="preserve"> XE "</w:instrText>
      </w:r>
      <w:r w:rsidRPr="00D02DCA">
        <w:instrText>Health:Hospitals</w:instrText>
      </w:r>
      <w:r>
        <w:instrText xml:space="preserve">" </w:instrText>
      </w:r>
      <w:r>
        <w:fldChar w:fldCharType="end"/>
      </w:r>
      <w:r>
        <w:t>, including $218</w:t>
      </w:r>
      <w:r w:rsidR="006371F3">
        <w:t> million</w:t>
      </w:r>
      <w:r>
        <w:t xml:space="preserve"> for an elective surgery blitz to cut waiting times and lists</w:t>
      </w:r>
      <w:r w:rsidRPr="002510BC">
        <w:t xml:space="preserve">. Last year’s flu season was one of the worst on record, resulting in a record number of Victorians presenting to emergency departments. </w:t>
      </w:r>
      <w:r>
        <w:t xml:space="preserve">This year’s budget funds an additional </w:t>
      </w:r>
      <w:r w:rsidRPr="002510BC">
        <w:t>$50</w:t>
      </w:r>
      <w:r w:rsidR="006371F3">
        <w:t> million</w:t>
      </w:r>
      <w:r w:rsidRPr="002510BC">
        <w:t xml:space="preserve"> winter blitz so that ho</w:t>
      </w:r>
      <w:r>
        <w:t>spitals can prepare for the flu </w:t>
      </w:r>
      <w:r w:rsidRPr="002510BC">
        <w:t xml:space="preserve">season. </w:t>
      </w:r>
    </w:p>
    <w:p w:rsidR="00F918C3" w:rsidRPr="00795D89" w:rsidRDefault="00F918C3" w:rsidP="00446CF2">
      <w:pPr>
        <w:pStyle w:val="HighlightBoxHeading"/>
      </w:pPr>
      <w:bookmarkStart w:id="13" w:name="BP2Ch1MentalHealth"/>
      <w:r>
        <w:t>Box 1.</w:t>
      </w:r>
      <w:r w:rsidR="00B42920">
        <w:t>1</w:t>
      </w:r>
      <w:r w:rsidRPr="00795D89">
        <w:t xml:space="preserve">: </w:t>
      </w:r>
      <w:r>
        <w:t>Historic action on mental health</w:t>
      </w:r>
    </w:p>
    <w:p w:rsidR="00F918C3" w:rsidRDefault="00F918C3" w:rsidP="00D2193A">
      <w:pPr>
        <w:pStyle w:val="HighlightBoxText"/>
      </w:pPr>
      <w:r>
        <w:t>Mental health is as important as physical health. In 2015, the Government launched Victoria’s 10</w:t>
      </w:r>
      <w:r>
        <w:noBreakHyphen/>
        <w:t>year Mental Health Plan, to help the estimated 45 per cent of Victorians who will experience mental health challenges in their lifetime.</w:t>
      </w:r>
    </w:p>
    <w:p w:rsidR="00F918C3" w:rsidRDefault="00F918C3" w:rsidP="00D2193A">
      <w:pPr>
        <w:pStyle w:val="HighlightBoxText"/>
      </w:pPr>
      <w:r>
        <w:t xml:space="preserve">To make sure Victorians facing mental illness and addiction get the treatment they need, the </w:t>
      </w:r>
      <w:r w:rsidRPr="00DF3780">
        <w:rPr>
          <w:i/>
        </w:rPr>
        <w:t>2018</w:t>
      </w:r>
      <w:r>
        <w:rPr>
          <w:i/>
        </w:rPr>
        <w:noBreakHyphen/>
      </w:r>
      <w:r w:rsidRPr="00DF3780">
        <w:rPr>
          <w:i/>
        </w:rPr>
        <w:t>19 Budget</w:t>
      </w:r>
      <w:r>
        <w:t xml:space="preserve"> includes a record $705</w:t>
      </w:r>
      <w:r w:rsidR="006371F3">
        <w:t> million</w:t>
      </w:r>
      <w:r>
        <w:t xml:space="preserve"> investment in mental health. This includes:</w:t>
      </w:r>
    </w:p>
    <w:p w:rsidR="00F918C3" w:rsidRDefault="00F918C3" w:rsidP="005E7A0A">
      <w:pPr>
        <w:pStyle w:val="HighlightBoxBullet"/>
        <w:numPr>
          <w:ilvl w:val="0"/>
          <w:numId w:val="20"/>
        </w:numPr>
      </w:pPr>
      <w:r>
        <w:t>$232</w:t>
      </w:r>
      <w:r w:rsidR="006371F3">
        <w:t> million</w:t>
      </w:r>
      <w:r>
        <w:t xml:space="preserve"> to support growing demand, giving 12 800 more Victorians the support they need and funding 89 acute inpatient beds;</w:t>
      </w:r>
    </w:p>
    <w:p w:rsidR="00F918C3" w:rsidRDefault="00F918C3" w:rsidP="005E7A0A">
      <w:pPr>
        <w:pStyle w:val="HighlightBoxBullet"/>
        <w:numPr>
          <w:ilvl w:val="0"/>
          <w:numId w:val="20"/>
        </w:numPr>
      </w:pPr>
      <w:r>
        <w:t>$101</w:t>
      </w:r>
      <w:r w:rsidR="006371F3">
        <w:t> million</w:t>
      </w:r>
      <w:r>
        <w:t xml:space="preserve"> to establish six new emergency department crisis hubs, taking those who are dealing with mental health or addiction issues out of regular emergency departments and ensuring they get specialist care; </w:t>
      </w:r>
    </w:p>
    <w:p w:rsidR="00F918C3" w:rsidRDefault="00F918C3" w:rsidP="005E7A0A">
      <w:pPr>
        <w:pStyle w:val="HighlightBoxBullet"/>
        <w:numPr>
          <w:ilvl w:val="0"/>
          <w:numId w:val="20"/>
        </w:numPr>
      </w:pPr>
      <w:r>
        <w:t>$40.6</w:t>
      </w:r>
      <w:r w:rsidR="006371F3">
        <w:t> million</w:t>
      </w:r>
      <w:r>
        <w:t xml:space="preserve"> for three new regional residential drug rehabilitation treatment facilities in the Barwon, Gippsland and Hume regions; and</w:t>
      </w:r>
    </w:p>
    <w:p w:rsidR="00F918C3" w:rsidRDefault="00F918C3" w:rsidP="005E7A0A">
      <w:pPr>
        <w:pStyle w:val="HighlightBoxBullet"/>
        <w:numPr>
          <w:ilvl w:val="0"/>
          <w:numId w:val="20"/>
        </w:numPr>
      </w:pPr>
      <w:r>
        <w:t>$18.7</w:t>
      </w:r>
      <w:r w:rsidR="006371F3">
        <w:t> million</w:t>
      </w:r>
      <w:r>
        <w:t xml:space="preserve"> to expand the Hospital Outreach Post</w:t>
      </w:r>
      <w:r>
        <w:noBreakHyphen/>
        <w:t>suicidal Engagement initiative to a further six hospitals, supporting an additional 3 000 people a year.</w:t>
      </w:r>
    </w:p>
    <w:p w:rsidR="00F918C3" w:rsidRPr="002510BC" w:rsidRDefault="00F918C3" w:rsidP="00D2193A">
      <w:pPr>
        <w:pStyle w:val="HighlightBoxText"/>
      </w:pPr>
      <w:r>
        <w:t>Additional funding is provided for intensive service for high</w:t>
      </w:r>
      <w:r>
        <w:noBreakHyphen/>
        <w:t>need community mental health clients and high care packages for complex needs patients. Investments will be made to offer more treatment options and expand residential care facilities, including a day treatment centre and acute mental health facility at Ballarat Base Hospital</w:t>
      </w:r>
      <w:r>
        <w:fldChar w:fldCharType="begin"/>
      </w:r>
      <w:r>
        <w:instrText xml:space="preserve"> XE "</w:instrText>
      </w:r>
      <w:r w:rsidRPr="00D02DCA">
        <w:instrText xml:space="preserve">Ballarat </w:instrText>
      </w:r>
      <w:r>
        <w:instrText xml:space="preserve">Base Hospital" </w:instrText>
      </w:r>
      <w:r>
        <w:fldChar w:fldCharType="end"/>
      </w:r>
      <w:r>
        <w:t>. Further support is also extended for Aboriginal mental health and well</w:t>
      </w:r>
      <w:r>
        <w:noBreakHyphen/>
        <w:t>being initiatives.</w:t>
      </w:r>
      <w:r>
        <w:fldChar w:fldCharType="begin"/>
      </w:r>
      <w:r>
        <w:instrText xml:space="preserve"> XE "</w:instrText>
      </w:r>
      <w:r w:rsidRPr="002D7ABD">
        <w:instrText>Health:Mental health</w:instrText>
      </w:r>
      <w:r>
        <w:instrText xml:space="preserve">" \r "BP2Ch1MentalHealth" </w:instrText>
      </w:r>
      <w:r>
        <w:fldChar w:fldCharType="end"/>
      </w:r>
      <w:r>
        <w:t xml:space="preserve"> </w:t>
      </w:r>
    </w:p>
    <w:bookmarkEnd w:id="13"/>
    <w:p w:rsidR="00F918C3" w:rsidRPr="002510BC" w:rsidRDefault="00F918C3" w:rsidP="00685355">
      <w:pPr>
        <w:pStyle w:val="Heading20"/>
        <w:spacing w:before="180"/>
      </w:pPr>
      <w:r w:rsidRPr="002510BC">
        <w:t>Improving ambulance services</w:t>
      </w:r>
    </w:p>
    <w:p w:rsidR="00F918C3" w:rsidRPr="002510BC" w:rsidRDefault="00F918C3" w:rsidP="00685355">
      <w:pPr>
        <w:spacing w:before="80"/>
      </w:pPr>
      <w:r w:rsidRPr="002510BC">
        <w:t>Ambulances are arriving faster to Victorians who are in life threatening situations. In the second quarter of 2017</w:t>
      </w:r>
      <w:r>
        <w:noBreakHyphen/>
      </w:r>
      <w:r w:rsidRPr="002510BC">
        <w:t>18, 81.4</w:t>
      </w:r>
      <w:r>
        <w:t> per cent</w:t>
      </w:r>
      <w:r w:rsidRPr="002510BC">
        <w:t xml:space="preserve"> of Code 1 ambulances arrived within 15 minutes of call</w:t>
      </w:r>
      <w:r>
        <w:noBreakHyphen/>
      </w:r>
      <w:r w:rsidRPr="002510BC">
        <w:t xml:space="preserve">out, the best result in nine years. </w:t>
      </w:r>
      <w:r>
        <w:fldChar w:fldCharType="begin"/>
      </w:r>
      <w:r>
        <w:instrText xml:space="preserve"> XE "Ambulance services" </w:instrText>
      </w:r>
      <w:r>
        <w:fldChar w:fldCharType="end"/>
      </w:r>
    </w:p>
    <w:p w:rsidR="00F918C3" w:rsidRPr="00795D89" w:rsidRDefault="00F918C3" w:rsidP="00685355">
      <w:pPr>
        <w:keepNext/>
      </w:pPr>
      <w:r w:rsidRPr="00795D89">
        <w:t xml:space="preserve">The </w:t>
      </w:r>
      <w:r w:rsidRPr="00795D89">
        <w:rPr>
          <w:i/>
        </w:rPr>
        <w:t>2018</w:t>
      </w:r>
      <w:r>
        <w:rPr>
          <w:i/>
        </w:rPr>
        <w:noBreakHyphen/>
      </w:r>
      <w:r w:rsidRPr="00795D89">
        <w:rPr>
          <w:i/>
        </w:rPr>
        <w:t>19 Budget</w:t>
      </w:r>
      <w:r>
        <w:t xml:space="preserve"> </w:t>
      </w:r>
      <w:r w:rsidRPr="005D6693">
        <w:t>allocates $58.5</w:t>
      </w:r>
      <w:r w:rsidR="006371F3">
        <w:t> million</w:t>
      </w:r>
      <w:r w:rsidRPr="005D6693">
        <w:t xml:space="preserve"> to</w:t>
      </w:r>
      <w:r w:rsidRPr="00795D89">
        <w:t xml:space="preserve"> meet future ambulance service demand as our population grows, with an extra 90 new paramedics and 12 ambulance vehicles. </w:t>
      </w:r>
      <w:r>
        <w:t>A further 39 paramedics and nurses will continue to support Ambulance Victoria’s secondary triage service</w:t>
      </w:r>
      <w:r w:rsidRPr="00795D89">
        <w:t>.</w:t>
      </w:r>
    </w:p>
    <w:p w:rsidR="00C64B72" w:rsidRDefault="00C64B72">
      <w:pPr>
        <w:keepLines w:val="0"/>
        <w:rPr>
          <w:rFonts w:asciiTheme="majorHAnsi" w:eastAsiaTheme="majorEastAsia" w:hAnsiTheme="majorHAnsi" w:cstheme="majorBidi"/>
          <w:b/>
          <w:spacing w:val="-2"/>
          <w:sz w:val="26"/>
          <w:szCs w:val="26"/>
        </w:rPr>
      </w:pPr>
      <w:r>
        <w:br w:type="page"/>
      </w:r>
    </w:p>
    <w:p w:rsidR="00F918C3" w:rsidRPr="00795D89" w:rsidRDefault="00F918C3" w:rsidP="00BE56B7">
      <w:pPr>
        <w:pStyle w:val="Heading20"/>
      </w:pPr>
      <w:r w:rsidRPr="00795D89">
        <w:t>Regional health and hospitals</w:t>
      </w:r>
    </w:p>
    <w:p w:rsidR="00F918C3" w:rsidRPr="002510BC" w:rsidRDefault="00F918C3" w:rsidP="00570B1E">
      <w:r w:rsidRPr="00795D89">
        <w:t>The Government is investing in regional health infrastructure to ensure every</w:t>
      </w:r>
      <w:r w:rsidRPr="002510BC">
        <w:t xml:space="preserve"> Victorian has </w:t>
      </w:r>
      <w:r>
        <w:t>the quality healthcare they deserve, close to home</w:t>
      </w:r>
      <w:r w:rsidRPr="002510BC">
        <w:t>.</w:t>
      </w:r>
    </w:p>
    <w:p w:rsidR="00F918C3" w:rsidRDefault="00F918C3" w:rsidP="00570B1E">
      <w:r w:rsidRPr="002510BC">
        <w:t>Victorians living in the Central Highlands will benefit from a $462</w:t>
      </w:r>
      <w:r w:rsidR="006371F3">
        <w:t> million</w:t>
      </w:r>
      <w:r w:rsidRPr="002510BC">
        <w:t xml:space="preserve"> investment to redevelop the Ballarat Base Hospital</w:t>
      </w:r>
      <w:r>
        <w:fldChar w:fldCharType="begin"/>
      </w:r>
      <w:r>
        <w:instrText xml:space="preserve"> XE "</w:instrText>
      </w:r>
      <w:r w:rsidRPr="00D02DCA">
        <w:instrText xml:space="preserve">Ballarat </w:instrText>
      </w:r>
      <w:r>
        <w:instrText xml:space="preserve">Base Hospital" </w:instrText>
      </w:r>
      <w:r>
        <w:fldChar w:fldCharType="end"/>
      </w:r>
      <w:r>
        <w:t>. This includes expanding the operating theatre complex, inpatient units, intensive care unit and clinical support as well as a new emergency department, day treatment centre and acute mental health</w:t>
      </w:r>
      <w:r>
        <w:fldChar w:fldCharType="begin"/>
      </w:r>
      <w:r>
        <w:instrText xml:space="preserve"> XE "</w:instrText>
      </w:r>
      <w:r w:rsidRPr="00D02DCA">
        <w:instrText>Health:</w:instrText>
      </w:r>
      <w:r>
        <w:instrText xml:space="preserve">Mental health" </w:instrText>
      </w:r>
      <w:r>
        <w:fldChar w:fldCharType="end"/>
      </w:r>
      <w:r>
        <w:t xml:space="preserve"> facility. </w:t>
      </w:r>
    </w:p>
    <w:p w:rsidR="00F918C3" w:rsidRPr="002510BC" w:rsidRDefault="00F918C3" w:rsidP="00570B1E">
      <w:r w:rsidRPr="002510BC">
        <w:t>Victorians living in Southern Gippsland will benefit from a $115</w:t>
      </w:r>
      <w:r w:rsidR="006371F3">
        <w:t> million</w:t>
      </w:r>
      <w:r w:rsidRPr="002510BC">
        <w:t xml:space="preserve"> investment to redevelop Wonthaggi Hospital</w:t>
      </w:r>
      <w:r w:rsidR="008C27C4">
        <w:fldChar w:fldCharType="begin"/>
      </w:r>
      <w:r w:rsidR="008C27C4">
        <w:instrText xml:space="preserve"> XE "</w:instrText>
      </w:r>
      <w:r w:rsidR="008C27C4" w:rsidRPr="007C0790">
        <w:instrText>Wonthaggi Hospital</w:instrText>
      </w:r>
      <w:r w:rsidR="008C27C4">
        <w:instrText xml:space="preserve">" </w:instrText>
      </w:r>
      <w:r w:rsidR="008C27C4">
        <w:fldChar w:fldCharType="end"/>
      </w:r>
      <w:r w:rsidRPr="002510BC">
        <w:t xml:space="preserve"> that will see new inpatient, theatre and emergency department services.</w:t>
      </w:r>
    </w:p>
    <w:p w:rsidR="00F918C3" w:rsidRDefault="00F918C3" w:rsidP="00570B1E">
      <w:r w:rsidRPr="002510BC">
        <w:t>A $50</w:t>
      </w:r>
      <w:r w:rsidR="006371F3">
        <w:t> million</w:t>
      </w:r>
      <w:r w:rsidRPr="002510BC">
        <w:t xml:space="preserve"> boost to the Regional Health Infrastructure Fund</w:t>
      </w:r>
      <w:r w:rsidR="008C27C4">
        <w:fldChar w:fldCharType="begin"/>
      </w:r>
      <w:r w:rsidR="008C27C4">
        <w:instrText xml:space="preserve"> XE "</w:instrText>
      </w:r>
      <w:r w:rsidR="008C27C4" w:rsidRPr="00790292">
        <w:instrText>Regional Health Infrastructure Fund</w:instrText>
      </w:r>
      <w:r w:rsidR="008C27C4">
        <w:instrText xml:space="preserve">" </w:instrText>
      </w:r>
      <w:r w:rsidR="008C27C4">
        <w:fldChar w:fldCharType="end"/>
      </w:r>
      <w:r w:rsidRPr="002510BC">
        <w:t xml:space="preserve"> </w:t>
      </w:r>
      <w:r>
        <w:t xml:space="preserve">(RHIF) </w:t>
      </w:r>
      <w:r w:rsidRPr="002510BC">
        <w:t>will continue to improve health</w:t>
      </w:r>
      <w:r>
        <w:fldChar w:fldCharType="begin"/>
      </w:r>
      <w:r>
        <w:instrText xml:space="preserve"> XE "Health" </w:instrText>
      </w:r>
      <w:r>
        <w:fldChar w:fldCharType="end"/>
      </w:r>
      <w:r w:rsidRPr="002510BC">
        <w:t>, safety and the quality of services for people in rural a</w:t>
      </w:r>
      <w:r>
        <w:t xml:space="preserve">nd regional Victoria. The RHIF </w:t>
      </w:r>
      <w:r w:rsidRPr="002510BC">
        <w:t>will continue to support health services</w:t>
      </w:r>
      <w:r>
        <w:fldChar w:fldCharType="begin"/>
      </w:r>
      <w:r>
        <w:instrText xml:space="preserve"> XE "</w:instrText>
      </w:r>
      <w:r w:rsidRPr="00D02DCA">
        <w:instrText>Health:Services</w:instrText>
      </w:r>
      <w:r>
        <w:instrText xml:space="preserve">" </w:instrText>
      </w:r>
      <w:r>
        <w:fldChar w:fldCharType="end"/>
      </w:r>
      <w:r w:rsidRPr="002510BC">
        <w:t xml:space="preserve"> to respond to local priorities and maintain and enhance their service capacity.</w:t>
      </w:r>
    </w:p>
    <w:p w:rsidR="00F918C3" w:rsidRPr="002510BC" w:rsidRDefault="00F918C3" w:rsidP="00F918C3">
      <w:pPr>
        <w:pStyle w:val="Heading10"/>
      </w:pPr>
      <w:bookmarkStart w:id="14" w:name="_Toc512629751"/>
      <w:bookmarkStart w:id="15" w:name="BP2Ch1Safety"/>
      <w:r w:rsidRPr="002510BC">
        <w:t>Keeping Victorians safe</w:t>
      </w:r>
      <w:bookmarkEnd w:id="14"/>
    </w:p>
    <w:p w:rsidR="00F918C3" w:rsidRPr="00324947" w:rsidRDefault="00F918C3" w:rsidP="00EB7C93">
      <w:pPr>
        <w:rPr>
          <w:i/>
        </w:rPr>
      </w:pPr>
      <w:r w:rsidRPr="002510BC">
        <w:t xml:space="preserve">The Government has made record investments </w:t>
      </w:r>
      <w:r>
        <w:t xml:space="preserve">to ensure Victorians are kept safe, announcing the first ever Community Safety Statement </w:t>
      </w:r>
      <w:r>
        <w:fldChar w:fldCharType="begin"/>
      </w:r>
      <w:r>
        <w:instrText xml:space="preserve"> XE "Community </w:instrText>
      </w:r>
      <w:r w:rsidRPr="00D02DCA">
        <w:instrText>Safety</w:instrText>
      </w:r>
      <w:r>
        <w:instrText xml:space="preserve"> Statement" </w:instrText>
      </w:r>
      <w:r>
        <w:fldChar w:fldCharType="end"/>
      </w:r>
      <w:r>
        <w:t>in the</w:t>
      </w:r>
      <w:r>
        <w:rPr>
          <w:i/>
        </w:rPr>
        <w:t xml:space="preserve"> </w:t>
      </w:r>
      <w:r w:rsidRPr="002510BC">
        <w:rPr>
          <w:i/>
        </w:rPr>
        <w:t>2017</w:t>
      </w:r>
      <w:r>
        <w:rPr>
          <w:i/>
        </w:rPr>
        <w:noBreakHyphen/>
      </w:r>
      <w:r w:rsidRPr="002510BC">
        <w:rPr>
          <w:i/>
        </w:rPr>
        <w:t xml:space="preserve">18 Budget </w:t>
      </w:r>
      <w:r w:rsidRPr="00795D89">
        <w:t>– a $2.0</w:t>
      </w:r>
      <w:r w:rsidR="006371F3">
        <w:t> billion</w:t>
      </w:r>
      <w:r w:rsidRPr="00795D89">
        <w:t xml:space="preserve"> investment in tackling crime. This </w:t>
      </w:r>
      <w:r>
        <w:t xml:space="preserve">plus </w:t>
      </w:r>
      <w:r w:rsidRPr="00795D89">
        <w:t xml:space="preserve">other initiatives will </w:t>
      </w:r>
      <w:r>
        <w:t>recruit and deploy 3 135 </w:t>
      </w:r>
      <w:r w:rsidRPr="00403E91">
        <w:t>new po</w:t>
      </w:r>
      <w:r>
        <w:t>lice</w:t>
      </w:r>
      <w:r>
        <w:fldChar w:fldCharType="begin"/>
      </w:r>
      <w:r>
        <w:instrText xml:space="preserve"> XE "</w:instrText>
      </w:r>
      <w:r w:rsidRPr="00D02DCA">
        <w:instrText>Police</w:instrText>
      </w:r>
      <w:r>
        <w:instrText xml:space="preserve">" </w:instrText>
      </w:r>
      <w:r>
        <w:fldChar w:fldCharType="end"/>
      </w:r>
      <w:r>
        <w:t xml:space="preserve"> and 100 protective service officers</w:t>
      </w:r>
      <w:r w:rsidRPr="00403E91">
        <w:t xml:space="preserve"> by 2022. Recent independent</w:t>
      </w:r>
      <w:r w:rsidRPr="00795D89">
        <w:t xml:space="preserve"> crime data shows Victoria’s crimina</w:t>
      </w:r>
      <w:r>
        <w:t>l offence rate declined in 2017</w:t>
      </w:r>
      <w:r w:rsidRPr="00795D89">
        <w:t xml:space="preserve"> for the first time since 2010, </w:t>
      </w:r>
      <w:r>
        <w:t xml:space="preserve">with </w:t>
      </w:r>
      <w:r w:rsidRPr="00795D89">
        <w:t>the biggest decrease in the criminal offence rate for at least nine years.</w:t>
      </w:r>
    </w:p>
    <w:p w:rsidR="00F918C3" w:rsidRPr="002510BC" w:rsidRDefault="00F918C3" w:rsidP="00EB7C93">
      <w:pPr>
        <w:pStyle w:val="Heading20"/>
      </w:pPr>
      <w:r w:rsidRPr="002510BC">
        <w:t>Police, protection and prevention</w:t>
      </w:r>
    </w:p>
    <w:p w:rsidR="00F918C3" w:rsidRPr="002510BC" w:rsidRDefault="00F918C3" w:rsidP="00EB7C93">
      <w:r w:rsidRPr="00795D89">
        <w:t xml:space="preserve">The </w:t>
      </w:r>
      <w:r w:rsidRPr="00795D89">
        <w:rPr>
          <w:i/>
        </w:rPr>
        <w:t>2018</w:t>
      </w:r>
      <w:r>
        <w:rPr>
          <w:i/>
        </w:rPr>
        <w:noBreakHyphen/>
      </w:r>
      <w:r w:rsidRPr="00795D89">
        <w:rPr>
          <w:i/>
        </w:rPr>
        <w:t xml:space="preserve">19 </w:t>
      </w:r>
      <w:r>
        <w:rPr>
          <w:i/>
        </w:rPr>
        <w:t>Budget</w:t>
      </w:r>
      <w:r w:rsidRPr="00795D89">
        <w:t xml:space="preserve"> </w:t>
      </w:r>
      <w:r>
        <w:t>expands</w:t>
      </w:r>
      <w:r w:rsidRPr="002510BC">
        <w:t xml:space="preserve"> the investment and support being delivered to Victoria Police</w:t>
      </w:r>
      <w:r>
        <w:fldChar w:fldCharType="begin"/>
      </w:r>
      <w:r>
        <w:instrText xml:space="preserve"> XE "</w:instrText>
      </w:r>
      <w:r w:rsidRPr="00D02DCA">
        <w:instrText>Victoria Police</w:instrText>
      </w:r>
      <w:r>
        <w:instrText xml:space="preserve">" </w:instrText>
      </w:r>
      <w:r>
        <w:fldChar w:fldCharType="end"/>
      </w:r>
      <w:r w:rsidRPr="002510BC">
        <w:t xml:space="preserve">, </w:t>
      </w:r>
      <w:r>
        <w:t>including $25</w:t>
      </w:r>
      <w:r w:rsidR="006371F3">
        <w:t> million</w:t>
      </w:r>
      <w:r>
        <w:t xml:space="preserve"> for local crime prevention initiatives, $25</w:t>
      </w:r>
      <w:r w:rsidR="006371F3">
        <w:t> million</w:t>
      </w:r>
      <w:r>
        <w:t xml:space="preserve"> to provide Victoria Police with additional long</w:t>
      </w:r>
      <w:r>
        <w:noBreakHyphen/>
        <w:t xml:space="preserve">arm </w:t>
      </w:r>
      <w:r w:rsidRPr="006912FA">
        <w:t>firearms and $24.2</w:t>
      </w:r>
      <w:r w:rsidR="006371F3">
        <w:t> million</w:t>
      </w:r>
      <w:r>
        <w:t xml:space="preserve"> to strengthen the response to technology</w:t>
      </w:r>
      <w:r>
        <w:noBreakHyphen/>
        <w:t>enabled crime</w:t>
      </w:r>
      <w:r w:rsidRPr="002510BC">
        <w:t xml:space="preserve">. </w:t>
      </w:r>
    </w:p>
    <w:p w:rsidR="00F918C3" w:rsidRPr="002510BC" w:rsidRDefault="00F918C3" w:rsidP="00EB7C93">
      <w:pPr>
        <w:pStyle w:val="Heading20"/>
      </w:pPr>
      <w:bookmarkStart w:id="16" w:name="BP2Ch1Courts"/>
      <w:bookmarkStart w:id="17" w:name="BP2Ch1Corrections"/>
      <w:r w:rsidRPr="002510BC">
        <w:t>More court and corrections capacity</w:t>
      </w:r>
    </w:p>
    <w:p w:rsidR="00F918C3" w:rsidRPr="00795D89" w:rsidRDefault="00F918C3" w:rsidP="00EB7C93">
      <w:r>
        <w:t>The Government has committed $129</w:t>
      </w:r>
      <w:r w:rsidR="006371F3">
        <w:t> million</w:t>
      </w:r>
      <w:r>
        <w:t xml:space="preserve"> to introduce a</w:t>
      </w:r>
      <w:r w:rsidRPr="002510BC">
        <w:t xml:space="preserve"> new Bail and Remand Court in the Magistrates’ </w:t>
      </w:r>
      <w:r w:rsidRPr="00403E91">
        <w:t>Court, in line</w:t>
      </w:r>
      <w:r w:rsidRPr="002510BC">
        <w:t xml:space="preserve"> with the recommendations of the Coghlan Bail Review</w:t>
      </w:r>
      <w:r w:rsidR="008C27C4">
        <w:fldChar w:fldCharType="begin"/>
      </w:r>
      <w:r w:rsidR="008C27C4">
        <w:instrText xml:space="preserve"> XE "</w:instrText>
      </w:r>
      <w:r w:rsidR="008C27C4" w:rsidRPr="006529D9">
        <w:instrText>Coghlan Bail Review</w:instrText>
      </w:r>
      <w:r w:rsidR="008C27C4">
        <w:instrText xml:space="preserve">" </w:instrText>
      </w:r>
      <w:r w:rsidR="008C27C4">
        <w:fldChar w:fldCharType="end"/>
      </w:r>
      <w:r w:rsidRPr="002510BC">
        <w:t xml:space="preserve"> and as part of the Government’s significant overhaul of the bail system in Victoria. </w:t>
      </w:r>
      <w:r>
        <w:t>This funding will also be used to provide</w:t>
      </w:r>
      <w:r w:rsidRPr="002510BC">
        <w:t xml:space="preserve"> additional magistrates </w:t>
      </w:r>
      <w:r>
        <w:t xml:space="preserve">as well as </w:t>
      </w:r>
      <w:r w:rsidRPr="00795D89">
        <w:t>additional judicial appointments to the</w:t>
      </w:r>
      <w:r>
        <w:t xml:space="preserve"> Supreme Court and County Court. Further capacity will be added </w:t>
      </w:r>
      <w:r w:rsidRPr="00795D89">
        <w:t>to th</w:t>
      </w:r>
      <w:r>
        <w:t>e Office of Public Prosecutions and</w:t>
      </w:r>
      <w:r w:rsidRPr="00795D89">
        <w:t xml:space="preserve"> Victoria Legal Aid</w:t>
      </w:r>
      <w:r>
        <w:t xml:space="preserve">. </w:t>
      </w:r>
    </w:p>
    <w:p w:rsidR="00F918C3" w:rsidRDefault="00F918C3" w:rsidP="00EB7C93">
      <w:r w:rsidRPr="00795D89">
        <w:t>The Government is further expanding prison capacity to complement tougher sentencing and bail laws</w:t>
      </w:r>
      <w:r>
        <w:t>, funding a $689</w:t>
      </w:r>
      <w:r w:rsidR="006371F3">
        <w:t> million</w:t>
      </w:r>
      <w:r>
        <w:t xml:space="preserve">, </w:t>
      </w:r>
      <w:r w:rsidRPr="00795D89">
        <w:rPr>
          <w:rFonts w:ascii="Garamond" w:eastAsia="Garamond" w:hAnsi="Garamond" w:cs="Times New Roman"/>
        </w:rPr>
        <w:t>700</w:t>
      </w:r>
      <w:r>
        <w:rPr>
          <w:rFonts w:ascii="Garamond" w:eastAsia="Garamond" w:hAnsi="Garamond" w:cs="Times New Roman"/>
        </w:rPr>
        <w:noBreakHyphen/>
      </w:r>
      <w:r w:rsidRPr="00795D89">
        <w:rPr>
          <w:rFonts w:ascii="Garamond" w:eastAsia="Garamond" w:hAnsi="Garamond" w:cs="Times New Roman"/>
        </w:rPr>
        <w:t xml:space="preserve">bed </w:t>
      </w:r>
      <w:r>
        <w:rPr>
          <w:rFonts w:ascii="Garamond" w:eastAsia="Garamond" w:hAnsi="Garamond" w:cs="Times New Roman"/>
        </w:rPr>
        <w:t xml:space="preserve">expansion at the </w:t>
      </w:r>
      <w:r w:rsidRPr="00795D89">
        <w:t>Lara Prison</w:t>
      </w:r>
      <w:r>
        <w:t xml:space="preserve"> precinct</w:t>
      </w:r>
      <w:r w:rsidR="008C27C4">
        <w:fldChar w:fldCharType="begin"/>
      </w:r>
      <w:r w:rsidR="008C27C4">
        <w:instrText xml:space="preserve"> XE "</w:instrText>
      </w:r>
      <w:r w:rsidR="008C27C4" w:rsidRPr="00FA7B08">
        <w:instrText>Lara Prison precinct</w:instrText>
      </w:r>
      <w:r w:rsidR="008C27C4">
        <w:instrText xml:space="preserve">" </w:instrText>
      </w:r>
      <w:r w:rsidR="008C27C4">
        <w:fldChar w:fldCharType="end"/>
      </w:r>
      <w:r>
        <w:t xml:space="preserve"> to construct a new maximum security facility for men. </w:t>
      </w:r>
    </w:p>
    <w:p w:rsidR="00F918C3" w:rsidRPr="00795D89" w:rsidRDefault="00F918C3" w:rsidP="00EB7C93">
      <w:r>
        <w:t xml:space="preserve">A </w:t>
      </w:r>
      <w:r w:rsidRPr="00403E91">
        <w:t>further $1</w:t>
      </w:r>
      <w:r>
        <w:t>60</w:t>
      </w:r>
      <w:r w:rsidR="006371F3">
        <w:t> million</w:t>
      </w:r>
      <w:r w:rsidRPr="00403E91">
        <w:t xml:space="preserve"> has been allocated</w:t>
      </w:r>
      <w:r>
        <w:t xml:space="preserve"> </w:t>
      </w:r>
      <w:r w:rsidRPr="00795D89">
        <w:t xml:space="preserve">to increase the number of secure </w:t>
      </w:r>
      <w:r>
        <w:t xml:space="preserve">custodial beds </w:t>
      </w:r>
      <w:r w:rsidRPr="00795D89">
        <w:t>at the Malmsbury and Parkville Youth Justice Centres</w:t>
      </w:r>
      <w:r w:rsidR="008C27C4">
        <w:fldChar w:fldCharType="begin"/>
      </w:r>
      <w:r w:rsidR="008C27C4">
        <w:instrText xml:space="preserve"> XE "</w:instrText>
      </w:r>
      <w:r w:rsidR="008C27C4" w:rsidRPr="004D13A2">
        <w:instrText>Malmsbury and Parkville Youth Justice Centres</w:instrText>
      </w:r>
      <w:r w:rsidR="008C27C4">
        <w:instrText xml:space="preserve">" </w:instrText>
      </w:r>
      <w:r w:rsidR="008C27C4">
        <w:fldChar w:fldCharType="end"/>
      </w:r>
      <w:r w:rsidRPr="00795D89">
        <w:t xml:space="preserve">, and to </w:t>
      </w:r>
      <w:r>
        <w:t>tackle</w:t>
      </w:r>
      <w:r w:rsidRPr="00795D89">
        <w:t xml:space="preserve"> the causes of youth offending</w:t>
      </w:r>
      <w:r>
        <w:t xml:space="preserve">. Additional funding will be used to strengthen infrastructure and enhance security across the prison system. </w:t>
      </w:r>
    </w:p>
    <w:p w:rsidR="00F918C3" w:rsidRPr="002510BC" w:rsidRDefault="00F918C3" w:rsidP="00EB7C93">
      <w:r w:rsidRPr="00795D89">
        <w:t xml:space="preserve">Funding will also be provided to implement the recommendations of the Expert Panel on Terrorism and Violent Extremism Prevention and Response Powers, to combat violent extremism and keep the community safe. Additional funding is </w:t>
      </w:r>
      <w:r>
        <w:t xml:space="preserve">committed </w:t>
      </w:r>
      <w:r w:rsidRPr="00795D89">
        <w:t xml:space="preserve">to support victims of crime, </w:t>
      </w:r>
      <w:r>
        <w:t>particularly children and vulnerable people who are providing evidence</w:t>
      </w:r>
      <w:r w:rsidRPr="00795D89">
        <w:t>.</w:t>
      </w:r>
      <w:r w:rsidR="008C27C4">
        <w:fldChar w:fldCharType="begin"/>
      </w:r>
      <w:r w:rsidR="008C27C4">
        <w:instrText xml:space="preserve"> XE "</w:instrText>
      </w:r>
      <w:r w:rsidR="008C27C4" w:rsidRPr="008D422F">
        <w:instrText>Courts</w:instrText>
      </w:r>
      <w:r w:rsidR="008C27C4">
        <w:instrText xml:space="preserve">" \r "BP2Ch1Courts" </w:instrText>
      </w:r>
      <w:r w:rsidR="008C27C4">
        <w:fldChar w:fldCharType="end"/>
      </w:r>
      <w:r w:rsidR="008C27C4">
        <w:fldChar w:fldCharType="begin"/>
      </w:r>
      <w:r w:rsidR="008C27C4">
        <w:instrText xml:space="preserve"> XE "Corrections" \r "BP2Ch1Corrections" </w:instrText>
      </w:r>
      <w:r w:rsidR="008C27C4">
        <w:fldChar w:fldCharType="end"/>
      </w:r>
      <w:r w:rsidR="008C27C4">
        <w:t xml:space="preserve"> </w:t>
      </w:r>
    </w:p>
    <w:bookmarkEnd w:id="16"/>
    <w:bookmarkEnd w:id="17"/>
    <w:p w:rsidR="00F918C3" w:rsidRPr="002510BC" w:rsidRDefault="00F918C3" w:rsidP="00EB7C93">
      <w:pPr>
        <w:pStyle w:val="Heading20"/>
      </w:pPr>
      <w:r w:rsidRPr="002510BC">
        <w:t>Strong families, safe children</w:t>
      </w:r>
    </w:p>
    <w:p w:rsidR="00F918C3" w:rsidRPr="00795D89" w:rsidRDefault="00F918C3" w:rsidP="00EB7C93">
      <w:r w:rsidRPr="00795D89">
        <w:t xml:space="preserve">The Government </w:t>
      </w:r>
      <w:r>
        <w:t xml:space="preserve">remains </w:t>
      </w:r>
      <w:r w:rsidRPr="00795D89">
        <w:t xml:space="preserve">committed to implementing every recommendation of the Royal Commission into Family Violence, </w:t>
      </w:r>
      <w:r>
        <w:t xml:space="preserve">with the </w:t>
      </w:r>
      <w:r w:rsidRPr="00795D89">
        <w:rPr>
          <w:i/>
        </w:rPr>
        <w:t>Ending Family Violence: Victoria’s Plan for Change</w:t>
      </w:r>
      <w:r w:rsidRPr="00795D89">
        <w:t xml:space="preserve"> released in 2016</w:t>
      </w:r>
      <w:r>
        <w:t xml:space="preserve"> setting out </w:t>
      </w:r>
      <w:r w:rsidRPr="00795D89">
        <w:t xml:space="preserve">the Government’s approach to change </w:t>
      </w:r>
      <w:r>
        <w:t xml:space="preserve">the underlying causes of violence </w:t>
      </w:r>
      <w:r w:rsidRPr="00795D89">
        <w:t>and better respond to the needs of victims.</w:t>
      </w:r>
    </w:p>
    <w:p w:rsidR="00F918C3" w:rsidRDefault="00F918C3" w:rsidP="00EB7C93">
      <w:r>
        <w:t>Last year’s budget included $1.9</w:t>
      </w:r>
      <w:r w:rsidR="006371F3">
        <w:t> billion</w:t>
      </w:r>
      <w:r>
        <w:t xml:space="preserve"> to address this need, and the </w:t>
      </w:r>
      <w:r w:rsidRPr="002510BC">
        <w:rPr>
          <w:i/>
        </w:rPr>
        <w:t>2018</w:t>
      </w:r>
      <w:r>
        <w:rPr>
          <w:i/>
        </w:rPr>
        <w:noBreakHyphen/>
      </w:r>
      <w:r w:rsidRPr="002510BC">
        <w:rPr>
          <w:i/>
        </w:rPr>
        <w:t xml:space="preserve">19 Budget </w:t>
      </w:r>
      <w:r w:rsidRPr="002510BC">
        <w:t xml:space="preserve">provides a </w:t>
      </w:r>
      <w:r>
        <w:t xml:space="preserve">further </w:t>
      </w:r>
      <w:r w:rsidRPr="002510BC">
        <w:t>investment to support strategic reform directions through</w:t>
      </w:r>
      <w:r>
        <w:t xml:space="preserve"> increased access to support for victim survivors, including flexible support packages; improved refuge responses for victims of family violence</w:t>
      </w:r>
      <w:r>
        <w:fldChar w:fldCharType="begin"/>
      </w:r>
      <w:r>
        <w:instrText xml:space="preserve"> XE "</w:instrText>
      </w:r>
      <w:r w:rsidRPr="00D02DCA">
        <w:instrText>Family violence</w:instrText>
      </w:r>
      <w:r>
        <w:instrText xml:space="preserve">" </w:instrText>
      </w:r>
      <w:r>
        <w:fldChar w:fldCharType="end"/>
      </w:r>
      <w:r>
        <w:t>; and new campaigns to encourage behavioural change that prevents family violence from occurring.</w:t>
      </w:r>
    </w:p>
    <w:p w:rsidR="00F918C3" w:rsidRPr="002510BC" w:rsidRDefault="00F918C3" w:rsidP="00570B1E">
      <w:r w:rsidRPr="00E8596C">
        <w:t xml:space="preserve">The </w:t>
      </w:r>
      <w:r w:rsidRPr="00E8596C">
        <w:rPr>
          <w:i/>
        </w:rPr>
        <w:t>2018</w:t>
      </w:r>
      <w:r>
        <w:rPr>
          <w:i/>
        </w:rPr>
        <w:noBreakHyphen/>
      </w:r>
      <w:r w:rsidRPr="00E8596C">
        <w:rPr>
          <w:i/>
        </w:rPr>
        <w:t>19 Budget</w:t>
      </w:r>
      <w:r w:rsidRPr="00E8596C">
        <w:t xml:space="preserve"> invests an unprecedented $858</w:t>
      </w:r>
      <w:r w:rsidR="006371F3">
        <w:t> million</w:t>
      </w:r>
      <w:r w:rsidRPr="00E8596C">
        <w:t xml:space="preserve"> to continue the transformation of Victoria’s children and family services system through the </w:t>
      </w:r>
      <w:r w:rsidRPr="00E8596C">
        <w:rPr>
          <w:i/>
        </w:rPr>
        <w:t>Roadmap for Reform</w:t>
      </w:r>
      <w:r w:rsidRPr="00E8596C">
        <w:t>, moving from crisis response to prevention and early detec</w:t>
      </w:r>
      <w:r>
        <w:t>tion. The budget includes $226</w:t>
      </w:r>
      <w:r w:rsidR="006371F3">
        <w:t> million</w:t>
      </w:r>
      <w:r w:rsidRPr="00E8596C">
        <w:t xml:space="preserve"> to employ more than 450 ch</w:t>
      </w:r>
      <w:r>
        <w:t>ild protection workers – at around 35 per cent</w:t>
      </w:r>
      <w:r w:rsidRPr="00E8596C">
        <w:t xml:space="preserve"> growth the largest ever expansion of this workforce – and expand its service capability to include after</w:t>
      </w:r>
      <w:r>
        <w:noBreakHyphen/>
      </w:r>
      <w:r w:rsidRPr="00E8596C">
        <w:t>hours response.</w:t>
      </w:r>
      <w:r>
        <w:fldChar w:fldCharType="begin"/>
      </w:r>
      <w:r>
        <w:instrText xml:space="preserve"> XE "</w:instrText>
      </w:r>
      <w:r w:rsidRPr="00D2516E">
        <w:instrText>Safety</w:instrText>
      </w:r>
      <w:r>
        <w:instrText xml:space="preserve">" \r "BP2Ch1Safety" </w:instrText>
      </w:r>
      <w:r>
        <w:fldChar w:fldCharType="end"/>
      </w:r>
      <w:r>
        <w:t xml:space="preserve"> </w:t>
      </w:r>
    </w:p>
    <w:p w:rsidR="00F918C3" w:rsidRPr="002510BC" w:rsidRDefault="00F918C3" w:rsidP="00F918C3">
      <w:pPr>
        <w:pStyle w:val="Heading10"/>
      </w:pPr>
      <w:bookmarkStart w:id="18" w:name="_Toc512629752"/>
      <w:bookmarkEnd w:id="15"/>
      <w:r>
        <w:t>A strong, fair Victoria</w:t>
      </w:r>
      <w:bookmarkEnd w:id="18"/>
    </w:p>
    <w:p w:rsidR="00F918C3" w:rsidRDefault="00F918C3" w:rsidP="00BE56B7">
      <w:r>
        <w:t xml:space="preserve">Victoria is renowned as Australia’s artistic, sporting and multicultural capital. </w:t>
      </w:r>
    </w:p>
    <w:p w:rsidR="00F918C3" w:rsidRDefault="00F918C3" w:rsidP="00BE56B7">
      <w:r>
        <w:t xml:space="preserve">This budget builds on this reputation, while also ensuring Victoria continues to be proudly inclusive and fair. </w:t>
      </w:r>
    </w:p>
    <w:p w:rsidR="00F918C3" w:rsidRDefault="00F918C3" w:rsidP="00BE56B7">
      <w:r>
        <w:t>This year’s budget invests in the industries and individuals who underpin our artistic reputation, with $82.7</w:t>
      </w:r>
      <w:r w:rsidR="006371F3">
        <w:t> million</w:t>
      </w:r>
      <w:r>
        <w:t xml:space="preserve"> to support our galleries, museums and creative sectors.</w:t>
      </w:r>
    </w:p>
    <w:p w:rsidR="00F918C3" w:rsidRDefault="00F918C3" w:rsidP="00BE56B7">
      <w:r>
        <w:t>There is $231</w:t>
      </w:r>
      <w:r w:rsidR="006371F3">
        <w:t> million</w:t>
      </w:r>
      <w:r>
        <w:t xml:space="preserve"> to redevelop some of Victoria’s most</w:t>
      </w:r>
      <w:r>
        <w:noBreakHyphen/>
        <w:t xml:space="preserve">loved sporting venues, including a major redevelopment of Etihad Stadium, updating the National Sports Museum at the MCG and planning for further upgrades to Whitten Oval and Eureka Stadium. </w:t>
      </w:r>
    </w:p>
    <w:p w:rsidR="00F918C3" w:rsidRDefault="00F918C3" w:rsidP="00BE56B7">
      <w:r>
        <w:t>This is complemented by the biggest boost to community sport</w:t>
      </w:r>
      <w:r>
        <w:fldChar w:fldCharType="begin"/>
      </w:r>
      <w:r>
        <w:instrText xml:space="preserve"> XE "</w:instrText>
      </w:r>
      <w:r w:rsidRPr="004E2A6F">
        <w:instrText>Community sport</w:instrText>
      </w:r>
      <w:r>
        <w:instrText xml:space="preserve">" </w:instrText>
      </w:r>
      <w:r>
        <w:fldChar w:fldCharType="end"/>
      </w:r>
      <w:r>
        <w:t xml:space="preserve"> in the state’s history. This budget </w:t>
      </w:r>
      <w:r w:rsidRPr="00E8596C">
        <w:t xml:space="preserve">will provide </w:t>
      </w:r>
      <w:r>
        <w:t>$242</w:t>
      </w:r>
      <w:r w:rsidR="006371F3">
        <w:t> million</w:t>
      </w:r>
      <w:r w:rsidRPr="00E8596C">
        <w:t xml:space="preserve"> in funding to</w:t>
      </w:r>
      <w:r>
        <w:t xml:space="preserve"> upgrade facilities at suburban grounds, local clubs and high</w:t>
      </w:r>
      <w:r>
        <w:noBreakHyphen/>
        <w:t xml:space="preserve">performance centres across the state. </w:t>
      </w:r>
    </w:p>
    <w:p w:rsidR="00F918C3" w:rsidRDefault="00F918C3" w:rsidP="00BE56B7">
      <w:r>
        <w:t xml:space="preserve">The Government continues to invest in making things fair. </w:t>
      </w:r>
    </w:p>
    <w:p w:rsidR="00F918C3" w:rsidRDefault="00F918C3" w:rsidP="00BE56B7">
      <w:r>
        <w:t>For children living with a disability, this year’s budget provides $288</w:t>
      </w:r>
      <w:r w:rsidR="006371F3">
        <w:t> million</w:t>
      </w:r>
      <w:r>
        <w:t xml:space="preserve"> to help make sure students with disability and learning difficulties get the support they deserve. </w:t>
      </w:r>
    </w:p>
    <w:p w:rsidR="00C64B72" w:rsidRDefault="00C64B72">
      <w:pPr>
        <w:keepLines w:val="0"/>
      </w:pPr>
      <w:r>
        <w:br w:type="page"/>
      </w:r>
    </w:p>
    <w:p w:rsidR="00F918C3" w:rsidRPr="00795D89" w:rsidRDefault="00F918C3" w:rsidP="00BE56B7">
      <w:r>
        <w:t xml:space="preserve">To further celebrate Victoria’s diversity, the </w:t>
      </w:r>
      <w:r w:rsidRPr="00FA6773">
        <w:rPr>
          <w:i/>
        </w:rPr>
        <w:t>2018</w:t>
      </w:r>
      <w:r>
        <w:rPr>
          <w:i/>
        </w:rPr>
        <w:noBreakHyphen/>
      </w:r>
      <w:r w:rsidRPr="00FA6773">
        <w:rPr>
          <w:i/>
        </w:rPr>
        <w:t>19 Budget</w:t>
      </w:r>
      <w:r>
        <w:t xml:space="preserve"> provides $17.1</w:t>
      </w:r>
      <w:r w:rsidR="006371F3">
        <w:t> million</w:t>
      </w:r>
      <w:r>
        <w:t xml:space="preserve"> for infrastructure around cultural</w:t>
      </w:r>
      <w:r w:rsidR="008C27C4">
        <w:fldChar w:fldCharType="begin"/>
      </w:r>
      <w:r w:rsidR="008C27C4">
        <w:instrText xml:space="preserve"> XE "</w:instrText>
      </w:r>
      <w:r w:rsidR="008C27C4" w:rsidRPr="00F5406C">
        <w:instrText>Culture</w:instrText>
      </w:r>
      <w:r w:rsidR="008C27C4">
        <w:instrText xml:space="preserve">" </w:instrText>
      </w:r>
      <w:r w:rsidR="008C27C4">
        <w:fldChar w:fldCharType="end"/>
      </w:r>
      <w:r>
        <w:t xml:space="preserve"> precincts, community centres and aged care facilities; $1.4</w:t>
      </w:r>
      <w:r w:rsidR="006371F3">
        <w:t> million</w:t>
      </w:r>
      <w:r>
        <w:t xml:space="preserve"> to grow Victoria’s calendar of multicultural events and festivals; and $300 000 for Multicultural Safety Ambassadors</w:t>
      </w:r>
      <w:r>
        <w:fldChar w:fldCharType="begin"/>
      </w:r>
      <w:r>
        <w:instrText xml:space="preserve"> XE "</w:instrText>
      </w:r>
      <w:r w:rsidRPr="00D02DCA">
        <w:instrText xml:space="preserve">Multicultural </w:instrText>
      </w:r>
      <w:r>
        <w:instrText xml:space="preserve">Safety Ambassadors" </w:instrText>
      </w:r>
      <w:r>
        <w:fldChar w:fldCharType="end"/>
      </w:r>
      <w:r>
        <w:t xml:space="preserve"> to promote safety across all Victorian communities. </w:t>
      </w:r>
    </w:p>
    <w:p w:rsidR="00F918C3" w:rsidRPr="00795D89" w:rsidRDefault="00F918C3" w:rsidP="00D47B53">
      <w:pPr>
        <w:pStyle w:val="Heading20"/>
      </w:pPr>
      <w:r w:rsidRPr="00795D89">
        <w:t>Easing cost</w:t>
      </w:r>
      <w:r>
        <w:noBreakHyphen/>
      </w:r>
      <w:r w:rsidRPr="00795D89">
        <w:t>of</w:t>
      </w:r>
      <w:r>
        <w:noBreakHyphen/>
      </w:r>
      <w:r w:rsidRPr="00795D89">
        <w:t>living pressures</w:t>
      </w:r>
    </w:p>
    <w:p w:rsidR="00F918C3" w:rsidRPr="002510BC" w:rsidRDefault="00F918C3" w:rsidP="002A1FE6">
      <w:r w:rsidRPr="00795D89">
        <w:t xml:space="preserve">The </w:t>
      </w:r>
      <w:r w:rsidRPr="00795D89">
        <w:rPr>
          <w:i/>
        </w:rPr>
        <w:t>2018</w:t>
      </w:r>
      <w:r>
        <w:rPr>
          <w:i/>
        </w:rPr>
        <w:noBreakHyphen/>
      </w:r>
      <w:r w:rsidRPr="00795D89">
        <w:rPr>
          <w:i/>
        </w:rPr>
        <w:t>19 Budget</w:t>
      </w:r>
      <w:r w:rsidRPr="00795D89">
        <w:t xml:space="preserve"> will invest $48</w:t>
      </w:r>
      <w:r w:rsidR="006371F3">
        <w:t> million</w:t>
      </w:r>
      <w:r w:rsidRPr="00795D89">
        <w:t xml:space="preserve"> in the Power Saving Bonus</w:t>
      </w:r>
      <w:r>
        <w:fldChar w:fldCharType="begin"/>
      </w:r>
      <w:r>
        <w:instrText xml:space="preserve"> XE "Power Saving Bonus" </w:instrText>
      </w:r>
      <w:r>
        <w:fldChar w:fldCharType="end"/>
      </w:r>
      <w:r w:rsidRPr="00795D89">
        <w:t xml:space="preserve"> – aimed directly at getting Victorian families a better deal from power companies. All Victorian households will receive a $50 payment if they seek out a better electricity deal on Victoria’s Energy Compare website</w:t>
      </w:r>
      <w:r w:rsidR="008C27C4">
        <w:fldChar w:fldCharType="begin"/>
      </w:r>
      <w:r w:rsidR="008C27C4">
        <w:instrText xml:space="preserve"> XE "</w:instrText>
      </w:r>
      <w:r w:rsidR="008C27C4" w:rsidRPr="00AB46B1">
        <w:instrText>Victoria’s Energy Compare</w:instrText>
      </w:r>
      <w:r w:rsidR="008C27C4">
        <w:instrText xml:space="preserve">" </w:instrText>
      </w:r>
      <w:r w:rsidR="008C27C4">
        <w:fldChar w:fldCharType="end"/>
      </w:r>
      <w:r w:rsidRPr="00795D89">
        <w:t>, potentially saving hundreds of dollars on their power bills.</w:t>
      </w:r>
    </w:p>
    <w:p w:rsidR="00F918C3" w:rsidRPr="002510BC" w:rsidRDefault="00F918C3" w:rsidP="00E620BF">
      <w:r w:rsidRPr="002510BC">
        <w:t>The Government has also worked with the state’s three largest energy retailers to provide rebate</w:t>
      </w:r>
      <w:r>
        <w:t>s of up to $720 to more than 28</w:t>
      </w:r>
      <w:r w:rsidRPr="005E2C40">
        <w:t>5</w:t>
      </w:r>
      <w:r w:rsidRPr="002510BC">
        <w:t xml:space="preserve"> 000 Victorian customers on costly default and expired offers. In March 2018, the Government committed to further steps to create a more fair and more affordable energy market in its interim response to the </w:t>
      </w:r>
      <w:r w:rsidRPr="002510BC">
        <w:rPr>
          <w:i/>
        </w:rPr>
        <w:t>Independent Review of the Electricity and Gas Retail Markets in Victoria</w:t>
      </w:r>
      <w:r w:rsidRPr="002510BC">
        <w:t xml:space="preserve">. </w:t>
      </w:r>
    </w:p>
    <w:p w:rsidR="00F918C3" w:rsidRPr="002510BC" w:rsidRDefault="00F918C3" w:rsidP="002A1FE6">
      <w:r w:rsidRPr="002510BC">
        <w:t>The budget will provide $22</w:t>
      </w:r>
      <w:r w:rsidR="006371F3">
        <w:t> million</w:t>
      </w:r>
      <w:r w:rsidRPr="002510BC">
        <w:t xml:space="preserve"> for further assistance to concession cardholders struggling to pay their utility bills by lifting the cap on the Utility Relief Grant Scheme</w:t>
      </w:r>
      <w:r>
        <w:fldChar w:fldCharType="begin"/>
      </w:r>
      <w:r>
        <w:instrText xml:space="preserve"> XE "Utility Relief Grant Scheme" </w:instrText>
      </w:r>
      <w:r>
        <w:fldChar w:fldCharType="end"/>
      </w:r>
      <w:r w:rsidRPr="002510BC">
        <w:t xml:space="preserve"> from $500 to $650. This scheme helps households and families</w:t>
      </w:r>
      <w:r>
        <w:t xml:space="preserve"> suffering unexpected hardship to </w:t>
      </w:r>
      <w:r w:rsidRPr="002510BC">
        <w:t xml:space="preserve">pay their water, gas or electricity bills. </w:t>
      </w:r>
    </w:p>
    <w:p w:rsidR="00F918C3" w:rsidRPr="002510BC" w:rsidRDefault="00F918C3" w:rsidP="00E620BF">
      <w:r w:rsidRPr="002510BC">
        <w:t>These initiatives build on other Government policies to make the cost of life’s essentials more affordable, including short</w:t>
      </w:r>
      <w:r>
        <w:noBreakHyphen/>
      </w:r>
      <w:r w:rsidRPr="002510BC">
        <w:t>term motor vehicle registration options, the Fair Go rates cap and reduced regional public transport</w:t>
      </w:r>
      <w:r>
        <w:fldChar w:fldCharType="begin"/>
      </w:r>
      <w:r>
        <w:instrText xml:space="preserve"> XE "</w:instrText>
      </w:r>
      <w:r w:rsidRPr="00D02DCA">
        <w:instrText>Public transport:Regional</w:instrText>
      </w:r>
      <w:r>
        <w:instrText xml:space="preserve">" </w:instrText>
      </w:r>
      <w:r>
        <w:fldChar w:fldCharType="end"/>
      </w:r>
      <w:r w:rsidRPr="002510BC">
        <w:t xml:space="preserve"> fares.</w:t>
      </w:r>
    </w:p>
    <w:p w:rsidR="00F918C3" w:rsidRPr="000D2A49" w:rsidRDefault="00F918C3" w:rsidP="00F918C3">
      <w:pPr>
        <w:pStyle w:val="Heading10"/>
      </w:pPr>
      <w:bookmarkStart w:id="19" w:name="_Toc512629753"/>
      <w:r w:rsidRPr="000D2A49">
        <w:t>Delivering on our commitments</w:t>
      </w:r>
      <w:bookmarkEnd w:id="19"/>
    </w:p>
    <w:p w:rsidR="00F918C3" w:rsidRDefault="00F918C3" w:rsidP="005764E0">
      <w:r w:rsidRPr="000D2A49">
        <w:t xml:space="preserve">The </w:t>
      </w:r>
      <w:r w:rsidRPr="000D2A49">
        <w:rPr>
          <w:i/>
        </w:rPr>
        <w:t>2018</w:t>
      </w:r>
      <w:r>
        <w:rPr>
          <w:i/>
        </w:rPr>
        <w:noBreakHyphen/>
      </w:r>
      <w:r w:rsidRPr="000D2A49">
        <w:rPr>
          <w:i/>
        </w:rPr>
        <w:t>19 Budget</w:t>
      </w:r>
      <w:r w:rsidRPr="000D2A49">
        <w:t xml:space="preserve"> also concludes the Government’s delivery of Labor’s Financial Statement 2014</w:t>
      </w:r>
      <w:r>
        <w:fldChar w:fldCharType="begin"/>
      </w:r>
      <w:r>
        <w:instrText xml:space="preserve"> XE "</w:instrText>
      </w:r>
      <w:r w:rsidRPr="0097126B">
        <w:instrText>Labor’s Financial Statement 2014</w:instrText>
      </w:r>
      <w:r>
        <w:instrText xml:space="preserve">" </w:instrText>
      </w:r>
      <w:r>
        <w:fldChar w:fldCharType="end"/>
      </w:r>
      <w:r w:rsidRPr="000D2A49">
        <w:t xml:space="preserve">, with a </w:t>
      </w:r>
      <w:r w:rsidRPr="009738CE">
        <w:t>further $331</w:t>
      </w:r>
      <w:r w:rsidR="006371F3">
        <w:t> million</w:t>
      </w:r>
      <w:r w:rsidRPr="009738CE">
        <w:t xml:space="preserve"> of initiatives to complete the promised $10.1</w:t>
      </w:r>
      <w:r w:rsidR="006371F3">
        <w:t> billion</w:t>
      </w:r>
      <w:r w:rsidRPr="000D2A49">
        <w:t xml:space="preserve"> </w:t>
      </w:r>
      <w:r>
        <w:t>of funding commitments</w:t>
      </w:r>
      <w:r w:rsidRPr="000D2A49">
        <w:t>.</w:t>
      </w:r>
      <w:r w:rsidRPr="005764E0">
        <w:t xml:space="preserve"> </w:t>
      </w:r>
    </w:p>
    <w:p w:rsidR="006371F3" w:rsidRDefault="006371F3">
      <w:pPr>
        <w:keepLines w:val="0"/>
      </w:pPr>
      <w:r>
        <w:br w:type="page"/>
      </w:r>
    </w:p>
    <w:p w:rsidR="006371F3" w:rsidRPr="005764E0" w:rsidRDefault="006371F3" w:rsidP="005764E0"/>
    <w:p w:rsidR="00F918C3" w:rsidRDefault="00F918C3" w:rsidP="00C75968">
      <w:pPr>
        <w:spacing w:before="70"/>
      </w:pPr>
    </w:p>
    <w:p w:rsidR="00F918C3" w:rsidRDefault="00F918C3" w:rsidP="00B942A3">
      <w:pPr>
        <w:sectPr w:rsidR="00F918C3" w:rsidSect="00BB71B2">
          <w:footerReference w:type="even" r:id="rId24"/>
          <w:footerReference w:type="default" r:id="rId25"/>
          <w:type w:val="oddPage"/>
          <w:pgSz w:w="9979" w:h="14175" w:code="34"/>
          <w:pgMar w:top="850" w:right="1138" w:bottom="850" w:left="1138" w:header="619" w:footer="562" w:gutter="0"/>
          <w:pgNumType w:start="1"/>
          <w:cols w:sep="1" w:space="567"/>
          <w:docGrid w:linePitch="360"/>
        </w:sectPr>
      </w:pPr>
    </w:p>
    <w:p w:rsidR="00F918C3" w:rsidRPr="00BB71B2" w:rsidRDefault="00F918C3" w:rsidP="00BB71B2">
      <w:pPr>
        <w:pStyle w:val="ChapterHeading0"/>
      </w:pPr>
      <w:bookmarkStart w:id="20" w:name="_Toc512629754"/>
      <w:r w:rsidRPr="00BB71B2">
        <w:t>Chapter 2 – Economic outlook</w:t>
      </w:r>
      <w:bookmarkEnd w:id="20"/>
    </w:p>
    <w:p w:rsidR="00F918C3" w:rsidRPr="009C4244" w:rsidRDefault="00F918C3" w:rsidP="005E7A0A">
      <w:pPr>
        <w:pStyle w:val="HighlightBoxBullet"/>
        <w:numPr>
          <w:ilvl w:val="0"/>
          <w:numId w:val="26"/>
        </w:numPr>
      </w:pPr>
      <w:bookmarkStart w:id="21" w:name="BP2Ch2GrossStateProduct1"/>
      <w:bookmarkStart w:id="22" w:name="BP2Ch2Employment"/>
      <w:r>
        <w:t>Victoria’s economy is strong, with above</w:t>
      </w:r>
      <w:r>
        <w:noBreakHyphen/>
        <w:t>trend economic growth</w:t>
      </w:r>
      <w:r>
        <w:fldChar w:fldCharType="begin"/>
      </w:r>
      <w:r>
        <w:instrText xml:space="preserve"> XE "</w:instrText>
      </w:r>
      <w:r w:rsidRPr="00D02DCA">
        <w:instrText>Economic growth</w:instrText>
      </w:r>
      <w:r>
        <w:instrText xml:space="preserve">" </w:instrText>
      </w:r>
      <w:r>
        <w:fldChar w:fldCharType="end"/>
      </w:r>
      <w:r>
        <w:t xml:space="preserve"> in recent years driving growth in employment and improving living standards. Real gross state product (GSP</w:t>
      </w:r>
      <w:r>
        <w:fldChar w:fldCharType="begin"/>
      </w:r>
      <w:r>
        <w:instrText xml:space="preserve"> XE "</w:instrText>
      </w:r>
      <w:r w:rsidRPr="00D02DCA">
        <w:instrText>Gross state product</w:instrText>
      </w:r>
      <w:r>
        <w:instrText xml:space="preserve">" </w:instrText>
      </w:r>
      <w:r>
        <w:fldChar w:fldCharType="end"/>
      </w:r>
      <w:r>
        <w:t>) grew by 3.3 per cent in 2016</w:t>
      </w:r>
      <w:r>
        <w:noBreakHyphen/>
        <w:t xml:space="preserve">17 and is expected to grow at a </w:t>
      </w:r>
      <w:r w:rsidRPr="009C4244">
        <w:t>steady rate of 2.75 per cent each year over the budget and forward estimates.</w:t>
      </w:r>
      <w:r>
        <w:t xml:space="preserve"> </w:t>
      </w:r>
    </w:p>
    <w:p w:rsidR="00F918C3" w:rsidRPr="00496C08" w:rsidRDefault="00F918C3" w:rsidP="005E7A0A">
      <w:pPr>
        <w:pStyle w:val="HighlightBoxBullet"/>
        <w:numPr>
          <w:ilvl w:val="0"/>
          <w:numId w:val="26"/>
        </w:numPr>
      </w:pPr>
      <w:r w:rsidRPr="009C4244">
        <w:t xml:space="preserve">Economic activity has been supported by population growth and low interest rates, which have underpinned household consumption and dwelling investment. Public investment in infrastructure and services is expected to be an important source of </w:t>
      </w:r>
      <w:r w:rsidRPr="00496C08">
        <w:t>economic growth and employment over the next four years, with government infrastructure investment</w:t>
      </w:r>
      <w:r w:rsidR="008C27C4">
        <w:fldChar w:fldCharType="begin"/>
      </w:r>
      <w:r w:rsidR="008C27C4">
        <w:instrText xml:space="preserve"> XE "</w:instrText>
      </w:r>
      <w:r w:rsidR="008C27C4" w:rsidRPr="00D02DCA">
        <w:instrText>Government infrastructure investment</w:instrText>
      </w:r>
      <w:r w:rsidR="008C27C4">
        <w:instrText xml:space="preserve">" </w:instrText>
      </w:r>
      <w:r w:rsidR="008C27C4">
        <w:fldChar w:fldCharType="end"/>
      </w:r>
      <w:r w:rsidRPr="00496C08">
        <w:t xml:space="preserve"> expected to average $10.1</w:t>
      </w:r>
      <w:r w:rsidR="006371F3">
        <w:t> billion</w:t>
      </w:r>
      <w:r w:rsidRPr="00496C08">
        <w:t xml:space="preserve"> a year to 2021</w:t>
      </w:r>
      <w:r w:rsidRPr="00496C08">
        <w:noBreakHyphen/>
        <w:t>22.</w:t>
      </w:r>
    </w:p>
    <w:p w:rsidR="00F918C3" w:rsidRPr="00496C08" w:rsidRDefault="00F918C3" w:rsidP="005E7A0A">
      <w:pPr>
        <w:pStyle w:val="HighlightBoxBullet"/>
        <w:numPr>
          <w:ilvl w:val="0"/>
          <w:numId w:val="26"/>
        </w:numPr>
      </w:pPr>
      <w:r w:rsidRPr="00496C08">
        <w:t>Employment is expected to grow by 2.0 per cent in 2018</w:t>
      </w:r>
      <w:r w:rsidRPr="00496C08">
        <w:noBreakHyphen/>
        <w:t>19, representing the fifth consecutive year of above</w:t>
      </w:r>
      <w:r w:rsidRPr="00496C08">
        <w:noBreakHyphen/>
        <w:t>trend growth, and to moderate toward trend thereafter.</w:t>
      </w:r>
    </w:p>
    <w:p w:rsidR="00F918C3" w:rsidRPr="009C4244" w:rsidRDefault="00F918C3" w:rsidP="005E7A0A">
      <w:pPr>
        <w:pStyle w:val="HighlightBoxBullet"/>
        <w:numPr>
          <w:ilvl w:val="0"/>
          <w:numId w:val="26"/>
        </w:numPr>
      </w:pPr>
      <w:r w:rsidRPr="00496C08">
        <w:t>Population growth</w:t>
      </w:r>
      <w:r>
        <w:fldChar w:fldCharType="begin"/>
      </w:r>
      <w:r>
        <w:instrText xml:space="preserve"> XE "</w:instrText>
      </w:r>
      <w:r w:rsidRPr="00D02DCA">
        <w:instrText>Population</w:instrText>
      </w:r>
      <w:r>
        <w:instrText xml:space="preserve"> g</w:instrText>
      </w:r>
      <w:r w:rsidRPr="00D02DCA">
        <w:instrText>rowth</w:instrText>
      </w:r>
      <w:r>
        <w:instrText xml:space="preserve">" </w:instrText>
      </w:r>
      <w:r>
        <w:fldChar w:fldCharType="end"/>
      </w:r>
      <w:r w:rsidRPr="00496C08">
        <w:t xml:space="preserve"> is anticipated to remain strong but to moderate to 2.0 per cent by 2020</w:t>
      </w:r>
      <w:r w:rsidRPr="00496C08">
        <w:noBreakHyphen/>
        <w:t>21. Inflation</w:t>
      </w:r>
      <w:r>
        <w:fldChar w:fldCharType="begin"/>
      </w:r>
      <w:r>
        <w:instrText xml:space="preserve"> XE "</w:instrText>
      </w:r>
      <w:r w:rsidRPr="00D02DCA">
        <w:instrText>Inflation</w:instrText>
      </w:r>
      <w:r>
        <w:instrText xml:space="preserve">" </w:instrText>
      </w:r>
      <w:r>
        <w:fldChar w:fldCharType="end"/>
      </w:r>
      <w:r w:rsidRPr="00496C08">
        <w:t xml:space="preserve"> expectations and wages growth</w:t>
      </w:r>
      <w:r w:rsidRPr="009C4244">
        <w:t xml:space="preserve"> are forecast to rise toward their trend rate. </w:t>
      </w:r>
    </w:p>
    <w:p w:rsidR="00F918C3" w:rsidRPr="009C4244" w:rsidRDefault="00F918C3" w:rsidP="005E7A0A">
      <w:pPr>
        <w:pStyle w:val="HighlightBoxBullet"/>
        <w:numPr>
          <w:ilvl w:val="0"/>
          <w:numId w:val="26"/>
        </w:numPr>
      </w:pPr>
      <w:r w:rsidRPr="009C4244">
        <w:t>Risks</w:t>
      </w:r>
      <w:r>
        <w:fldChar w:fldCharType="begin"/>
      </w:r>
      <w:r>
        <w:instrText xml:space="preserve"> XE "</w:instrText>
      </w:r>
      <w:r w:rsidRPr="00D02DCA">
        <w:instrText>Risks</w:instrText>
      </w:r>
      <w:r>
        <w:instrText xml:space="preserve">" </w:instrText>
      </w:r>
      <w:r>
        <w:fldChar w:fldCharType="end"/>
      </w:r>
      <w:r w:rsidRPr="009C4244">
        <w:t xml:space="preserve"> to the economic outlook are balanced. The global growth backdrop is supportive, albeit with rising risks in trade policy and regional stability. Domestically, rising interest rates and a moderation in dwelling investment after years of above</w:t>
      </w:r>
      <w:r w:rsidRPr="009C4244">
        <w:noBreakHyphen/>
        <w:t>trend growth could introduce downside risk to the outlook. However, this is balanced with upside risk to growth in labour supply if population growth and the labour force participation rate are higher than expected.</w:t>
      </w:r>
    </w:p>
    <w:p w:rsidR="00F918C3" w:rsidRPr="00BB71B2" w:rsidRDefault="00F918C3" w:rsidP="00BB71B2">
      <w:pPr>
        <w:pStyle w:val="Heading10"/>
      </w:pPr>
      <w:bookmarkStart w:id="23" w:name="_Toc512629755"/>
      <w:bookmarkStart w:id="24" w:name="BP2Ch2VictorianEconomicConditions"/>
      <w:r w:rsidRPr="00BB71B2">
        <w:t>Victorian economic conditions</w:t>
      </w:r>
      <w:r w:rsidR="00B42920">
        <w:t xml:space="preserve"> </w:t>
      </w:r>
      <w:r w:rsidRPr="00BB71B2">
        <w:t>and outlook</w:t>
      </w:r>
      <w:bookmarkEnd w:id="23"/>
    </w:p>
    <w:p w:rsidR="00F918C3" w:rsidRPr="00496C08" w:rsidRDefault="00F918C3" w:rsidP="00346691">
      <w:r w:rsidRPr="00496C08">
        <w:t>In 2016</w:t>
      </w:r>
      <w:r w:rsidRPr="00496C08">
        <w:noBreakHyphen/>
        <w:t>17, Victorian real GSP</w:t>
      </w:r>
      <w:r>
        <w:fldChar w:fldCharType="begin"/>
      </w:r>
      <w:r>
        <w:instrText xml:space="preserve"> XE "</w:instrText>
      </w:r>
      <w:r w:rsidRPr="00D02DCA">
        <w:instrText>Gross state product</w:instrText>
      </w:r>
      <w:r>
        <w:instrText xml:space="preserve">" </w:instrText>
      </w:r>
      <w:r>
        <w:fldChar w:fldCharType="end"/>
      </w:r>
      <w:r w:rsidRPr="00496C08">
        <w:t xml:space="preserve"> rose by 3.3 per cent, the strongest of all the states and well above national gross domestic product (GDP) growth of 2.0 per cent. This represents the third consecutive year of expansion at an above</w:t>
      </w:r>
      <w:r w:rsidRPr="00496C08">
        <w:noBreakHyphen/>
        <w:t>trend rate.</w:t>
      </w:r>
    </w:p>
    <w:p w:rsidR="00F918C3" w:rsidRDefault="00F918C3" w:rsidP="00FF530B">
      <w:r w:rsidRPr="00496C08">
        <w:t>The acceleration of Victoria’s economy is translating to higher standards of living for the average Victorian. Real GSP</w:t>
      </w:r>
      <w:r>
        <w:fldChar w:fldCharType="begin"/>
      </w:r>
      <w:r>
        <w:instrText xml:space="preserve"> XE "</w:instrText>
      </w:r>
      <w:r w:rsidRPr="00D02DCA">
        <w:instrText>Gross state product</w:instrText>
      </w:r>
      <w:r>
        <w:instrText xml:space="preserve">" </w:instrText>
      </w:r>
      <w:r>
        <w:fldChar w:fldCharType="end"/>
      </w:r>
      <w:r w:rsidRPr="00496C08">
        <w:t xml:space="preserve"> per capita rose by 0.9 per cent in 2016</w:t>
      </w:r>
      <w:r w:rsidRPr="00496C08">
        <w:noBreakHyphen/>
        <w:t>17. This was the third successive rise in GSP per capita in Victoria, the longest period of sustained growth in living standards since the global financial</w:t>
      </w:r>
      <w:r>
        <w:t xml:space="preserve"> crisis (Chart 2.1). GSP per capita is expected to continue to rise in future years as growth in real economic activity continues to outpace population growth each year to the end of the forward estimates.</w:t>
      </w:r>
    </w:p>
    <w:p w:rsidR="00F918C3" w:rsidRDefault="00F918C3" w:rsidP="00BF3029">
      <w:pPr>
        <w:pStyle w:val="TableHeading"/>
      </w:pPr>
      <w:r>
        <w:t xml:space="preserve">Chart 2.1: </w:t>
      </w:r>
      <w:r>
        <w:tab/>
        <w:t>Forecasts of Victoria’s real</w:t>
      </w:r>
      <w:r w:rsidRPr="000339A2">
        <w:t xml:space="preserve"> </w:t>
      </w:r>
      <w:r>
        <w:t>GSP and real</w:t>
      </w:r>
      <w:r w:rsidRPr="000339A2">
        <w:t xml:space="preserve"> </w:t>
      </w:r>
      <w:r>
        <w:t xml:space="preserve">GSP </w:t>
      </w:r>
      <w:r w:rsidRPr="00A5517C">
        <w:t>per capita</w:t>
      </w:r>
    </w:p>
    <w:p w:rsidR="00F918C3" w:rsidRDefault="00A9166F" w:rsidP="000D0C29">
      <w:r>
        <w:pict>
          <v:shape id="_x0000_i1029" type="#_x0000_t75" style="width:381.9pt;height:251.15pt">
            <v:imagedata r:id="rId26" o:title=""/>
          </v:shape>
        </w:pict>
      </w:r>
    </w:p>
    <w:p w:rsidR="00F918C3" w:rsidRDefault="00F918C3" w:rsidP="00BF3029">
      <w:pPr>
        <w:pStyle w:val="Note"/>
      </w:pPr>
      <w:r w:rsidRPr="008A1C10">
        <w:t xml:space="preserve">Source: Australian Bureau of Statistics. </w:t>
      </w:r>
    </w:p>
    <w:p w:rsidR="00F918C3" w:rsidRDefault="00F918C3" w:rsidP="00BF3029">
      <w:pPr>
        <w:pStyle w:val="Note"/>
      </w:pPr>
    </w:p>
    <w:p w:rsidR="00F918C3" w:rsidRPr="009C4244" w:rsidRDefault="00F918C3" w:rsidP="000F4AF4">
      <w:r w:rsidRPr="009C4244">
        <w:t>The Victorian economy has benefited in recent years from strong population growth and low interest rates, both of which have supported strengthening consumption and dwelling investment. Public demand has also grown strongly, contributing more than half of the overall growth in GSP in 2016</w:t>
      </w:r>
      <w:r w:rsidRPr="009C4244">
        <w:noBreakHyphen/>
        <w:t>17. Public investment is expected to continue to contribute to growth in the economy, with government infrastructure investment</w:t>
      </w:r>
      <w:r w:rsidR="008C27C4">
        <w:fldChar w:fldCharType="begin"/>
      </w:r>
      <w:r w:rsidR="008C27C4">
        <w:instrText xml:space="preserve"> XE "</w:instrText>
      </w:r>
      <w:r w:rsidR="008C27C4" w:rsidRPr="00D02DCA">
        <w:instrText>Government infrastructure investment</w:instrText>
      </w:r>
      <w:r w:rsidR="008C27C4">
        <w:instrText xml:space="preserve">" </w:instrText>
      </w:r>
      <w:r w:rsidR="008C27C4">
        <w:fldChar w:fldCharType="end"/>
      </w:r>
      <w:r w:rsidRPr="009C4244">
        <w:t xml:space="preserve"> forecast to average $10.1</w:t>
      </w:r>
      <w:r w:rsidR="006371F3">
        <w:t> billion</w:t>
      </w:r>
      <w:r w:rsidRPr="009C4244">
        <w:t xml:space="preserve"> </w:t>
      </w:r>
      <w:r>
        <w:t>a</w:t>
      </w:r>
      <w:r w:rsidRPr="009C4244">
        <w:t xml:space="preserve"> year to 2021</w:t>
      </w:r>
      <w:r w:rsidRPr="009C4244">
        <w:noBreakHyphen/>
        <w:t>22, more than double the average of $4.9</w:t>
      </w:r>
      <w:r w:rsidR="006371F3">
        <w:t> billion</w:t>
      </w:r>
      <w:r w:rsidRPr="009C4244">
        <w:t xml:space="preserve"> a year from 2005</w:t>
      </w:r>
      <w:r w:rsidRPr="009C4244">
        <w:noBreakHyphen/>
        <w:t>06 to 2014</w:t>
      </w:r>
      <w:r w:rsidRPr="009C4244">
        <w:noBreakHyphen/>
        <w:t>15.</w:t>
      </w:r>
      <w:r>
        <w:t xml:space="preserve"> </w:t>
      </w:r>
      <w:r>
        <w:fldChar w:fldCharType="begin"/>
      </w:r>
      <w:r>
        <w:instrText xml:space="preserve"> XE "</w:instrText>
      </w:r>
      <w:r w:rsidRPr="007D6732">
        <w:instrText>Gross state product</w:instrText>
      </w:r>
      <w:r>
        <w:instrText xml:space="preserve">" \r "BP2Ch2GrossStateProduct1" </w:instrText>
      </w:r>
      <w:r>
        <w:fldChar w:fldCharType="end"/>
      </w:r>
    </w:p>
    <w:bookmarkEnd w:id="21"/>
    <w:p w:rsidR="00F918C3" w:rsidRPr="009C4244" w:rsidRDefault="00F918C3" w:rsidP="000F4AF4">
      <w:r w:rsidRPr="009C4244">
        <w:t>Strong economic conditions have generated record levels of employment, with Victoria’s labour market the focal point of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rsidRPr="009C4244">
        <w:t xml:space="preserve"> in the nation. The Victorian economy generated 117 300 </w:t>
      </w:r>
      <w:r w:rsidRPr="00496C08">
        <w:t>new jobs in 2016</w:t>
      </w:r>
      <w:r w:rsidRPr="00496C08">
        <w:noBreakHyphen/>
        <w:t>17, the highest of all the states and more than 70 per cent of new jobs created across Australia. Since November 2014, employment in Victoria has grown by 11.4 per cent or 33</w:t>
      </w:r>
      <w:r>
        <w:t>3</w:t>
      </w:r>
      <w:r w:rsidRPr="00496C08">
        <w:t> </w:t>
      </w:r>
      <w:r>
        <w:t>9</w:t>
      </w:r>
      <w:r w:rsidRPr="00496C08">
        <w:t>00 persons, with the majority of growth in full</w:t>
      </w:r>
      <w:r w:rsidRPr="00496C08">
        <w:noBreakHyphen/>
        <w:t>time employment. Employment growth has been broad</w:t>
      </w:r>
      <w:r w:rsidRPr="00496C08">
        <w:noBreakHyphen/>
        <w:t>based across industries over the past year, led by service industries and construction</w:t>
      </w:r>
      <w:r w:rsidRPr="009C4244">
        <w:t xml:space="preserve"> (Chart 2.2).</w:t>
      </w:r>
    </w:p>
    <w:p w:rsidR="00F918C3" w:rsidRDefault="00F918C3" w:rsidP="00C165B8">
      <w:r w:rsidRPr="009C4244">
        <w:t>Employment is forecast to grow by 2.0 per cent in 2018</w:t>
      </w:r>
      <w:r w:rsidRPr="009C4244">
        <w:noBreakHyphen/>
        <w:t>19, representing five consecutive years of above</w:t>
      </w:r>
      <w:r w:rsidRPr="009C4244">
        <w:noBreakHyphen/>
        <w:t>trend growth. The unemployment rate is anticipated to stabilise at 5.75 per cent in 2018</w:t>
      </w:r>
      <w:r w:rsidRPr="009C4244">
        <w:noBreakHyphen/>
        <w:t>19 before declining to its trend rate of 5.50 per cent in 2019</w:t>
      </w:r>
      <w:r w:rsidRPr="009C4244">
        <w:noBreakHyphen/>
        <w:t>20.</w:t>
      </w:r>
      <w:r>
        <w:t xml:space="preserve"> </w:t>
      </w:r>
    </w:p>
    <w:p w:rsidR="00F918C3" w:rsidRDefault="00F918C3" w:rsidP="00A01BBE">
      <w:pPr>
        <w:pStyle w:val="TableHeading"/>
      </w:pPr>
      <w:r>
        <w:t xml:space="preserve">Chart 2.2: </w:t>
      </w:r>
      <w:r>
        <w:tab/>
        <w:t>Contribution to annual average employment growth by industry (February 2018)</w:t>
      </w:r>
    </w:p>
    <w:p w:rsidR="00F918C3" w:rsidRDefault="00A9166F" w:rsidP="000D0C29">
      <w:r>
        <w:pict>
          <v:shape id="_x0000_i1030" type="#_x0000_t75" style="width:380.75pt;height:260.95pt">
            <v:imagedata r:id="rId27" o:title=""/>
          </v:shape>
        </w:pict>
      </w:r>
    </w:p>
    <w:p w:rsidR="00F918C3" w:rsidRPr="0012341F" w:rsidRDefault="00F918C3" w:rsidP="000D0C29">
      <w:pPr>
        <w:rPr>
          <w:rFonts w:asciiTheme="majorHAnsi" w:hAnsiTheme="majorHAnsi"/>
          <w:i/>
          <w:spacing w:val="-2"/>
          <w:sz w:val="14"/>
        </w:rPr>
      </w:pPr>
      <w:r w:rsidRPr="0012341F">
        <w:rPr>
          <w:rFonts w:asciiTheme="majorHAnsi" w:hAnsiTheme="majorHAnsi"/>
          <w:i/>
          <w:spacing w:val="-2"/>
          <w:sz w:val="14"/>
        </w:rPr>
        <w:t>Source: Australian Bureau of Statistics.</w:t>
      </w:r>
      <w:r w:rsidRPr="008A1C10">
        <w:t xml:space="preserve"> </w:t>
      </w:r>
    </w:p>
    <w:p w:rsidR="00F918C3" w:rsidRDefault="00F918C3" w:rsidP="00FF530B">
      <w:pPr>
        <w:ind w:right="-227"/>
      </w:pPr>
    </w:p>
    <w:p w:rsidR="00F918C3" w:rsidRDefault="00F918C3" w:rsidP="00FF530B">
      <w:pPr>
        <w:ind w:right="-227"/>
      </w:pPr>
      <w:r>
        <w:t>Victoria’s population growth is expected to be 2.2 per cent in 2018</w:t>
      </w:r>
      <w:r>
        <w:noBreakHyphen/>
        <w:t>19 but to ease gradually to 2.0 per cent a year by 2020</w:t>
      </w:r>
      <w:r>
        <w:noBreakHyphen/>
        <w:t>21.</w:t>
      </w:r>
    </w:p>
    <w:p w:rsidR="00F918C3" w:rsidRDefault="00F918C3" w:rsidP="0084052D">
      <w:pPr>
        <w:rPr>
          <w:rFonts w:ascii="Garamond" w:hAnsi="Garamond"/>
        </w:rPr>
      </w:pPr>
      <w:r w:rsidRPr="00E0349D">
        <w:rPr>
          <w:rFonts w:ascii="Garamond" w:hAnsi="Garamond"/>
        </w:rPr>
        <w:t xml:space="preserve">Table 2.1 sets out the economic forecasts for the </w:t>
      </w:r>
      <w:r w:rsidRPr="00E0349D">
        <w:rPr>
          <w:rFonts w:ascii="Garamond" w:hAnsi="Garamond"/>
          <w:i/>
        </w:rPr>
        <w:t>2018</w:t>
      </w:r>
      <w:r>
        <w:rPr>
          <w:rFonts w:ascii="Garamond" w:hAnsi="Garamond"/>
          <w:i/>
        </w:rPr>
        <w:noBreakHyphen/>
        <w:t xml:space="preserve">19 </w:t>
      </w:r>
      <w:r w:rsidRPr="00E0349D">
        <w:rPr>
          <w:rFonts w:ascii="Garamond" w:hAnsi="Garamond"/>
          <w:i/>
        </w:rPr>
        <w:t>Budget</w:t>
      </w:r>
      <w:r w:rsidRPr="00E0349D">
        <w:rPr>
          <w:rFonts w:ascii="Garamond" w:hAnsi="Garamond"/>
        </w:rPr>
        <w:t xml:space="preserve">. </w:t>
      </w:r>
    </w:p>
    <w:p w:rsidR="00F918C3" w:rsidRPr="0062359E" w:rsidRDefault="00F918C3" w:rsidP="0062359E">
      <w:pPr>
        <w:pStyle w:val="TableHeading"/>
      </w:pPr>
      <w:r w:rsidRPr="00414EC9">
        <w:t>Table 2.1:</w:t>
      </w:r>
      <w:r w:rsidRPr="00414EC9">
        <w:tab/>
        <w:t>Victorian economic forecasts</w:t>
      </w:r>
      <w:r w:rsidRPr="00414EC9">
        <w:rPr>
          <w:vertAlign w:val="superscript"/>
        </w:rPr>
        <w:t>(a)</w:t>
      </w:r>
      <w:r>
        <w:rPr>
          <w:vertAlign w:val="superscript"/>
        </w:rPr>
        <w:tab/>
      </w:r>
      <w:r w:rsidRPr="00414EC9">
        <w:t>(per cent)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2665"/>
        <w:gridCol w:w="850"/>
        <w:gridCol w:w="851"/>
        <w:gridCol w:w="850"/>
        <w:gridCol w:w="851"/>
        <w:gridCol w:w="850"/>
        <w:gridCol w:w="850"/>
      </w:tblGrid>
      <w:tr w:rsidR="00F918C3" w:rsidRPr="0062359E" w:rsidTr="00623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rPr>
                <w:rFonts w:eastAsiaTheme="minorEastAsia" w:cs="Calibri"/>
                <w:i w:val="0"/>
                <w:iCs/>
                <w:color w:val="000000"/>
                <w:szCs w:val="17"/>
                <w:lang w:eastAsia="en-AU"/>
              </w:rPr>
            </w:pPr>
            <w:r w:rsidRPr="0062359E">
              <w:rPr>
                <w:rFonts w:eastAsiaTheme="minorEastAsia" w:cs="Calibri"/>
                <w:iCs/>
                <w:color w:val="000000"/>
                <w:szCs w:val="17"/>
                <w:lang w:eastAsia="en-AU"/>
              </w:rPr>
              <w:t xml:space="preserve"> </w:t>
            </w:r>
          </w:p>
        </w:tc>
        <w:tc>
          <w:tcPr>
            <w:tcW w:w="850"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 xml:space="preserve">2016-17 </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actual</w:t>
            </w:r>
          </w:p>
        </w:tc>
        <w:tc>
          <w:tcPr>
            <w:tcW w:w="851"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2017-18</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forecast</w:t>
            </w:r>
          </w:p>
        </w:tc>
        <w:tc>
          <w:tcPr>
            <w:tcW w:w="850"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2018-19</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forecast</w:t>
            </w:r>
          </w:p>
        </w:tc>
        <w:tc>
          <w:tcPr>
            <w:tcW w:w="851"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2019-20</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forecast</w:t>
            </w:r>
          </w:p>
        </w:tc>
        <w:tc>
          <w:tcPr>
            <w:tcW w:w="850"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2020-21</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projection</w:t>
            </w:r>
          </w:p>
        </w:tc>
        <w:tc>
          <w:tcPr>
            <w:tcW w:w="850" w:type="dxa"/>
            <w:tcBorders>
              <w:top w:val="nil"/>
              <w:left w:val="nil"/>
              <w:bottom w:val="nil"/>
              <w:right w:val="nil"/>
            </w:tcBorders>
            <w:shd w:val="solid" w:color="000000" w:fill="auto"/>
          </w:tcPr>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2021-22</w:t>
            </w:r>
          </w:p>
          <w:p w:rsidR="00F918C3" w:rsidRPr="0062359E" w:rsidRDefault="00F918C3" w:rsidP="0062359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16"/>
                <w:lang w:eastAsia="en-AU"/>
              </w:rPr>
            </w:pPr>
            <w:r w:rsidRPr="0062359E">
              <w:rPr>
                <w:rFonts w:eastAsiaTheme="minorEastAsia" w:cs="Calibri"/>
                <w:iCs/>
                <w:color w:val="FFFFFF"/>
                <w:szCs w:val="16"/>
                <w:lang w:eastAsia="en-AU"/>
              </w:rPr>
              <w:t>projection</w:t>
            </w:r>
          </w:p>
        </w:tc>
      </w:tr>
      <w:tr w:rsidR="00F918C3" w:rsidRPr="0062359E" w:rsidTr="0062359E">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nil"/>
              <w:right w:val="nil"/>
            </w:tcBorders>
          </w:tcPr>
          <w:p w:rsidR="00F918C3" w:rsidRPr="0062359E" w:rsidRDefault="00F918C3" w:rsidP="0062359E">
            <w:pPr>
              <w:keepLines w:val="0"/>
              <w:autoSpaceDE w:val="0"/>
              <w:autoSpaceDN w:val="0"/>
              <w:adjustRightInd w:val="0"/>
              <w:rPr>
                <w:rFonts w:eastAsiaTheme="minorEastAsia" w:cs="Calibri"/>
                <w:color w:val="000000"/>
                <w:szCs w:val="17"/>
                <w:lang w:eastAsia="en-AU"/>
              </w:rPr>
            </w:pPr>
            <w:r w:rsidRPr="0062359E">
              <w:rPr>
                <w:rFonts w:eastAsiaTheme="minorEastAsia" w:cs="Calibri"/>
                <w:color w:val="000000"/>
                <w:szCs w:val="17"/>
                <w:lang w:eastAsia="en-AU"/>
              </w:rPr>
              <w:t>Real gross state product</w:t>
            </w:r>
          </w:p>
        </w:tc>
        <w:tc>
          <w:tcPr>
            <w:tcW w:w="850"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3.3</w:t>
            </w:r>
          </w:p>
        </w:tc>
        <w:tc>
          <w:tcPr>
            <w:tcW w:w="851"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3.00</w:t>
            </w:r>
          </w:p>
        </w:tc>
        <w:tc>
          <w:tcPr>
            <w:tcW w:w="850"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c>
          <w:tcPr>
            <w:tcW w:w="851"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c>
          <w:tcPr>
            <w:tcW w:w="850"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c>
          <w:tcPr>
            <w:tcW w:w="850" w:type="dxa"/>
            <w:tcBorders>
              <w:top w:val="single" w:sz="6" w:space="0" w:color="auto"/>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r>
      <w:tr w:rsidR="00F918C3" w:rsidRPr="0062359E" w:rsidTr="0062359E">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62359E" w:rsidRDefault="00F918C3" w:rsidP="00D251A6">
            <w:pPr>
              <w:keepLines w:val="0"/>
              <w:autoSpaceDE w:val="0"/>
              <w:autoSpaceDN w:val="0"/>
              <w:adjustRightInd w:val="0"/>
              <w:rPr>
                <w:rFonts w:eastAsiaTheme="minorEastAsia" w:cs="Calibri"/>
                <w:color w:val="000000"/>
                <w:szCs w:val="17"/>
                <w:lang w:eastAsia="en-AU"/>
              </w:rPr>
            </w:pPr>
            <w:r w:rsidRPr="0062359E">
              <w:rPr>
                <w:rFonts w:eastAsiaTheme="minorEastAsia" w:cs="Calibri"/>
                <w:color w:val="000000"/>
                <w:szCs w:val="17"/>
                <w:lang w:eastAsia="en-AU"/>
              </w:rPr>
              <w:t>Employment</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3.9</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2.00</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1.75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1.75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1.75</w:t>
            </w:r>
          </w:p>
        </w:tc>
      </w:tr>
      <w:tr w:rsidR="00F918C3" w:rsidRPr="0062359E" w:rsidTr="0062359E">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62359E" w:rsidRDefault="00F918C3" w:rsidP="00D251A6">
            <w:pPr>
              <w:keepLines w:val="0"/>
              <w:autoSpaceDE w:val="0"/>
              <w:autoSpaceDN w:val="0"/>
              <w:adjustRightInd w:val="0"/>
              <w:rPr>
                <w:rFonts w:eastAsiaTheme="minorEastAsia" w:cs="Calibri"/>
                <w:color w:val="000000"/>
                <w:szCs w:val="17"/>
                <w:lang w:eastAsia="en-AU"/>
              </w:rPr>
            </w:pPr>
            <w:r w:rsidRPr="0062359E">
              <w:rPr>
                <w:rFonts w:eastAsiaTheme="minorEastAsia" w:cs="Calibri"/>
                <w:color w:val="000000"/>
                <w:szCs w:val="17"/>
                <w:lang w:eastAsia="en-AU"/>
              </w:rPr>
              <w:t xml:space="preserve">Unemployment rate </w:t>
            </w:r>
            <w:r w:rsidRPr="0062359E">
              <w:rPr>
                <w:rFonts w:eastAsiaTheme="minorEastAsia" w:cs="Calibri"/>
                <w:color w:val="000000"/>
                <w:szCs w:val="17"/>
                <w:vertAlign w:val="superscript"/>
                <w:lang w:eastAsia="en-AU"/>
              </w:rPr>
              <w:t>(b)</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5.9</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5.75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5.75</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5.50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5.50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5.50</w:t>
            </w:r>
          </w:p>
        </w:tc>
      </w:tr>
      <w:tr w:rsidR="00F918C3" w:rsidRPr="0062359E" w:rsidTr="0062359E">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62359E" w:rsidRDefault="00F918C3" w:rsidP="00D251A6">
            <w:pPr>
              <w:keepLines w:val="0"/>
              <w:autoSpaceDE w:val="0"/>
              <w:autoSpaceDN w:val="0"/>
              <w:adjustRightInd w:val="0"/>
              <w:rPr>
                <w:rFonts w:eastAsiaTheme="minorEastAsia" w:cs="Calibri"/>
                <w:color w:val="000000"/>
                <w:szCs w:val="17"/>
                <w:lang w:eastAsia="en-AU"/>
              </w:rPr>
            </w:pPr>
            <w:r w:rsidRPr="0062359E">
              <w:rPr>
                <w:rFonts w:eastAsiaTheme="minorEastAsia" w:cs="Calibri"/>
                <w:color w:val="000000"/>
                <w:szCs w:val="17"/>
                <w:lang w:eastAsia="en-AU"/>
              </w:rPr>
              <w:t xml:space="preserve">Consumer price index </w:t>
            </w:r>
            <w:r w:rsidRPr="0062359E">
              <w:rPr>
                <w:rFonts w:eastAsiaTheme="minorEastAsia" w:cs="Calibri"/>
                <w:color w:val="000000"/>
                <w:szCs w:val="17"/>
                <w:vertAlign w:val="superscript"/>
                <w:lang w:eastAsia="en-AU"/>
              </w:rPr>
              <w:t>(c)</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1.9</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2.00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2.25</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2.50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2.50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2.50</w:t>
            </w:r>
          </w:p>
        </w:tc>
      </w:tr>
      <w:tr w:rsidR="00F918C3" w:rsidRPr="0062359E" w:rsidTr="0062359E">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62359E" w:rsidRDefault="00F918C3" w:rsidP="0062359E">
            <w:pPr>
              <w:keepLines w:val="0"/>
              <w:autoSpaceDE w:val="0"/>
              <w:autoSpaceDN w:val="0"/>
              <w:adjustRightInd w:val="0"/>
              <w:rPr>
                <w:rFonts w:eastAsiaTheme="minorEastAsia" w:cs="Calibri"/>
                <w:color w:val="000000"/>
                <w:szCs w:val="17"/>
                <w:lang w:eastAsia="en-AU"/>
              </w:rPr>
            </w:pPr>
            <w:r w:rsidRPr="0062359E">
              <w:rPr>
                <w:rFonts w:eastAsiaTheme="minorEastAsia" w:cs="Calibri"/>
                <w:color w:val="000000"/>
                <w:szCs w:val="17"/>
                <w:lang w:eastAsia="en-AU"/>
              </w:rPr>
              <w:t xml:space="preserve">Wage price index </w:t>
            </w:r>
            <w:r w:rsidRPr="0062359E">
              <w:rPr>
                <w:rFonts w:eastAsiaTheme="minorEastAsia" w:cs="Calibri"/>
                <w:color w:val="000000"/>
                <w:szCs w:val="17"/>
                <w:vertAlign w:val="superscript"/>
                <w:lang w:eastAsia="en-AU"/>
              </w:rPr>
              <w:t>(d)</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2.0</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2.25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2.50</w:t>
            </w:r>
          </w:p>
        </w:tc>
        <w:tc>
          <w:tcPr>
            <w:tcW w:w="851"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2.75</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3.00</w:t>
            </w:r>
          </w:p>
        </w:tc>
        <w:tc>
          <w:tcPr>
            <w:tcW w:w="850" w:type="dxa"/>
            <w:tcBorders>
              <w:top w:val="nil"/>
              <w:left w:val="nil"/>
              <w:bottom w:val="nil"/>
              <w:right w:val="nil"/>
            </w:tcBorders>
          </w:tcPr>
          <w:p w:rsidR="00F918C3" w:rsidRPr="0062359E" w:rsidRDefault="00F918C3" w:rsidP="0062359E">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62359E">
              <w:rPr>
                <w:rFonts w:eastAsiaTheme="minorEastAsia" w:cs="Calibri"/>
                <w:color w:val="000000"/>
                <w:szCs w:val="17"/>
                <w:lang w:eastAsia="en-AU"/>
              </w:rPr>
              <w:t>3.25</w:t>
            </w:r>
          </w:p>
        </w:tc>
      </w:tr>
      <w:tr w:rsidR="00F918C3" w:rsidRPr="0062359E" w:rsidTr="0062359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F918C3" w:rsidRPr="00335DB7" w:rsidRDefault="00F918C3" w:rsidP="0062359E">
            <w:pPr>
              <w:keepLines w:val="0"/>
              <w:autoSpaceDE w:val="0"/>
              <w:autoSpaceDN w:val="0"/>
              <w:adjustRightInd w:val="0"/>
              <w:rPr>
                <w:rFonts w:eastAsiaTheme="minorEastAsia" w:cs="Calibri"/>
                <w:b w:val="0"/>
                <w:color w:val="000000"/>
                <w:szCs w:val="17"/>
                <w:lang w:eastAsia="en-AU"/>
              </w:rPr>
            </w:pPr>
            <w:r w:rsidRPr="00335DB7">
              <w:rPr>
                <w:rFonts w:eastAsiaTheme="minorEastAsia" w:cs="Calibri"/>
                <w:b w:val="0"/>
                <w:color w:val="000000"/>
                <w:szCs w:val="17"/>
                <w:lang w:eastAsia="en-AU"/>
              </w:rPr>
              <w:t xml:space="preserve">Population </w:t>
            </w:r>
            <w:r w:rsidRPr="00335DB7">
              <w:rPr>
                <w:rFonts w:eastAsiaTheme="minorEastAsia" w:cs="Calibri"/>
                <w:b w:val="0"/>
                <w:color w:val="000000"/>
                <w:szCs w:val="17"/>
                <w:vertAlign w:val="superscript"/>
                <w:lang w:eastAsia="en-AU"/>
              </w:rPr>
              <w:t>(e)</w:t>
            </w:r>
          </w:p>
        </w:tc>
        <w:tc>
          <w:tcPr>
            <w:tcW w:w="850"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2.3</w:t>
            </w:r>
          </w:p>
        </w:tc>
        <w:tc>
          <w:tcPr>
            <w:tcW w:w="851"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2.30</w:t>
            </w:r>
          </w:p>
        </w:tc>
        <w:tc>
          <w:tcPr>
            <w:tcW w:w="850"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2.20</w:t>
            </w:r>
          </w:p>
        </w:tc>
        <w:tc>
          <w:tcPr>
            <w:tcW w:w="851"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2.10</w:t>
            </w:r>
          </w:p>
        </w:tc>
        <w:tc>
          <w:tcPr>
            <w:tcW w:w="850"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2.00</w:t>
            </w:r>
          </w:p>
        </w:tc>
        <w:tc>
          <w:tcPr>
            <w:tcW w:w="850" w:type="dxa"/>
            <w:tcBorders>
              <w:top w:val="nil"/>
              <w:bottom w:val="single" w:sz="12" w:space="0" w:color="auto"/>
            </w:tcBorders>
          </w:tcPr>
          <w:p w:rsidR="00F918C3" w:rsidRPr="00335DB7" w:rsidRDefault="00F918C3" w:rsidP="0062359E">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335DB7">
              <w:rPr>
                <w:rFonts w:eastAsiaTheme="minorEastAsia" w:cs="Calibri"/>
                <w:b w:val="0"/>
                <w:color w:val="000000"/>
                <w:szCs w:val="17"/>
                <w:lang w:eastAsia="en-AU"/>
              </w:rPr>
              <w:t>2.00</w:t>
            </w:r>
          </w:p>
        </w:tc>
      </w:tr>
    </w:tbl>
    <w:p w:rsidR="00F918C3" w:rsidRDefault="00F918C3" w:rsidP="007A7CC2">
      <w:pPr>
        <w:pStyle w:val="Source"/>
      </w:pPr>
      <w:r>
        <w:t>Sources: Department of Treasury and Finance; Australian Bureau of Statistics.</w:t>
      </w:r>
    </w:p>
    <w:p w:rsidR="00F918C3" w:rsidRPr="00D06F45" w:rsidRDefault="00F918C3" w:rsidP="007A7CC2">
      <w:pPr>
        <w:pStyle w:val="Note"/>
      </w:pPr>
      <w:r w:rsidRPr="00D06F45">
        <w:t xml:space="preserve">Notes: </w:t>
      </w:r>
    </w:p>
    <w:p w:rsidR="00F918C3" w:rsidRPr="00D06F45" w:rsidRDefault="00F918C3" w:rsidP="007A7CC2">
      <w:pPr>
        <w:pStyle w:val="Note"/>
      </w:pPr>
      <w:r w:rsidRPr="00D06F45">
        <w:t>(a)</w:t>
      </w:r>
      <w:r w:rsidRPr="00D06F45">
        <w:tab/>
      </w:r>
      <w:r>
        <w:t>Year average growth,</w:t>
      </w:r>
      <w:r w:rsidRPr="00D06F45">
        <w:t xml:space="preserve"> except for the unemployment rate (see note </w:t>
      </w:r>
      <w:r>
        <w:t>(b)) and population (see </w:t>
      </w:r>
      <w:r w:rsidRPr="00D06F45">
        <w:t>note (e)). Forecasts are rounded to the nearest 0.25 percentage points, except for population (see note (e)).</w:t>
      </w:r>
    </w:p>
    <w:p w:rsidR="00F918C3" w:rsidRPr="00D06F45" w:rsidRDefault="00F918C3" w:rsidP="007A7CC2">
      <w:pPr>
        <w:pStyle w:val="Note"/>
      </w:pPr>
      <w:r>
        <w:tab/>
        <w:t>Projections for 2020</w:t>
      </w:r>
      <w:r>
        <w:noBreakHyphen/>
        <w:t>21 and 2021</w:t>
      </w:r>
      <w:r>
        <w:noBreakHyphen/>
        <w:t>22</w:t>
      </w:r>
      <w:r w:rsidRPr="00D06F45">
        <w:t xml:space="preserve"> represent </w:t>
      </w:r>
      <w:r>
        <w:t>long run average growth</w:t>
      </w:r>
      <w:r w:rsidRPr="00D06F45">
        <w:t xml:space="preserve"> rates, except for the wage price index</w:t>
      </w:r>
      <w:r>
        <w:t>, which remains below trend by 2021</w:t>
      </w:r>
      <w:r>
        <w:noBreakHyphen/>
        <w:t>22, and population growth, which remains above trend by 2021</w:t>
      </w:r>
      <w:r>
        <w:noBreakHyphen/>
        <w:t>22</w:t>
      </w:r>
      <w:r w:rsidRPr="00D06F45">
        <w:t>.</w:t>
      </w:r>
    </w:p>
    <w:p w:rsidR="00F918C3" w:rsidRPr="00D06F45" w:rsidRDefault="00F918C3" w:rsidP="007A7CC2">
      <w:pPr>
        <w:pStyle w:val="Note"/>
      </w:pPr>
      <w:r w:rsidRPr="00D06F45">
        <w:tab/>
        <w:t xml:space="preserve">The key assumptions underlying the economic forecasts include: interest rates </w:t>
      </w:r>
      <w:r>
        <w:t xml:space="preserve">are reflective of </w:t>
      </w:r>
      <w:r w:rsidRPr="00D06F45">
        <w:t>move</w:t>
      </w:r>
      <w:r>
        <w:t xml:space="preserve">ments in market expectations; </w:t>
      </w:r>
      <w:r w:rsidRPr="00D06F45">
        <w:t>a</w:t>
      </w:r>
      <w:r>
        <w:t>n Australian dollar</w:t>
      </w:r>
      <w:r w:rsidRPr="00D06F45">
        <w:t xml:space="preserve"> trade</w:t>
      </w:r>
      <w:r>
        <w:noBreakHyphen/>
      </w:r>
      <w:r w:rsidRPr="00D06F45">
        <w:t>weighted index of 6</w:t>
      </w:r>
      <w:r>
        <w:t>4</w:t>
      </w:r>
      <w:r w:rsidRPr="00D06F45">
        <w:t>.</w:t>
      </w:r>
      <w:r>
        <w:t>3</w:t>
      </w:r>
      <w:r w:rsidRPr="00D06F45">
        <w:t xml:space="preserve">; and oil prices </w:t>
      </w:r>
      <w:r>
        <w:t xml:space="preserve">that follow the path suggested by the </w:t>
      </w:r>
      <w:r w:rsidRPr="00D06F45">
        <w:t>futures</w:t>
      </w:r>
      <w:r>
        <w:t xml:space="preserve"> market</w:t>
      </w:r>
      <w:r w:rsidRPr="00D06F45">
        <w:t>.</w:t>
      </w:r>
    </w:p>
    <w:p w:rsidR="00F918C3" w:rsidRPr="00D06F45" w:rsidRDefault="00F918C3" w:rsidP="007A7CC2">
      <w:pPr>
        <w:pStyle w:val="Note"/>
      </w:pPr>
      <w:r w:rsidRPr="00D06F45">
        <w:t>(b)</w:t>
      </w:r>
      <w:r w:rsidRPr="00D06F45">
        <w:tab/>
        <w:t>Year average.</w:t>
      </w:r>
    </w:p>
    <w:p w:rsidR="00F918C3" w:rsidRPr="00D06F45" w:rsidRDefault="00F918C3" w:rsidP="007A7CC2">
      <w:pPr>
        <w:pStyle w:val="Note"/>
      </w:pPr>
      <w:r w:rsidRPr="00D06F45">
        <w:t>(c)</w:t>
      </w:r>
      <w:r w:rsidRPr="00D06F45">
        <w:tab/>
        <w:t>Melbourne consumer price index.</w:t>
      </w:r>
    </w:p>
    <w:p w:rsidR="00F918C3" w:rsidRPr="00D06F45" w:rsidRDefault="00F918C3" w:rsidP="007A7CC2">
      <w:pPr>
        <w:pStyle w:val="Note"/>
      </w:pPr>
      <w:r w:rsidRPr="00D06F45">
        <w:t>(d)</w:t>
      </w:r>
      <w:r w:rsidRPr="00D06F45">
        <w:tab/>
        <w:t xml:space="preserve">Wage </w:t>
      </w:r>
      <w:r>
        <w:t>p</w:t>
      </w:r>
      <w:r w:rsidRPr="00D06F45">
        <w:t xml:space="preserve">rice </w:t>
      </w:r>
      <w:r>
        <w:t>i</w:t>
      </w:r>
      <w:r w:rsidRPr="00D06F45">
        <w:t>ndex, Victoria (based on total hourly rates of pay, excluding bonuses).</w:t>
      </w:r>
    </w:p>
    <w:p w:rsidR="00F918C3" w:rsidRPr="00D06F45" w:rsidRDefault="00F918C3" w:rsidP="007A7CC2">
      <w:pPr>
        <w:pStyle w:val="Note"/>
      </w:pPr>
      <w:r w:rsidRPr="00D06F45">
        <w:t>(e)</w:t>
      </w:r>
      <w:r w:rsidRPr="00D06F45">
        <w:tab/>
        <w:t>Percentage change over the year to 30 June. Forecasts are rounded to the nearest 0.1 p</w:t>
      </w:r>
      <w:r>
        <w:t>ercentage point.</w:t>
      </w:r>
      <w:r>
        <w:fldChar w:fldCharType="begin"/>
      </w:r>
      <w:r>
        <w:instrText xml:space="preserve"> XE "</w:instrText>
      </w:r>
      <w:r w:rsidRPr="001A70D0">
        <w:instrText>Employment</w:instrText>
      </w:r>
      <w:r>
        <w:instrText xml:space="preserve">" \r "BP2Ch2Employment" </w:instrText>
      </w:r>
      <w:r>
        <w:fldChar w:fldCharType="end"/>
      </w:r>
      <w:r>
        <w:t xml:space="preserve"> </w:t>
      </w:r>
    </w:p>
    <w:p w:rsidR="00F918C3" w:rsidRDefault="00F918C3" w:rsidP="007A7CC2">
      <w:pPr>
        <w:pStyle w:val="Heading20"/>
      </w:pPr>
      <w:bookmarkStart w:id="25" w:name="BP2Ch2GrossStateProduct"/>
      <w:bookmarkEnd w:id="22"/>
      <w:r>
        <w:t>Gross state product</w:t>
      </w:r>
    </w:p>
    <w:p w:rsidR="00F918C3" w:rsidRDefault="00F918C3" w:rsidP="00912223">
      <w:pPr>
        <w:rPr>
          <w:rFonts w:ascii="Garamond" w:hAnsi="Garamond"/>
        </w:rPr>
      </w:pPr>
      <w:r>
        <w:t xml:space="preserve">Victoria’s </w:t>
      </w:r>
      <w:r w:rsidRPr="00E0349D">
        <w:rPr>
          <w:rFonts w:ascii="Garamond" w:hAnsi="Garamond"/>
        </w:rPr>
        <w:t>real G</w:t>
      </w:r>
      <w:r>
        <w:rPr>
          <w:rFonts w:ascii="Garamond" w:hAnsi="Garamond"/>
        </w:rPr>
        <w:t>SP is forecast to grow by 2.75 per cent in</w:t>
      </w:r>
      <w:r w:rsidRPr="00E0349D">
        <w:rPr>
          <w:rFonts w:ascii="Garamond" w:hAnsi="Garamond"/>
        </w:rPr>
        <w:t xml:space="preserve"> 2018</w:t>
      </w:r>
      <w:r>
        <w:rPr>
          <w:rFonts w:ascii="Garamond" w:hAnsi="Garamond"/>
        </w:rPr>
        <w:noBreakHyphen/>
      </w:r>
      <w:r w:rsidRPr="00E0349D">
        <w:rPr>
          <w:rFonts w:ascii="Garamond" w:hAnsi="Garamond"/>
        </w:rPr>
        <w:t>19</w:t>
      </w:r>
      <w:r>
        <w:rPr>
          <w:rFonts w:ascii="Garamond" w:hAnsi="Garamond"/>
        </w:rPr>
        <w:t xml:space="preserve"> and across the forward estimates.</w:t>
      </w:r>
      <w:r w:rsidRPr="00E0349D">
        <w:rPr>
          <w:rFonts w:ascii="Garamond" w:hAnsi="Garamond"/>
        </w:rPr>
        <w:t xml:space="preserve"> </w:t>
      </w:r>
      <w:r w:rsidRPr="00912223">
        <w:rPr>
          <w:rFonts w:ascii="Garamond" w:hAnsi="Garamond"/>
        </w:rPr>
        <w:t>Household consumption</w:t>
      </w:r>
      <w:r>
        <w:rPr>
          <w:rFonts w:ascii="Garamond" w:hAnsi="Garamond"/>
        </w:rPr>
        <w:fldChar w:fldCharType="begin"/>
      </w:r>
      <w:r>
        <w:rPr>
          <w:rFonts w:ascii="Garamond" w:hAnsi="Garamond"/>
        </w:rPr>
        <w:instrText xml:space="preserve"> XE "</w:instrText>
      </w:r>
      <w:r w:rsidRPr="00D02DCA">
        <w:instrText>Household consumption</w:instrText>
      </w:r>
      <w:r>
        <w:instrText>"</w:instrText>
      </w:r>
      <w:r>
        <w:rPr>
          <w:rFonts w:ascii="Garamond" w:hAnsi="Garamond"/>
        </w:rPr>
        <w:instrText xml:space="preserve"> </w:instrText>
      </w:r>
      <w:r>
        <w:rPr>
          <w:rFonts w:ascii="Garamond" w:hAnsi="Garamond"/>
        </w:rPr>
        <w:fldChar w:fldCharType="end"/>
      </w:r>
      <w:r>
        <w:rPr>
          <w:rFonts w:ascii="Garamond" w:hAnsi="Garamond"/>
        </w:rPr>
        <w:t xml:space="preserve"> and </w:t>
      </w:r>
      <w:r w:rsidRPr="00912223">
        <w:rPr>
          <w:rFonts w:ascii="Garamond" w:hAnsi="Garamond"/>
        </w:rPr>
        <w:t xml:space="preserve">public demand </w:t>
      </w:r>
      <w:r>
        <w:rPr>
          <w:rFonts w:ascii="Garamond" w:hAnsi="Garamond"/>
        </w:rPr>
        <w:t>are expected to make the largest contributions to growth, while international trade is expected to subtract modestly from growth in 2018</w:t>
      </w:r>
      <w:r>
        <w:rPr>
          <w:rFonts w:ascii="Garamond" w:hAnsi="Garamond"/>
        </w:rPr>
        <w:noBreakHyphen/>
        <w:t xml:space="preserve">19. </w:t>
      </w:r>
    </w:p>
    <w:p w:rsidR="00F918C3" w:rsidRDefault="00F918C3" w:rsidP="007A7CC2">
      <w:pPr>
        <w:rPr>
          <w:rFonts w:ascii="Garamond" w:hAnsi="Garamond"/>
        </w:rPr>
      </w:pPr>
      <w:r w:rsidRPr="006E346D">
        <w:rPr>
          <w:rFonts w:ascii="Garamond" w:hAnsi="Garamond"/>
        </w:rPr>
        <w:t xml:space="preserve">Household </w:t>
      </w:r>
      <w:r w:rsidRPr="00E0349D">
        <w:rPr>
          <w:rFonts w:ascii="Garamond" w:hAnsi="Garamond"/>
        </w:rPr>
        <w:t>consumption is</w:t>
      </w:r>
      <w:r>
        <w:rPr>
          <w:rFonts w:ascii="Garamond" w:hAnsi="Garamond"/>
        </w:rPr>
        <w:t xml:space="preserve"> forecast</w:t>
      </w:r>
      <w:r w:rsidRPr="00E0349D">
        <w:rPr>
          <w:rFonts w:ascii="Garamond" w:hAnsi="Garamond"/>
        </w:rPr>
        <w:t xml:space="preserve"> </w:t>
      </w:r>
      <w:r>
        <w:rPr>
          <w:rFonts w:ascii="Garamond" w:hAnsi="Garamond"/>
        </w:rPr>
        <w:t>to grow at an above</w:t>
      </w:r>
      <w:r>
        <w:rPr>
          <w:rFonts w:ascii="Garamond" w:hAnsi="Garamond"/>
        </w:rPr>
        <w:noBreakHyphen/>
        <w:t>trend rate in 2018</w:t>
      </w:r>
      <w:r>
        <w:rPr>
          <w:rFonts w:ascii="Garamond" w:hAnsi="Garamond"/>
        </w:rPr>
        <w:noBreakHyphen/>
        <w:t xml:space="preserve">19. Consumption per capita is expected to rise, consistent with an increase in wages growth. </w:t>
      </w:r>
      <w:r w:rsidRPr="00E0349D">
        <w:rPr>
          <w:rFonts w:ascii="Garamond" w:hAnsi="Garamond"/>
        </w:rPr>
        <w:t xml:space="preserve">Interest rates are assumed to rise </w:t>
      </w:r>
      <w:r>
        <w:rPr>
          <w:rFonts w:ascii="Garamond" w:hAnsi="Garamond"/>
        </w:rPr>
        <w:t>in line with the current market outlook</w:t>
      </w:r>
      <w:r w:rsidRPr="00E0349D">
        <w:rPr>
          <w:rFonts w:ascii="Garamond" w:hAnsi="Garamond"/>
        </w:rPr>
        <w:t xml:space="preserve">, but </w:t>
      </w:r>
      <w:r>
        <w:rPr>
          <w:rFonts w:ascii="Garamond" w:hAnsi="Garamond"/>
        </w:rPr>
        <w:t xml:space="preserve">to </w:t>
      </w:r>
      <w:r w:rsidRPr="00E0349D">
        <w:rPr>
          <w:rFonts w:ascii="Garamond" w:hAnsi="Garamond"/>
        </w:rPr>
        <w:t>remain low by historical standards.</w:t>
      </w:r>
    </w:p>
    <w:p w:rsidR="00F918C3" w:rsidRDefault="00F918C3" w:rsidP="007A7CC2">
      <w:pPr>
        <w:rPr>
          <w:rFonts w:ascii="Garamond" w:hAnsi="Garamond"/>
          <w:i/>
        </w:rPr>
      </w:pPr>
      <w:r>
        <w:rPr>
          <w:rFonts w:ascii="Garamond" w:hAnsi="Garamond"/>
        </w:rPr>
        <w:t>D</w:t>
      </w:r>
      <w:r w:rsidRPr="002C6F8E">
        <w:rPr>
          <w:rFonts w:ascii="Garamond" w:hAnsi="Garamond"/>
        </w:rPr>
        <w:t>welling investment</w:t>
      </w:r>
      <w:r>
        <w:rPr>
          <w:rFonts w:ascii="Garamond" w:hAnsi="Garamond"/>
        </w:rPr>
        <w:fldChar w:fldCharType="begin"/>
      </w:r>
      <w:r>
        <w:rPr>
          <w:rFonts w:ascii="Garamond" w:hAnsi="Garamond"/>
        </w:rPr>
        <w:instrText xml:space="preserve"> XE "</w:instrText>
      </w:r>
      <w:r w:rsidRPr="00D02DCA">
        <w:instrText>Dwelling investment</w:instrText>
      </w:r>
      <w:r>
        <w:instrText>"</w:instrText>
      </w:r>
      <w:r>
        <w:rPr>
          <w:rFonts w:ascii="Garamond" w:hAnsi="Garamond"/>
        </w:rPr>
        <w:instrText xml:space="preserve"> </w:instrText>
      </w:r>
      <w:r>
        <w:rPr>
          <w:rFonts w:ascii="Garamond" w:hAnsi="Garamond"/>
        </w:rPr>
        <w:fldChar w:fldCharType="end"/>
      </w:r>
      <w:r w:rsidRPr="002C6F8E">
        <w:rPr>
          <w:rFonts w:ascii="Garamond" w:hAnsi="Garamond"/>
        </w:rPr>
        <w:t xml:space="preserve"> is expected to remain </w:t>
      </w:r>
      <w:r>
        <w:rPr>
          <w:rFonts w:ascii="Garamond" w:hAnsi="Garamond"/>
        </w:rPr>
        <w:t xml:space="preserve">near historically high levels </w:t>
      </w:r>
      <w:r w:rsidRPr="00816947">
        <w:rPr>
          <w:rFonts w:ascii="Garamond" w:hAnsi="Garamond"/>
        </w:rPr>
        <w:t>but with the rate of growth to moderate in 2017</w:t>
      </w:r>
      <w:r w:rsidRPr="00816947">
        <w:rPr>
          <w:rFonts w:ascii="Garamond" w:hAnsi="Garamond"/>
        </w:rPr>
        <w:noBreakHyphen/>
        <w:t>18 and 2018</w:t>
      </w:r>
      <w:r w:rsidRPr="00816947">
        <w:rPr>
          <w:rFonts w:ascii="Garamond" w:hAnsi="Garamond"/>
        </w:rPr>
        <w:noBreakHyphen/>
        <w:t>19. In the longer term, dwelling</w:t>
      </w:r>
      <w:r>
        <w:rPr>
          <w:rFonts w:ascii="Garamond" w:hAnsi="Garamond"/>
        </w:rPr>
        <w:t xml:space="preserve"> investment will be supported by Victoria’s strong population growth and demand for new dwellings (</w:t>
      </w:r>
      <w:r w:rsidRPr="0005739F">
        <w:rPr>
          <w:rFonts w:ascii="Garamond" w:hAnsi="Garamond"/>
        </w:rPr>
        <w:t>See Box 2.</w:t>
      </w:r>
      <w:r>
        <w:rPr>
          <w:rFonts w:ascii="Garamond" w:hAnsi="Garamond"/>
        </w:rPr>
        <w:t>1</w:t>
      </w:r>
      <w:r w:rsidRPr="0005739F">
        <w:rPr>
          <w:rFonts w:ascii="Garamond" w:hAnsi="Garamond"/>
        </w:rPr>
        <w:t>:</w:t>
      </w:r>
      <w:r w:rsidRPr="003D54CC">
        <w:rPr>
          <w:rFonts w:ascii="Garamond" w:hAnsi="Garamond"/>
          <w:i/>
        </w:rPr>
        <w:t xml:space="preserve"> </w:t>
      </w:r>
      <w:r w:rsidRPr="00AF6B23">
        <w:rPr>
          <w:rFonts w:ascii="Garamond" w:hAnsi="Garamond"/>
        </w:rPr>
        <w:t>Victoria’s dwelling investment cycle)</w:t>
      </w:r>
      <w:r w:rsidRPr="003D54CC">
        <w:rPr>
          <w:rFonts w:ascii="Garamond" w:hAnsi="Garamond"/>
          <w:i/>
        </w:rPr>
        <w:t>.</w:t>
      </w:r>
    </w:p>
    <w:p w:rsidR="00F918C3" w:rsidRDefault="00F918C3" w:rsidP="00225820">
      <w:pPr>
        <w:pStyle w:val="HighlightBoxHeading"/>
        <w:pBdr>
          <w:top w:val="single" w:sz="4" w:space="1" w:color="auto"/>
          <w:left w:val="single" w:sz="4" w:space="1" w:color="auto"/>
          <w:bottom w:val="single" w:sz="4" w:space="1" w:color="auto"/>
          <w:right w:val="single" w:sz="4" w:space="1" w:color="auto"/>
        </w:pBdr>
      </w:pPr>
      <w:r>
        <w:t>Box 2.1: Victoria’s dwelling investment cycle</w:t>
      </w:r>
    </w:p>
    <w:p w:rsidR="00F918C3" w:rsidRPr="00817BCE" w:rsidRDefault="00F918C3" w:rsidP="00225820">
      <w:pPr>
        <w:pStyle w:val="HighlightBoxText"/>
        <w:keepNext/>
        <w:pBdr>
          <w:top w:val="single" w:sz="4" w:space="1" w:color="auto"/>
          <w:left w:val="single" w:sz="4" w:space="1" w:color="auto"/>
          <w:bottom w:val="single" w:sz="4" w:space="1" w:color="auto"/>
          <w:right w:val="single" w:sz="4" w:space="1" w:color="auto"/>
        </w:pBdr>
        <w:rPr>
          <w:rFonts w:ascii="Garamond" w:hAnsi="Garamond"/>
        </w:rPr>
      </w:pPr>
      <w:r w:rsidRPr="00817BCE">
        <w:rPr>
          <w:rFonts w:ascii="Garamond" w:hAnsi="Garamond"/>
        </w:rPr>
        <w:t>Victoria’s dwelling investment has been a k</w:t>
      </w:r>
      <w:r>
        <w:rPr>
          <w:rFonts w:ascii="Garamond" w:hAnsi="Garamond"/>
        </w:rPr>
        <w:t>ey contributor to strong</w:t>
      </w:r>
      <w:r w:rsidRPr="00817BCE">
        <w:rPr>
          <w:rFonts w:ascii="Garamond" w:hAnsi="Garamond"/>
        </w:rPr>
        <w:t xml:space="preserve"> GSP grow</w:t>
      </w:r>
      <w:r>
        <w:rPr>
          <w:rFonts w:ascii="Garamond" w:hAnsi="Garamond"/>
        </w:rPr>
        <w:t>th over the three years to 2016</w:t>
      </w:r>
      <w:r>
        <w:rPr>
          <w:rFonts w:ascii="Garamond" w:hAnsi="Garamond"/>
        </w:rPr>
        <w:noBreakHyphen/>
        <w:t>17. D</w:t>
      </w:r>
      <w:r w:rsidRPr="00817BCE">
        <w:rPr>
          <w:rFonts w:ascii="Garamond" w:hAnsi="Garamond"/>
        </w:rPr>
        <w:t>welling investment</w:t>
      </w:r>
      <w:r>
        <w:rPr>
          <w:rFonts w:ascii="Garamond" w:hAnsi="Garamond"/>
        </w:rPr>
        <w:fldChar w:fldCharType="begin"/>
      </w:r>
      <w:r>
        <w:rPr>
          <w:rFonts w:ascii="Garamond" w:hAnsi="Garamond"/>
        </w:rPr>
        <w:instrText xml:space="preserve"> XE "</w:instrText>
      </w:r>
      <w:r w:rsidRPr="00D02DCA">
        <w:instrText>Dwelling investment</w:instrText>
      </w:r>
      <w:r>
        <w:instrText>"</w:instrText>
      </w:r>
      <w:r>
        <w:rPr>
          <w:rFonts w:ascii="Garamond" w:hAnsi="Garamond"/>
        </w:rPr>
        <w:instrText xml:space="preserve"> </w:instrText>
      </w:r>
      <w:r>
        <w:rPr>
          <w:rFonts w:ascii="Garamond" w:hAnsi="Garamond"/>
        </w:rPr>
        <w:fldChar w:fldCharType="end"/>
      </w:r>
      <w:r w:rsidRPr="00817BCE">
        <w:rPr>
          <w:rFonts w:ascii="Garamond" w:hAnsi="Garamond"/>
        </w:rPr>
        <w:t xml:space="preserve"> </w:t>
      </w:r>
      <w:r>
        <w:rPr>
          <w:rFonts w:ascii="Garamond" w:hAnsi="Garamond"/>
        </w:rPr>
        <w:t>expanded</w:t>
      </w:r>
      <w:r w:rsidRPr="00817BCE">
        <w:rPr>
          <w:rFonts w:ascii="Garamond" w:hAnsi="Garamond"/>
        </w:rPr>
        <w:t xml:space="preserve"> at an annualised </w:t>
      </w:r>
      <w:r>
        <w:rPr>
          <w:rFonts w:ascii="Garamond" w:hAnsi="Garamond"/>
        </w:rPr>
        <w:t>rate</w:t>
      </w:r>
      <w:r w:rsidRPr="00817BCE">
        <w:rPr>
          <w:rFonts w:ascii="Garamond" w:hAnsi="Garamond"/>
        </w:rPr>
        <w:t xml:space="preserve"> of </w:t>
      </w:r>
      <w:r>
        <w:rPr>
          <w:rFonts w:ascii="Garamond" w:hAnsi="Garamond"/>
        </w:rPr>
        <w:t>8.3 per cent growth</w:t>
      </w:r>
      <w:r w:rsidRPr="004B6F28">
        <w:rPr>
          <w:rFonts w:ascii="Garamond" w:hAnsi="Garamond"/>
        </w:rPr>
        <w:t xml:space="preserve"> </w:t>
      </w:r>
      <w:r>
        <w:rPr>
          <w:rFonts w:ascii="Garamond" w:hAnsi="Garamond"/>
        </w:rPr>
        <w:t>over</w:t>
      </w:r>
      <w:r w:rsidRPr="00817BCE">
        <w:rPr>
          <w:rFonts w:ascii="Garamond" w:hAnsi="Garamond"/>
        </w:rPr>
        <w:t xml:space="preserve"> </w:t>
      </w:r>
      <w:r>
        <w:rPr>
          <w:rFonts w:ascii="Garamond" w:hAnsi="Garamond"/>
        </w:rPr>
        <w:t>this period</w:t>
      </w:r>
      <w:r w:rsidRPr="00817BCE">
        <w:rPr>
          <w:rFonts w:ascii="Garamond" w:hAnsi="Garamond"/>
        </w:rPr>
        <w:t>, more than double th</w:t>
      </w:r>
      <w:r>
        <w:rPr>
          <w:rFonts w:ascii="Garamond" w:hAnsi="Garamond"/>
        </w:rPr>
        <w:t>e historical average growth rate of 4.1 per cent</w:t>
      </w:r>
      <w:r w:rsidRPr="00817BCE">
        <w:rPr>
          <w:rFonts w:ascii="Garamond" w:hAnsi="Garamond"/>
        </w:rPr>
        <w:t>.</w:t>
      </w:r>
    </w:p>
    <w:p w:rsidR="00F918C3" w:rsidRDefault="00F918C3" w:rsidP="008A1C10">
      <w:pPr>
        <w:pStyle w:val="HighlightBoxText"/>
        <w:pBdr>
          <w:top w:val="single" w:sz="4" w:space="1" w:color="auto"/>
          <w:left w:val="single" w:sz="4" w:space="1" w:color="auto"/>
          <w:bottom w:val="single" w:sz="4" w:space="1" w:color="auto"/>
          <w:right w:val="single" w:sz="4" w:space="1" w:color="auto"/>
        </w:pBdr>
        <w:rPr>
          <w:rFonts w:ascii="Garamond" w:hAnsi="Garamond"/>
        </w:rPr>
      </w:pPr>
      <w:r>
        <w:rPr>
          <w:rFonts w:ascii="Garamond" w:hAnsi="Garamond"/>
        </w:rPr>
        <w:t xml:space="preserve">Compared to previous cycles, the recent pickup in dwelling investment has been most evident in </w:t>
      </w:r>
      <w:r w:rsidRPr="00817BCE">
        <w:rPr>
          <w:rFonts w:ascii="Garamond" w:hAnsi="Garamond"/>
        </w:rPr>
        <w:t>attached dwelling</w:t>
      </w:r>
      <w:r>
        <w:rPr>
          <w:rFonts w:ascii="Garamond" w:hAnsi="Garamond"/>
        </w:rPr>
        <w:t>s</w:t>
      </w:r>
      <w:r w:rsidRPr="00817BCE">
        <w:rPr>
          <w:rFonts w:ascii="Garamond" w:hAnsi="Garamond"/>
        </w:rPr>
        <w:t xml:space="preserve">, which includes townhouses and apartments (Chart </w:t>
      </w:r>
      <w:r>
        <w:rPr>
          <w:rFonts w:ascii="Garamond" w:hAnsi="Garamond"/>
        </w:rPr>
        <w:t>2.3</w:t>
      </w:r>
      <w:r w:rsidRPr="00817BCE">
        <w:rPr>
          <w:rFonts w:ascii="Garamond" w:hAnsi="Garamond"/>
        </w:rPr>
        <w:t xml:space="preserve">). </w:t>
      </w:r>
      <w:r>
        <w:rPr>
          <w:rFonts w:ascii="Garamond" w:hAnsi="Garamond"/>
        </w:rPr>
        <w:t xml:space="preserve">Within </w:t>
      </w:r>
      <w:r w:rsidRPr="00817BCE">
        <w:rPr>
          <w:rFonts w:ascii="Garamond" w:hAnsi="Garamond"/>
        </w:rPr>
        <w:t>attached dwelling</w:t>
      </w:r>
      <w:r>
        <w:rPr>
          <w:rFonts w:ascii="Garamond" w:hAnsi="Garamond"/>
        </w:rPr>
        <w:t xml:space="preserve">s, </w:t>
      </w:r>
      <w:r w:rsidRPr="00817BCE">
        <w:rPr>
          <w:rFonts w:ascii="Garamond" w:hAnsi="Garamond"/>
        </w:rPr>
        <w:t>high</w:t>
      </w:r>
      <w:r>
        <w:rPr>
          <w:rFonts w:ascii="Garamond" w:hAnsi="Garamond"/>
        </w:rPr>
        <w:noBreakHyphen/>
      </w:r>
      <w:r w:rsidRPr="00817BCE">
        <w:rPr>
          <w:rFonts w:ascii="Garamond" w:hAnsi="Garamond"/>
        </w:rPr>
        <w:t xml:space="preserve">density apartment construction, </w:t>
      </w:r>
      <w:r>
        <w:rPr>
          <w:rFonts w:ascii="Garamond" w:hAnsi="Garamond"/>
        </w:rPr>
        <w:t xml:space="preserve">such as </w:t>
      </w:r>
      <w:r w:rsidRPr="00817BCE">
        <w:rPr>
          <w:rFonts w:ascii="Garamond" w:hAnsi="Garamond"/>
        </w:rPr>
        <w:t xml:space="preserve">buildings with four or more </w:t>
      </w:r>
      <w:r>
        <w:rPr>
          <w:rFonts w:ascii="Garamond" w:hAnsi="Garamond"/>
        </w:rPr>
        <w:t>stories, has been the largest contributor to growth</w:t>
      </w:r>
      <w:r w:rsidRPr="00817BCE">
        <w:rPr>
          <w:rFonts w:ascii="Garamond" w:hAnsi="Garamond"/>
        </w:rPr>
        <w:t>.</w:t>
      </w:r>
    </w:p>
    <w:p w:rsidR="00F918C3" w:rsidRDefault="00F918C3" w:rsidP="00E41BBD">
      <w:pPr>
        <w:pStyle w:val="HighlightBoxText"/>
        <w:keepNext/>
        <w:pBdr>
          <w:top w:val="single" w:sz="4" w:space="1" w:color="auto"/>
          <w:left w:val="single" w:sz="4" w:space="1" w:color="auto"/>
          <w:bottom w:val="single" w:sz="4" w:space="1" w:color="auto"/>
          <w:right w:val="single" w:sz="4" w:space="1" w:color="auto"/>
        </w:pBdr>
        <w:tabs>
          <w:tab w:val="left" w:pos="993"/>
          <w:tab w:val="left" w:pos="3969"/>
          <w:tab w:val="left" w:pos="5103"/>
        </w:tabs>
        <w:rPr>
          <w:rFonts w:asciiTheme="majorHAnsi" w:hAnsiTheme="majorHAnsi"/>
          <w:b/>
          <w:sz w:val="20"/>
        </w:rPr>
      </w:pPr>
      <w:r w:rsidRPr="00225820">
        <w:rPr>
          <w:rFonts w:asciiTheme="majorHAnsi" w:hAnsiTheme="majorHAnsi"/>
          <w:b/>
          <w:sz w:val="20"/>
        </w:rPr>
        <w:t>Chart 2.</w:t>
      </w:r>
      <w:r>
        <w:rPr>
          <w:rFonts w:asciiTheme="majorHAnsi" w:hAnsiTheme="majorHAnsi"/>
          <w:b/>
          <w:sz w:val="20"/>
        </w:rPr>
        <w:t>3</w:t>
      </w:r>
      <w:r w:rsidRPr="00225820">
        <w:rPr>
          <w:rFonts w:asciiTheme="majorHAnsi" w:hAnsiTheme="majorHAnsi"/>
          <w:b/>
          <w:sz w:val="20"/>
        </w:rPr>
        <w:t xml:space="preserve">: </w:t>
      </w:r>
      <w:r>
        <w:rPr>
          <w:rFonts w:asciiTheme="majorHAnsi" w:hAnsiTheme="majorHAnsi"/>
          <w:b/>
          <w:sz w:val="20"/>
        </w:rPr>
        <w:tab/>
        <w:t>Victoria’s b</w:t>
      </w:r>
      <w:r w:rsidRPr="00225820">
        <w:rPr>
          <w:rFonts w:asciiTheme="majorHAnsi" w:hAnsiTheme="majorHAnsi"/>
          <w:b/>
          <w:sz w:val="20"/>
        </w:rPr>
        <w:t>uilding approvals</w:t>
      </w:r>
    </w:p>
    <w:p w:rsidR="00F918C3" w:rsidRPr="00225820" w:rsidRDefault="00A9166F" w:rsidP="00E41BBD">
      <w:pPr>
        <w:pStyle w:val="HighlightBoxText"/>
        <w:keepNext/>
        <w:pBdr>
          <w:top w:val="single" w:sz="4" w:space="1" w:color="auto"/>
          <w:left w:val="single" w:sz="4" w:space="1" w:color="auto"/>
          <w:bottom w:val="single" w:sz="4" w:space="1" w:color="auto"/>
          <w:right w:val="single" w:sz="4" w:space="1" w:color="auto"/>
        </w:pBdr>
        <w:tabs>
          <w:tab w:val="left" w:pos="993"/>
          <w:tab w:val="left" w:pos="3969"/>
          <w:tab w:val="left" w:pos="5103"/>
        </w:tabs>
        <w:rPr>
          <w:rFonts w:asciiTheme="majorHAnsi" w:hAnsiTheme="majorHAnsi"/>
          <w:b/>
          <w:sz w:val="20"/>
        </w:rPr>
      </w:pPr>
      <w:r>
        <w:rPr>
          <w:rFonts w:asciiTheme="majorHAnsi" w:hAnsiTheme="majorHAnsi"/>
          <w:b/>
          <w:sz w:val="20"/>
        </w:rPr>
        <w:pict>
          <v:shape id="_x0000_i1031" type="#_x0000_t75" style="width:379.6pt;height:214.25pt">
            <v:imagedata r:id="rId28" o:title=""/>
          </v:shape>
        </w:pict>
      </w:r>
    </w:p>
    <w:p w:rsidR="00F918C3" w:rsidRPr="008A1C10" w:rsidRDefault="00F918C3" w:rsidP="008A1C10">
      <w:pPr>
        <w:pStyle w:val="Source"/>
        <w:pBdr>
          <w:top w:val="single" w:sz="4" w:space="1" w:color="auto"/>
          <w:left w:val="single" w:sz="4" w:space="1" w:color="auto"/>
          <w:bottom w:val="single" w:sz="4" w:space="1" w:color="auto"/>
          <w:right w:val="single" w:sz="4" w:space="1" w:color="auto"/>
        </w:pBdr>
        <w:shd w:val="clear" w:color="auto" w:fill="F2F2F2" w:themeFill="background1" w:themeFillShade="F2"/>
      </w:pPr>
      <w:r w:rsidRPr="008A1C10">
        <w:t>Source: Australian Bureau of Statistics</w:t>
      </w:r>
      <w:r>
        <w:t>, rolling 12</w:t>
      </w:r>
      <w:r>
        <w:noBreakHyphen/>
        <w:t>month sum</w:t>
      </w:r>
      <w:r w:rsidRPr="008A1C10">
        <w:t xml:space="preserve">. </w:t>
      </w:r>
    </w:p>
    <w:p w:rsidR="00F918C3" w:rsidRPr="00874B2C" w:rsidRDefault="00F918C3" w:rsidP="008A1C10">
      <w:pPr>
        <w:pStyle w:val="HighlightBoxText"/>
        <w:pBdr>
          <w:top w:val="single" w:sz="4" w:space="1" w:color="auto"/>
          <w:left w:val="single" w:sz="4" w:space="1" w:color="auto"/>
          <w:bottom w:val="single" w:sz="4" w:space="1" w:color="auto"/>
          <w:right w:val="single" w:sz="4" w:space="1" w:color="auto"/>
        </w:pBdr>
        <w:rPr>
          <w:rFonts w:ascii="Garamond" w:hAnsi="Garamond"/>
          <w:b/>
        </w:rPr>
      </w:pPr>
      <w:r w:rsidRPr="00817BCE">
        <w:rPr>
          <w:rFonts w:ascii="Garamond" w:hAnsi="Garamond"/>
        </w:rPr>
        <w:t xml:space="preserve">Despite the increase in dwelling investment, the ratio of dwelling completions to population growth has remained around 0.4 </w:t>
      </w:r>
      <w:r>
        <w:rPr>
          <w:rFonts w:ascii="Garamond" w:hAnsi="Garamond"/>
        </w:rPr>
        <w:t>over</w:t>
      </w:r>
      <w:r w:rsidRPr="00817BCE">
        <w:rPr>
          <w:rFonts w:ascii="Garamond" w:hAnsi="Garamond"/>
        </w:rPr>
        <w:t xml:space="preserve"> the past three years</w:t>
      </w:r>
      <w:r>
        <w:rPr>
          <w:rFonts w:ascii="Garamond" w:hAnsi="Garamond"/>
        </w:rPr>
        <w:t xml:space="preserve"> (Chart 2.4)</w:t>
      </w:r>
      <w:r w:rsidRPr="00817BCE">
        <w:rPr>
          <w:rFonts w:ascii="Garamond" w:hAnsi="Garamond"/>
        </w:rPr>
        <w:t xml:space="preserve">. </w:t>
      </w:r>
      <w:r>
        <w:rPr>
          <w:rFonts w:ascii="Garamond" w:hAnsi="Garamond"/>
        </w:rPr>
        <w:t>The ratio is </w:t>
      </w:r>
      <w:r w:rsidRPr="00817BCE">
        <w:rPr>
          <w:rFonts w:ascii="Garamond" w:hAnsi="Garamond"/>
        </w:rPr>
        <w:t xml:space="preserve">relatively low </w:t>
      </w:r>
      <w:r>
        <w:rPr>
          <w:rFonts w:ascii="Garamond" w:hAnsi="Garamond"/>
        </w:rPr>
        <w:t xml:space="preserve">compared to the </w:t>
      </w:r>
      <w:r w:rsidRPr="00817BCE">
        <w:rPr>
          <w:rFonts w:ascii="Garamond" w:hAnsi="Garamond"/>
        </w:rPr>
        <w:t xml:space="preserve">historical average and below the national </w:t>
      </w:r>
      <w:r>
        <w:rPr>
          <w:rFonts w:ascii="Garamond" w:hAnsi="Garamond"/>
        </w:rPr>
        <w:t>ratio of around </w:t>
      </w:r>
      <w:r w:rsidRPr="00817BCE">
        <w:rPr>
          <w:rFonts w:ascii="Garamond" w:hAnsi="Garamond"/>
        </w:rPr>
        <w:t xml:space="preserve">0.6. </w:t>
      </w:r>
      <w:r>
        <w:rPr>
          <w:rFonts w:ascii="Garamond" w:hAnsi="Garamond"/>
        </w:rPr>
        <w:t xml:space="preserve">This means the risk of an </w:t>
      </w:r>
      <w:r w:rsidRPr="00817BCE">
        <w:rPr>
          <w:rFonts w:ascii="Garamond" w:hAnsi="Garamond"/>
        </w:rPr>
        <w:t>‘overbuild’ in Victoria</w:t>
      </w:r>
      <w:r>
        <w:rPr>
          <w:rFonts w:ascii="Garamond" w:hAnsi="Garamond"/>
        </w:rPr>
        <w:t>’s housing market</w:t>
      </w:r>
      <w:r w:rsidRPr="00817BCE">
        <w:rPr>
          <w:rFonts w:ascii="Garamond" w:hAnsi="Garamond"/>
        </w:rPr>
        <w:t xml:space="preserve"> is low</w:t>
      </w:r>
      <w:r>
        <w:rPr>
          <w:rFonts w:ascii="Garamond" w:hAnsi="Garamond"/>
        </w:rPr>
        <w:t>er than the national average and suggests that the p</w:t>
      </w:r>
      <w:r w:rsidRPr="009C4244">
        <w:rPr>
          <w:rFonts w:ascii="Garamond" w:hAnsi="Garamond"/>
        </w:rPr>
        <w:t>ace of construction is broadly in line with Victoria’s strong population growth.</w:t>
      </w:r>
    </w:p>
    <w:p w:rsidR="00F918C3" w:rsidRPr="00225820" w:rsidRDefault="00F918C3" w:rsidP="00E41BBD">
      <w:pPr>
        <w:pStyle w:val="HighlightBoxText"/>
        <w:keepNext/>
        <w:pBdr>
          <w:top w:val="single" w:sz="4" w:space="1" w:color="auto"/>
          <w:left w:val="single" w:sz="4" w:space="1" w:color="auto"/>
          <w:bottom w:val="single" w:sz="4" w:space="1" w:color="auto"/>
          <w:right w:val="single" w:sz="4" w:space="1" w:color="auto"/>
        </w:pBdr>
        <w:tabs>
          <w:tab w:val="left" w:pos="1134"/>
        </w:tabs>
        <w:rPr>
          <w:rFonts w:asciiTheme="majorHAnsi" w:hAnsiTheme="majorHAnsi"/>
          <w:b/>
          <w:sz w:val="20"/>
        </w:rPr>
      </w:pPr>
      <w:r w:rsidRPr="00225820">
        <w:rPr>
          <w:rFonts w:asciiTheme="majorHAnsi" w:hAnsiTheme="majorHAnsi"/>
          <w:b/>
          <w:sz w:val="20"/>
        </w:rPr>
        <w:t>Chart 2.</w:t>
      </w:r>
      <w:r>
        <w:rPr>
          <w:rFonts w:asciiTheme="majorHAnsi" w:hAnsiTheme="majorHAnsi"/>
          <w:b/>
          <w:sz w:val="20"/>
        </w:rPr>
        <w:t>4</w:t>
      </w:r>
      <w:r w:rsidRPr="00225820">
        <w:rPr>
          <w:rFonts w:asciiTheme="majorHAnsi" w:hAnsiTheme="majorHAnsi"/>
          <w:b/>
          <w:sz w:val="20"/>
        </w:rPr>
        <w:t xml:space="preserve">: </w:t>
      </w:r>
      <w:r>
        <w:rPr>
          <w:rFonts w:asciiTheme="majorHAnsi" w:hAnsiTheme="majorHAnsi"/>
          <w:b/>
          <w:sz w:val="20"/>
        </w:rPr>
        <w:tab/>
      </w:r>
      <w:r w:rsidRPr="00225820">
        <w:rPr>
          <w:rFonts w:asciiTheme="majorHAnsi" w:hAnsiTheme="majorHAnsi"/>
          <w:b/>
          <w:sz w:val="20"/>
        </w:rPr>
        <w:t>Ratio of dwelling completions to population growth</w:t>
      </w:r>
    </w:p>
    <w:p w:rsidR="00F918C3" w:rsidRDefault="00A9166F" w:rsidP="000D0C29">
      <w:pPr>
        <w:pStyle w:val="HighlightBoxText"/>
        <w:pBdr>
          <w:top w:val="single" w:sz="4" w:space="1" w:color="auto"/>
          <w:left w:val="single" w:sz="4" w:space="1" w:color="auto"/>
          <w:bottom w:val="single" w:sz="4" w:space="1" w:color="auto"/>
          <w:right w:val="single" w:sz="4" w:space="1" w:color="auto"/>
        </w:pBdr>
        <w:rPr>
          <w:rFonts w:ascii="Garamond" w:hAnsi="Garamond"/>
        </w:rPr>
      </w:pPr>
      <w:r>
        <w:rPr>
          <w:rFonts w:ascii="Garamond" w:hAnsi="Garamond"/>
        </w:rPr>
        <w:pict>
          <v:shape id="_x0000_i1032" type="#_x0000_t75" style="width:367.5pt;height:226.95pt">
            <v:imagedata r:id="rId29" o:title=""/>
          </v:shape>
        </w:pict>
      </w:r>
    </w:p>
    <w:p w:rsidR="00F918C3" w:rsidRPr="00E405CA" w:rsidRDefault="00F918C3" w:rsidP="00E405CA">
      <w:pPr>
        <w:pStyle w:val="Source"/>
        <w:pBdr>
          <w:top w:val="single" w:sz="4" w:space="1" w:color="auto"/>
          <w:left w:val="single" w:sz="4" w:space="1" w:color="auto"/>
          <w:bottom w:val="single" w:sz="4" w:space="1" w:color="auto"/>
          <w:right w:val="single" w:sz="4" w:space="1" w:color="auto"/>
        </w:pBdr>
        <w:shd w:val="clear" w:color="auto" w:fill="F2F2F2" w:themeFill="background1" w:themeFillShade="F2"/>
      </w:pPr>
      <w:r w:rsidRPr="008A1C10">
        <w:t xml:space="preserve">Source: Australian Bureau of Statistics. </w:t>
      </w:r>
    </w:p>
    <w:p w:rsidR="00F918C3" w:rsidRDefault="00F918C3" w:rsidP="008B2A7F">
      <w:pPr>
        <w:rPr>
          <w:rFonts w:ascii="Garamond" w:hAnsi="Garamond"/>
        </w:rPr>
      </w:pPr>
      <w:r>
        <w:rPr>
          <w:rFonts w:ascii="Garamond" w:hAnsi="Garamond"/>
        </w:rPr>
        <w:t>Business investment</w:t>
      </w:r>
      <w:r>
        <w:rPr>
          <w:rFonts w:ascii="Garamond" w:hAnsi="Garamond"/>
        </w:rPr>
        <w:fldChar w:fldCharType="begin"/>
      </w:r>
      <w:r>
        <w:rPr>
          <w:rFonts w:ascii="Garamond" w:hAnsi="Garamond"/>
        </w:rPr>
        <w:instrText xml:space="preserve"> XE "</w:instrText>
      </w:r>
      <w:r w:rsidRPr="00D02DCA">
        <w:instrText>Business investment</w:instrText>
      </w:r>
      <w:r>
        <w:instrText>"</w:instrText>
      </w:r>
      <w:r>
        <w:rPr>
          <w:rFonts w:ascii="Garamond" w:hAnsi="Garamond"/>
        </w:rPr>
        <w:instrText xml:space="preserve"> </w:instrText>
      </w:r>
      <w:r>
        <w:rPr>
          <w:rFonts w:ascii="Garamond" w:hAnsi="Garamond"/>
        </w:rPr>
        <w:fldChar w:fldCharType="end"/>
      </w:r>
      <w:r>
        <w:rPr>
          <w:rFonts w:ascii="Garamond" w:hAnsi="Garamond"/>
        </w:rPr>
        <w:t xml:space="preserve"> is forecast to </w:t>
      </w:r>
      <w:r w:rsidRPr="00E0349D">
        <w:rPr>
          <w:rFonts w:ascii="Garamond" w:hAnsi="Garamond"/>
        </w:rPr>
        <w:t xml:space="preserve">grow </w:t>
      </w:r>
      <w:r>
        <w:rPr>
          <w:rFonts w:ascii="Garamond" w:hAnsi="Garamond"/>
        </w:rPr>
        <w:t xml:space="preserve">modestly </w:t>
      </w:r>
      <w:r w:rsidRPr="00E0349D">
        <w:rPr>
          <w:rFonts w:ascii="Garamond" w:hAnsi="Garamond"/>
        </w:rPr>
        <w:t xml:space="preserve">over the </w:t>
      </w:r>
      <w:r>
        <w:rPr>
          <w:rFonts w:ascii="Garamond" w:hAnsi="Garamond"/>
        </w:rPr>
        <w:t>forward estimates. Non</w:t>
      </w:r>
      <w:r>
        <w:rPr>
          <w:rFonts w:ascii="Garamond" w:hAnsi="Garamond"/>
        </w:rPr>
        <w:noBreakHyphen/>
        <w:t xml:space="preserve">residential construction is </w:t>
      </w:r>
      <w:r w:rsidRPr="00816947">
        <w:rPr>
          <w:rFonts w:ascii="Garamond" w:hAnsi="Garamond"/>
        </w:rPr>
        <w:t>expected to contribute to growth, underpinned by solid demand and low capital costs. Machi</w:t>
      </w:r>
      <w:r w:rsidRPr="007D495F">
        <w:rPr>
          <w:rFonts w:ascii="Garamond" w:hAnsi="Garamond"/>
        </w:rPr>
        <w:t>nery</w:t>
      </w:r>
      <w:r>
        <w:rPr>
          <w:rFonts w:ascii="Garamond" w:hAnsi="Garamond"/>
        </w:rPr>
        <w:t xml:space="preserve"> and equipment investment is expected to remain subdued, partly reflecting the relatively low capital intensity of Victoria’s major growth industries, including the services sector.</w:t>
      </w:r>
    </w:p>
    <w:p w:rsidR="00F918C3" w:rsidRDefault="00F918C3" w:rsidP="00FF530B">
      <w:r>
        <w:t>Public demand is anticipated to rise strongly in 2017</w:t>
      </w:r>
      <w:r>
        <w:noBreakHyphen/>
        <w:t>18 and 2018</w:t>
      </w:r>
      <w:r>
        <w:noBreakHyphen/>
        <w:t xml:space="preserve">19, driven by growth in both public consumption and investment. Growth in expenditure on public services is forecast to remain strong over the forward estimates, reflecting demand arising from Victoria’s expanding population. </w:t>
      </w:r>
      <w:r w:rsidRPr="00E12F8A">
        <w:t>Public investment is forecast to remain high</w:t>
      </w:r>
      <w:r>
        <w:t>,</w:t>
      </w:r>
      <w:r w:rsidRPr="00E12F8A">
        <w:t xml:space="preserve"> </w:t>
      </w:r>
      <w:r>
        <w:t>in line with the Government’s budgeted infrastructure commit</w:t>
      </w:r>
      <w:r w:rsidRPr="009C4244">
        <w:t xml:space="preserve">ments. </w:t>
      </w:r>
      <w:r w:rsidRPr="009C4244">
        <w:rPr>
          <w:rFonts w:ascii="Garamond" w:hAnsi="Garamond"/>
        </w:rPr>
        <w:t>The large public infrastructure program occurring on the eastern seaboard is giving rise to capacity constraints as the construction industry faces rapidly increasing demand. See Chapter 3, Box 3.2 for a discussion of the Government’s approach to supporting the development of a skilled workforce needed to deliver Victoria’s infrastructure agenda.</w:t>
      </w:r>
    </w:p>
    <w:p w:rsidR="00F918C3" w:rsidRDefault="00F918C3" w:rsidP="00FF530B">
      <w:r w:rsidRPr="007E018E">
        <w:t>In 2016</w:t>
      </w:r>
      <w:r>
        <w:noBreakHyphen/>
      </w:r>
      <w:r w:rsidRPr="007E018E">
        <w:t xml:space="preserve">17, Victoria’s competitive education, tourism and professional </w:t>
      </w:r>
      <w:r>
        <w:t>services sectors generated $17.9</w:t>
      </w:r>
      <w:r w:rsidR="006371F3">
        <w:t> billion</w:t>
      </w:r>
      <w:r w:rsidRPr="007E018E">
        <w:t xml:space="preserve"> in export in</w:t>
      </w:r>
      <w:r>
        <w:t>come, $2.0</w:t>
      </w:r>
      <w:r w:rsidR="006371F3">
        <w:t> billion</w:t>
      </w:r>
      <w:r w:rsidRPr="007E018E">
        <w:t xml:space="preserve"> more than in 2015</w:t>
      </w:r>
      <w:r>
        <w:noBreakHyphen/>
      </w:r>
      <w:r w:rsidRPr="007E018E">
        <w:t>16.</w:t>
      </w:r>
      <w:r>
        <w:t xml:space="preserve"> Services</w:t>
      </w:r>
      <w:r w:rsidRPr="00071492">
        <w:t xml:space="preserve"> </w:t>
      </w:r>
      <w:r>
        <w:t>exports</w:t>
      </w:r>
      <w:r w:rsidRPr="00071492">
        <w:t xml:space="preserve"> are forecast to grow at an above</w:t>
      </w:r>
      <w:r>
        <w:noBreakHyphen/>
      </w:r>
      <w:r w:rsidRPr="00071492">
        <w:t>trend pace in 2018</w:t>
      </w:r>
      <w:r>
        <w:noBreakHyphen/>
      </w:r>
      <w:r w:rsidRPr="00071492">
        <w:t>19</w:t>
      </w:r>
      <w:r>
        <w:t>, driven mostly by education exports</w:t>
      </w:r>
      <w:r w:rsidRPr="00071492">
        <w:t xml:space="preserve">. </w:t>
      </w:r>
    </w:p>
    <w:p w:rsidR="00F918C3" w:rsidRDefault="00F918C3" w:rsidP="00FF530B">
      <w:r>
        <w:t>M</w:t>
      </w:r>
      <w:r w:rsidRPr="00071492">
        <w:t>erchandise export</w:t>
      </w:r>
      <w:r>
        <w:t>s</w:t>
      </w:r>
      <w:r w:rsidRPr="00071492">
        <w:t xml:space="preserve"> </w:t>
      </w:r>
      <w:r>
        <w:t>are</w:t>
      </w:r>
      <w:r w:rsidRPr="00071492">
        <w:t xml:space="preserve"> expected to </w:t>
      </w:r>
      <w:r>
        <w:t>grow at around trend. Overall, net trade is expected to detract from economic growth</w:t>
      </w:r>
      <w:r>
        <w:fldChar w:fldCharType="begin"/>
      </w:r>
      <w:r>
        <w:instrText xml:space="preserve"> XE "</w:instrText>
      </w:r>
      <w:r w:rsidRPr="00D02DCA">
        <w:instrText>Economic growth</w:instrText>
      </w:r>
      <w:r>
        <w:instrText xml:space="preserve">" </w:instrText>
      </w:r>
      <w:r>
        <w:fldChar w:fldCharType="end"/>
      </w:r>
      <w:r>
        <w:t xml:space="preserve"> in 2018</w:t>
      </w:r>
      <w:r>
        <w:noBreakHyphen/>
        <w:t xml:space="preserve">19 and over the forward estimates, as import growth outpaces export growth, consistent with the outlook for state final demand.  While global economic conditions are expected to remain supportive, the recent shifts in global trade policy announced by Australia’s largest trading partners represent a risk to the outlook. </w:t>
      </w:r>
      <w:r>
        <w:fldChar w:fldCharType="begin"/>
      </w:r>
      <w:r>
        <w:instrText xml:space="preserve"> XE "</w:instrText>
      </w:r>
      <w:r w:rsidRPr="005B6BD6">
        <w:instrText>Gross state product</w:instrText>
      </w:r>
      <w:r>
        <w:instrText xml:space="preserve">" \r "BP2Ch2GrossStateProduct" </w:instrText>
      </w:r>
      <w:r>
        <w:fldChar w:fldCharType="end"/>
      </w:r>
      <w:r>
        <w:fldChar w:fldCharType="begin"/>
      </w:r>
      <w:r>
        <w:instrText xml:space="preserve"> XE "</w:instrText>
      </w:r>
      <w:r w:rsidRPr="003D70C4">
        <w:instrText>Economic conditions:Victoria</w:instrText>
      </w:r>
      <w:r>
        <w:instrText xml:space="preserve">" \r "BP2Ch2VictorianEconomicConditions" </w:instrText>
      </w:r>
      <w:r>
        <w:fldChar w:fldCharType="end"/>
      </w:r>
    </w:p>
    <w:p w:rsidR="00F918C3" w:rsidRPr="00F918C3" w:rsidRDefault="00F918C3" w:rsidP="00F918C3">
      <w:pPr>
        <w:pStyle w:val="Heading10"/>
      </w:pPr>
      <w:bookmarkStart w:id="26" w:name="_Toc512629756"/>
      <w:bookmarkEnd w:id="24"/>
      <w:bookmarkEnd w:id="25"/>
      <w:r w:rsidRPr="00F918C3">
        <w:t>Other economic indicators</w:t>
      </w:r>
      <w:bookmarkEnd w:id="26"/>
    </w:p>
    <w:p w:rsidR="00F918C3" w:rsidRPr="00DF6867" w:rsidRDefault="00F918C3" w:rsidP="0048300E">
      <w:pPr>
        <w:pStyle w:val="Heading20"/>
      </w:pPr>
      <w:r>
        <w:t>Prices</w:t>
      </w:r>
    </w:p>
    <w:p w:rsidR="00F918C3" w:rsidRDefault="00F918C3" w:rsidP="00FF530B">
      <w:r w:rsidRPr="00E0349D">
        <w:t>Melbourne</w:t>
      </w:r>
      <w:r>
        <w:t>’s inflation</w:t>
      </w:r>
      <w:r w:rsidRPr="00E0349D">
        <w:t xml:space="preserve"> has been </w:t>
      </w:r>
      <w:r>
        <w:t>subdued</w:t>
      </w:r>
      <w:r w:rsidRPr="00E0349D">
        <w:t xml:space="preserve"> in recent years</w:t>
      </w:r>
      <w:r>
        <w:t>, which has been reflected in both tradables and non</w:t>
      </w:r>
      <w:r>
        <w:noBreakHyphen/>
        <w:t>tradables inflation and is consistent with the experience of most economies within the Organisation for Economic Co</w:t>
      </w:r>
      <w:r>
        <w:noBreakHyphen/>
        <w:t>operation and Development.</w:t>
      </w:r>
      <w:r w:rsidRPr="0024225A">
        <w:t xml:space="preserve"> </w:t>
      </w:r>
      <w:r>
        <w:t xml:space="preserve">There has been downward pressure on the price of tradables, whose prices are determined largely by global forces, including </w:t>
      </w:r>
      <w:r w:rsidRPr="00053B95">
        <w:t>heightened competition</w:t>
      </w:r>
      <w:r>
        <w:t xml:space="preserve"> in the retail sector and a </w:t>
      </w:r>
      <w:r w:rsidRPr="00053B95">
        <w:t xml:space="preserve">modestly higher </w:t>
      </w:r>
      <w:r>
        <w:t>exchange rate.</w:t>
      </w:r>
      <w:r w:rsidRPr="0024225A">
        <w:t xml:space="preserve"> </w:t>
      </w:r>
      <w:r>
        <w:t>N</w:t>
      </w:r>
      <w:r w:rsidRPr="00053B95">
        <w:t>on</w:t>
      </w:r>
      <w:r>
        <w:noBreakHyphen/>
      </w:r>
      <w:r w:rsidRPr="00053B95">
        <w:t>tradables inflation</w:t>
      </w:r>
      <w:r>
        <w:t xml:space="preserve"> </w:t>
      </w:r>
      <w:r w:rsidRPr="00053B95">
        <w:t>has</w:t>
      </w:r>
      <w:r>
        <w:t xml:space="preserve"> been weighed down by below</w:t>
      </w:r>
      <w:r>
        <w:noBreakHyphen/>
        <w:t>trend wages growth.</w:t>
      </w:r>
    </w:p>
    <w:p w:rsidR="00F918C3" w:rsidRDefault="00F918C3" w:rsidP="00FF530B">
      <w:r>
        <w:t>The i</w:t>
      </w:r>
      <w:r w:rsidRPr="00E0349D">
        <w:t xml:space="preserve">nflation </w:t>
      </w:r>
      <w:r>
        <w:t xml:space="preserve">rate </w:t>
      </w:r>
      <w:r w:rsidRPr="00E0349D">
        <w:t xml:space="preserve">is forecast to gradually increase towards the middle of the </w:t>
      </w:r>
      <w:r>
        <w:t>Reserve Bank of Australia’s</w:t>
      </w:r>
      <w:r w:rsidR="008C27C4">
        <w:fldChar w:fldCharType="begin"/>
      </w:r>
      <w:r w:rsidR="008C27C4">
        <w:instrText xml:space="preserve"> XE "</w:instrText>
      </w:r>
      <w:r w:rsidR="008C27C4" w:rsidRPr="00DE33DB">
        <w:instrText>Reserve Bank of Australia</w:instrText>
      </w:r>
      <w:r w:rsidR="008C27C4">
        <w:instrText xml:space="preserve">" </w:instrText>
      </w:r>
      <w:r w:rsidR="008C27C4">
        <w:fldChar w:fldCharType="end"/>
      </w:r>
      <w:r>
        <w:t xml:space="preserve"> (RBA</w:t>
      </w:r>
      <w:r w:rsidR="008C27C4">
        <w:fldChar w:fldCharType="begin"/>
      </w:r>
      <w:r w:rsidR="008C27C4">
        <w:instrText xml:space="preserve"> XE "</w:instrText>
      </w:r>
      <w:r w:rsidR="008C27C4" w:rsidRPr="000F77D9">
        <w:rPr>
          <w:rFonts w:ascii="Garamond" w:hAnsi="Garamond"/>
        </w:rPr>
        <w:instrText>Reserve Bank of Australia</w:instrText>
      </w:r>
      <w:r w:rsidR="008C27C4">
        <w:instrText xml:space="preserve">" </w:instrText>
      </w:r>
      <w:r w:rsidR="008C27C4">
        <w:fldChar w:fldCharType="end"/>
      </w:r>
      <w:r>
        <w:t>)</w:t>
      </w:r>
      <w:r w:rsidRPr="00E0349D">
        <w:t xml:space="preserve"> target band of 2</w:t>
      </w:r>
      <w:r>
        <w:noBreakHyphen/>
      </w:r>
      <w:r w:rsidRPr="00E0349D">
        <w:t>3</w:t>
      </w:r>
      <w:r>
        <w:t> per cent</w:t>
      </w:r>
      <w:r w:rsidRPr="00E0349D">
        <w:t xml:space="preserve"> </w:t>
      </w:r>
      <w:r>
        <w:t xml:space="preserve">per annum </w:t>
      </w:r>
      <w:r w:rsidRPr="00E0349D">
        <w:t>by 2019</w:t>
      </w:r>
      <w:r>
        <w:noBreakHyphen/>
      </w:r>
      <w:r w:rsidRPr="00E0349D">
        <w:t xml:space="preserve">20. </w:t>
      </w:r>
      <w:r w:rsidRPr="00053B95">
        <w:t xml:space="preserve">Higher global commodity prices and a strengthening global economy are expected to support the outlook for </w:t>
      </w:r>
      <w:r>
        <w:t xml:space="preserve">tradables </w:t>
      </w:r>
      <w:r w:rsidRPr="00053B95">
        <w:t>inflation</w:t>
      </w:r>
      <w:r>
        <w:t>. Non</w:t>
      </w:r>
      <w:r>
        <w:noBreakHyphen/>
        <w:t>tradables inflation is anticipated to strengthen as spare labour market capacity reduces, wages growth picks up, and non</w:t>
      </w:r>
      <w:r>
        <w:noBreakHyphen/>
        <w:t xml:space="preserve">market inflation including in the </w:t>
      </w:r>
      <w:r w:rsidRPr="00053B95">
        <w:t xml:space="preserve">utilities, health and housing </w:t>
      </w:r>
      <w:r>
        <w:t xml:space="preserve">cost </w:t>
      </w:r>
      <w:r w:rsidRPr="00053B95">
        <w:t>sectors</w:t>
      </w:r>
      <w:r>
        <w:t xml:space="preserve"> remains elevated.</w:t>
      </w:r>
    </w:p>
    <w:p w:rsidR="00F918C3" w:rsidRPr="00DF6867" w:rsidRDefault="00F918C3" w:rsidP="0048300E">
      <w:pPr>
        <w:pStyle w:val="Heading20"/>
      </w:pPr>
      <w:bookmarkStart w:id="27" w:name="BP2Ch2Wages"/>
      <w:bookmarkStart w:id="28" w:name="BP2Ch2EmployGrowth"/>
      <w:r w:rsidRPr="00DF6867">
        <w:t>Wages</w:t>
      </w:r>
    </w:p>
    <w:p w:rsidR="00F918C3" w:rsidRDefault="00F918C3" w:rsidP="00FF530B">
      <w:r w:rsidRPr="003C0B6E">
        <w:t xml:space="preserve">Victoria’s wage growth has been subdued in recent years despite strong labour market conditions. This is consistent with trends in other national and international jurisdictions. </w:t>
      </w:r>
    </w:p>
    <w:p w:rsidR="00F918C3" w:rsidRPr="002A7E1E" w:rsidRDefault="00F918C3" w:rsidP="00FF530B">
      <w:r w:rsidRPr="006F2600">
        <w:t>Wages are forecast to grow by 2.50</w:t>
      </w:r>
      <w:r>
        <w:t> per cent</w:t>
      </w:r>
      <w:r w:rsidRPr="006F2600">
        <w:t xml:space="preserve"> in 2018</w:t>
      </w:r>
      <w:r>
        <w:noBreakHyphen/>
      </w:r>
      <w:r w:rsidRPr="006F2600">
        <w:t>19 and 2.75</w:t>
      </w:r>
      <w:r>
        <w:t> per cent</w:t>
      </w:r>
      <w:r w:rsidRPr="006F2600">
        <w:t xml:space="preserve"> in 2019</w:t>
      </w:r>
      <w:r>
        <w:noBreakHyphen/>
        <w:t xml:space="preserve">20. </w:t>
      </w:r>
      <w:r w:rsidRPr="003C0B6E">
        <w:t>After a period of above</w:t>
      </w:r>
      <w:r>
        <w:noBreakHyphen/>
      </w:r>
      <w:r w:rsidRPr="003C0B6E">
        <w:t xml:space="preserve">trend employment growth, underutilisation </w:t>
      </w:r>
      <w:r>
        <w:t xml:space="preserve">of labour </w:t>
      </w:r>
      <w:r w:rsidRPr="003C0B6E">
        <w:t xml:space="preserve">has </w:t>
      </w:r>
      <w:r>
        <w:t xml:space="preserve">reduced. This is expected to continue and will </w:t>
      </w:r>
      <w:r w:rsidRPr="003C0B6E">
        <w:t>support</w:t>
      </w:r>
      <w:r>
        <w:t xml:space="preserve"> an ongoing increase </w:t>
      </w:r>
      <w:r w:rsidRPr="003C0B6E">
        <w:t>in wages growth</w:t>
      </w:r>
      <w:r>
        <w:t>.</w:t>
      </w:r>
      <w:r w:rsidRPr="003C0B6E">
        <w:t xml:space="preserve"> Victoria’s wage price index is foreca</w:t>
      </w:r>
      <w:r>
        <w:t>st to gradually increase toward</w:t>
      </w:r>
      <w:r w:rsidRPr="003C0B6E">
        <w:t xml:space="preserve"> its trend rate of 3.5</w:t>
      </w:r>
      <w:r>
        <w:t> per cent a year over the budget and forward estimates. There are early signs that this anticipated recovery is underway (s</w:t>
      </w:r>
      <w:r w:rsidRPr="006F2600">
        <w:t>ee Box 2.2</w:t>
      </w:r>
      <w:r w:rsidRPr="00AF6B23">
        <w:t>: Early signs of an increase in wages growth</w:t>
      </w:r>
      <w:r w:rsidRPr="006F2600">
        <w:rPr>
          <w:i/>
        </w:rPr>
        <w:t xml:space="preserve"> </w:t>
      </w:r>
      <w:r w:rsidRPr="006F2600">
        <w:t>for more detail</w:t>
      </w:r>
      <w:r>
        <w:t>)</w:t>
      </w:r>
      <w:r w:rsidRPr="006F2600">
        <w:t>.</w:t>
      </w:r>
    </w:p>
    <w:p w:rsidR="00F918C3" w:rsidRDefault="00F918C3">
      <w:pPr>
        <w:keepLines w:val="0"/>
        <w:rPr>
          <w:rFonts w:asciiTheme="majorHAnsi" w:hAnsiTheme="majorHAnsi"/>
          <w:b/>
        </w:rPr>
      </w:pPr>
      <w:r>
        <w:br w:type="page"/>
      </w:r>
    </w:p>
    <w:p w:rsidR="00F918C3" w:rsidRDefault="00F918C3" w:rsidP="00E41BBD">
      <w:pPr>
        <w:pStyle w:val="HighlightBoxHeading"/>
        <w:tabs>
          <w:tab w:val="left" w:pos="1134"/>
        </w:tabs>
      </w:pPr>
      <w:r>
        <w:t xml:space="preserve">Box 2.2: Early signs of an increase </w:t>
      </w:r>
      <w:r w:rsidRPr="006F2600">
        <w:t>in wages</w:t>
      </w:r>
      <w:r>
        <w:t xml:space="preserve"> growth</w:t>
      </w:r>
    </w:p>
    <w:p w:rsidR="00F918C3" w:rsidRDefault="00F918C3" w:rsidP="0048300E">
      <w:pPr>
        <w:pStyle w:val="HighlightBoxText"/>
        <w:rPr>
          <w:rFonts w:ascii="Garamond" w:hAnsi="Garamond"/>
        </w:rPr>
      </w:pPr>
      <w:r>
        <w:rPr>
          <w:rFonts w:ascii="Garamond" w:hAnsi="Garamond"/>
        </w:rPr>
        <w:t>Along with many other advanced economies, Victoria has experienced a period of subdued wage growth over the past few years. W</w:t>
      </w:r>
      <w:r w:rsidRPr="0013128A">
        <w:rPr>
          <w:rFonts w:ascii="Garamond" w:hAnsi="Garamond"/>
        </w:rPr>
        <w:t xml:space="preserve">ages </w:t>
      </w:r>
      <w:r>
        <w:rPr>
          <w:rFonts w:ascii="Garamond" w:hAnsi="Garamond"/>
        </w:rPr>
        <w:t xml:space="preserve">in Victoria rose </w:t>
      </w:r>
      <w:r w:rsidRPr="0013128A">
        <w:rPr>
          <w:rFonts w:ascii="Garamond" w:hAnsi="Garamond"/>
        </w:rPr>
        <w:t>by 2.0</w:t>
      </w:r>
      <w:r>
        <w:rPr>
          <w:rFonts w:ascii="Garamond" w:hAnsi="Garamond"/>
        </w:rPr>
        <w:t> per cent</w:t>
      </w:r>
      <w:r w:rsidRPr="0013128A">
        <w:rPr>
          <w:rFonts w:ascii="Garamond" w:hAnsi="Garamond"/>
        </w:rPr>
        <w:t xml:space="preserve"> in 2016</w:t>
      </w:r>
      <w:r>
        <w:rPr>
          <w:rFonts w:ascii="Garamond" w:hAnsi="Garamond"/>
        </w:rPr>
        <w:noBreakHyphen/>
      </w:r>
      <w:r w:rsidRPr="0013128A">
        <w:rPr>
          <w:rFonts w:ascii="Garamond" w:hAnsi="Garamond"/>
        </w:rPr>
        <w:t>17</w:t>
      </w:r>
      <w:r>
        <w:rPr>
          <w:rFonts w:ascii="Garamond" w:hAnsi="Garamond"/>
        </w:rPr>
        <w:t>,</w:t>
      </w:r>
      <w:r w:rsidRPr="0013128A">
        <w:rPr>
          <w:rFonts w:ascii="Garamond" w:hAnsi="Garamond"/>
        </w:rPr>
        <w:t xml:space="preserve"> in line with the national average but below the </w:t>
      </w:r>
      <w:r>
        <w:rPr>
          <w:rFonts w:ascii="Garamond" w:hAnsi="Garamond"/>
        </w:rPr>
        <w:t>trend growth rate of 3.</w:t>
      </w:r>
      <w:r w:rsidRPr="0013128A">
        <w:rPr>
          <w:rFonts w:ascii="Garamond" w:hAnsi="Garamond"/>
        </w:rPr>
        <w:t>5</w:t>
      </w:r>
      <w:r>
        <w:rPr>
          <w:rFonts w:ascii="Garamond" w:hAnsi="Garamond"/>
        </w:rPr>
        <w:t> per cent a year</w:t>
      </w:r>
      <w:r w:rsidRPr="0013128A">
        <w:rPr>
          <w:rFonts w:ascii="Garamond" w:hAnsi="Garamond"/>
        </w:rPr>
        <w:t>. The weakness in wage growth has been broad</w:t>
      </w:r>
      <w:r>
        <w:rPr>
          <w:rFonts w:ascii="Garamond" w:hAnsi="Garamond"/>
        </w:rPr>
        <w:noBreakHyphen/>
      </w:r>
      <w:r w:rsidRPr="0013128A">
        <w:rPr>
          <w:rFonts w:ascii="Garamond" w:hAnsi="Garamond"/>
        </w:rPr>
        <w:t>based across industries, with</w:t>
      </w:r>
      <w:r>
        <w:rPr>
          <w:rFonts w:ascii="Garamond" w:hAnsi="Garamond"/>
        </w:rPr>
        <w:t xml:space="preserve"> no industry recording growth above 3.0 per cent in 2016</w:t>
      </w:r>
      <w:r>
        <w:rPr>
          <w:rFonts w:ascii="Garamond" w:hAnsi="Garamond"/>
        </w:rPr>
        <w:noBreakHyphen/>
        <w:t>17.</w:t>
      </w:r>
    </w:p>
    <w:p w:rsidR="00F918C3" w:rsidRDefault="00F918C3" w:rsidP="0011499E">
      <w:pPr>
        <w:pStyle w:val="HighlightBoxText"/>
        <w:rPr>
          <w:rFonts w:ascii="Garamond" w:hAnsi="Garamond"/>
        </w:rPr>
      </w:pPr>
      <w:r w:rsidRPr="00994B08">
        <w:rPr>
          <w:rFonts w:ascii="Garamond" w:hAnsi="Garamond"/>
        </w:rPr>
        <w:t xml:space="preserve">There are signs </w:t>
      </w:r>
      <w:r>
        <w:rPr>
          <w:rFonts w:ascii="Garamond" w:hAnsi="Garamond"/>
        </w:rPr>
        <w:t xml:space="preserve">the slowdown in Victoria’s </w:t>
      </w:r>
      <w:r w:rsidRPr="00994B08">
        <w:rPr>
          <w:rFonts w:ascii="Garamond" w:hAnsi="Garamond"/>
        </w:rPr>
        <w:t xml:space="preserve">wage growth </w:t>
      </w:r>
      <w:r>
        <w:rPr>
          <w:rFonts w:ascii="Garamond" w:hAnsi="Garamond"/>
        </w:rPr>
        <w:t xml:space="preserve">has bottomed out </w:t>
      </w:r>
      <w:r w:rsidRPr="00994B08">
        <w:rPr>
          <w:rFonts w:ascii="Garamond" w:hAnsi="Garamond"/>
        </w:rPr>
        <w:t xml:space="preserve">and </w:t>
      </w:r>
      <w:r>
        <w:rPr>
          <w:rFonts w:ascii="Garamond" w:hAnsi="Garamond"/>
        </w:rPr>
        <w:t xml:space="preserve">is beginning to reverse. Annual wage growth has accelerated from a low of 1.8 per cent in the year to December 2016 to 2.4 per cent in the year to December 2017. </w:t>
      </w:r>
    </w:p>
    <w:p w:rsidR="00F918C3" w:rsidRDefault="00F918C3" w:rsidP="0048300E">
      <w:pPr>
        <w:pStyle w:val="HighlightBoxText"/>
        <w:rPr>
          <w:rFonts w:ascii="Garamond" w:hAnsi="Garamond"/>
        </w:rPr>
      </w:pPr>
      <w:r w:rsidRPr="00994B08">
        <w:rPr>
          <w:rFonts w:ascii="Garamond" w:hAnsi="Garamond"/>
        </w:rPr>
        <w:t xml:space="preserve">After a </w:t>
      </w:r>
      <w:r>
        <w:rPr>
          <w:rFonts w:ascii="Garamond" w:hAnsi="Garamond"/>
        </w:rPr>
        <w:t xml:space="preserve">period of </w:t>
      </w:r>
      <w:r w:rsidRPr="00994B08">
        <w:rPr>
          <w:rFonts w:ascii="Garamond" w:hAnsi="Garamond"/>
        </w:rPr>
        <w:t>above</w:t>
      </w:r>
      <w:r>
        <w:rPr>
          <w:rFonts w:ascii="Garamond" w:hAnsi="Garamond"/>
        </w:rPr>
        <w:noBreakHyphen/>
      </w:r>
      <w:r w:rsidRPr="00994B08">
        <w:rPr>
          <w:rFonts w:ascii="Garamond" w:hAnsi="Garamond"/>
        </w:rPr>
        <w:t>trend employment growth, Victoria’s labour force underutilisation rate has improve</w:t>
      </w:r>
      <w:r>
        <w:rPr>
          <w:rFonts w:ascii="Garamond" w:hAnsi="Garamond"/>
        </w:rPr>
        <w:t>d</w:t>
      </w:r>
      <w:r w:rsidRPr="00994B08">
        <w:rPr>
          <w:rFonts w:ascii="Garamond" w:hAnsi="Garamond"/>
        </w:rPr>
        <w:t xml:space="preserve"> </w:t>
      </w:r>
      <w:r>
        <w:rPr>
          <w:rFonts w:ascii="Garamond" w:hAnsi="Garamond"/>
        </w:rPr>
        <w:t xml:space="preserve">and is supporting the pickup in wages growth </w:t>
      </w:r>
      <w:r w:rsidRPr="00994B08">
        <w:rPr>
          <w:rFonts w:ascii="Garamond" w:hAnsi="Garamond"/>
        </w:rPr>
        <w:t xml:space="preserve">(Chart </w:t>
      </w:r>
      <w:r>
        <w:rPr>
          <w:rFonts w:ascii="Garamond" w:hAnsi="Garamond"/>
        </w:rPr>
        <w:t>2.5</w:t>
      </w:r>
      <w:r w:rsidRPr="00994B08">
        <w:rPr>
          <w:rFonts w:ascii="Garamond" w:hAnsi="Garamond"/>
        </w:rPr>
        <w:t>)</w:t>
      </w:r>
      <w:r>
        <w:rPr>
          <w:rFonts w:ascii="Garamond" w:hAnsi="Garamond"/>
        </w:rPr>
        <w:t xml:space="preserve">. </w:t>
      </w:r>
    </w:p>
    <w:p w:rsidR="00F918C3" w:rsidRDefault="00F918C3" w:rsidP="00E41BBD">
      <w:pPr>
        <w:pStyle w:val="HighlightBoxHeading"/>
        <w:tabs>
          <w:tab w:val="left" w:pos="1134"/>
        </w:tabs>
        <w:rPr>
          <w:sz w:val="20"/>
        </w:rPr>
      </w:pPr>
      <w:r w:rsidRPr="00E41BBD">
        <w:rPr>
          <w:sz w:val="20"/>
        </w:rPr>
        <w:t>Chart 2.</w:t>
      </w:r>
      <w:r>
        <w:rPr>
          <w:sz w:val="20"/>
        </w:rPr>
        <w:t>5</w:t>
      </w:r>
      <w:r w:rsidRPr="00E41BBD">
        <w:rPr>
          <w:sz w:val="20"/>
        </w:rPr>
        <w:t xml:space="preserve">: </w:t>
      </w:r>
      <w:r w:rsidRPr="00E41BBD">
        <w:rPr>
          <w:sz w:val="20"/>
        </w:rPr>
        <w:tab/>
        <w:t>Victorian wages growth and labour force underutilisation</w:t>
      </w:r>
    </w:p>
    <w:p w:rsidR="00F918C3" w:rsidRPr="00634E53" w:rsidRDefault="00A9166F" w:rsidP="00634E53">
      <w:pPr>
        <w:pStyle w:val="HighlightBoxText"/>
      </w:pPr>
      <w:r>
        <w:pict>
          <v:shape id="_x0000_i1033" type="#_x0000_t75" style="width:383.05pt;height:263.25pt">
            <v:imagedata r:id="rId30" o:title=""/>
          </v:shape>
        </w:pict>
      </w:r>
    </w:p>
    <w:p w:rsidR="00F918C3" w:rsidRPr="00544E04" w:rsidRDefault="00F918C3" w:rsidP="007B1A9E">
      <w:pPr>
        <w:pStyle w:val="HighlightBoxText"/>
        <w:rPr>
          <w:rFonts w:asciiTheme="majorHAnsi" w:hAnsiTheme="majorHAnsi"/>
          <w:i/>
          <w:sz w:val="14"/>
        </w:rPr>
      </w:pPr>
      <w:r w:rsidRPr="00544E04">
        <w:rPr>
          <w:rFonts w:asciiTheme="majorHAnsi" w:hAnsiTheme="majorHAnsi"/>
          <w:i/>
          <w:sz w:val="14"/>
        </w:rPr>
        <w:t>Source: Australian Bureau of Statistics.</w:t>
      </w:r>
    </w:p>
    <w:p w:rsidR="00F918C3" w:rsidRPr="00793216" w:rsidRDefault="00F918C3" w:rsidP="00D251A6">
      <w:pPr>
        <w:pStyle w:val="Source"/>
      </w:pPr>
      <w:r>
        <w:fldChar w:fldCharType="begin"/>
      </w:r>
      <w:r>
        <w:instrText xml:space="preserve"> XE "</w:instrText>
      </w:r>
      <w:r w:rsidRPr="001A70D0">
        <w:instrText>Wages</w:instrText>
      </w:r>
      <w:r>
        <w:instrText xml:space="preserve">" \r "BP2Ch2Wages" </w:instrText>
      </w:r>
      <w:r>
        <w:fldChar w:fldCharType="end"/>
      </w:r>
    </w:p>
    <w:bookmarkEnd w:id="27"/>
    <w:p w:rsidR="00C64B72" w:rsidRDefault="00C64B72">
      <w:pPr>
        <w:keepLines w:val="0"/>
        <w:rPr>
          <w:rFonts w:asciiTheme="majorHAnsi" w:eastAsiaTheme="majorEastAsia" w:hAnsiTheme="majorHAnsi" w:cstheme="majorBidi"/>
          <w:b/>
          <w:spacing w:val="-2"/>
          <w:sz w:val="26"/>
          <w:szCs w:val="26"/>
        </w:rPr>
      </w:pPr>
      <w:r>
        <w:br w:type="page"/>
      </w:r>
    </w:p>
    <w:p w:rsidR="00F918C3" w:rsidRDefault="00F918C3" w:rsidP="007A7CC2">
      <w:pPr>
        <w:pStyle w:val="Heading20"/>
      </w:pPr>
      <w:r>
        <w:t>The labour market</w:t>
      </w:r>
    </w:p>
    <w:p w:rsidR="00F918C3" w:rsidRDefault="00F918C3" w:rsidP="00733824">
      <w:pPr>
        <w:rPr>
          <w:rFonts w:ascii="Garamond" w:hAnsi="Garamond"/>
        </w:rPr>
      </w:pPr>
      <w:r>
        <w:rPr>
          <w:rFonts w:ascii="Garamond" w:hAnsi="Garamond"/>
        </w:rPr>
        <w:t xml:space="preserve">The </w:t>
      </w:r>
      <w:r w:rsidRPr="00733824">
        <w:rPr>
          <w:rFonts w:ascii="Garamond" w:hAnsi="Garamond"/>
        </w:rPr>
        <w:t>Victoria</w:t>
      </w:r>
      <w:r>
        <w:rPr>
          <w:rFonts w:ascii="Garamond" w:hAnsi="Garamond"/>
        </w:rPr>
        <w:t xml:space="preserve">n economy is experiencing </w:t>
      </w:r>
      <w:r w:rsidRPr="00496C08">
        <w:rPr>
          <w:rFonts w:ascii="Garamond" w:hAnsi="Garamond"/>
        </w:rPr>
        <w:t>record</w:t>
      </w:r>
      <w:r w:rsidRPr="00496C08">
        <w:rPr>
          <w:rFonts w:ascii="Garamond" w:hAnsi="Garamond"/>
        </w:rPr>
        <w:noBreakHyphen/>
        <w:t>breaking employment outcomes, having produced above</w:t>
      </w:r>
      <w:r w:rsidRPr="00496C08">
        <w:rPr>
          <w:rFonts w:ascii="Garamond" w:hAnsi="Garamond"/>
        </w:rPr>
        <w:noBreakHyphen/>
        <w:t>trend employment growth since 2014-15 – the longest expansion since the global financial crisis. Employment</w:t>
      </w:r>
      <w:r>
        <w:rPr>
          <w:rFonts w:ascii="Garamond" w:hAnsi="Garamond"/>
        </w:rPr>
        <w:fldChar w:fldCharType="begin"/>
      </w:r>
      <w:r>
        <w:rPr>
          <w:rFonts w:ascii="Garamond" w:hAnsi="Garamond"/>
        </w:rPr>
        <w:instrText xml:space="preserve"> XE "</w:instrText>
      </w:r>
      <w:r w:rsidRPr="00D02DCA">
        <w:instrText>Employment</w:instrText>
      </w:r>
      <w:r>
        <w:instrText>"</w:instrText>
      </w:r>
      <w:r>
        <w:rPr>
          <w:rFonts w:ascii="Garamond" w:hAnsi="Garamond"/>
        </w:rPr>
        <w:instrText xml:space="preserve"> </w:instrText>
      </w:r>
      <w:r>
        <w:rPr>
          <w:rFonts w:ascii="Garamond" w:hAnsi="Garamond"/>
        </w:rPr>
        <w:fldChar w:fldCharType="end"/>
      </w:r>
      <w:r w:rsidRPr="00496C08">
        <w:rPr>
          <w:rFonts w:ascii="Garamond" w:hAnsi="Garamond"/>
        </w:rPr>
        <w:t xml:space="preserve"> grew by 3.2 per cent over the year to March 2018, well above trend and just below growth of almost 4.0 per cent over</w:t>
      </w:r>
      <w:r w:rsidRPr="009C4244">
        <w:rPr>
          <w:rFonts w:ascii="Garamond" w:hAnsi="Garamond"/>
        </w:rPr>
        <w:t xml:space="preserve"> the year to May 2017, which was the highest annual growth rate since July 1990 (Chart 2.6). Employment growth has been supported by strong economic activity, modest growth in real unit labour costs and strong population growth.</w:t>
      </w:r>
    </w:p>
    <w:p w:rsidR="00F918C3" w:rsidRDefault="00F918C3" w:rsidP="00624B98">
      <w:pPr>
        <w:pStyle w:val="TableHeading"/>
      </w:pPr>
      <w:r>
        <w:t xml:space="preserve">Chart 2.6: </w:t>
      </w:r>
      <w:r>
        <w:tab/>
      </w:r>
      <w:r w:rsidRPr="00475FD6">
        <w:t xml:space="preserve">Victoria’s employment growth, </w:t>
      </w:r>
      <w:r>
        <w:t>12 month</w:t>
      </w:r>
      <w:r w:rsidRPr="00475FD6">
        <w:t xml:space="preserve"> moving average</w:t>
      </w:r>
    </w:p>
    <w:p w:rsidR="00F918C3" w:rsidRDefault="00A9166F" w:rsidP="00624B98">
      <w:pPr>
        <w:pStyle w:val="Note"/>
      </w:pPr>
      <w:r>
        <w:pict>
          <v:shape id="_x0000_i1034" type="#_x0000_t75" style="width:388.2pt;height:262.1pt">
            <v:imagedata r:id="rId31" o:title=""/>
          </v:shape>
        </w:pict>
      </w:r>
    </w:p>
    <w:p w:rsidR="00F918C3" w:rsidRPr="008A1C10" w:rsidRDefault="00F918C3" w:rsidP="00624B98">
      <w:pPr>
        <w:pStyle w:val="Note"/>
      </w:pPr>
      <w:r w:rsidRPr="008A1C10">
        <w:t xml:space="preserve">Source: Australian Bureau of Statistics. </w:t>
      </w:r>
    </w:p>
    <w:p w:rsidR="00F918C3" w:rsidRPr="00E0349D" w:rsidRDefault="00F918C3" w:rsidP="007B1A9E">
      <w:pPr>
        <w:spacing w:before="80"/>
        <w:rPr>
          <w:rFonts w:ascii="Garamond" w:hAnsi="Garamond"/>
        </w:rPr>
      </w:pPr>
      <w:r w:rsidRPr="00294D1A">
        <w:rPr>
          <w:rFonts w:ascii="Garamond" w:hAnsi="Garamond"/>
        </w:rPr>
        <w:t>Victoria’s employment growth</w:t>
      </w:r>
      <w:r>
        <w:rPr>
          <w:rFonts w:ascii="Garamond" w:hAnsi="Garamond"/>
        </w:rPr>
        <w:t xml:space="preserve"> is reflected in both full</w:t>
      </w:r>
      <w:r>
        <w:rPr>
          <w:rFonts w:ascii="Garamond" w:hAnsi="Garamond"/>
        </w:rPr>
        <w:noBreakHyphen/>
        <w:t>time and part</w:t>
      </w:r>
      <w:r>
        <w:rPr>
          <w:rFonts w:ascii="Garamond" w:hAnsi="Garamond"/>
        </w:rPr>
        <w:noBreakHyphen/>
        <w:t>time employment, and has been broad</w:t>
      </w:r>
      <w:r>
        <w:rPr>
          <w:rFonts w:ascii="Garamond" w:hAnsi="Garamond"/>
        </w:rPr>
        <w:noBreakHyphen/>
        <w:t xml:space="preserve">based across industries and regions. </w:t>
      </w:r>
      <w:r w:rsidRPr="002F65E9">
        <w:rPr>
          <w:rFonts w:ascii="Garamond" w:hAnsi="Garamond"/>
        </w:rPr>
        <w:t>Of Victoria’s 19 industry groups, 1</w:t>
      </w:r>
      <w:r>
        <w:rPr>
          <w:rFonts w:ascii="Garamond" w:hAnsi="Garamond"/>
        </w:rPr>
        <w:t>2</w:t>
      </w:r>
      <w:r w:rsidRPr="002F65E9">
        <w:rPr>
          <w:rFonts w:ascii="Garamond" w:hAnsi="Garamond"/>
        </w:rPr>
        <w:t xml:space="preserve"> expanded their employment in 2016</w:t>
      </w:r>
      <w:r>
        <w:rPr>
          <w:rFonts w:ascii="Garamond" w:hAnsi="Garamond"/>
        </w:rPr>
        <w:noBreakHyphen/>
      </w:r>
      <w:r w:rsidRPr="002F65E9">
        <w:rPr>
          <w:rFonts w:ascii="Garamond" w:hAnsi="Garamond"/>
        </w:rPr>
        <w:t>17</w:t>
      </w:r>
      <w:r>
        <w:rPr>
          <w:rFonts w:ascii="Garamond" w:hAnsi="Garamond"/>
        </w:rPr>
        <w:t xml:space="preserve">. </w:t>
      </w:r>
      <w:r w:rsidRPr="00E0349D">
        <w:rPr>
          <w:rFonts w:ascii="Garamond" w:hAnsi="Garamond"/>
        </w:rPr>
        <w:t xml:space="preserve">In 2017, employment </w:t>
      </w:r>
      <w:r>
        <w:rPr>
          <w:rFonts w:ascii="Garamond" w:hAnsi="Garamond"/>
        </w:rPr>
        <w:t>in regional Victoria rose by an average of 3.1 per cent</w:t>
      </w:r>
      <w:r w:rsidRPr="00E0349D">
        <w:rPr>
          <w:rFonts w:ascii="Garamond" w:hAnsi="Garamond"/>
        </w:rPr>
        <w:t xml:space="preserve">, </w:t>
      </w:r>
      <w:r>
        <w:rPr>
          <w:rFonts w:ascii="Garamond" w:hAnsi="Garamond"/>
        </w:rPr>
        <w:t>bringing about a 0.3 </w:t>
      </w:r>
      <w:r w:rsidRPr="00E0349D">
        <w:rPr>
          <w:rFonts w:ascii="Garamond" w:hAnsi="Garamond"/>
        </w:rPr>
        <w:t xml:space="preserve">percentage point decline in the </w:t>
      </w:r>
      <w:r>
        <w:rPr>
          <w:rFonts w:ascii="Garamond" w:hAnsi="Garamond"/>
        </w:rPr>
        <w:t xml:space="preserve">regional </w:t>
      </w:r>
      <w:r w:rsidRPr="00E0349D">
        <w:rPr>
          <w:rFonts w:ascii="Garamond" w:hAnsi="Garamond"/>
        </w:rPr>
        <w:t>unemployment rate to 5.4</w:t>
      </w:r>
      <w:r>
        <w:rPr>
          <w:rFonts w:ascii="Garamond" w:hAnsi="Garamond"/>
        </w:rPr>
        <w:t> per cent</w:t>
      </w:r>
      <w:r w:rsidRPr="00E0349D">
        <w:rPr>
          <w:rFonts w:ascii="Garamond" w:hAnsi="Garamond"/>
        </w:rPr>
        <w:t xml:space="preserve"> in 2017.</w:t>
      </w:r>
    </w:p>
    <w:p w:rsidR="00F918C3" w:rsidRPr="00496C08" w:rsidRDefault="00F918C3" w:rsidP="007B1A9E">
      <w:pPr>
        <w:spacing w:before="80"/>
        <w:rPr>
          <w:rFonts w:ascii="Garamond" w:hAnsi="Garamond"/>
        </w:rPr>
      </w:pPr>
      <w:r w:rsidRPr="00E0349D">
        <w:rPr>
          <w:rFonts w:ascii="Garamond" w:hAnsi="Garamond"/>
        </w:rPr>
        <w:t xml:space="preserve">The strength of the labour market is </w:t>
      </w:r>
      <w:r>
        <w:rPr>
          <w:rFonts w:ascii="Garamond" w:hAnsi="Garamond"/>
        </w:rPr>
        <w:t xml:space="preserve">also creating </w:t>
      </w:r>
      <w:r w:rsidRPr="00E0349D">
        <w:rPr>
          <w:rFonts w:ascii="Garamond" w:hAnsi="Garamond"/>
        </w:rPr>
        <w:t xml:space="preserve">opportunities </w:t>
      </w:r>
      <w:r>
        <w:rPr>
          <w:rFonts w:ascii="Garamond" w:hAnsi="Garamond"/>
        </w:rPr>
        <w:t>for</w:t>
      </w:r>
      <w:r w:rsidRPr="00E0349D">
        <w:rPr>
          <w:rFonts w:ascii="Garamond" w:hAnsi="Garamond"/>
        </w:rPr>
        <w:t xml:space="preserve"> Victoria’s youth</w:t>
      </w:r>
      <w:r>
        <w:rPr>
          <w:rFonts w:ascii="Garamond" w:hAnsi="Garamond"/>
        </w:rPr>
        <w:t xml:space="preserve"> (aged </w:t>
      </w:r>
      <w:r w:rsidRPr="00496C08">
        <w:rPr>
          <w:rFonts w:ascii="Garamond" w:hAnsi="Garamond"/>
        </w:rPr>
        <w:t>15</w:t>
      </w:r>
      <w:r w:rsidRPr="00496C08">
        <w:rPr>
          <w:rFonts w:ascii="Garamond" w:hAnsi="Garamond"/>
        </w:rPr>
        <w:noBreakHyphen/>
        <w:t>24 years). The youth unemployment</w:t>
      </w:r>
      <w:r w:rsidR="008C27C4">
        <w:fldChar w:fldCharType="begin"/>
      </w:r>
      <w:r w:rsidR="008C27C4">
        <w:instrText xml:space="preserve"> XE "</w:instrText>
      </w:r>
      <w:r w:rsidR="008C27C4" w:rsidRPr="00D02DCA">
        <w:instrText>Unemployment rate</w:instrText>
      </w:r>
      <w:r w:rsidR="008C27C4">
        <w:instrText xml:space="preserve">" </w:instrText>
      </w:r>
      <w:r w:rsidR="008C27C4">
        <w:fldChar w:fldCharType="end"/>
      </w:r>
      <w:r w:rsidRPr="00496C08">
        <w:rPr>
          <w:rFonts w:ascii="Garamond" w:hAnsi="Garamond"/>
        </w:rPr>
        <w:t xml:space="preserve"> rate was the second lowest in Australia at 13.0 per cent in the year to March 2018. </w:t>
      </w:r>
    </w:p>
    <w:p w:rsidR="00F918C3" w:rsidRPr="00496C08" w:rsidRDefault="00F918C3" w:rsidP="007B1A9E">
      <w:pPr>
        <w:spacing w:before="80"/>
        <w:rPr>
          <w:rFonts w:ascii="Garamond" w:hAnsi="Garamond"/>
        </w:rPr>
      </w:pPr>
      <w:r w:rsidRPr="00496C08">
        <w:rPr>
          <w:rFonts w:ascii="Garamond" w:hAnsi="Garamond"/>
        </w:rPr>
        <w:t>Employment</w:t>
      </w:r>
      <w:r>
        <w:rPr>
          <w:rFonts w:ascii="Garamond" w:hAnsi="Garamond"/>
        </w:rPr>
        <w:t xml:space="preserve"> </w:t>
      </w:r>
      <w:r w:rsidRPr="00496C08">
        <w:rPr>
          <w:rFonts w:ascii="Garamond" w:hAnsi="Garamond"/>
        </w:rPr>
        <w:t xml:space="preserve">growth is forecast to </w:t>
      </w:r>
      <w:r>
        <w:rPr>
          <w:rFonts w:ascii="Garamond" w:hAnsi="Garamond"/>
        </w:rPr>
        <w:t>be 2.0 per cent</w:t>
      </w:r>
      <w:r w:rsidRPr="00496C08">
        <w:rPr>
          <w:rFonts w:ascii="Garamond" w:hAnsi="Garamond"/>
        </w:rPr>
        <w:t xml:space="preserve"> in 2018</w:t>
      </w:r>
      <w:r w:rsidRPr="00496C08">
        <w:rPr>
          <w:rFonts w:ascii="Garamond" w:hAnsi="Garamond"/>
        </w:rPr>
        <w:noBreakHyphen/>
        <w:t>19, representing five consecutive years of above</w:t>
      </w:r>
      <w:r w:rsidRPr="00496C08">
        <w:rPr>
          <w:rFonts w:ascii="Garamond" w:hAnsi="Garamond"/>
        </w:rPr>
        <w:noBreakHyphen/>
        <w:t>trend growth. In the longer term, employment growth is expected to return to trend as wages growth picks up, population growth moderates and economic activity converges between the states.</w:t>
      </w:r>
    </w:p>
    <w:p w:rsidR="00F918C3" w:rsidRDefault="00F918C3" w:rsidP="007A7CC2">
      <w:pPr>
        <w:rPr>
          <w:rFonts w:ascii="Garamond" w:hAnsi="Garamond"/>
        </w:rPr>
      </w:pPr>
      <w:r w:rsidRPr="00496C08">
        <w:rPr>
          <w:rFonts w:ascii="Garamond" w:hAnsi="Garamond"/>
        </w:rPr>
        <w:t>Victoria’s unemployment rate is forecast to be 5.75 per cent in 2018</w:t>
      </w:r>
      <w:r w:rsidRPr="00496C08">
        <w:rPr>
          <w:rFonts w:ascii="Garamond" w:hAnsi="Garamond"/>
        </w:rPr>
        <w:noBreakHyphen/>
        <w:t>19 and to fall to 5.50 per cent in 2019</w:t>
      </w:r>
      <w:r w:rsidRPr="00496C08">
        <w:rPr>
          <w:rFonts w:ascii="Garamond" w:hAnsi="Garamond"/>
        </w:rPr>
        <w:noBreakHyphen/>
        <w:t>20. Broader measures of</w:t>
      </w:r>
      <w:r>
        <w:rPr>
          <w:rFonts w:ascii="Garamond" w:hAnsi="Garamond"/>
        </w:rPr>
        <w:t xml:space="preserve"> s</w:t>
      </w:r>
      <w:r w:rsidRPr="00E0349D">
        <w:rPr>
          <w:rFonts w:ascii="Garamond" w:hAnsi="Garamond"/>
        </w:rPr>
        <w:t xml:space="preserve">pare capacity </w:t>
      </w:r>
      <w:r>
        <w:rPr>
          <w:rFonts w:ascii="Garamond" w:hAnsi="Garamond"/>
        </w:rPr>
        <w:t xml:space="preserve">in the labour market, such </w:t>
      </w:r>
      <w:r w:rsidRPr="006F2600">
        <w:rPr>
          <w:rFonts w:ascii="Garamond" w:hAnsi="Garamond"/>
        </w:rPr>
        <w:t>as the labour force underutilisation rate, have begun to improve, which should support an increase in wages</w:t>
      </w:r>
      <w:r>
        <w:rPr>
          <w:rFonts w:ascii="Garamond" w:hAnsi="Garamond"/>
        </w:rPr>
        <w:t xml:space="preserve"> growth. </w:t>
      </w:r>
    </w:p>
    <w:p w:rsidR="00F918C3" w:rsidRDefault="00F918C3" w:rsidP="007A7CC2">
      <w:pPr>
        <w:rPr>
          <w:rFonts w:ascii="Garamond" w:hAnsi="Garamond"/>
        </w:rPr>
      </w:pPr>
      <w:r w:rsidRPr="009C4244">
        <w:rPr>
          <w:rFonts w:ascii="Garamond" w:hAnsi="Garamond"/>
        </w:rPr>
        <w:t>Victoria’s labour force participation rate is forecast to remain elevated but to moderate from its current cyclical high as employment growth eases. Victoria’s labour force participation rate was 65.6 per cent in March 2018, just below the historic peak in 2016</w:t>
      </w:r>
      <w:r>
        <w:rPr>
          <w:rFonts w:ascii="Garamond" w:hAnsi="Garamond"/>
        </w:rPr>
        <w:noBreakHyphen/>
      </w:r>
      <w:r w:rsidRPr="009C4244">
        <w:rPr>
          <w:rFonts w:ascii="Garamond" w:hAnsi="Garamond"/>
        </w:rPr>
        <w:t>17. Recent increases have been driven primarily by a rise in participation by women, as discussed in Chapter 3, Box 3.1. Despite a high share of migration to Victoria comprising individuals in the prime working age cohort of 15</w:t>
      </w:r>
      <w:r w:rsidRPr="009C4244">
        <w:rPr>
          <w:rFonts w:ascii="Garamond" w:hAnsi="Garamond"/>
        </w:rPr>
        <w:noBreakHyphen/>
        <w:t>44 years, Victoria’s population continues to age. This is expected to weigh slightly on Victoria’s labour force participation rate over the medium term.</w:t>
      </w:r>
      <w:r>
        <w:rPr>
          <w:rFonts w:ascii="Garamond" w:hAnsi="Garamond"/>
        </w:rPr>
        <w:t xml:space="preserve"> </w:t>
      </w:r>
    </w:p>
    <w:p w:rsidR="00F918C3" w:rsidRPr="00B2212F" w:rsidRDefault="00F918C3" w:rsidP="00B2212F">
      <w:pPr>
        <w:pStyle w:val="Heading20"/>
      </w:pPr>
      <w:r w:rsidRPr="00B2212F">
        <w:t>Population</w:t>
      </w:r>
    </w:p>
    <w:p w:rsidR="00F918C3" w:rsidRDefault="00F918C3" w:rsidP="007A7CC2">
      <w:pPr>
        <w:rPr>
          <w:rFonts w:ascii="Garamond" w:hAnsi="Garamond"/>
        </w:rPr>
      </w:pPr>
      <w:r w:rsidRPr="00E0349D">
        <w:rPr>
          <w:rFonts w:ascii="Garamond" w:hAnsi="Garamond"/>
        </w:rPr>
        <w:t>Victoria’s population grew by 2.</w:t>
      </w:r>
      <w:r>
        <w:rPr>
          <w:rFonts w:ascii="Garamond" w:hAnsi="Garamond"/>
        </w:rPr>
        <w:t>4 per cent over</w:t>
      </w:r>
      <w:r w:rsidRPr="00E0349D">
        <w:rPr>
          <w:rFonts w:ascii="Garamond" w:hAnsi="Garamond"/>
        </w:rPr>
        <w:t xml:space="preserve"> the year to </w:t>
      </w:r>
      <w:r>
        <w:rPr>
          <w:rFonts w:ascii="Garamond" w:hAnsi="Garamond"/>
        </w:rPr>
        <w:t>September</w:t>
      </w:r>
      <w:r w:rsidRPr="00E0349D">
        <w:rPr>
          <w:rFonts w:ascii="Garamond" w:hAnsi="Garamond"/>
        </w:rPr>
        <w:t xml:space="preserve"> 2017</w:t>
      </w:r>
      <w:r>
        <w:rPr>
          <w:rFonts w:ascii="Garamond" w:hAnsi="Garamond"/>
        </w:rPr>
        <w:t>, the highest growth of the states and well above the national average</w:t>
      </w:r>
      <w:r w:rsidRPr="00E0349D">
        <w:rPr>
          <w:rFonts w:ascii="Garamond" w:hAnsi="Garamond"/>
        </w:rPr>
        <w:t xml:space="preserve">. </w:t>
      </w:r>
    </w:p>
    <w:p w:rsidR="00F918C3" w:rsidRDefault="00F918C3" w:rsidP="007A7CC2">
      <w:pPr>
        <w:rPr>
          <w:rFonts w:ascii="Garamond" w:hAnsi="Garamond"/>
        </w:rPr>
      </w:pPr>
      <w:r w:rsidRPr="00E0349D">
        <w:rPr>
          <w:rFonts w:ascii="Garamond" w:hAnsi="Garamond"/>
        </w:rPr>
        <w:t>In 2016</w:t>
      </w:r>
      <w:r>
        <w:rPr>
          <w:rFonts w:ascii="Garamond" w:hAnsi="Garamond"/>
        </w:rPr>
        <w:noBreakHyphen/>
      </w:r>
      <w:r w:rsidRPr="00E0349D">
        <w:rPr>
          <w:rFonts w:ascii="Garamond" w:hAnsi="Garamond"/>
        </w:rPr>
        <w:t xml:space="preserve">17, </w:t>
      </w:r>
      <w:r>
        <w:rPr>
          <w:rFonts w:ascii="Garamond" w:hAnsi="Garamond"/>
        </w:rPr>
        <w:t xml:space="preserve">Victoria’s </w:t>
      </w:r>
      <w:r w:rsidRPr="00E0349D">
        <w:rPr>
          <w:rFonts w:ascii="Garamond" w:hAnsi="Garamond"/>
        </w:rPr>
        <w:t>net interstate migration was</w:t>
      </w:r>
      <w:r>
        <w:rPr>
          <w:rFonts w:ascii="Garamond" w:hAnsi="Garamond"/>
        </w:rPr>
        <w:t xml:space="preserve"> more than 17 000 </w:t>
      </w:r>
      <w:r w:rsidRPr="00E0349D">
        <w:rPr>
          <w:rFonts w:ascii="Garamond" w:hAnsi="Garamond"/>
        </w:rPr>
        <w:t>persons</w:t>
      </w:r>
      <w:r>
        <w:rPr>
          <w:rFonts w:ascii="Garamond" w:hAnsi="Garamond"/>
        </w:rPr>
        <w:t xml:space="preserve">, the most since the early 1980s, </w:t>
      </w:r>
      <w:r w:rsidRPr="00566817">
        <w:rPr>
          <w:rFonts w:ascii="Garamond" w:hAnsi="Garamond"/>
        </w:rPr>
        <w:t>and second</w:t>
      </w:r>
      <w:r>
        <w:rPr>
          <w:rFonts w:ascii="Garamond" w:hAnsi="Garamond"/>
          <w:b/>
        </w:rPr>
        <w:t xml:space="preserve"> </w:t>
      </w:r>
      <w:r>
        <w:rPr>
          <w:rFonts w:ascii="Garamond" w:hAnsi="Garamond"/>
        </w:rPr>
        <w:t xml:space="preserve">highest </w:t>
      </w:r>
      <w:r w:rsidRPr="00E0349D">
        <w:rPr>
          <w:rFonts w:ascii="Garamond" w:hAnsi="Garamond"/>
        </w:rPr>
        <w:t>of all jurisdictions</w:t>
      </w:r>
      <w:r>
        <w:rPr>
          <w:rFonts w:ascii="Garamond" w:hAnsi="Garamond"/>
        </w:rPr>
        <w:t xml:space="preserve">. This reflected Victoria’s strong economic and employment growth, as well as the </w:t>
      </w:r>
      <w:r w:rsidRPr="00E0349D">
        <w:rPr>
          <w:rFonts w:ascii="Garamond" w:hAnsi="Garamond"/>
        </w:rPr>
        <w:t xml:space="preserve">attractiveness </w:t>
      </w:r>
      <w:r>
        <w:rPr>
          <w:rFonts w:ascii="Garamond" w:hAnsi="Garamond"/>
        </w:rPr>
        <w:t xml:space="preserve">of Victoria </w:t>
      </w:r>
      <w:r w:rsidRPr="00E0349D">
        <w:rPr>
          <w:rFonts w:ascii="Garamond" w:hAnsi="Garamond"/>
        </w:rPr>
        <w:t>as a place to live and work</w:t>
      </w:r>
      <w:r>
        <w:rPr>
          <w:rFonts w:ascii="Garamond" w:hAnsi="Garamond"/>
        </w:rPr>
        <w:t xml:space="preserve">. </w:t>
      </w:r>
    </w:p>
    <w:p w:rsidR="00F918C3" w:rsidRDefault="00F918C3" w:rsidP="00C80DBD">
      <w:pPr>
        <w:rPr>
          <w:rFonts w:asciiTheme="majorHAnsi" w:eastAsiaTheme="majorEastAsia" w:hAnsiTheme="majorHAnsi" w:cstheme="majorBidi"/>
          <w:b/>
          <w:bCs/>
          <w:caps/>
          <w:spacing w:val="-2"/>
          <w:sz w:val="26"/>
          <w:szCs w:val="28"/>
        </w:rPr>
      </w:pPr>
      <w:r w:rsidRPr="009D655C">
        <w:rPr>
          <w:rFonts w:ascii="Garamond" w:hAnsi="Garamond"/>
        </w:rPr>
        <w:t xml:space="preserve">Victoria’s population growth is forecast to remain high but </w:t>
      </w:r>
      <w:r>
        <w:rPr>
          <w:rFonts w:ascii="Garamond" w:hAnsi="Garamond"/>
        </w:rPr>
        <w:t xml:space="preserve">to </w:t>
      </w:r>
      <w:r w:rsidRPr="009D655C">
        <w:rPr>
          <w:rFonts w:ascii="Garamond" w:hAnsi="Garamond"/>
        </w:rPr>
        <w:t>moderate to 2.0</w:t>
      </w:r>
      <w:r>
        <w:rPr>
          <w:rFonts w:ascii="Garamond" w:hAnsi="Garamond"/>
        </w:rPr>
        <w:t> per cent</w:t>
      </w:r>
      <w:r w:rsidRPr="009D655C">
        <w:rPr>
          <w:rFonts w:ascii="Garamond" w:hAnsi="Garamond"/>
        </w:rPr>
        <w:t xml:space="preserve"> by 2020</w:t>
      </w:r>
      <w:r>
        <w:rPr>
          <w:rFonts w:ascii="Garamond" w:hAnsi="Garamond"/>
        </w:rPr>
        <w:noBreakHyphen/>
      </w:r>
      <w:r w:rsidRPr="009D655C">
        <w:rPr>
          <w:rFonts w:ascii="Garamond" w:hAnsi="Garamond"/>
        </w:rPr>
        <w:t xml:space="preserve">21 as economic conditions </w:t>
      </w:r>
      <w:r>
        <w:rPr>
          <w:rFonts w:ascii="Garamond" w:hAnsi="Garamond"/>
        </w:rPr>
        <w:t>normalise</w:t>
      </w:r>
      <w:r w:rsidRPr="007052EA">
        <w:rPr>
          <w:rFonts w:ascii="Garamond" w:hAnsi="Garamond"/>
        </w:rPr>
        <w:t xml:space="preserve"> </w:t>
      </w:r>
      <w:r w:rsidRPr="009D655C">
        <w:rPr>
          <w:rFonts w:ascii="Garamond" w:hAnsi="Garamond"/>
        </w:rPr>
        <w:t xml:space="preserve">between the states. </w:t>
      </w:r>
      <w:r>
        <w:rPr>
          <w:rFonts w:ascii="Garamond" w:hAnsi="Garamond"/>
        </w:rPr>
        <w:t xml:space="preserve">The moderation in population growth is due to a forecast slowing in both net interstate and net overseas migration. </w:t>
      </w:r>
      <w:bookmarkStart w:id="29" w:name="_Toc481160564"/>
      <w:bookmarkStart w:id="30" w:name="_Toc481246472"/>
    </w:p>
    <w:p w:rsidR="00F918C3" w:rsidRPr="00B2212F" w:rsidRDefault="00F918C3" w:rsidP="00B2212F">
      <w:pPr>
        <w:pStyle w:val="Heading10"/>
      </w:pPr>
      <w:bookmarkStart w:id="31" w:name="_Toc512629757"/>
      <w:r w:rsidRPr="00B2212F">
        <w:t>Australian economic conditions</w:t>
      </w:r>
      <w:r>
        <w:t xml:space="preserve"> </w:t>
      </w:r>
      <w:r w:rsidRPr="00B2212F">
        <w:t>and outlook</w:t>
      </w:r>
      <w:bookmarkEnd w:id="31"/>
    </w:p>
    <w:p w:rsidR="00F918C3" w:rsidRDefault="00F918C3" w:rsidP="007A7CC2">
      <w:pPr>
        <w:rPr>
          <w:rFonts w:ascii="Garamond" w:hAnsi="Garamond"/>
        </w:rPr>
      </w:pPr>
      <w:r w:rsidRPr="00E0349D">
        <w:rPr>
          <w:rFonts w:ascii="Garamond" w:hAnsi="Garamond"/>
        </w:rPr>
        <w:t>Economic conditions in Australia</w:t>
      </w:r>
      <w:r>
        <w:fldChar w:fldCharType="begin"/>
      </w:r>
      <w:r>
        <w:instrText xml:space="preserve"> XE "</w:instrText>
      </w:r>
      <w:r w:rsidRPr="00D02DCA">
        <w:instrText>Economic conditions:Australia</w:instrText>
      </w:r>
      <w:r>
        <w:instrText xml:space="preserve">" </w:instrText>
      </w:r>
      <w:r>
        <w:fldChar w:fldCharType="end"/>
      </w:r>
      <w:r w:rsidRPr="00E0349D">
        <w:rPr>
          <w:rFonts w:ascii="Garamond" w:hAnsi="Garamond"/>
        </w:rPr>
        <w:t xml:space="preserve"> </w:t>
      </w:r>
      <w:r>
        <w:rPr>
          <w:rFonts w:ascii="Garamond" w:hAnsi="Garamond"/>
        </w:rPr>
        <w:t xml:space="preserve">are solid and growth is expected to accelerate in </w:t>
      </w:r>
      <w:r w:rsidRPr="00E0349D">
        <w:rPr>
          <w:rFonts w:ascii="Garamond" w:hAnsi="Garamond"/>
        </w:rPr>
        <w:t>201</w:t>
      </w:r>
      <w:r>
        <w:rPr>
          <w:rFonts w:ascii="Garamond" w:hAnsi="Garamond"/>
        </w:rPr>
        <w:t>8</w:t>
      </w:r>
      <w:r>
        <w:rPr>
          <w:rFonts w:ascii="Garamond" w:hAnsi="Garamond"/>
        </w:rPr>
        <w:noBreakHyphen/>
      </w:r>
      <w:r w:rsidRPr="00E0349D">
        <w:rPr>
          <w:rFonts w:ascii="Garamond" w:hAnsi="Garamond"/>
        </w:rPr>
        <w:t>1</w:t>
      </w:r>
      <w:r>
        <w:rPr>
          <w:rFonts w:ascii="Garamond" w:hAnsi="Garamond"/>
        </w:rPr>
        <w:t>9</w:t>
      </w:r>
      <w:r w:rsidRPr="00E0349D">
        <w:rPr>
          <w:rFonts w:ascii="Garamond" w:hAnsi="Garamond"/>
        </w:rPr>
        <w:t xml:space="preserve"> as the drag from </w:t>
      </w:r>
      <w:r>
        <w:rPr>
          <w:rFonts w:ascii="Garamond" w:hAnsi="Garamond"/>
        </w:rPr>
        <w:t xml:space="preserve">weak </w:t>
      </w:r>
      <w:r w:rsidRPr="00E0349D">
        <w:rPr>
          <w:rFonts w:ascii="Garamond" w:hAnsi="Garamond"/>
        </w:rPr>
        <w:t xml:space="preserve">mining investment </w:t>
      </w:r>
      <w:r>
        <w:rPr>
          <w:rFonts w:ascii="Garamond" w:hAnsi="Garamond"/>
        </w:rPr>
        <w:t>diminishes.</w:t>
      </w:r>
      <w:r w:rsidRPr="00E0349D">
        <w:rPr>
          <w:rFonts w:ascii="Garamond" w:hAnsi="Garamond"/>
        </w:rPr>
        <w:t xml:space="preserve"> </w:t>
      </w:r>
    </w:p>
    <w:p w:rsidR="00F918C3" w:rsidRDefault="00F918C3" w:rsidP="007A7CC2">
      <w:pPr>
        <w:rPr>
          <w:rFonts w:ascii="Garamond" w:hAnsi="Garamond"/>
        </w:rPr>
      </w:pPr>
      <w:r>
        <w:rPr>
          <w:rFonts w:ascii="Garamond" w:hAnsi="Garamond"/>
        </w:rPr>
        <w:t>Growth in Australia’s real</w:t>
      </w:r>
      <w:r w:rsidRPr="00E0349D">
        <w:rPr>
          <w:rFonts w:ascii="Garamond" w:hAnsi="Garamond"/>
        </w:rPr>
        <w:t xml:space="preserve"> </w:t>
      </w:r>
      <w:r>
        <w:rPr>
          <w:rFonts w:ascii="Garamond" w:hAnsi="Garamond"/>
        </w:rPr>
        <w:t>GDP was 2.0 per cent in 2016</w:t>
      </w:r>
      <w:r>
        <w:rPr>
          <w:rFonts w:ascii="Garamond" w:hAnsi="Garamond"/>
        </w:rPr>
        <w:noBreakHyphen/>
        <w:t>17, below trend economic growth</w:t>
      </w:r>
      <w:r>
        <w:fldChar w:fldCharType="begin"/>
      </w:r>
      <w:r>
        <w:instrText xml:space="preserve"> XE "</w:instrText>
      </w:r>
      <w:r w:rsidRPr="00D02DCA">
        <w:instrText>Economic growth</w:instrText>
      </w:r>
      <w:r>
        <w:instrText xml:space="preserve">" </w:instrText>
      </w:r>
      <w:r>
        <w:fldChar w:fldCharType="end"/>
      </w:r>
      <w:r>
        <w:rPr>
          <w:rFonts w:ascii="Garamond" w:hAnsi="Garamond"/>
        </w:rPr>
        <w:t xml:space="preserve"> of 2.75 per cent. Activity has been </w:t>
      </w:r>
      <w:r w:rsidRPr="00E0349D">
        <w:rPr>
          <w:rFonts w:ascii="Garamond" w:hAnsi="Garamond"/>
        </w:rPr>
        <w:t xml:space="preserve">supported by low interest rates and </w:t>
      </w:r>
      <w:r>
        <w:rPr>
          <w:rFonts w:ascii="Garamond" w:hAnsi="Garamond"/>
        </w:rPr>
        <w:t>a gradual pickup in growth</w:t>
      </w:r>
      <w:r w:rsidRPr="00E0349D">
        <w:rPr>
          <w:rFonts w:ascii="Garamond" w:hAnsi="Garamond"/>
        </w:rPr>
        <w:t xml:space="preserve"> in the global economy</w:t>
      </w:r>
      <w:r>
        <w:rPr>
          <w:rFonts w:ascii="Garamond" w:hAnsi="Garamond"/>
        </w:rPr>
        <w:t>, with accommodative policy settings in advanced economies</w:t>
      </w:r>
      <w:r w:rsidRPr="00E0349D">
        <w:rPr>
          <w:rFonts w:ascii="Garamond" w:hAnsi="Garamond"/>
        </w:rPr>
        <w:t xml:space="preserve">. </w:t>
      </w:r>
    </w:p>
    <w:p w:rsidR="00F918C3" w:rsidRDefault="00F918C3" w:rsidP="00A3771C">
      <w:r>
        <w:rPr>
          <w:rFonts w:ascii="Garamond" w:hAnsi="Garamond"/>
        </w:rPr>
        <w:t>The rebalancing of domestic economic activity following the end of the mining investment boom has progressed and is almost complete. Conditions in the mining states have begun to recover and converge with those in the non</w:t>
      </w:r>
      <w:r>
        <w:rPr>
          <w:rFonts w:ascii="Garamond" w:hAnsi="Garamond"/>
        </w:rPr>
        <w:noBreakHyphen/>
        <w:t>mining states.</w:t>
      </w:r>
      <w:r w:rsidRPr="00A3771C">
        <w:t xml:space="preserve"> </w:t>
      </w:r>
    </w:p>
    <w:p w:rsidR="00F918C3" w:rsidRDefault="00F918C3" w:rsidP="007A7CC2">
      <w:pPr>
        <w:rPr>
          <w:rFonts w:ascii="Garamond" w:hAnsi="Garamond"/>
        </w:rPr>
      </w:pPr>
      <w:r w:rsidRPr="006F2600">
        <w:rPr>
          <w:rFonts w:ascii="Garamond" w:hAnsi="Garamond"/>
        </w:rPr>
        <w:t xml:space="preserve">In the </w:t>
      </w:r>
      <w:r w:rsidRPr="00EA5030">
        <w:rPr>
          <w:rFonts w:ascii="Garamond" w:hAnsi="Garamond"/>
          <w:i/>
        </w:rPr>
        <w:t>2017</w:t>
      </w:r>
      <w:r>
        <w:rPr>
          <w:rFonts w:ascii="Garamond" w:hAnsi="Garamond"/>
          <w:i/>
        </w:rPr>
        <w:noBreakHyphen/>
      </w:r>
      <w:r w:rsidRPr="00EA5030">
        <w:rPr>
          <w:rFonts w:ascii="Garamond" w:hAnsi="Garamond"/>
          <w:i/>
        </w:rPr>
        <w:t>18 Mid</w:t>
      </w:r>
      <w:r>
        <w:rPr>
          <w:rFonts w:ascii="Garamond" w:hAnsi="Garamond"/>
          <w:i/>
        </w:rPr>
        <w:noBreakHyphen/>
      </w:r>
      <w:r w:rsidRPr="00EA5030">
        <w:rPr>
          <w:rFonts w:ascii="Garamond" w:hAnsi="Garamond"/>
          <w:i/>
        </w:rPr>
        <w:t>Year Economic and Fiscal Outlook</w:t>
      </w:r>
      <w:r w:rsidRPr="006F2600">
        <w:rPr>
          <w:rFonts w:ascii="Garamond" w:hAnsi="Garamond"/>
        </w:rPr>
        <w:t xml:space="preserve"> (MYEFO), the Commonwealth</w:t>
      </w:r>
      <w:r w:rsidR="008C27C4">
        <w:rPr>
          <w:rFonts w:ascii="Garamond" w:hAnsi="Garamond"/>
        </w:rPr>
        <w:fldChar w:fldCharType="begin"/>
      </w:r>
      <w:r w:rsidR="008C27C4">
        <w:instrText xml:space="preserve"> XE "</w:instrText>
      </w:r>
      <w:r w:rsidR="008C27C4" w:rsidRPr="00EF1E91">
        <w:instrText>Commonwealth</w:instrText>
      </w:r>
      <w:r w:rsidR="008C27C4">
        <w:instrText xml:space="preserve">" </w:instrText>
      </w:r>
      <w:r w:rsidR="008C27C4">
        <w:rPr>
          <w:rFonts w:ascii="Garamond" w:hAnsi="Garamond"/>
        </w:rPr>
        <w:fldChar w:fldCharType="end"/>
      </w:r>
      <w:r w:rsidRPr="00E0349D">
        <w:rPr>
          <w:rFonts w:ascii="Garamond" w:hAnsi="Garamond"/>
        </w:rPr>
        <w:t xml:space="preserve"> Treasury forecast Australia’s real GDP to grow by 3</w:t>
      </w:r>
      <w:r>
        <w:rPr>
          <w:rFonts w:ascii="Garamond" w:hAnsi="Garamond"/>
        </w:rPr>
        <w:t>.0 per cent</w:t>
      </w:r>
      <w:r w:rsidRPr="00E0349D">
        <w:rPr>
          <w:rFonts w:ascii="Garamond" w:hAnsi="Garamond"/>
        </w:rPr>
        <w:t xml:space="preserve"> in 2018</w:t>
      </w:r>
      <w:r>
        <w:rPr>
          <w:rFonts w:ascii="Garamond" w:hAnsi="Garamond"/>
        </w:rPr>
        <w:noBreakHyphen/>
      </w:r>
      <w:r w:rsidRPr="00E0349D">
        <w:rPr>
          <w:rFonts w:ascii="Garamond" w:hAnsi="Garamond"/>
        </w:rPr>
        <w:t>19</w:t>
      </w:r>
      <w:r>
        <w:rPr>
          <w:rFonts w:ascii="Garamond" w:hAnsi="Garamond"/>
        </w:rPr>
        <w:t xml:space="preserve">, with growth </w:t>
      </w:r>
      <w:r w:rsidRPr="00E0349D">
        <w:rPr>
          <w:rFonts w:ascii="Garamond" w:hAnsi="Garamond"/>
        </w:rPr>
        <w:t>supported by</w:t>
      </w:r>
      <w:r>
        <w:rPr>
          <w:rFonts w:ascii="Garamond" w:hAnsi="Garamond"/>
        </w:rPr>
        <w:t xml:space="preserve"> rising</w:t>
      </w:r>
      <w:r w:rsidRPr="00E0349D">
        <w:rPr>
          <w:rFonts w:ascii="Garamond" w:hAnsi="Garamond"/>
        </w:rPr>
        <w:t xml:space="preserve"> non</w:t>
      </w:r>
      <w:r>
        <w:rPr>
          <w:rFonts w:ascii="Garamond" w:hAnsi="Garamond"/>
        </w:rPr>
        <w:noBreakHyphen/>
      </w:r>
      <w:r w:rsidRPr="00E0349D">
        <w:rPr>
          <w:rFonts w:ascii="Garamond" w:hAnsi="Garamond"/>
        </w:rPr>
        <w:t>mining business investment</w:t>
      </w:r>
      <w:r>
        <w:rPr>
          <w:rFonts w:ascii="Garamond" w:hAnsi="Garamond"/>
        </w:rPr>
        <w:t>, household</w:t>
      </w:r>
      <w:r w:rsidRPr="00E0349D">
        <w:rPr>
          <w:rFonts w:ascii="Garamond" w:hAnsi="Garamond"/>
        </w:rPr>
        <w:t xml:space="preserve"> consumption, public final demand and exports. </w:t>
      </w:r>
    </w:p>
    <w:p w:rsidR="00F918C3" w:rsidRPr="00E0349D" w:rsidRDefault="00F918C3" w:rsidP="007A7CC2">
      <w:pPr>
        <w:rPr>
          <w:rFonts w:ascii="Garamond" w:hAnsi="Garamond"/>
        </w:rPr>
      </w:pPr>
      <w:r w:rsidRPr="00E0349D">
        <w:rPr>
          <w:rFonts w:ascii="Garamond" w:hAnsi="Garamond"/>
        </w:rPr>
        <w:t>Growth in household consumption is expected to pick up over the forecast period in response to strengthening labour market conditions. Dwelling investment</w:t>
      </w:r>
      <w:r>
        <w:rPr>
          <w:rFonts w:ascii="Garamond" w:hAnsi="Garamond"/>
        </w:rPr>
        <w:fldChar w:fldCharType="begin"/>
      </w:r>
      <w:r>
        <w:rPr>
          <w:rFonts w:ascii="Garamond" w:hAnsi="Garamond"/>
        </w:rPr>
        <w:instrText xml:space="preserve"> XE "</w:instrText>
      </w:r>
      <w:r w:rsidRPr="00D02DCA">
        <w:instrText>Dwelling investment</w:instrText>
      </w:r>
      <w:r>
        <w:instrText>"</w:instrText>
      </w:r>
      <w:r>
        <w:rPr>
          <w:rFonts w:ascii="Garamond" w:hAnsi="Garamond"/>
        </w:rPr>
        <w:instrText xml:space="preserve"> </w:instrText>
      </w:r>
      <w:r>
        <w:rPr>
          <w:rFonts w:ascii="Garamond" w:hAnsi="Garamond"/>
        </w:rPr>
        <w:fldChar w:fldCharType="end"/>
      </w:r>
      <w:r w:rsidRPr="00E0349D">
        <w:rPr>
          <w:rFonts w:ascii="Garamond" w:hAnsi="Garamond"/>
        </w:rPr>
        <w:t xml:space="preserve"> is expected to decline moderately over the forecast period</w:t>
      </w:r>
      <w:r>
        <w:rPr>
          <w:rFonts w:ascii="Garamond" w:hAnsi="Garamond"/>
        </w:rPr>
        <w:t xml:space="preserve">, consistent with </w:t>
      </w:r>
      <w:r w:rsidRPr="00E0349D">
        <w:rPr>
          <w:rFonts w:ascii="Garamond" w:hAnsi="Garamond"/>
        </w:rPr>
        <w:t>a reduction in building approvals</w:t>
      </w:r>
      <w:r>
        <w:rPr>
          <w:rFonts w:ascii="Garamond" w:hAnsi="Garamond"/>
        </w:rPr>
        <w:t xml:space="preserve">. </w:t>
      </w:r>
      <w:r w:rsidRPr="00E0349D">
        <w:rPr>
          <w:rFonts w:ascii="Garamond" w:hAnsi="Garamond"/>
        </w:rPr>
        <w:t>Growth in net exports is forecast to be positive by 2018</w:t>
      </w:r>
      <w:r>
        <w:rPr>
          <w:rFonts w:ascii="Garamond" w:hAnsi="Garamond"/>
        </w:rPr>
        <w:noBreakHyphen/>
      </w:r>
      <w:r w:rsidRPr="00E0349D">
        <w:rPr>
          <w:rFonts w:ascii="Garamond" w:hAnsi="Garamond"/>
        </w:rPr>
        <w:t xml:space="preserve">19, </w:t>
      </w:r>
      <w:r>
        <w:rPr>
          <w:rFonts w:ascii="Garamond" w:hAnsi="Garamond"/>
        </w:rPr>
        <w:t xml:space="preserve">underpinned </w:t>
      </w:r>
      <w:r w:rsidRPr="00E0349D">
        <w:rPr>
          <w:rFonts w:ascii="Garamond" w:hAnsi="Garamond"/>
        </w:rPr>
        <w:t xml:space="preserve">by </w:t>
      </w:r>
      <w:r>
        <w:rPr>
          <w:rFonts w:ascii="Garamond" w:hAnsi="Garamond"/>
        </w:rPr>
        <w:t xml:space="preserve">rising </w:t>
      </w:r>
      <w:r w:rsidRPr="00E0349D">
        <w:rPr>
          <w:rFonts w:ascii="Garamond" w:hAnsi="Garamond"/>
        </w:rPr>
        <w:t xml:space="preserve">resource exports. </w:t>
      </w:r>
    </w:p>
    <w:p w:rsidR="00F918C3" w:rsidRDefault="00F918C3" w:rsidP="00B2212F">
      <w:pPr>
        <w:rPr>
          <w:rFonts w:ascii="Garamond" w:hAnsi="Garamond"/>
        </w:rPr>
      </w:pPr>
      <w:r>
        <w:rPr>
          <w:rFonts w:ascii="Garamond" w:hAnsi="Garamond"/>
        </w:rPr>
        <w:t>Inflation</w:t>
      </w:r>
      <w:r>
        <w:rPr>
          <w:rFonts w:ascii="Garamond" w:hAnsi="Garamond"/>
        </w:rPr>
        <w:fldChar w:fldCharType="begin"/>
      </w:r>
      <w:r>
        <w:rPr>
          <w:rFonts w:ascii="Garamond" w:hAnsi="Garamond"/>
        </w:rPr>
        <w:instrText xml:space="preserve"> XE "</w:instrText>
      </w:r>
      <w:r w:rsidRPr="00D02DCA">
        <w:instrText>Inflation</w:instrText>
      </w:r>
      <w:r>
        <w:instrText>"</w:instrText>
      </w:r>
      <w:r>
        <w:rPr>
          <w:rFonts w:ascii="Garamond" w:hAnsi="Garamond"/>
        </w:rPr>
        <w:instrText xml:space="preserve"> </w:instrText>
      </w:r>
      <w:r>
        <w:rPr>
          <w:rFonts w:ascii="Garamond" w:hAnsi="Garamond"/>
        </w:rPr>
        <w:fldChar w:fldCharType="end"/>
      </w:r>
      <w:r>
        <w:rPr>
          <w:rFonts w:ascii="Garamond" w:hAnsi="Garamond"/>
        </w:rPr>
        <w:t xml:space="preserve"> is expected to remain subdued but gradually return to the midpoint of the RBA</w:t>
      </w:r>
      <w:r w:rsidR="008C27C4">
        <w:rPr>
          <w:rFonts w:ascii="Garamond" w:hAnsi="Garamond"/>
        </w:rPr>
        <w:fldChar w:fldCharType="begin"/>
      </w:r>
      <w:r w:rsidR="008C27C4">
        <w:instrText xml:space="preserve"> XE "</w:instrText>
      </w:r>
      <w:r w:rsidR="008C27C4" w:rsidRPr="000F77D9">
        <w:rPr>
          <w:rFonts w:ascii="Garamond" w:hAnsi="Garamond"/>
        </w:rPr>
        <w:instrText>Reserve Bank of Australia</w:instrText>
      </w:r>
      <w:r w:rsidR="008C27C4">
        <w:instrText xml:space="preserve">" </w:instrText>
      </w:r>
      <w:r w:rsidR="008C27C4">
        <w:rPr>
          <w:rFonts w:ascii="Garamond" w:hAnsi="Garamond"/>
        </w:rPr>
        <w:fldChar w:fldCharType="end"/>
      </w:r>
      <w:r>
        <w:rPr>
          <w:rFonts w:ascii="Garamond" w:hAnsi="Garamond"/>
        </w:rPr>
        <w:t>’s target band by 2019</w:t>
      </w:r>
      <w:r>
        <w:rPr>
          <w:rFonts w:ascii="Garamond" w:hAnsi="Garamond"/>
        </w:rPr>
        <w:noBreakHyphen/>
        <w:t>20, supported by a fall in spare capacity. Wage growth is similarly expected to recover in line with above</w:t>
      </w:r>
      <w:r>
        <w:rPr>
          <w:rFonts w:ascii="Garamond" w:hAnsi="Garamond"/>
        </w:rPr>
        <w:noBreakHyphen/>
        <w:t xml:space="preserve">trend economic growth. </w:t>
      </w:r>
      <w:r>
        <w:rPr>
          <w:rFonts w:ascii="Garamond" w:hAnsi="Garamond"/>
        </w:rPr>
        <w:fldChar w:fldCharType="begin"/>
      </w:r>
      <w:r>
        <w:instrText xml:space="preserve"> XE "</w:instrText>
      </w:r>
      <w:r w:rsidRPr="00DA6ED9">
        <w:instrText>Employment growth</w:instrText>
      </w:r>
      <w:r>
        <w:instrText xml:space="preserve">" \r "BP2Ch2EmployGrowth" </w:instrText>
      </w:r>
      <w:r>
        <w:rPr>
          <w:rFonts w:ascii="Garamond" w:hAnsi="Garamond"/>
        </w:rPr>
        <w:fldChar w:fldCharType="end"/>
      </w:r>
      <w:r>
        <w:rPr>
          <w:rFonts w:ascii="Garamond" w:hAnsi="Garamond"/>
        </w:rPr>
        <w:t xml:space="preserve"> </w:t>
      </w:r>
    </w:p>
    <w:bookmarkEnd w:id="28"/>
    <w:p w:rsidR="00F918C3" w:rsidRDefault="00F918C3" w:rsidP="00EA5030">
      <w:pPr>
        <w:ind w:right="-227"/>
      </w:pPr>
      <w:r w:rsidRPr="00E0349D">
        <w:rPr>
          <w:rFonts w:ascii="Garamond" w:hAnsi="Garamond"/>
        </w:rPr>
        <w:t xml:space="preserve">Conditions in the </w:t>
      </w:r>
      <w:r>
        <w:rPr>
          <w:rFonts w:ascii="Garamond" w:hAnsi="Garamond"/>
        </w:rPr>
        <w:t xml:space="preserve">national </w:t>
      </w:r>
      <w:r w:rsidRPr="00E0349D">
        <w:rPr>
          <w:rFonts w:ascii="Garamond" w:hAnsi="Garamond"/>
        </w:rPr>
        <w:t>labour market strengthened in 2017</w:t>
      </w:r>
      <w:r>
        <w:rPr>
          <w:rFonts w:ascii="Garamond" w:hAnsi="Garamond"/>
        </w:rPr>
        <w:t xml:space="preserve"> and there was a broad</w:t>
      </w:r>
      <w:r>
        <w:rPr>
          <w:rFonts w:ascii="Garamond" w:hAnsi="Garamond"/>
        </w:rPr>
        <w:noBreakHyphen/>
      </w:r>
      <w:r w:rsidRPr="00E0349D">
        <w:rPr>
          <w:rFonts w:ascii="Garamond" w:hAnsi="Garamond"/>
        </w:rPr>
        <w:t xml:space="preserve">based </w:t>
      </w:r>
      <w:r>
        <w:rPr>
          <w:rFonts w:ascii="Garamond" w:hAnsi="Garamond"/>
        </w:rPr>
        <w:t xml:space="preserve">strengthening in employment growth </w:t>
      </w:r>
      <w:r w:rsidRPr="00E0349D">
        <w:rPr>
          <w:rFonts w:ascii="Garamond" w:hAnsi="Garamond"/>
        </w:rPr>
        <w:t>across the</w:t>
      </w:r>
      <w:r>
        <w:rPr>
          <w:rFonts w:ascii="Garamond" w:hAnsi="Garamond"/>
        </w:rPr>
        <w:t xml:space="preserve"> states. </w:t>
      </w:r>
      <w:r w:rsidRPr="00E0349D">
        <w:rPr>
          <w:rFonts w:ascii="Garamond" w:hAnsi="Garamond"/>
        </w:rPr>
        <w:t>The Commonwealth</w:t>
      </w:r>
      <w:r w:rsidR="008C27C4">
        <w:rPr>
          <w:rFonts w:ascii="Garamond" w:hAnsi="Garamond"/>
        </w:rPr>
        <w:fldChar w:fldCharType="begin"/>
      </w:r>
      <w:r w:rsidR="008C27C4">
        <w:instrText xml:space="preserve"> XE "</w:instrText>
      </w:r>
      <w:r w:rsidR="008C27C4" w:rsidRPr="00EF1E91">
        <w:instrText>Commonwealth</w:instrText>
      </w:r>
      <w:r w:rsidR="008C27C4">
        <w:instrText xml:space="preserve">" </w:instrText>
      </w:r>
      <w:r w:rsidR="008C27C4">
        <w:rPr>
          <w:rFonts w:ascii="Garamond" w:hAnsi="Garamond"/>
        </w:rPr>
        <w:fldChar w:fldCharType="end"/>
      </w:r>
      <w:r w:rsidRPr="00E0349D">
        <w:rPr>
          <w:rFonts w:ascii="Garamond" w:hAnsi="Garamond"/>
        </w:rPr>
        <w:t xml:space="preserve"> Treasury forecasts </w:t>
      </w:r>
      <w:r>
        <w:rPr>
          <w:rFonts w:ascii="Garamond" w:hAnsi="Garamond"/>
        </w:rPr>
        <w:t>national e</w:t>
      </w:r>
      <w:r>
        <w:t>mployment to grow by 1.75 per cent in 2017</w:t>
      </w:r>
      <w:r>
        <w:noBreakHyphen/>
        <w:t>18 and 1.50 per cent in 2018</w:t>
      </w:r>
      <w:r>
        <w:noBreakHyphen/>
        <w:t xml:space="preserve">19. </w:t>
      </w:r>
    </w:p>
    <w:p w:rsidR="00F918C3" w:rsidRDefault="00F918C3" w:rsidP="00DD1C1C">
      <w:r>
        <w:t xml:space="preserve">The national unemployment rate has fallen to 5.4 per cent, the lowest rate in over four years. The participation rate has increased, including a notable increase in the female participation rate. The unemployment rate is forecast to decline from 5.50 per cent in the June quarter 2018 to 5.25 per cent in the June quarter 2019. </w:t>
      </w:r>
    </w:p>
    <w:p w:rsidR="00F918C3" w:rsidRPr="00B2212F" w:rsidRDefault="00F918C3" w:rsidP="00B2212F">
      <w:pPr>
        <w:pStyle w:val="Heading10"/>
      </w:pPr>
      <w:bookmarkStart w:id="32" w:name="_Toc512629758"/>
      <w:r w:rsidRPr="00B2212F">
        <w:t>International economic conditions and outlook</w:t>
      </w:r>
      <w:bookmarkEnd w:id="29"/>
      <w:bookmarkEnd w:id="30"/>
      <w:bookmarkEnd w:id="32"/>
    </w:p>
    <w:p w:rsidR="00F918C3" w:rsidRPr="00E0349D" w:rsidRDefault="00F918C3" w:rsidP="007A7CC2">
      <w:pPr>
        <w:rPr>
          <w:rFonts w:ascii="Garamond" w:hAnsi="Garamond"/>
        </w:rPr>
      </w:pPr>
      <w:r w:rsidRPr="00E0349D">
        <w:rPr>
          <w:rFonts w:ascii="Garamond" w:hAnsi="Garamond"/>
        </w:rPr>
        <w:t xml:space="preserve">The global recovery has </w:t>
      </w:r>
      <w:r>
        <w:rPr>
          <w:rFonts w:ascii="Garamond" w:hAnsi="Garamond"/>
        </w:rPr>
        <w:t>gathered pace</w:t>
      </w:r>
      <w:r w:rsidRPr="00E0349D">
        <w:rPr>
          <w:rFonts w:ascii="Garamond" w:hAnsi="Garamond"/>
        </w:rPr>
        <w:t xml:space="preserve"> since the </w:t>
      </w:r>
      <w:r w:rsidRPr="00E0349D">
        <w:rPr>
          <w:rFonts w:ascii="Garamond" w:hAnsi="Garamond"/>
          <w:i/>
        </w:rPr>
        <w:t>2017</w:t>
      </w:r>
      <w:r>
        <w:rPr>
          <w:rFonts w:ascii="Garamond" w:hAnsi="Garamond"/>
          <w:i/>
        </w:rPr>
        <w:noBreakHyphen/>
      </w:r>
      <w:r w:rsidRPr="00E0349D">
        <w:rPr>
          <w:rFonts w:ascii="Garamond" w:hAnsi="Garamond"/>
          <w:i/>
        </w:rPr>
        <w:t xml:space="preserve">18 Budget </w:t>
      </w:r>
      <w:r>
        <w:rPr>
          <w:rFonts w:ascii="Garamond" w:hAnsi="Garamond"/>
          <w:i/>
        </w:rPr>
        <w:t xml:space="preserve">Update </w:t>
      </w:r>
      <w:r>
        <w:rPr>
          <w:rFonts w:ascii="Garamond" w:hAnsi="Garamond"/>
        </w:rPr>
        <w:t xml:space="preserve">with the upswing in global investment and trade continuing into the second half of 2017. </w:t>
      </w:r>
      <w:r w:rsidRPr="00E0349D">
        <w:rPr>
          <w:rFonts w:ascii="Garamond" w:hAnsi="Garamond"/>
        </w:rPr>
        <w:t>The International Monetary Fund</w:t>
      </w:r>
      <w:r>
        <w:rPr>
          <w:rFonts w:ascii="Garamond" w:hAnsi="Garamond"/>
        </w:rPr>
        <w:fldChar w:fldCharType="begin"/>
      </w:r>
      <w:r>
        <w:rPr>
          <w:rFonts w:ascii="Garamond" w:hAnsi="Garamond"/>
        </w:rPr>
        <w:instrText xml:space="preserve"> XE "</w:instrText>
      </w:r>
      <w:r w:rsidRPr="00D02DCA">
        <w:instrText>International Monetary Fund</w:instrText>
      </w:r>
      <w:r>
        <w:instrText>"</w:instrText>
      </w:r>
      <w:r>
        <w:rPr>
          <w:rFonts w:ascii="Garamond" w:hAnsi="Garamond"/>
        </w:rPr>
        <w:instrText xml:space="preserve"> </w:instrText>
      </w:r>
      <w:r>
        <w:rPr>
          <w:rFonts w:ascii="Garamond" w:hAnsi="Garamond"/>
        </w:rPr>
        <w:fldChar w:fldCharType="end"/>
      </w:r>
      <w:r w:rsidRPr="00E0349D">
        <w:rPr>
          <w:rFonts w:ascii="Garamond" w:hAnsi="Garamond"/>
        </w:rPr>
        <w:t xml:space="preserve"> (IMF) </w:t>
      </w:r>
      <w:r>
        <w:rPr>
          <w:rFonts w:ascii="Garamond" w:hAnsi="Garamond"/>
        </w:rPr>
        <w:t>estimates global output to have risen by 3.8 per cent</w:t>
      </w:r>
      <w:r w:rsidRPr="00E0349D">
        <w:rPr>
          <w:rFonts w:ascii="Garamond" w:hAnsi="Garamond"/>
        </w:rPr>
        <w:t xml:space="preserve"> in 2017</w:t>
      </w:r>
      <w:r>
        <w:rPr>
          <w:rFonts w:ascii="Garamond" w:hAnsi="Garamond"/>
        </w:rPr>
        <w:t xml:space="preserve">. Despite escalated trade tensions, the IMF has maintained its </w:t>
      </w:r>
      <w:r w:rsidRPr="00E0349D">
        <w:rPr>
          <w:rFonts w:ascii="Garamond" w:hAnsi="Garamond"/>
        </w:rPr>
        <w:t>forecast</w:t>
      </w:r>
      <w:r>
        <w:rPr>
          <w:rFonts w:ascii="Garamond" w:hAnsi="Garamond"/>
        </w:rPr>
        <w:t xml:space="preserve"> for global growth of </w:t>
      </w:r>
      <w:r w:rsidRPr="00E0349D">
        <w:rPr>
          <w:rFonts w:ascii="Garamond" w:hAnsi="Garamond"/>
        </w:rPr>
        <w:t>3.9</w:t>
      </w:r>
      <w:r>
        <w:rPr>
          <w:rFonts w:ascii="Garamond" w:hAnsi="Garamond"/>
        </w:rPr>
        <w:t> per cent</w:t>
      </w:r>
      <w:r w:rsidRPr="00E0349D">
        <w:rPr>
          <w:rFonts w:ascii="Garamond" w:hAnsi="Garamond"/>
        </w:rPr>
        <w:t xml:space="preserve"> for 2018 and 2019</w:t>
      </w:r>
      <w:r>
        <w:rPr>
          <w:rFonts w:ascii="Garamond" w:hAnsi="Garamond"/>
        </w:rPr>
        <w:t xml:space="preserve"> </w:t>
      </w:r>
      <w:r w:rsidRPr="00E0349D">
        <w:rPr>
          <w:rFonts w:ascii="Garamond" w:hAnsi="Garamond"/>
        </w:rPr>
        <w:t xml:space="preserve">(Table 2.2). </w:t>
      </w:r>
    </w:p>
    <w:p w:rsidR="00F918C3" w:rsidRPr="00E0349D" w:rsidRDefault="00F918C3" w:rsidP="007A7CC2">
      <w:pPr>
        <w:rPr>
          <w:rFonts w:ascii="Garamond" w:hAnsi="Garamond"/>
        </w:rPr>
      </w:pPr>
      <w:r w:rsidRPr="00E0349D">
        <w:rPr>
          <w:rFonts w:ascii="Garamond" w:hAnsi="Garamond"/>
        </w:rPr>
        <w:t xml:space="preserve">Drivers of global </w:t>
      </w:r>
      <w:r>
        <w:rPr>
          <w:rFonts w:ascii="Garamond" w:hAnsi="Garamond"/>
        </w:rPr>
        <w:t>activity</w:t>
      </w:r>
      <w:r w:rsidRPr="00E0349D">
        <w:rPr>
          <w:rFonts w:ascii="Garamond" w:hAnsi="Garamond"/>
        </w:rPr>
        <w:t xml:space="preserve"> have become increasingly broad</w:t>
      </w:r>
      <w:r>
        <w:rPr>
          <w:rFonts w:ascii="Garamond" w:hAnsi="Garamond"/>
        </w:rPr>
        <w:noBreakHyphen/>
      </w:r>
      <w:r w:rsidRPr="00E0349D">
        <w:rPr>
          <w:rFonts w:ascii="Garamond" w:hAnsi="Garamond"/>
        </w:rPr>
        <w:t xml:space="preserve">based and </w:t>
      </w:r>
      <w:r>
        <w:rPr>
          <w:rFonts w:ascii="Garamond" w:hAnsi="Garamond"/>
        </w:rPr>
        <w:t xml:space="preserve">more </w:t>
      </w:r>
      <w:r w:rsidRPr="00E0349D">
        <w:rPr>
          <w:rFonts w:ascii="Garamond" w:hAnsi="Garamond"/>
        </w:rPr>
        <w:t xml:space="preserve">closely synchronised </w:t>
      </w:r>
      <w:r>
        <w:rPr>
          <w:rFonts w:ascii="Garamond" w:hAnsi="Garamond"/>
        </w:rPr>
        <w:t xml:space="preserve">across advanced and emerging economies. </w:t>
      </w:r>
      <w:r w:rsidRPr="00E0349D">
        <w:rPr>
          <w:rFonts w:ascii="Garamond" w:hAnsi="Garamond"/>
        </w:rPr>
        <w:t xml:space="preserve">The cyclical upswing in </w:t>
      </w:r>
      <w:r>
        <w:rPr>
          <w:rFonts w:ascii="Garamond" w:hAnsi="Garamond"/>
        </w:rPr>
        <w:t>growth</w:t>
      </w:r>
      <w:r w:rsidRPr="00E0349D">
        <w:rPr>
          <w:rFonts w:ascii="Garamond" w:hAnsi="Garamond"/>
        </w:rPr>
        <w:t xml:space="preserve"> is expected to continue into 2018, supported by a pickup in investment and world trade. </w:t>
      </w:r>
    </w:p>
    <w:p w:rsidR="00F918C3" w:rsidRPr="009B6B0A" w:rsidRDefault="00F918C3" w:rsidP="009B6B0A">
      <w:pPr>
        <w:pStyle w:val="TableHeading"/>
        <w:rPr>
          <w:bCs/>
          <w:lang w:val="en-US"/>
        </w:rPr>
      </w:pPr>
      <w:r w:rsidRPr="00613A72">
        <w:t>Table 2.2:</w:t>
      </w:r>
      <w:r w:rsidRPr="00613A72">
        <w:tab/>
        <w:t xml:space="preserve">Summary of </w:t>
      </w:r>
      <w:r>
        <w:t>IMF’s global economic forecasts</w:t>
      </w:r>
      <w:r w:rsidRPr="00613A72">
        <w:rPr>
          <w:vertAlign w:val="superscript"/>
        </w:rPr>
        <w:t>(a)</w:t>
      </w:r>
      <w:r w:rsidRPr="00613A72">
        <w:tab/>
        <w:t>(per cent)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F918C3" w:rsidRPr="009B6B0A" w:rsidTr="009B6B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5" w:type="dxa"/>
            <w:tcBorders>
              <w:top w:val="single" w:sz="18" w:space="0" w:color="000000"/>
              <w:left w:val="nil"/>
              <w:bottom w:val="nil"/>
              <w:right w:val="nil"/>
            </w:tcBorders>
            <w:shd w:val="solid" w:color="000000" w:fill="auto"/>
          </w:tcPr>
          <w:p w:rsidR="00F918C3" w:rsidRPr="009B6B0A" w:rsidRDefault="00F918C3" w:rsidP="009B6B0A">
            <w:pPr>
              <w:autoSpaceDE w:val="0"/>
              <w:autoSpaceDN w:val="0"/>
              <w:adjustRightInd w:val="0"/>
              <w:rPr>
                <w:rFonts w:eastAsiaTheme="minorEastAsia" w:cs="Calibri"/>
                <w:iCs/>
                <w:color w:val="FFFFFF"/>
                <w:szCs w:val="20"/>
                <w:lang w:eastAsia="en-AU"/>
              </w:rPr>
            </w:pPr>
            <w:r w:rsidRPr="009B6B0A">
              <w:rPr>
                <w:rFonts w:eastAsiaTheme="minorEastAsia" w:cs="Calibri"/>
                <w:iCs/>
                <w:color w:val="FFFFFF"/>
                <w:szCs w:val="20"/>
                <w:lang w:eastAsia="en-AU"/>
              </w:rPr>
              <w:t xml:space="preserve"> </w:t>
            </w:r>
          </w:p>
        </w:tc>
        <w:tc>
          <w:tcPr>
            <w:tcW w:w="850" w:type="dxa"/>
            <w:tcBorders>
              <w:top w:val="single" w:sz="18" w:space="0" w:color="000000"/>
              <w:left w:val="nil"/>
              <w:bottom w:val="nil"/>
              <w:right w:val="nil"/>
            </w:tcBorders>
            <w:shd w:val="solid" w:color="000000" w:fill="auto"/>
          </w:tcPr>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2016</w:t>
            </w:r>
          </w:p>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actual</w:t>
            </w:r>
          </w:p>
        </w:tc>
        <w:tc>
          <w:tcPr>
            <w:tcW w:w="850" w:type="dxa"/>
            <w:tcBorders>
              <w:top w:val="single" w:sz="18" w:space="0" w:color="000000"/>
              <w:left w:val="nil"/>
              <w:bottom w:val="nil"/>
              <w:right w:val="nil"/>
            </w:tcBorders>
            <w:shd w:val="solid" w:color="000000" w:fill="auto"/>
          </w:tcPr>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2017</w:t>
            </w:r>
          </w:p>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estimate</w:t>
            </w:r>
          </w:p>
        </w:tc>
        <w:tc>
          <w:tcPr>
            <w:tcW w:w="850" w:type="dxa"/>
            <w:tcBorders>
              <w:top w:val="single" w:sz="18" w:space="0" w:color="000000"/>
              <w:left w:val="nil"/>
              <w:bottom w:val="nil"/>
              <w:right w:val="nil"/>
            </w:tcBorders>
            <w:shd w:val="solid" w:color="000000" w:fill="auto"/>
          </w:tcPr>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2018</w:t>
            </w:r>
          </w:p>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projection</w:t>
            </w:r>
          </w:p>
        </w:tc>
        <w:tc>
          <w:tcPr>
            <w:tcW w:w="850" w:type="dxa"/>
            <w:tcBorders>
              <w:top w:val="single" w:sz="18" w:space="0" w:color="000000"/>
              <w:left w:val="nil"/>
              <w:bottom w:val="nil"/>
              <w:right w:val="nil"/>
            </w:tcBorders>
            <w:shd w:val="solid" w:color="000000" w:fill="auto"/>
          </w:tcPr>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2019</w:t>
            </w:r>
          </w:p>
          <w:p w:rsidR="00F918C3" w:rsidRPr="009B6B0A" w:rsidRDefault="00F918C3" w:rsidP="009B6B0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9B6B0A">
              <w:rPr>
                <w:rFonts w:eastAsiaTheme="minorEastAsia" w:cs="Calibri"/>
                <w:iCs/>
                <w:color w:val="FFFFFF"/>
                <w:szCs w:val="20"/>
                <w:lang w:eastAsia="en-AU"/>
              </w:rPr>
              <w:t>projection</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b/>
                <w:bCs/>
                <w:color w:val="000000"/>
                <w:szCs w:val="20"/>
                <w:lang w:eastAsia="en-AU"/>
              </w:rPr>
            </w:pPr>
            <w:r w:rsidRPr="009B6B0A">
              <w:rPr>
                <w:rFonts w:eastAsiaTheme="minorEastAsia" w:cs="Calibri"/>
                <w:b/>
                <w:bCs/>
                <w:color w:val="000000"/>
                <w:szCs w:val="20"/>
                <w:lang w:eastAsia="en-AU"/>
              </w:rPr>
              <w:t>World output</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3.2</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3.8</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3.9</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3.9</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b/>
                <w:bCs/>
                <w:color w:val="000000"/>
                <w:szCs w:val="20"/>
                <w:lang w:eastAsia="en-AU"/>
              </w:rPr>
            </w:pPr>
            <w:r w:rsidRPr="009B6B0A">
              <w:rPr>
                <w:rFonts w:eastAsiaTheme="minorEastAsia" w:cs="Calibri"/>
                <w:b/>
                <w:bCs/>
                <w:color w:val="000000"/>
                <w:szCs w:val="20"/>
                <w:lang w:eastAsia="en-AU"/>
              </w:rPr>
              <w:t>Advanced economies</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1.7</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2.3</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2.5</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2.2</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color w:val="000000"/>
                <w:szCs w:val="20"/>
                <w:lang w:eastAsia="en-AU"/>
              </w:rPr>
              <w:t xml:space="preserve">     United States</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1.5</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2.3</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2.9</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2.7</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color w:val="000000"/>
                <w:szCs w:val="20"/>
                <w:lang w:eastAsia="en-AU"/>
              </w:rPr>
              <w:t xml:space="preserve">     Euro area</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1.8</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2.3</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2.4</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2.0</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color w:val="000000"/>
                <w:szCs w:val="20"/>
                <w:lang w:eastAsia="en-AU"/>
              </w:rPr>
              <w:t xml:space="preserve">     Japan</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0.9</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1.7</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1.2</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0.9</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b/>
                <w:bCs/>
                <w:color w:val="000000"/>
                <w:szCs w:val="20"/>
                <w:lang w:eastAsia="en-AU"/>
              </w:rPr>
            </w:pPr>
            <w:r w:rsidRPr="009B6B0A">
              <w:rPr>
                <w:rFonts w:eastAsiaTheme="minorEastAsia" w:cs="Calibri"/>
                <w:b/>
                <w:bCs/>
                <w:color w:val="000000"/>
                <w:szCs w:val="20"/>
                <w:lang w:eastAsia="en-AU"/>
              </w:rPr>
              <w:t>Emerging market and developing economies</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4.4</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4.8</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4.9</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9B6B0A">
              <w:rPr>
                <w:rFonts w:eastAsiaTheme="minorEastAsia" w:cs="Calibri"/>
                <w:b/>
                <w:bCs/>
                <w:color w:val="000000"/>
                <w:szCs w:val="20"/>
                <w:lang w:eastAsia="en-AU"/>
              </w:rPr>
              <w:t>5.1</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color w:val="000000"/>
                <w:szCs w:val="20"/>
                <w:lang w:eastAsia="en-AU"/>
              </w:rPr>
              <w:t xml:space="preserve">     China</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6.7</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6.9</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6.6</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6.4</w:t>
            </w:r>
          </w:p>
        </w:tc>
      </w:tr>
      <w:tr w:rsidR="00F918C3" w:rsidRPr="009B6B0A" w:rsidTr="009B6B0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color w:val="000000"/>
                <w:szCs w:val="20"/>
                <w:lang w:eastAsia="en-AU"/>
              </w:rPr>
              <w:t xml:space="preserve">     India</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7.1</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6.7</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7.4</w:t>
            </w:r>
          </w:p>
        </w:tc>
        <w:tc>
          <w:tcPr>
            <w:tcW w:w="850" w:type="dxa"/>
            <w:tcBorders>
              <w:top w:val="nil"/>
              <w:left w:val="nil"/>
              <w:bottom w:val="nil"/>
              <w:right w:val="nil"/>
            </w:tcBorders>
            <w:shd w:val="solid" w:color="FFFFFF" w:fill="auto"/>
          </w:tcPr>
          <w:p w:rsidR="00F918C3" w:rsidRPr="009B6B0A" w:rsidRDefault="00F918C3" w:rsidP="009B6B0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9B6B0A">
              <w:rPr>
                <w:rFonts w:eastAsiaTheme="minorEastAsia" w:cs="Calibri"/>
                <w:color w:val="000000"/>
                <w:szCs w:val="20"/>
                <w:lang w:eastAsia="en-AU"/>
              </w:rPr>
              <w:t>7.8</w:t>
            </w:r>
          </w:p>
        </w:tc>
      </w:tr>
      <w:tr w:rsidR="00F918C3" w:rsidRPr="009B6B0A" w:rsidTr="009B6B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12" w:space="0" w:color="auto"/>
            </w:tcBorders>
            <w:shd w:val="solid" w:color="FFFFFF" w:fill="auto"/>
          </w:tcPr>
          <w:p w:rsidR="00F918C3" w:rsidRPr="009B6B0A" w:rsidRDefault="00F918C3" w:rsidP="009B6B0A">
            <w:pPr>
              <w:keepLines w:val="0"/>
              <w:autoSpaceDE w:val="0"/>
              <w:autoSpaceDN w:val="0"/>
              <w:adjustRightInd w:val="0"/>
              <w:rPr>
                <w:rFonts w:eastAsiaTheme="minorEastAsia" w:cs="Calibri"/>
                <w:color w:val="000000"/>
                <w:szCs w:val="20"/>
                <w:lang w:eastAsia="en-AU"/>
              </w:rPr>
            </w:pPr>
            <w:r w:rsidRPr="009B6B0A">
              <w:rPr>
                <w:rFonts w:eastAsiaTheme="minorEastAsia" w:cs="Calibri"/>
                <w:bCs/>
                <w:color w:val="000000"/>
                <w:szCs w:val="20"/>
                <w:lang w:eastAsia="en-AU"/>
              </w:rPr>
              <w:t xml:space="preserve">ASEAN </w:t>
            </w:r>
            <w:r w:rsidRPr="009B6B0A">
              <w:rPr>
                <w:rFonts w:eastAsiaTheme="minorEastAsia" w:cs="Arial"/>
                <w:bCs/>
                <w:color w:val="000000"/>
                <w:szCs w:val="20"/>
                <w:lang w:eastAsia="en-AU"/>
              </w:rPr>
              <w:t xml:space="preserve">– </w:t>
            </w:r>
            <w:r w:rsidRPr="009B6B0A">
              <w:rPr>
                <w:rFonts w:eastAsiaTheme="minorEastAsia" w:cs="Calibri"/>
                <w:bCs/>
                <w:color w:val="000000"/>
                <w:szCs w:val="20"/>
                <w:lang w:eastAsia="en-AU"/>
              </w:rPr>
              <w:t xml:space="preserve">5 </w:t>
            </w:r>
            <w:r w:rsidRPr="009B6B0A">
              <w:rPr>
                <w:rFonts w:eastAsiaTheme="minorEastAsia" w:cs="Calibri"/>
                <w:color w:val="000000"/>
                <w:szCs w:val="20"/>
                <w:vertAlign w:val="superscript"/>
                <w:lang w:eastAsia="en-AU"/>
              </w:rPr>
              <w:t>(b)</w:t>
            </w:r>
          </w:p>
        </w:tc>
        <w:tc>
          <w:tcPr>
            <w:tcW w:w="850" w:type="dxa"/>
            <w:tcBorders>
              <w:top w:val="nil"/>
              <w:bottom w:val="single" w:sz="12" w:space="0" w:color="auto"/>
            </w:tcBorders>
            <w:shd w:val="solid" w:color="FFFFFF" w:fill="auto"/>
          </w:tcPr>
          <w:p w:rsidR="00F918C3" w:rsidRPr="009B6B0A" w:rsidRDefault="00F918C3" w:rsidP="009B6B0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B6B0A">
              <w:rPr>
                <w:rFonts w:eastAsiaTheme="minorEastAsia" w:cs="Calibri"/>
                <w:bCs/>
                <w:color w:val="000000"/>
                <w:szCs w:val="20"/>
                <w:lang w:eastAsia="en-AU"/>
              </w:rPr>
              <w:t>5.0</w:t>
            </w:r>
          </w:p>
        </w:tc>
        <w:tc>
          <w:tcPr>
            <w:tcW w:w="850" w:type="dxa"/>
            <w:tcBorders>
              <w:top w:val="nil"/>
              <w:bottom w:val="single" w:sz="12" w:space="0" w:color="auto"/>
            </w:tcBorders>
            <w:shd w:val="solid" w:color="FFFFFF" w:fill="auto"/>
          </w:tcPr>
          <w:p w:rsidR="00F918C3" w:rsidRPr="009B6B0A" w:rsidRDefault="00F918C3" w:rsidP="009B6B0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B6B0A">
              <w:rPr>
                <w:rFonts w:eastAsiaTheme="minorEastAsia" w:cs="Calibri"/>
                <w:bCs/>
                <w:color w:val="000000"/>
                <w:szCs w:val="20"/>
                <w:lang w:eastAsia="en-AU"/>
              </w:rPr>
              <w:t>5.3</w:t>
            </w:r>
          </w:p>
        </w:tc>
        <w:tc>
          <w:tcPr>
            <w:tcW w:w="850" w:type="dxa"/>
            <w:tcBorders>
              <w:top w:val="nil"/>
              <w:bottom w:val="single" w:sz="12" w:space="0" w:color="auto"/>
            </w:tcBorders>
            <w:shd w:val="solid" w:color="FFFFFF" w:fill="auto"/>
          </w:tcPr>
          <w:p w:rsidR="00F918C3" w:rsidRPr="009B6B0A" w:rsidRDefault="00F918C3" w:rsidP="009B6B0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B6B0A">
              <w:rPr>
                <w:rFonts w:eastAsiaTheme="minorEastAsia" w:cs="Calibri"/>
                <w:bCs/>
                <w:color w:val="000000"/>
                <w:szCs w:val="20"/>
                <w:lang w:eastAsia="en-AU"/>
              </w:rPr>
              <w:t>5.3</w:t>
            </w:r>
          </w:p>
        </w:tc>
        <w:tc>
          <w:tcPr>
            <w:tcW w:w="850" w:type="dxa"/>
            <w:tcBorders>
              <w:top w:val="nil"/>
              <w:bottom w:val="single" w:sz="12" w:space="0" w:color="auto"/>
            </w:tcBorders>
            <w:shd w:val="solid" w:color="FFFFFF" w:fill="auto"/>
          </w:tcPr>
          <w:p w:rsidR="00F918C3" w:rsidRPr="009B6B0A" w:rsidRDefault="00F918C3" w:rsidP="009B6B0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B6B0A">
              <w:rPr>
                <w:rFonts w:eastAsiaTheme="minorEastAsia" w:cs="Calibri"/>
                <w:bCs/>
                <w:color w:val="000000"/>
                <w:szCs w:val="20"/>
                <w:lang w:eastAsia="en-AU"/>
              </w:rPr>
              <w:t>5.4</w:t>
            </w:r>
          </w:p>
        </w:tc>
      </w:tr>
    </w:tbl>
    <w:p w:rsidR="00F918C3" w:rsidRPr="00F433C2" w:rsidRDefault="00F918C3" w:rsidP="008257B2">
      <w:pPr>
        <w:pStyle w:val="Source"/>
        <w:rPr>
          <w:b/>
          <w:bCs/>
          <w:lang w:val="en-US"/>
        </w:rPr>
      </w:pPr>
      <w:r w:rsidRPr="001631AE">
        <w:t>Source: International Monetary Fund</w:t>
      </w:r>
      <w:r>
        <w:fldChar w:fldCharType="begin"/>
      </w:r>
      <w:r>
        <w:instrText xml:space="preserve"> XE "</w:instrText>
      </w:r>
      <w:r w:rsidRPr="00D02DCA">
        <w:instrText>International Monetary Fund</w:instrText>
      </w:r>
      <w:r>
        <w:instrText xml:space="preserve">" </w:instrText>
      </w:r>
      <w:r>
        <w:fldChar w:fldCharType="end"/>
      </w:r>
      <w:r w:rsidRPr="001631AE">
        <w:t>’s World Economic Outlook</w:t>
      </w:r>
      <w:r>
        <w:t>, April 2018</w:t>
      </w:r>
      <w:r w:rsidRPr="001631AE">
        <w:t xml:space="preserve">. </w:t>
      </w:r>
    </w:p>
    <w:p w:rsidR="00F918C3" w:rsidRPr="001631AE" w:rsidRDefault="00F918C3" w:rsidP="007A7CC2">
      <w:pPr>
        <w:pStyle w:val="Note"/>
      </w:pPr>
      <w:r w:rsidRPr="001631AE">
        <w:t xml:space="preserve">Notes: </w:t>
      </w:r>
    </w:p>
    <w:p w:rsidR="00F918C3" w:rsidRPr="001631AE" w:rsidRDefault="00F918C3" w:rsidP="007A7CC2">
      <w:pPr>
        <w:pStyle w:val="Note"/>
      </w:pPr>
      <w:r>
        <w:t>(a)</w:t>
      </w:r>
      <w:r>
        <w:tab/>
      </w:r>
      <w:r w:rsidRPr="001631AE">
        <w:t>Not all countries or regions are listed in the table.</w:t>
      </w:r>
    </w:p>
    <w:p w:rsidR="00F918C3" w:rsidRDefault="00F918C3" w:rsidP="007A7CC2">
      <w:pPr>
        <w:pStyle w:val="Note"/>
      </w:pPr>
      <w:r>
        <w:t>(b)</w:t>
      </w:r>
      <w:r>
        <w:tab/>
        <w:t>ASEAN</w:t>
      </w:r>
      <w:r>
        <w:noBreakHyphen/>
      </w:r>
      <w:r w:rsidRPr="001631AE">
        <w:t xml:space="preserve">5 economies are Indonesia, Malaysia, </w:t>
      </w:r>
      <w:r>
        <w:t xml:space="preserve">The </w:t>
      </w:r>
      <w:r w:rsidRPr="001631AE">
        <w:t xml:space="preserve">Philippines, Thailand and Vietnam. </w:t>
      </w:r>
    </w:p>
    <w:p w:rsidR="00F918C3" w:rsidRPr="001631AE" w:rsidRDefault="00F918C3" w:rsidP="007A7CC2">
      <w:pPr>
        <w:pStyle w:val="Note"/>
      </w:pPr>
    </w:p>
    <w:p w:rsidR="00C64B72" w:rsidRDefault="00C64B72">
      <w:pPr>
        <w:keepLines w:val="0"/>
        <w:rPr>
          <w:rFonts w:ascii="Garamond" w:hAnsi="Garamond"/>
        </w:rPr>
      </w:pPr>
      <w:r>
        <w:rPr>
          <w:rFonts w:ascii="Garamond" w:hAnsi="Garamond"/>
        </w:rPr>
        <w:br w:type="page"/>
      </w:r>
    </w:p>
    <w:p w:rsidR="00F918C3" w:rsidRDefault="00F918C3" w:rsidP="007A7CC2">
      <w:pPr>
        <w:rPr>
          <w:rFonts w:ascii="Garamond" w:hAnsi="Garamond"/>
        </w:rPr>
      </w:pPr>
      <w:r>
        <w:rPr>
          <w:rFonts w:ascii="Garamond" w:hAnsi="Garamond"/>
        </w:rPr>
        <w:t>Expansion in</w:t>
      </w:r>
      <w:r w:rsidRPr="00E0349D">
        <w:rPr>
          <w:rFonts w:ascii="Garamond" w:hAnsi="Garamond"/>
        </w:rPr>
        <w:t xml:space="preserve"> the advanced economies is projected to accelerate modestly due to higher growth in the </w:t>
      </w:r>
      <w:r>
        <w:rPr>
          <w:rFonts w:ascii="Garamond" w:hAnsi="Garamond"/>
        </w:rPr>
        <w:t>United States</w:t>
      </w:r>
      <w:r w:rsidRPr="00E0349D">
        <w:rPr>
          <w:rFonts w:ascii="Garamond" w:hAnsi="Garamond"/>
        </w:rPr>
        <w:t xml:space="preserve">. </w:t>
      </w:r>
      <w:r>
        <w:rPr>
          <w:rFonts w:ascii="Garamond" w:hAnsi="Garamond"/>
        </w:rPr>
        <w:t xml:space="preserve">Activity </w:t>
      </w:r>
      <w:r w:rsidRPr="00E0349D">
        <w:rPr>
          <w:rFonts w:ascii="Garamond" w:hAnsi="Garamond"/>
        </w:rPr>
        <w:t xml:space="preserve">in emerging market and developing economies is </w:t>
      </w:r>
      <w:r>
        <w:rPr>
          <w:rFonts w:ascii="Garamond" w:hAnsi="Garamond"/>
        </w:rPr>
        <w:t>forecast</w:t>
      </w:r>
      <w:r w:rsidRPr="00E0349D">
        <w:rPr>
          <w:rFonts w:ascii="Garamond" w:hAnsi="Garamond"/>
        </w:rPr>
        <w:t xml:space="preserve"> to </w:t>
      </w:r>
      <w:r>
        <w:rPr>
          <w:rFonts w:ascii="Garamond" w:hAnsi="Garamond"/>
        </w:rPr>
        <w:t xml:space="preserve">improve over the next three years. This is in spite of </w:t>
      </w:r>
      <w:r w:rsidRPr="00E0349D">
        <w:rPr>
          <w:rFonts w:ascii="Garamond" w:hAnsi="Garamond"/>
        </w:rPr>
        <w:t>moderat</w:t>
      </w:r>
      <w:r>
        <w:rPr>
          <w:rFonts w:ascii="Garamond" w:hAnsi="Garamond"/>
        </w:rPr>
        <w:t>ing</w:t>
      </w:r>
      <w:r w:rsidRPr="00E0349D">
        <w:rPr>
          <w:rFonts w:ascii="Garamond" w:hAnsi="Garamond"/>
        </w:rPr>
        <w:t xml:space="preserve"> growth in China. </w:t>
      </w:r>
    </w:p>
    <w:p w:rsidR="00F918C3" w:rsidRPr="00E0349D" w:rsidRDefault="00F918C3" w:rsidP="007A7CC2">
      <w:pPr>
        <w:rPr>
          <w:rFonts w:ascii="Garamond" w:hAnsi="Garamond"/>
        </w:rPr>
      </w:pPr>
      <w:r>
        <w:rPr>
          <w:rFonts w:ascii="Garamond" w:hAnsi="Garamond"/>
        </w:rPr>
        <w:t>Beyond the next couple of years, global growth is projected to soften once output gaps close and most advanced economies return to post</w:t>
      </w:r>
      <w:r>
        <w:rPr>
          <w:rFonts w:ascii="Garamond" w:hAnsi="Garamond"/>
        </w:rPr>
        <w:noBreakHyphen/>
        <w:t>crisis potential growth rates, affected by ageing populations and subdued productivity growth.</w:t>
      </w:r>
      <w:r w:rsidRPr="00D251A6">
        <w:t xml:space="preserve"> </w:t>
      </w:r>
      <w:r>
        <w:fldChar w:fldCharType="begin"/>
      </w:r>
      <w:r>
        <w:instrText xml:space="preserve"> XE "</w:instrText>
      </w:r>
      <w:r w:rsidRPr="00D02DCA">
        <w:instrText>Economic conditions:International</w:instrText>
      </w:r>
      <w:r>
        <w:instrText xml:space="preserve">" </w:instrText>
      </w:r>
      <w:r>
        <w:fldChar w:fldCharType="end"/>
      </w:r>
    </w:p>
    <w:p w:rsidR="00F918C3" w:rsidRDefault="00F918C3" w:rsidP="007A7CC2">
      <w:pPr>
        <w:pStyle w:val="Heading10"/>
      </w:pPr>
      <w:bookmarkStart w:id="33" w:name="_Toc512629759"/>
      <w:bookmarkStart w:id="34" w:name="BP2Ch2Risks"/>
      <w:bookmarkStart w:id="35" w:name="BP2Ch2GrossStateProduct2"/>
      <w:r w:rsidRPr="000D332F">
        <w:t>Risks to the outlook</w:t>
      </w:r>
      <w:bookmarkEnd w:id="33"/>
    </w:p>
    <w:p w:rsidR="00F918C3" w:rsidRDefault="00F918C3" w:rsidP="00E64DD7">
      <w:pPr>
        <w:rPr>
          <w:rFonts w:ascii="Garamond" w:hAnsi="Garamond"/>
        </w:rPr>
      </w:pPr>
      <w:r>
        <w:rPr>
          <w:rFonts w:ascii="Garamond" w:hAnsi="Garamond"/>
        </w:rPr>
        <w:t>The risks to Victoria’s economic outlook are balanced. On the upside, faster than expected wages growth combined with favourable employment conditions would support consumption growth in the near term. Persistent strength in population growth or a higher participation rate could lead to higher employment and GSP growth.</w:t>
      </w:r>
    </w:p>
    <w:p w:rsidR="00F918C3" w:rsidRPr="008110CF" w:rsidRDefault="00F918C3" w:rsidP="00A84394">
      <w:pPr>
        <w:rPr>
          <w:rFonts w:ascii="Garamond" w:hAnsi="Garamond"/>
        </w:rPr>
      </w:pPr>
      <w:r>
        <w:rPr>
          <w:rFonts w:ascii="Garamond" w:hAnsi="Garamond"/>
        </w:rPr>
        <w:t xml:space="preserve">While the </w:t>
      </w:r>
      <w:r>
        <w:rPr>
          <w:rFonts w:ascii="Garamond" w:hAnsi="Garamond"/>
          <w:i/>
        </w:rPr>
        <w:t>2018</w:t>
      </w:r>
      <w:r>
        <w:rPr>
          <w:rFonts w:ascii="Garamond" w:hAnsi="Garamond"/>
          <w:i/>
        </w:rPr>
        <w:noBreakHyphen/>
        <w:t>19 Budget</w:t>
      </w:r>
      <w:r>
        <w:rPr>
          <w:rFonts w:ascii="Garamond" w:hAnsi="Garamond"/>
        </w:rPr>
        <w:t xml:space="preserve"> forecasts a moderating labour force participation rate, it is possible that the structural </w:t>
      </w:r>
      <w:r w:rsidRPr="00816947">
        <w:rPr>
          <w:rFonts w:ascii="Garamond" w:hAnsi="Garamond"/>
        </w:rPr>
        <w:t xml:space="preserve">drivers of higher female participation and delayed retirement could offset an expected weakening in the number of workers seeking employment. A larger labour force would contain pressures on wages and production costs, easing pressure on consumer prices. The boost to final demand and more contained wages growth could also stimulate employment, improve the productivity of capital and result in higher investment and </w:t>
      </w:r>
      <w:r w:rsidRPr="00816947">
        <w:rPr>
          <w:rFonts w:ascii="Garamond" w:eastAsia="Garamond" w:hAnsi="Garamond" w:cs="Times New Roman"/>
        </w:rPr>
        <w:t>GSP growth.</w:t>
      </w:r>
      <w:r w:rsidRPr="00816947">
        <w:rPr>
          <w:rFonts w:ascii="Garamond" w:hAnsi="Garamond"/>
        </w:rPr>
        <w:t xml:space="preserve"> See Appendix A </w:t>
      </w:r>
      <w:r w:rsidRPr="00816947">
        <w:rPr>
          <w:rFonts w:ascii="Garamond" w:hAnsi="Garamond"/>
          <w:i/>
        </w:rPr>
        <w:t>Sensitivity Analysis</w:t>
      </w:r>
      <w:r w:rsidRPr="00816947">
        <w:rPr>
          <w:rFonts w:ascii="Garamond" w:hAnsi="Garamond"/>
        </w:rPr>
        <w:t xml:space="preserve"> for further information on the estimated fiscal impact of a higher labour force participation</w:t>
      </w:r>
      <w:r w:rsidRPr="00DF0855">
        <w:rPr>
          <w:rFonts w:ascii="Garamond" w:hAnsi="Garamond"/>
        </w:rPr>
        <w:t xml:space="preserve"> rate.</w:t>
      </w:r>
      <w:r w:rsidRPr="008110CF">
        <w:rPr>
          <w:rFonts w:ascii="Garamond" w:hAnsi="Garamond"/>
        </w:rPr>
        <w:t xml:space="preserve"> </w:t>
      </w:r>
    </w:p>
    <w:p w:rsidR="00F918C3" w:rsidRPr="008110CF" w:rsidRDefault="00F918C3" w:rsidP="00A84394">
      <w:pPr>
        <w:rPr>
          <w:rFonts w:ascii="Garamond" w:hAnsi="Garamond"/>
        </w:rPr>
      </w:pPr>
      <w:r>
        <w:rPr>
          <w:rFonts w:ascii="Garamond" w:hAnsi="Garamond"/>
        </w:rPr>
        <w:t>On the downside, continued weakness in income growth may constrain households’ ability to maintain spending patterns. A further moderation of activity in dwelling investment, prompted by a rise in interest rates or a general economic downturn, could lead to weaker household sentiment, lower consumption and slower growth in employment, wages</w:t>
      </w:r>
      <w:r w:rsidRPr="00810B8D">
        <w:rPr>
          <w:rFonts w:ascii="Garamond" w:hAnsi="Garamond"/>
        </w:rPr>
        <w:t xml:space="preserve"> </w:t>
      </w:r>
      <w:r>
        <w:rPr>
          <w:rFonts w:ascii="Garamond" w:hAnsi="Garamond"/>
        </w:rPr>
        <w:t xml:space="preserve">and real GSP. </w:t>
      </w:r>
      <w:r w:rsidRPr="008110CF">
        <w:rPr>
          <w:rFonts w:ascii="Garamond" w:hAnsi="Garamond"/>
        </w:rPr>
        <w:t>See Appendix A </w:t>
      </w:r>
      <w:r>
        <w:rPr>
          <w:rFonts w:ascii="Garamond" w:hAnsi="Garamond"/>
          <w:i/>
        </w:rPr>
        <w:t>Sensitivity Analysis</w:t>
      </w:r>
      <w:r w:rsidRPr="008110CF">
        <w:rPr>
          <w:rFonts w:ascii="Garamond" w:hAnsi="Garamond"/>
        </w:rPr>
        <w:t xml:space="preserve"> for further information on the estimated fiscal </w:t>
      </w:r>
      <w:r w:rsidRPr="00B653B4">
        <w:rPr>
          <w:rFonts w:ascii="Garamond" w:hAnsi="Garamond"/>
        </w:rPr>
        <w:t>impact of a greater than expected moderation in consumption and dwelling investment.</w:t>
      </w:r>
    </w:p>
    <w:p w:rsidR="00F918C3" w:rsidRDefault="00F918C3" w:rsidP="00DD2E55">
      <w:pPr>
        <w:rPr>
          <w:rFonts w:ascii="Garamond" w:hAnsi="Garamond"/>
        </w:rPr>
      </w:pPr>
      <w:r>
        <w:rPr>
          <w:rFonts w:ascii="Garamond" w:hAnsi="Garamond"/>
        </w:rPr>
        <w:t xml:space="preserve">Global economic and policy risks are broadly balanced with key </w:t>
      </w:r>
      <w:r w:rsidRPr="006F2600">
        <w:rPr>
          <w:rFonts w:ascii="Garamond" w:hAnsi="Garamond"/>
        </w:rPr>
        <w:t>downside risks relating to</w:t>
      </w:r>
      <w:r>
        <w:rPr>
          <w:rFonts w:ascii="Garamond" w:hAnsi="Garamond"/>
        </w:rPr>
        <w:t xml:space="preserve"> rising protectionist sentiment and financial market volatility. </w:t>
      </w:r>
    </w:p>
    <w:p w:rsidR="006371F3" w:rsidRDefault="00F918C3" w:rsidP="007B2484">
      <w:pPr>
        <w:rPr>
          <w:rFonts w:ascii="Garamond" w:hAnsi="Garamond"/>
        </w:rPr>
      </w:pPr>
      <w:r>
        <w:rPr>
          <w:rFonts w:ascii="Garamond" w:hAnsi="Garamond"/>
        </w:rPr>
        <w:t>In the domestic economy, the outlook for overall business investment is improving while the timing and pace of the recovery in non</w:t>
      </w:r>
      <w:r>
        <w:rPr>
          <w:rFonts w:ascii="Garamond" w:hAnsi="Garamond"/>
        </w:rPr>
        <w:noBreakHyphen/>
        <w:t>mining business investment remains uncertain. Other downside risks stem from the impact of higher interest rates on the exchange rate and household consumption.</w:t>
      </w:r>
    </w:p>
    <w:p w:rsidR="006371F3" w:rsidRDefault="006371F3" w:rsidP="007B2484">
      <w:pPr>
        <w:rPr>
          <w:rFonts w:ascii="Garamond" w:hAnsi="Garamond"/>
        </w:rPr>
      </w:pPr>
    </w:p>
    <w:p w:rsidR="006371F3" w:rsidRDefault="006371F3">
      <w:pPr>
        <w:keepLines w:val="0"/>
        <w:rPr>
          <w:rFonts w:ascii="Garamond" w:hAnsi="Garamond"/>
        </w:rPr>
      </w:pPr>
      <w:r>
        <w:rPr>
          <w:rFonts w:ascii="Garamond" w:hAnsi="Garamond"/>
        </w:rPr>
        <w:br w:type="page"/>
      </w:r>
    </w:p>
    <w:p w:rsidR="00F918C3" w:rsidRDefault="00F918C3" w:rsidP="007B2484">
      <w:pPr>
        <w:rPr>
          <w:rFonts w:ascii="Garamond" w:hAnsi="Garamond"/>
        </w:rPr>
      </w:pPr>
      <w:r w:rsidRPr="00D251A6">
        <w:t xml:space="preserve"> </w:t>
      </w:r>
      <w:r>
        <w:fldChar w:fldCharType="begin"/>
      </w:r>
      <w:r>
        <w:instrText xml:space="preserve"> XE "Risks" \r "BP2Ch2Risks" </w:instrText>
      </w:r>
      <w:r>
        <w:fldChar w:fldCharType="end"/>
      </w:r>
      <w:r>
        <w:fldChar w:fldCharType="begin"/>
      </w:r>
      <w:r>
        <w:instrText xml:space="preserve"> XE "</w:instrText>
      </w:r>
      <w:r w:rsidRPr="005B6BD6">
        <w:instrText>Gross state product</w:instrText>
      </w:r>
      <w:r>
        <w:instrText xml:space="preserve">" \r "BP2Ch2GrossStateProduct2" </w:instrText>
      </w:r>
      <w:r>
        <w:fldChar w:fldCharType="end"/>
      </w:r>
      <w:bookmarkEnd w:id="34"/>
      <w:r>
        <w:rPr>
          <w:rFonts w:ascii="Garamond" w:hAnsi="Garamond"/>
        </w:rPr>
        <w:t xml:space="preserve"> </w:t>
      </w:r>
    </w:p>
    <w:bookmarkEnd w:id="35"/>
    <w:p w:rsidR="00F918C3" w:rsidRDefault="00F918C3" w:rsidP="001C67B7">
      <w:pPr>
        <w:keepLines w:val="0"/>
        <w:rPr>
          <w:rFonts w:ascii="Garamond" w:hAnsi="Garamond"/>
        </w:rPr>
      </w:pPr>
    </w:p>
    <w:p w:rsidR="00F918C3" w:rsidRPr="000367B1" w:rsidRDefault="00F918C3" w:rsidP="00006B4B">
      <w:pPr>
        <w:keepLines w:val="0"/>
        <w:rPr>
          <w:rFonts w:ascii="Garamond" w:hAnsi="Garamond"/>
        </w:rPr>
      </w:pPr>
    </w:p>
    <w:p w:rsidR="00F918C3" w:rsidRDefault="00F918C3" w:rsidP="00B942A3">
      <w:pPr>
        <w:sectPr w:rsidR="00F918C3" w:rsidSect="00AC3BBB">
          <w:footerReference w:type="even" r:id="rId32"/>
          <w:footerReference w:type="default" r:id="rId33"/>
          <w:footerReference w:type="first" r:id="rId34"/>
          <w:type w:val="oddPage"/>
          <w:pgSz w:w="9979" w:h="14175" w:code="34"/>
          <w:pgMar w:top="850" w:right="1138" w:bottom="850" w:left="1138" w:header="619" w:footer="562" w:gutter="0"/>
          <w:cols w:sep="1" w:space="567"/>
          <w:docGrid w:linePitch="360"/>
        </w:sectPr>
      </w:pPr>
    </w:p>
    <w:p w:rsidR="00F918C3" w:rsidRPr="00BB71B2" w:rsidRDefault="00F918C3" w:rsidP="00BB71B2">
      <w:pPr>
        <w:pStyle w:val="ChapterHeading0"/>
      </w:pPr>
      <w:bookmarkStart w:id="37" w:name="_Toc512629760"/>
      <w:r>
        <w:t>Chapter 3 – Investing in</w:t>
      </w:r>
      <w:r w:rsidRPr="00BB71B2">
        <w:t xml:space="preserve"> Victorian skills</w:t>
      </w:r>
      <w:r>
        <w:t xml:space="preserve"> for jobs</w:t>
      </w:r>
      <w:bookmarkEnd w:id="37"/>
    </w:p>
    <w:p w:rsidR="00F918C3" w:rsidRPr="00231EB6" w:rsidRDefault="00F918C3" w:rsidP="001F0D7B">
      <w:pPr>
        <w:pStyle w:val="HighlightBoxBullet"/>
      </w:pPr>
      <w:bookmarkStart w:id="38" w:name="_Toc442780672"/>
      <w:r>
        <w:t>The Victorian economy is growing strongly and demand for skilled workers is high. Victoria</w:t>
      </w:r>
      <w:r w:rsidRPr="009029C1">
        <w:t xml:space="preserve"> </w:t>
      </w:r>
      <w:r>
        <w:t>is experiencing one of the longest periods of above</w:t>
      </w:r>
      <w:r>
        <w:noBreakHyphen/>
        <w:t>trend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t xml:space="preserve"> in the past 25 </w:t>
      </w:r>
      <w:r w:rsidRPr="00231EB6">
        <w:t>years.</w:t>
      </w:r>
    </w:p>
    <w:p w:rsidR="00F918C3" w:rsidRDefault="00F918C3" w:rsidP="001F0D7B">
      <w:pPr>
        <w:pStyle w:val="HighlightBoxBullet"/>
      </w:pPr>
      <w:r w:rsidRPr="00231EB6">
        <w:rPr>
          <w:color w:val="000000" w:themeColor="text1"/>
        </w:rPr>
        <w:t>Nearly 65 </w:t>
      </w:r>
      <w:r w:rsidRPr="00231EB6">
        <w:t>per cent of working-age Victorians now hold a post</w:t>
      </w:r>
      <w:r w:rsidRPr="00231EB6">
        <w:noBreakHyphen/>
        <w:t xml:space="preserve">school qualification – the highest among the states, and up from </w:t>
      </w:r>
      <w:r w:rsidRPr="00231EB6">
        <w:rPr>
          <w:color w:val="000000" w:themeColor="text1"/>
        </w:rPr>
        <w:t>55 per </w:t>
      </w:r>
      <w:r w:rsidRPr="00231EB6">
        <w:t>cent</w:t>
      </w:r>
      <w:r>
        <w:t xml:space="preserve"> a decade ago.</w:t>
      </w:r>
      <w:r w:rsidRPr="009029C1">
        <w:t xml:space="preserve"> </w:t>
      </w:r>
      <w:r>
        <w:t>This translates into better outcomes for Victorians, with skilled workers more likely to participate in the labour force.</w:t>
      </w:r>
    </w:p>
    <w:p w:rsidR="00F918C3" w:rsidRPr="000633FC" w:rsidRDefault="00F918C3" w:rsidP="001F0D7B">
      <w:pPr>
        <w:pStyle w:val="HighlightBoxBullet"/>
      </w:pPr>
      <w:r w:rsidRPr="000633FC">
        <w:t xml:space="preserve">The benefits of acquiring skills to provide access to the </w:t>
      </w:r>
      <w:r>
        <w:t>security and dignity of a job are</w:t>
      </w:r>
      <w:r w:rsidRPr="000633FC">
        <w:t xml:space="preserve"> clear. The unemployment rate of workers whose highest education level is secondary school or Certificate I is almost double the unemployment rate of the rest of the workforce.</w:t>
      </w:r>
    </w:p>
    <w:p w:rsidR="00F918C3" w:rsidRPr="000633FC" w:rsidRDefault="00F918C3" w:rsidP="001F0D7B">
      <w:pPr>
        <w:pStyle w:val="HighlightBoxBullet"/>
      </w:pPr>
      <w:r w:rsidRPr="000633FC">
        <w:t>To operate productively, the Victorian economy needs diversity in the skills of the workforce. Evidence of rising job vacancy rates and skills shortages in occupations that rely upon vocational education and training qualifications suggest</w:t>
      </w:r>
      <w:r>
        <w:t>s</w:t>
      </w:r>
      <w:r w:rsidRPr="000633FC">
        <w:t xml:space="preserve"> a pressing need to focus on technical and trade skill attainment for the benefit of the economy, as well as for individual workers.</w:t>
      </w:r>
    </w:p>
    <w:p w:rsidR="00F918C3" w:rsidRPr="004132DC" w:rsidRDefault="00F918C3" w:rsidP="004132DC">
      <w:pPr>
        <w:pStyle w:val="HighlightBoxBullet"/>
      </w:pPr>
      <w:r w:rsidRPr="000633FC">
        <w:t xml:space="preserve">The Government is investing in the skills sector to ensure Victorian workers can attain the skills that are needed to strengthen and </w:t>
      </w:r>
      <w:r w:rsidRPr="006D58F7">
        <w:t xml:space="preserve">diversify Victoria’s labour market, and drive sustainable rises in living standards. The </w:t>
      </w:r>
      <w:r w:rsidRPr="006D58F7">
        <w:rPr>
          <w:i/>
        </w:rPr>
        <w:t>2018-19 Budget</w:t>
      </w:r>
      <w:r w:rsidRPr="006D58F7">
        <w:t xml:space="preserve"> provides $828</w:t>
      </w:r>
      <w:r w:rsidR="006371F3">
        <w:t> million</w:t>
      </w:r>
      <w:r w:rsidRPr="006D58F7">
        <w:t xml:space="preserve"> for training and skills initiatives, including initiatives in schools</w:t>
      </w:r>
      <w:r>
        <w:fldChar w:fldCharType="begin"/>
      </w:r>
      <w:r>
        <w:instrText xml:space="preserve"> XE "</w:instrText>
      </w:r>
      <w:r w:rsidRPr="00FE0A7F">
        <w:instrText>Education:Schools</w:instrText>
      </w:r>
      <w:r>
        <w:instrText xml:space="preserve">" </w:instrText>
      </w:r>
      <w:r>
        <w:fldChar w:fldCharType="end"/>
      </w:r>
      <w:r w:rsidRPr="006D58F7">
        <w:t>, to expand the supply of skills that are most in demand. This investment, and others, will increase access to</w:t>
      </w:r>
      <w:r w:rsidRPr="000633FC">
        <w:t xml:space="preserve"> employment for more Victorians while supporting improved productivity and economic growth</w:t>
      </w:r>
      <w:r>
        <w:fldChar w:fldCharType="begin"/>
      </w:r>
      <w:r>
        <w:instrText xml:space="preserve"> XE "</w:instrText>
      </w:r>
      <w:r w:rsidRPr="00D02DCA">
        <w:instrText>Economic growth</w:instrText>
      </w:r>
      <w:r>
        <w:instrText xml:space="preserve">" </w:instrText>
      </w:r>
      <w:r>
        <w:fldChar w:fldCharType="end"/>
      </w:r>
      <w:r w:rsidRPr="000633FC">
        <w:t>.</w:t>
      </w:r>
    </w:p>
    <w:p w:rsidR="00F918C3" w:rsidRPr="000633FC" w:rsidRDefault="00F918C3" w:rsidP="00100CE1">
      <w:pPr>
        <w:pStyle w:val="Heading10"/>
      </w:pPr>
      <w:bookmarkStart w:id="39" w:name="_Toc512629761"/>
      <w:r w:rsidRPr="000633FC">
        <w:t>Introduction</w:t>
      </w:r>
      <w:bookmarkEnd w:id="39"/>
    </w:p>
    <w:p w:rsidR="00F918C3" w:rsidRPr="000633FC" w:rsidRDefault="00F918C3" w:rsidP="00C45715">
      <w:r w:rsidRPr="000633FC">
        <w:t>Victoria is experiencing record jobs growth, with employment</w:t>
      </w:r>
      <w:r>
        <w:fldChar w:fldCharType="begin"/>
      </w:r>
      <w:r>
        <w:instrText xml:space="preserve"> XE "</w:instrText>
      </w:r>
      <w:r w:rsidRPr="00D02DCA">
        <w:instrText>Employment</w:instrText>
      </w:r>
      <w:r>
        <w:instrText xml:space="preserve">" </w:instrText>
      </w:r>
      <w:r>
        <w:fldChar w:fldCharType="end"/>
      </w:r>
      <w:r w:rsidRPr="000633FC">
        <w:t xml:space="preserve"> growing at an above-trend rate </w:t>
      </w:r>
      <w:r w:rsidRPr="006D58F7">
        <w:t>for three consecutive years. Since November 2014, Victorian employment has grown by 333 900 persons. Over the same period, employment across Australia increased by 919 </w:t>
      </w:r>
      <w:r>
        <w:t>2</w:t>
      </w:r>
      <w:r w:rsidRPr="006D58F7">
        <w:t>00, meaning</w:t>
      </w:r>
      <w:r w:rsidRPr="000633FC">
        <w:t xml:space="preserve"> Victoria </w:t>
      </w:r>
      <w:r w:rsidRPr="000633FC">
        <w:rPr>
          <w:color w:val="000000" w:themeColor="text1"/>
        </w:rPr>
        <w:t>contributed 36 </w:t>
      </w:r>
      <w:r w:rsidRPr="000633FC">
        <w:t>per cent of Australia’s total employment growth over the period.</w:t>
      </w:r>
    </w:p>
    <w:p w:rsidR="00F918C3" w:rsidRPr="000633FC" w:rsidRDefault="00F918C3" w:rsidP="001B11C7">
      <w:pPr>
        <w:tabs>
          <w:tab w:val="left" w:pos="3686"/>
        </w:tabs>
      </w:pPr>
      <w:r w:rsidRPr="000633FC">
        <w:t>Victoria’s current employment cycle has been one of the longest and strongest in history. Previous major employment cycles have typically plateaued at around 8 per cent growth, 12 to 16 quarters after the start of the cycle. A notable exception to this was the early 1980s cycle, where employment surged as the economy recovered from a recession (Chart 3.1). Since the current cycle began, Victorian employment has increased by 12.8 per cent, while employment across the rest of Australia increased by 6.5 per cent.</w:t>
      </w:r>
    </w:p>
    <w:p w:rsidR="00F918C3" w:rsidRPr="000633FC" w:rsidRDefault="00F918C3" w:rsidP="003C115B">
      <w:pPr>
        <w:pStyle w:val="TableHeading"/>
      </w:pPr>
      <w:r w:rsidRPr="000633FC">
        <w:t>Chart 3.1:</w:t>
      </w:r>
      <w:r w:rsidRPr="000633FC">
        <w:tab/>
        <w:t>Employment level through major Victorian employment cycles since the 1980s </w:t>
      </w:r>
      <w:r w:rsidRPr="000633FC">
        <w:rPr>
          <w:vertAlign w:val="superscript"/>
        </w:rPr>
        <w:t>(a)</w:t>
      </w:r>
    </w:p>
    <w:p w:rsidR="00F918C3" w:rsidRPr="000633FC" w:rsidRDefault="00A9166F" w:rsidP="0056299D">
      <w:r>
        <w:rPr>
          <w:noProof/>
          <w:lang w:eastAsia="en-AU"/>
        </w:rPr>
        <w:pict>
          <v:shape id="_x0000_i1035" type="#_x0000_t75" style="width:384.2pt;height:225.8pt">
            <v:imagedata r:id="rId35" o:title=""/>
          </v:shape>
        </w:pict>
      </w:r>
    </w:p>
    <w:p w:rsidR="00F918C3" w:rsidRPr="000633FC" w:rsidRDefault="00F918C3" w:rsidP="0056299D">
      <w:pPr>
        <w:pStyle w:val="Source"/>
      </w:pPr>
      <w:r w:rsidRPr="000633FC">
        <w:t>Source: Australian Bureau of Statistics</w:t>
      </w:r>
    </w:p>
    <w:p w:rsidR="00F918C3" w:rsidRPr="000633FC" w:rsidRDefault="00F918C3" w:rsidP="003B57E7">
      <w:pPr>
        <w:pStyle w:val="Note"/>
      </w:pPr>
      <w:r w:rsidRPr="000633FC">
        <w:t>Note:</w:t>
      </w:r>
    </w:p>
    <w:p w:rsidR="00F918C3" w:rsidRPr="000633FC" w:rsidRDefault="00F918C3" w:rsidP="003B57E7">
      <w:pPr>
        <w:pStyle w:val="Note"/>
      </w:pPr>
      <w:r w:rsidRPr="000633FC">
        <w:t>(a)</w:t>
      </w:r>
      <w:r w:rsidRPr="000633FC">
        <w:tab/>
        <w:t>The start of each cycle was determined based on identifying the low point in the level of employment that occurred around major economic events.</w:t>
      </w:r>
    </w:p>
    <w:p w:rsidR="00F918C3" w:rsidRPr="000633FC" w:rsidRDefault="00F918C3" w:rsidP="00DA0368">
      <w:r w:rsidRPr="000633FC">
        <w:t>The strength of economic activity in recent years has been an important source of demand for labour. At the same time, the supply of labour has responded, particularly among female workers (Box 3.1).</w:t>
      </w:r>
    </w:p>
    <w:p w:rsidR="00F918C3" w:rsidRPr="000633FC" w:rsidRDefault="00F918C3" w:rsidP="00DA0368">
      <w:r>
        <w:fldChar w:fldCharType="begin"/>
      </w:r>
      <w:r>
        <w:instrText xml:space="preserve"> XE "</w:instrText>
      </w:r>
      <w:r w:rsidRPr="00D02DCA">
        <w:instrText>Education</w:instrText>
      </w:r>
      <w:r>
        <w:instrText xml:space="preserve">" </w:instrText>
      </w:r>
      <w:r>
        <w:fldChar w:fldCharType="end"/>
      </w:r>
    </w:p>
    <w:p w:rsidR="00F918C3" w:rsidRPr="000633FC" w:rsidRDefault="00F918C3" w:rsidP="006F1ADA">
      <w:pPr>
        <w:pStyle w:val="HighlightBoxHeading"/>
        <w:pageBreakBefore/>
      </w:pPr>
      <w:bookmarkStart w:id="40" w:name="BP2Ch3LaborForceParticipationFemale"/>
      <w:bookmarkStart w:id="41" w:name="BP2Ch3LaborForceParticipation"/>
      <w:r w:rsidRPr="000633FC">
        <w:t>Box 3.1:</w:t>
      </w:r>
      <w:r w:rsidRPr="000633FC">
        <w:tab/>
        <w:t>Education and labour force participation among females</w:t>
      </w:r>
    </w:p>
    <w:p w:rsidR="00F918C3" w:rsidRPr="000633FC" w:rsidRDefault="00F918C3" w:rsidP="00DA0368">
      <w:pPr>
        <w:pStyle w:val="HighlightBoxText"/>
      </w:pPr>
      <w:r w:rsidRPr="000633FC">
        <w:t>Increasing labour force participation has been a key feature of the current employment cycle. Victoria’s labour force participation rate was 65.6 per cent in March 2018, up from 64.4 per cent in June 2014. It reached a record high of 66.4 per cent in December 2017.</w:t>
      </w:r>
    </w:p>
    <w:p w:rsidR="00F918C3" w:rsidRPr="000633FC" w:rsidRDefault="00F918C3" w:rsidP="00C36F8F">
      <w:pPr>
        <w:pStyle w:val="HighlightBoxText"/>
        <w:rPr>
          <w:color w:val="000000" w:themeColor="text1"/>
        </w:rPr>
      </w:pPr>
      <w:r w:rsidRPr="000633FC">
        <w:t xml:space="preserve">Rising female participation has </w:t>
      </w:r>
      <w:r>
        <w:t>driven</w:t>
      </w:r>
      <w:r w:rsidRPr="000633FC">
        <w:t xml:space="preserve"> growth in the overall participation rate, </w:t>
      </w:r>
      <w:r w:rsidRPr="000633FC">
        <w:rPr>
          <w:color w:val="000000" w:themeColor="text1"/>
        </w:rPr>
        <w:t xml:space="preserve">contributing 74 per cent of the rise in Victoria’s participation rate since June 2014. The participation rate for females was 60.1 per cent in March 2018, below the record high of 60.9 per cent in September 2017, but up markedly from </w:t>
      </w:r>
      <w:r w:rsidRPr="00F81EBB">
        <w:rPr>
          <w:color w:val="000000" w:themeColor="text1"/>
        </w:rPr>
        <w:t>58.3</w:t>
      </w:r>
      <w:r w:rsidRPr="000633FC">
        <w:rPr>
          <w:color w:val="000000" w:themeColor="text1"/>
        </w:rPr>
        <w:t> per cent in June 2014.</w:t>
      </w:r>
    </w:p>
    <w:p w:rsidR="00F918C3" w:rsidRPr="000633FC" w:rsidRDefault="00F918C3" w:rsidP="00C36F8F">
      <w:pPr>
        <w:pStyle w:val="HighlightBoxText"/>
      </w:pPr>
      <w:r w:rsidRPr="000633FC">
        <w:rPr>
          <w:color w:val="000000" w:themeColor="text1"/>
        </w:rPr>
        <w:t>Growing demand from Victoria’s services economy appears to be an important factor</w:t>
      </w:r>
      <w:r>
        <w:rPr>
          <w:color w:val="000000" w:themeColor="text1"/>
        </w:rPr>
        <w:t>.</w:t>
      </w:r>
      <w:r w:rsidRPr="000633FC">
        <w:rPr>
          <w:color w:val="000000" w:themeColor="text1"/>
        </w:rPr>
        <w:t xml:space="preserve"> </w:t>
      </w:r>
      <w:r>
        <w:rPr>
          <w:color w:val="000000" w:themeColor="text1"/>
        </w:rPr>
        <w:t xml:space="preserve">For </w:t>
      </w:r>
      <w:r w:rsidRPr="000633FC">
        <w:rPr>
          <w:color w:val="000000" w:themeColor="text1"/>
        </w:rPr>
        <w:t>example, health care and social assistance – which has seen the strongest rate of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rsidRPr="000633FC">
        <w:rPr>
          <w:color w:val="000000" w:themeColor="text1"/>
        </w:rPr>
        <w:t xml:space="preserve"> since 2014 with 60 000 jobs created – employs a workforce that is 79 per </w:t>
      </w:r>
      <w:r w:rsidRPr="000633FC">
        <w:t>cent female.</w:t>
      </w:r>
    </w:p>
    <w:p w:rsidR="00F918C3" w:rsidRPr="000633FC" w:rsidRDefault="00F918C3" w:rsidP="00C36F8F">
      <w:pPr>
        <w:pStyle w:val="HighlightBoxText"/>
      </w:pPr>
      <w:r>
        <w:t>Rising</w:t>
      </w:r>
      <w:r w:rsidRPr="000633FC">
        <w:t xml:space="preserve"> female labour force participation </w:t>
      </w:r>
      <w:r>
        <w:t>is a long term trend</w:t>
      </w:r>
      <w:r w:rsidRPr="000633FC">
        <w:t xml:space="preserve">. Chart 3.2 illustrates the change in female labour force participation by comparing a current snapshot of female participation against that in 2014 – the start of the current employment cycle – and 25 years ago. </w:t>
      </w:r>
      <w:r>
        <w:t>F</w:t>
      </w:r>
      <w:r w:rsidRPr="000633FC">
        <w:t>emale participation</w:t>
      </w:r>
      <w:r>
        <w:t xml:space="preserve"> has increased</w:t>
      </w:r>
      <w:r w:rsidRPr="000633FC">
        <w:t xml:space="preserve"> across all cohorts, with the greatest </w:t>
      </w:r>
      <w:r>
        <w:t>rise</w:t>
      </w:r>
      <w:r w:rsidRPr="000633FC">
        <w:t xml:space="preserve"> being in females over the age of 50. </w:t>
      </w:r>
      <w:r>
        <w:t>R</w:t>
      </w:r>
      <w:r w:rsidRPr="000633FC">
        <w:t>ecently, females in their 20s and 40s have increased their participation. This trend has been supported by factors such as increasing educational attainment, growth in flexible working arrangements, improved access to child care and changing social norms relating to women in the workplace.</w:t>
      </w:r>
      <w:r w:rsidRPr="000633FC">
        <w:rPr>
          <w:rStyle w:val="FootnoteReference"/>
        </w:rPr>
        <w:footnoteReference w:id="2"/>
      </w:r>
    </w:p>
    <w:p w:rsidR="00F918C3" w:rsidRPr="000633FC" w:rsidRDefault="00F918C3" w:rsidP="00DA0368">
      <w:pPr>
        <w:pStyle w:val="HighlightBoxText"/>
        <w:keepNext/>
        <w:rPr>
          <w:rFonts w:asciiTheme="majorHAnsi" w:hAnsiTheme="majorHAnsi"/>
          <w:b/>
          <w:sz w:val="20"/>
        </w:rPr>
      </w:pPr>
      <w:r w:rsidRPr="000633FC">
        <w:rPr>
          <w:rFonts w:asciiTheme="majorHAnsi" w:hAnsiTheme="majorHAnsi"/>
          <w:b/>
          <w:sz w:val="20"/>
        </w:rPr>
        <w:t>Chart 3.2:</w:t>
      </w:r>
      <w:r w:rsidRPr="000633FC">
        <w:rPr>
          <w:rFonts w:asciiTheme="majorHAnsi" w:hAnsiTheme="majorHAnsi"/>
          <w:b/>
          <w:sz w:val="20"/>
        </w:rPr>
        <w:tab/>
        <w:t>Female labour force participation by age cohort, Victoria</w:t>
      </w:r>
    </w:p>
    <w:p w:rsidR="00F918C3" w:rsidRDefault="00F918C3" w:rsidP="00DA0368">
      <w:pPr>
        <w:pStyle w:val="HighlightBoxText"/>
        <w:keepNext/>
      </w:pPr>
      <w:r w:rsidRPr="000633FC">
        <w:rPr>
          <w:rFonts w:asciiTheme="majorHAnsi" w:hAnsiTheme="majorHAnsi"/>
          <w:b/>
          <w:noProof/>
          <w:sz w:val="20"/>
          <w:lang w:eastAsia="en-AU"/>
        </w:rPr>
        <w:drawing>
          <wp:inline distT="0" distB="0" distL="0" distR="0" wp14:anchorId="0D58F47F" wp14:editId="28A874AB">
            <wp:extent cx="4832350" cy="279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2350" cy="2794000"/>
                    </a:xfrm>
                    <a:prstGeom prst="rect">
                      <a:avLst/>
                    </a:prstGeom>
                    <a:noFill/>
                    <a:ln>
                      <a:noFill/>
                    </a:ln>
                  </pic:spPr>
                </pic:pic>
              </a:graphicData>
            </a:graphic>
          </wp:inline>
        </w:drawing>
      </w:r>
    </w:p>
    <w:p w:rsidR="00F918C3" w:rsidRPr="00B86901" w:rsidRDefault="00F918C3" w:rsidP="00B86901">
      <w:pPr>
        <w:pStyle w:val="HighlightBoxText"/>
        <w:spacing w:before="20" w:after="60"/>
        <w:rPr>
          <w:rFonts w:asciiTheme="majorHAnsi" w:hAnsiTheme="majorHAnsi"/>
          <w:b/>
          <w:i/>
          <w:sz w:val="14"/>
          <w:szCs w:val="14"/>
        </w:rPr>
      </w:pPr>
      <w:r w:rsidRPr="00B86901">
        <w:rPr>
          <w:rFonts w:asciiTheme="majorHAnsi" w:hAnsiTheme="majorHAnsi"/>
          <w:i/>
          <w:sz w:val="14"/>
          <w:szCs w:val="14"/>
        </w:rPr>
        <w:t>Source: Australian Bureau of Statistics</w:t>
      </w:r>
    </w:p>
    <w:p w:rsidR="00F918C3" w:rsidRPr="000633FC" w:rsidRDefault="00F918C3" w:rsidP="00B86901">
      <w:pPr>
        <w:pStyle w:val="HighlightBoxText"/>
      </w:pPr>
      <w:r w:rsidRPr="000633FC">
        <w:t>Increased educational attainment among females has been a particularly important contributor to growing workforce participation. The proportion of Victorian females with a post</w:t>
      </w:r>
      <w:r w:rsidRPr="000633FC">
        <w:noBreakHyphen/>
        <w:t>school qualification has increased from 51 per cent in 2006 to 64 per cent in 2016, and is now broadly comparable with the corresponding rate for males. As of 2016, the share of females who have attained a bachelor’s degree or higher qualification exceeded that of males, at 38 per cent versus 30 per cent, respectively.</w:t>
      </w:r>
      <w:r w:rsidR="008C27C4">
        <w:fldChar w:fldCharType="begin"/>
      </w:r>
      <w:r w:rsidR="008C27C4">
        <w:instrText xml:space="preserve"> XE "</w:instrText>
      </w:r>
      <w:r w:rsidR="008C27C4" w:rsidRPr="00441FC5">
        <w:instrText>Labour force participation:Females</w:instrText>
      </w:r>
      <w:r w:rsidR="008C27C4">
        <w:instrText xml:space="preserve">" \r "BP2Ch3LaborForceParticipationFemale" </w:instrText>
      </w:r>
      <w:r w:rsidR="008C27C4">
        <w:fldChar w:fldCharType="end"/>
      </w:r>
    </w:p>
    <w:bookmarkEnd w:id="40"/>
    <w:p w:rsidR="00F918C3" w:rsidRPr="000633FC" w:rsidRDefault="00F918C3" w:rsidP="00056647"/>
    <w:p w:rsidR="00F918C3" w:rsidRPr="000633FC" w:rsidRDefault="00F918C3" w:rsidP="00617FC4">
      <w:r w:rsidRPr="000633FC">
        <w:t xml:space="preserve">This chapter investigates the link between the increasing skill attainment of Victorian workers and the ability of the workforce to meet the demands of an expanding economy and jobs market. The ability of the workforce to keep up with demand for skills is important in two respects. First, skilled workers participate in the labour force to a greater extent than those without post-school qualifications, and are more likely to be employed, leading to improved life outcomes. Second, strong alignment between the demand for skills by Victoria’s major industries and the supply of skills from the workforce makes it easier for workers to find appropriate employment. Over time, both the rising skill level of the workforce and improved efficiency of the labour market </w:t>
      </w:r>
      <w:r>
        <w:t>enhance</w:t>
      </w:r>
      <w:r w:rsidRPr="000633FC">
        <w:t xml:space="preserve"> working outcomes and the standard of living of Victorians.</w:t>
      </w:r>
      <w:r>
        <w:fldChar w:fldCharType="begin"/>
      </w:r>
      <w:r>
        <w:instrText xml:space="preserve"> XE "</w:instrText>
      </w:r>
      <w:r w:rsidRPr="00DA2662">
        <w:instrText>Labour force participation</w:instrText>
      </w:r>
      <w:r>
        <w:instrText xml:space="preserve">" \r "BP2Ch3LaborForceParticipation" </w:instrText>
      </w:r>
      <w:r>
        <w:fldChar w:fldCharType="end"/>
      </w:r>
    </w:p>
    <w:p w:rsidR="00F918C3" w:rsidRPr="000633FC" w:rsidRDefault="00F918C3" w:rsidP="00125367">
      <w:pPr>
        <w:pStyle w:val="Heading10"/>
      </w:pPr>
      <w:bookmarkStart w:id="42" w:name="_Toc512629762"/>
      <w:bookmarkStart w:id="43" w:name="BP2Ch3Skills"/>
      <w:bookmarkEnd w:id="41"/>
      <w:r w:rsidRPr="000633FC">
        <w:t>More skills, better jobs</w:t>
      </w:r>
      <w:bookmarkEnd w:id="42"/>
    </w:p>
    <w:p w:rsidR="00F918C3" w:rsidRPr="000633FC" w:rsidRDefault="00F918C3" w:rsidP="00125367">
      <w:r w:rsidRPr="000633FC">
        <w:t>Victoria now has the highest share of workers with a post</w:t>
      </w:r>
      <w:r w:rsidRPr="000633FC">
        <w:noBreakHyphen/>
        <w:t xml:space="preserve">school qualification of any state in Australia. The average qualification level of Victorian workers has increased over the past decade, </w:t>
      </w:r>
      <w:r w:rsidRPr="000633FC">
        <w:rPr>
          <w:color w:val="000000" w:themeColor="text1"/>
        </w:rPr>
        <w:t>with 65 per cent of Victorians aged 20 to 64 now holding a post</w:t>
      </w:r>
      <w:r w:rsidRPr="000633FC">
        <w:rPr>
          <w:color w:val="000000" w:themeColor="text1"/>
        </w:rPr>
        <w:noBreakHyphen/>
        <w:t>school qualification compared to 55 per </w:t>
      </w:r>
      <w:r w:rsidRPr="000633FC">
        <w:t>cent in 2006 (Chart 3.3).</w:t>
      </w:r>
    </w:p>
    <w:p w:rsidR="00F918C3" w:rsidRPr="000633FC" w:rsidRDefault="00F918C3" w:rsidP="00344802">
      <w:pPr>
        <w:pStyle w:val="TableHeading"/>
      </w:pPr>
      <w:r w:rsidRPr="000633FC">
        <w:t>Chart 3.3:</w:t>
      </w:r>
      <w:r w:rsidRPr="000633FC">
        <w:tab/>
        <w:t>Highest post-school qualification, Victorians aged 20-64, 2006 and 2016</w:t>
      </w:r>
    </w:p>
    <w:p w:rsidR="00F918C3" w:rsidRPr="000633FC" w:rsidRDefault="00A9166F" w:rsidP="00CA5967">
      <w:r>
        <w:pict>
          <v:shape id="_x0000_i1036" type="#_x0000_t75" style="width:381.9pt;height:224.65pt">
            <v:imagedata r:id="rId37" o:title=""/>
          </v:shape>
        </w:pict>
      </w:r>
    </w:p>
    <w:p w:rsidR="00F918C3" w:rsidRPr="000633FC" w:rsidRDefault="00F918C3" w:rsidP="00344802">
      <w:pPr>
        <w:pStyle w:val="Source"/>
      </w:pPr>
      <w:r w:rsidRPr="000633FC">
        <w:t>Source: Australian Bureau of Statistics</w:t>
      </w:r>
    </w:p>
    <w:p w:rsidR="00F918C3" w:rsidRPr="00662203" w:rsidRDefault="00F918C3" w:rsidP="00125367">
      <w:pPr>
        <w:pStyle w:val="Heading20"/>
      </w:pPr>
      <w:r w:rsidRPr="00662203">
        <w:t>Higher participation, lower unemployment</w:t>
      </w:r>
    </w:p>
    <w:p w:rsidR="00F918C3" w:rsidRPr="000633FC" w:rsidRDefault="00F918C3" w:rsidP="00056647">
      <w:pPr>
        <w:ind w:right="-94"/>
      </w:pPr>
      <w:r w:rsidRPr="00662203">
        <w:t>Education</w:t>
      </w:r>
      <w:r>
        <w:fldChar w:fldCharType="begin"/>
      </w:r>
      <w:r>
        <w:instrText xml:space="preserve"> XE "</w:instrText>
      </w:r>
      <w:r w:rsidRPr="00D02DCA">
        <w:instrText>Education</w:instrText>
      </w:r>
      <w:r>
        <w:instrText xml:space="preserve">" </w:instrText>
      </w:r>
      <w:r>
        <w:fldChar w:fldCharType="end"/>
      </w:r>
      <w:r w:rsidRPr="00662203">
        <w:t xml:space="preserve"> is important for inclusion in the workforce. As illustrated in Chart 3.4, increasing educational attainment influences both Victorians’ participation in the workforce and the likelihood of finding and keeping a job. In 2016, the unemployment rate for Victorians </w:t>
      </w:r>
      <w:r w:rsidRPr="00662203">
        <w:rPr>
          <w:color w:val="000000" w:themeColor="text1"/>
        </w:rPr>
        <w:t>with a Certificate II or III was 5.4 per cent, and labour force participation</w:t>
      </w:r>
      <w:r>
        <w:rPr>
          <w:color w:val="000000" w:themeColor="text1"/>
        </w:rPr>
        <w:fldChar w:fldCharType="begin"/>
      </w:r>
      <w:r>
        <w:instrText xml:space="preserve"> XE "</w:instrText>
      </w:r>
      <w:r w:rsidRPr="00BF0AF8">
        <w:instrText>Labour force participation</w:instrText>
      </w:r>
      <w:r>
        <w:instrText xml:space="preserve">" </w:instrText>
      </w:r>
      <w:r>
        <w:rPr>
          <w:color w:val="000000" w:themeColor="text1"/>
        </w:rPr>
        <w:fldChar w:fldCharType="end"/>
      </w:r>
      <w:r w:rsidRPr="00662203">
        <w:rPr>
          <w:color w:val="000000" w:themeColor="text1"/>
        </w:rPr>
        <w:t xml:space="preserve"> was 85 per cent</w:t>
      </w:r>
      <w:r w:rsidRPr="00662203">
        <w:t>. These outcomes are significantly better than those experienced by Victorians with lower levels of educational attainment.</w:t>
      </w:r>
    </w:p>
    <w:p w:rsidR="00F918C3" w:rsidRPr="000633FC" w:rsidRDefault="00F918C3" w:rsidP="00584CDA">
      <w:pPr>
        <w:pStyle w:val="TableHeading"/>
        <w:spacing w:after="0"/>
      </w:pPr>
      <w:r w:rsidRPr="00131B48">
        <w:t>Chart 3.4:</w:t>
      </w:r>
      <w:r w:rsidRPr="000633FC">
        <w:tab/>
      </w:r>
      <w:r w:rsidRPr="000633FC">
        <w:rPr>
          <w:bCs/>
        </w:rPr>
        <w:t>Labour force outcomes by education level, Victorians aged 20-64, 2016</w:t>
      </w:r>
      <w:r w:rsidRPr="000633FC">
        <w:rPr>
          <w:bCs/>
          <w:vertAlign w:val="superscript"/>
        </w:rPr>
        <w:t>(a)</w:t>
      </w:r>
    </w:p>
    <w:p w:rsidR="00F918C3" w:rsidRPr="000633FC" w:rsidRDefault="00F918C3" w:rsidP="00584CDA">
      <w:pPr>
        <w:spacing w:before="0"/>
        <w:rPr>
          <w:noProof/>
          <w:lang w:eastAsia="en-AU"/>
        </w:rPr>
      </w:pPr>
      <w:r w:rsidRPr="00E82640">
        <w:rPr>
          <w:noProof/>
          <w:lang w:eastAsia="en-AU"/>
        </w:rPr>
        <w:drawing>
          <wp:inline distT="0" distB="0" distL="0" distR="0" wp14:anchorId="6190975D" wp14:editId="030BC36C">
            <wp:extent cx="4891405" cy="287891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1405" cy="2878918"/>
                    </a:xfrm>
                    <a:prstGeom prst="rect">
                      <a:avLst/>
                    </a:prstGeom>
                    <a:noFill/>
                    <a:ln>
                      <a:noFill/>
                    </a:ln>
                  </pic:spPr>
                </pic:pic>
              </a:graphicData>
            </a:graphic>
          </wp:inline>
        </w:drawing>
      </w:r>
    </w:p>
    <w:p w:rsidR="00F918C3" w:rsidRPr="000633FC" w:rsidRDefault="00F918C3" w:rsidP="0088021F">
      <w:pPr>
        <w:pStyle w:val="Source"/>
      </w:pPr>
      <w:r w:rsidRPr="000633FC">
        <w:t>Source: Australian Bureau of Statistics</w:t>
      </w:r>
    </w:p>
    <w:p w:rsidR="00F918C3" w:rsidRPr="000633FC" w:rsidRDefault="00F918C3" w:rsidP="009A18DA">
      <w:pPr>
        <w:pStyle w:val="Note"/>
      </w:pPr>
      <w:r w:rsidRPr="000633FC">
        <w:t>Note:</w:t>
      </w:r>
    </w:p>
    <w:p w:rsidR="00F918C3" w:rsidRPr="000633FC" w:rsidRDefault="00F918C3" w:rsidP="009A18DA">
      <w:pPr>
        <w:pStyle w:val="Note"/>
      </w:pPr>
      <w:r w:rsidRPr="000633FC">
        <w:t>(a)</w:t>
      </w:r>
      <w:r w:rsidRPr="000633FC">
        <w:tab/>
        <w:t>Bubble size represents cohort population size.</w:t>
      </w:r>
    </w:p>
    <w:p w:rsidR="00F918C3" w:rsidRPr="000633FC" w:rsidRDefault="00F918C3" w:rsidP="009A18DA">
      <w:pPr>
        <w:pStyle w:val="Note"/>
        <w:ind w:left="0" w:firstLine="0"/>
      </w:pPr>
    </w:p>
    <w:p w:rsidR="00F918C3" w:rsidRPr="000633FC" w:rsidRDefault="00F918C3" w:rsidP="0088021F">
      <w:pPr>
        <w:pStyle w:val="Heading20"/>
      </w:pPr>
      <w:r w:rsidRPr="000633FC">
        <w:t>Meeting demand for higher skills</w:t>
      </w:r>
    </w:p>
    <w:p w:rsidR="00F918C3" w:rsidRPr="000633FC" w:rsidRDefault="00F918C3" w:rsidP="00056647">
      <w:r w:rsidRPr="000633FC">
        <w:t>The growing skill level of Victorian workers is meeting demand for higher skilled employees from businesses, as the industrial base of Victoria’s economy has diversified toward services, advanced manufacturing and knowledge</w:t>
      </w:r>
      <w:r w:rsidRPr="000633FC">
        <w:noBreakHyphen/>
        <w:t>intensive industries.</w:t>
      </w:r>
    </w:p>
    <w:p w:rsidR="00F918C3" w:rsidRPr="000633FC" w:rsidRDefault="00F918C3" w:rsidP="007E3268">
      <w:r w:rsidRPr="000633FC">
        <w:t>Evidence of the demand for rising skill levels can be seen in the Australian Bureau of Statistics (ABS) data, which categorises all occupations across industries into five skill categories that reflect the level of skill required to competently perform the typical tasks undertaken by people in the role. Each of the skill categories is commensurate with a level of education that the ABS estimates would be required by someone working in the occupation given the range and complexity of the tasks. The greater the range and complexity of the tasks, the greater the skill level of an occupation.</w:t>
      </w:r>
      <w:r w:rsidRPr="000633FC">
        <w:rPr>
          <w:rStyle w:val="FootnoteReference"/>
        </w:rPr>
        <w:t xml:space="preserve"> </w:t>
      </w:r>
      <w:r w:rsidRPr="000633FC">
        <w:rPr>
          <w:rStyle w:val="FootnoteReference"/>
        </w:rPr>
        <w:footnoteReference w:id="3"/>
      </w:r>
    </w:p>
    <w:p w:rsidR="00F918C3" w:rsidRPr="000633FC" w:rsidRDefault="00F918C3" w:rsidP="00191E4E">
      <w:r w:rsidRPr="000633FC">
        <w:t>Table 3.1 provides an overview of the five skill levels defined by the ABS, and examples of occupations that are classified at each skill level, with level one having the highest educational equivalent and five the lowest.</w:t>
      </w:r>
    </w:p>
    <w:p w:rsidR="00F918C3" w:rsidRPr="000633FC" w:rsidRDefault="00F918C3" w:rsidP="008E10CE">
      <w:pPr>
        <w:pStyle w:val="TableHeading"/>
      </w:pPr>
      <w:r w:rsidRPr="000633FC">
        <w:t>Table 3.1:</w:t>
      </w:r>
      <w:r w:rsidRPr="000633FC">
        <w:tab/>
        <w:t>Skill level classifications and illustrative occupations</w:t>
      </w:r>
    </w:p>
    <w:tbl>
      <w:tblPr>
        <w:tblStyle w:val="DTFTable"/>
        <w:tblW w:w="0" w:type="auto"/>
        <w:tblLook w:val="04A0" w:firstRow="1" w:lastRow="0" w:firstColumn="1" w:lastColumn="0" w:noHBand="0" w:noVBand="1"/>
      </w:tblPr>
      <w:tblGrid>
        <w:gridCol w:w="659"/>
        <w:gridCol w:w="3180"/>
        <w:gridCol w:w="3950"/>
      </w:tblGrid>
      <w:tr w:rsidR="00F918C3" w:rsidRPr="000633FC" w:rsidTr="00656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FE2B66">
            <w:pPr>
              <w:spacing w:before="60" w:after="60"/>
              <w:ind w:left="0" w:firstLine="0"/>
              <w:jc w:val="center"/>
            </w:pPr>
            <w:r w:rsidRPr="000633FC">
              <w:t>Skill level</w:t>
            </w:r>
          </w:p>
        </w:tc>
        <w:tc>
          <w:tcPr>
            <w:tcW w:w="3180" w:type="dxa"/>
          </w:tcPr>
          <w:p w:rsidR="00F918C3" w:rsidRPr="000633FC" w:rsidRDefault="00F918C3" w:rsidP="0065694C">
            <w:pPr>
              <w:keepNext/>
              <w:spacing w:before="60" w:after="60"/>
              <w:jc w:val="left"/>
              <w:cnfStyle w:val="100000000000" w:firstRow="1" w:lastRow="0" w:firstColumn="0" w:lastColumn="0" w:oddVBand="0" w:evenVBand="0" w:oddHBand="0" w:evenHBand="0" w:firstRowFirstColumn="0" w:firstRowLastColumn="0" w:lastRowFirstColumn="0" w:lastRowLastColumn="0"/>
            </w:pPr>
            <w:r w:rsidRPr="000633FC">
              <w:t>Educational equivalent</w:t>
            </w:r>
          </w:p>
        </w:tc>
        <w:tc>
          <w:tcPr>
            <w:tcW w:w="3950" w:type="dxa"/>
          </w:tcPr>
          <w:p w:rsidR="00F918C3" w:rsidRPr="000633FC" w:rsidRDefault="00F918C3" w:rsidP="0065694C">
            <w:pPr>
              <w:keepNext/>
              <w:spacing w:before="60" w:after="60"/>
              <w:jc w:val="left"/>
              <w:cnfStyle w:val="100000000000" w:firstRow="1" w:lastRow="0" w:firstColumn="0" w:lastColumn="0" w:oddVBand="0" w:evenVBand="0" w:oddHBand="0" w:evenHBand="0" w:firstRowFirstColumn="0" w:firstRowLastColumn="0" w:lastRowFirstColumn="0" w:lastRowLastColumn="0"/>
            </w:pPr>
            <w:r w:rsidRPr="000633FC">
              <w:t>Example occupations</w:t>
            </w:r>
          </w:p>
        </w:tc>
      </w:tr>
      <w:tr w:rsidR="00F918C3" w:rsidRPr="000633FC" w:rsidTr="0065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467FC3">
            <w:pPr>
              <w:keepNext/>
              <w:spacing w:before="60" w:after="60"/>
              <w:jc w:val="center"/>
            </w:pPr>
            <w:r w:rsidRPr="000633FC">
              <w:t>1</w:t>
            </w:r>
          </w:p>
        </w:tc>
        <w:tc>
          <w:tcPr>
            <w:tcW w:w="318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Bachelor’s degree or higher</w:t>
            </w:r>
          </w:p>
        </w:tc>
        <w:tc>
          <w:tcPr>
            <w:tcW w:w="395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School teachers, registered nurses, accountants</w:t>
            </w:r>
          </w:p>
        </w:tc>
      </w:tr>
      <w:tr w:rsidR="00F918C3" w:rsidRPr="000633FC" w:rsidTr="00656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467FC3">
            <w:pPr>
              <w:keepNext/>
              <w:spacing w:before="60" w:after="60"/>
              <w:jc w:val="center"/>
            </w:pPr>
            <w:r w:rsidRPr="000633FC">
              <w:t>2</w:t>
            </w:r>
          </w:p>
        </w:tc>
        <w:tc>
          <w:tcPr>
            <w:tcW w:w="3180" w:type="dxa"/>
          </w:tcPr>
          <w:p w:rsidR="00F918C3" w:rsidRPr="000633FC" w:rsidRDefault="00F918C3" w:rsidP="0065694C">
            <w:pPr>
              <w:keepNext/>
              <w:spacing w:before="60" w:after="60"/>
              <w:jc w:val="left"/>
              <w:cnfStyle w:val="000000010000" w:firstRow="0" w:lastRow="0" w:firstColumn="0" w:lastColumn="0" w:oddVBand="0" w:evenVBand="0" w:oddHBand="0" w:evenHBand="1" w:firstRowFirstColumn="0" w:firstRowLastColumn="0" w:lastRowFirstColumn="0" w:lastRowLastColumn="0"/>
            </w:pPr>
            <w:r w:rsidRPr="000633FC">
              <w:t>Advanced diploma or diploma</w:t>
            </w:r>
          </w:p>
        </w:tc>
        <w:tc>
          <w:tcPr>
            <w:tcW w:w="3950" w:type="dxa"/>
          </w:tcPr>
          <w:p w:rsidR="00F918C3" w:rsidRPr="000633FC" w:rsidRDefault="00F918C3" w:rsidP="00B86901">
            <w:pPr>
              <w:keepNext/>
              <w:spacing w:before="60" w:after="60"/>
              <w:jc w:val="left"/>
              <w:cnfStyle w:val="000000010000" w:firstRow="0" w:lastRow="0" w:firstColumn="0" w:lastColumn="0" w:oddVBand="0" w:evenVBand="0" w:oddHBand="0" w:evenHBand="1" w:firstRowFirstColumn="0" w:firstRowLastColumn="0" w:lastRowFirstColumn="0" w:lastRowLastColumn="0"/>
            </w:pPr>
            <w:r w:rsidRPr="000633FC">
              <w:t>Police officers, chefs, retail managers</w:t>
            </w:r>
          </w:p>
        </w:tc>
      </w:tr>
      <w:tr w:rsidR="00F918C3" w:rsidRPr="000633FC" w:rsidTr="0065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467FC3">
            <w:pPr>
              <w:keepNext/>
              <w:spacing w:before="60" w:after="60"/>
              <w:jc w:val="center"/>
            </w:pPr>
            <w:r w:rsidRPr="000633FC">
              <w:t>3</w:t>
            </w:r>
          </w:p>
        </w:tc>
        <w:tc>
          <w:tcPr>
            <w:tcW w:w="318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Certificate IV or III</w:t>
            </w:r>
            <w:r w:rsidRPr="000633FC">
              <w:rPr>
                <w:vertAlign w:val="superscript"/>
              </w:rPr>
              <w:t>(a)</w:t>
            </w:r>
          </w:p>
        </w:tc>
        <w:tc>
          <w:tcPr>
            <w:tcW w:w="395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Carpenters, real estate agents, sports instructors</w:t>
            </w:r>
          </w:p>
        </w:tc>
      </w:tr>
      <w:tr w:rsidR="00F918C3" w:rsidRPr="000633FC" w:rsidTr="00656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467FC3">
            <w:pPr>
              <w:keepNext/>
              <w:spacing w:before="60" w:after="60"/>
              <w:jc w:val="center"/>
            </w:pPr>
            <w:r w:rsidRPr="000633FC">
              <w:t>4</w:t>
            </w:r>
          </w:p>
        </w:tc>
        <w:tc>
          <w:tcPr>
            <w:tcW w:w="3180" w:type="dxa"/>
          </w:tcPr>
          <w:p w:rsidR="00F918C3" w:rsidRPr="000633FC" w:rsidRDefault="00F918C3" w:rsidP="0065694C">
            <w:pPr>
              <w:keepNext/>
              <w:spacing w:before="60" w:after="60"/>
              <w:jc w:val="left"/>
              <w:cnfStyle w:val="000000010000" w:firstRow="0" w:lastRow="0" w:firstColumn="0" w:lastColumn="0" w:oddVBand="0" w:evenVBand="0" w:oddHBand="0" w:evenHBand="1" w:firstRowFirstColumn="0" w:firstRowLastColumn="0" w:lastRowFirstColumn="0" w:lastRowLastColumn="0"/>
            </w:pPr>
            <w:r w:rsidRPr="000633FC">
              <w:t>Certificate III or II</w:t>
            </w:r>
          </w:p>
        </w:tc>
        <w:tc>
          <w:tcPr>
            <w:tcW w:w="3950" w:type="dxa"/>
          </w:tcPr>
          <w:p w:rsidR="00F918C3" w:rsidRPr="000633FC" w:rsidRDefault="00F918C3" w:rsidP="0065694C">
            <w:pPr>
              <w:keepNext/>
              <w:spacing w:before="60" w:after="60"/>
              <w:jc w:val="left"/>
              <w:cnfStyle w:val="000000010000" w:firstRow="0" w:lastRow="0" w:firstColumn="0" w:lastColumn="0" w:oddVBand="0" w:evenVBand="0" w:oddHBand="0" w:evenHBand="1" w:firstRowFirstColumn="0" w:firstRowLastColumn="0" w:lastRowFirstColumn="0" w:lastRowLastColumn="0"/>
            </w:pPr>
            <w:r w:rsidRPr="000633FC">
              <w:t>Aged carers, waiters, truck drivers</w:t>
            </w:r>
          </w:p>
        </w:tc>
      </w:tr>
      <w:tr w:rsidR="00F918C3" w:rsidRPr="000633FC" w:rsidTr="0065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tcPr>
          <w:p w:rsidR="00F918C3" w:rsidRPr="000633FC" w:rsidRDefault="00F918C3" w:rsidP="00467FC3">
            <w:pPr>
              <w:keepNext/>
              <w:spacing w:before="60" w:after="60"/>
              <w:jc w:val="center"/>
            </w:pPr>
            <w:r w:rsidRPr="000633FC">
              <w:t>5</w:t>
            </w:r>
          </w:p>
        </w:tc>
        <w:tc>
          <w:tcPr>
            <w:tcW w:w="318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Certificate I or secondary education</w:t>
            </w:r>
          </w:p>
        </w:tc>
        <w:tc>
          <w:tcPr>
            <w:tcW w:w="3950" w:type="dxa"/>
          </w:tcPr>
          <w:p w:rsidR="00F918C3" w:rsidRPr="000633FC" w:rsidRDefault="00F918C3" w:rsidP="0065694C">
            <w:pPr>
              <w:keepNext/>
              <w:spacing w:before="60" w:after="60"/>
              <w:jc w:val="left"/>
              <w:cnfStyle w:val="000000100000" w:firstRow="0" w:lastRow="0" w:firstColumn="0" w:lastColumn="0" w:oddVBand="0" w:evenVBand="0" w:oddHBand="1" w:evenHBand="0" w:firstRowFirstColumn="0" w:firstRowLastColumn="0" w:lastRowFirstColumn="0" w:lastRowLastColumn="0"/>
            </w:pPr>
            <w:r w:rsidRPr="000633FC">
              <w:t>Sales assistants, kitchenhands, domestic cleaners</w:t>
            </w:r>
          </w:p>
        </w:tc>
      </w:tr>
    </w:tbl>
    <w:p w:rsidR="00F918C3" w:rsidRPr="000633FC" w:rsidRDefault="00F918C3" w:rsidP="0088021F">
      <w:pPr>
        <w:pStyle w:val="Source"/>
        <w:keepNext/>
      </w:pPr>
      <w:r w:rsidRPr="000633FC">
        <w:t>Source: Australian Bureau of Statistics</w:t>
      </w:r>
    </w:p>
    <w:p w:rsidR="00F918C3" w:rsidRPr="000633FC" w:rsidRDefault="00F918C3" w:rsidP="0088021F">
      <w:pPr>
        <w:pStyle w:val="Note"/>
        <w:keepNext/>
      </w:pPr>
      <w:r w:rsidRPr="000633FC">
        <w:t>Note:</w:t>
      </w:r>
    </w:p>
    <w:p w:rsidR="00F918C3" w:rsidRPr="000633FC" w:rsidRDefault="00F918C3" w:rsidP="004B1D31">
      <w:pPr>
        <w:pStyle w:val="Note"/>
      </w:pPr>
      <w:r w:rsidRPr="000633FC">
        <w:t>(a)</w:t>
      </w:r>
      <w:r w:rsidRPr="000633FC">
        <w:tab/>
        <w:t>Skill level three includes Certificate III with two years’ on</w:t>
      </w:r>
      <w:r w:rsidRPr="000633FC">
        <w:noBreakHyphen/>
        <w:t>the</w:t>
      </w:r>
      <w:r w:rsidRPr="000633FC">
        <w:noBreakHyphen/>
        <w:t>job training.</w:t>
      </w:r>
    </w:p>
    <w:p w:rsidR="00F918C3" w:rsidRPr="000633FC" w:rsidRDefault="00F918C3" w:rsidP="00096DCB">
      <w:r w:rsidRPr="000633FC">
        <w:rPr>
          <w:color w:val="000000" w:themeColor="text1"/>
        </w:rPr>
        <w:t>The Victorian economy requires a high level of skill from its workforce. In 2016, 44 per cent of all roles in Victoria were categorised at diploma qualification or higher, while 17 per cent were at the lowest skill level (Chart 3.5). At the same time, Victoria’s workforce has increased its level of education and skills, in line with the demands of the labour market and industry. The share of Victorians who have attained a diploma or higher was 48 per </w:t>
      </w:r>
      <w:r w:rsidRPr="000633FC">
        <w:t>cent in 2016, which is slightly higher than the share of occupations at this skill level.</w:t>
      </w:r>
    </w:p>
    <w:p w:rsidR="00F918C3" w:rsidRPr="000633FC" w:rsidRDefault="00F918C3" w:rsidP="009672B6">
      <w:pPr>
        <w:pStyle w:val="TableHeading"/>
        <w:spacing w:after="0"/>
      </w:pPr>
      <w:r w:rsidRPr="000633FC">
        <w:t>Chart 3.5:</w:t>
      </w:r>
      <w:r w:rsidRPr="000633FC">
        <w:tab/>
        <w:t>Skill level of occupations vs. educational attainment of the workforce, Victoria, 2016</w:t>
      </w:r>
    </w:p>
    <w:p w:rsidR="00F918C3" w:rsidRPr="000633FC" w:rsidRDefault="00A9166F" w:rsidP="0027744E">
      <w:pPr>
        <w:keepNext/>
        <w:spacing w:before="0"/>
        <w:rPr>
          <w:sz w:val="20"/>
        </w:rPr>
      </w:pPr>
      <w:r>
        <w:rPr>
          <w:sz w:val="20"/>
        </w:rPr>
        <w:pict>
          <v:shape id="_x0000_i1037" type="#_x0000_t75" style="width:381.9pt;height:222.9pt">
            <v:imagedata r:id="rId39" o:title=""/>
          </v:shape>
        </w:pict>
      </w:r>
    </w:p>
    <w:p w:rsidR="00F918C3" w:rsidRPr="0065116F" w:rsidRDefault="00F918C3" w:rsidP="0065116F">
      <w:pPr>
        <w:pStyle w:val="Source"/>
      </w:pPr>
      <w:r w:rsidRPr="0065116F">
        <w:rPr>
          <w:rStyle w:val="SourceChar"/>
          <w:i/>
        </w:rPr>
        <w:t>Source: Australian Bureau of Statistics, Department of Treasury and Finance</w:t>
      </w:r>
    </w:p>
    <w:p w:rsidR="00F918C3" w:rsidRPr="000633FC" w:rsidRDefault="00F918C3" w:rsidP="0027744E">
      <w:pPr>
        <w:pStyle w:val="Note"/>
        <w:keepNext/>
      </w:pPr>
      <w:r w:rsidRPr="000633FC">
        <w:t>Note:</w:t>
      </w:r>
    </w:p>
    <w:p w:rsidR="00F918C3" w:rsidRPr="000633FC" w:rsidRDefault="00F918C3" w:rsidP="00F21920">
      <w:pPr>
        <w:pStyle w:val="Note"/>
      </w:pPr>
      <w:r w:rsidRPr="000633FC">
        <w:t>(a)</w:t>
      </w:r>
      <w:r w:rsidRPr="000633FC">
        <w:tab/>
        <w:t>Skill level three includes Certificate III with two years’ on-the-job training.</w:t>
      </w:r>
    </w:p>
    <w:p w:rsidR="00F918C3" w:rsidRPr="000633FC" w:rsidRDefault="00F918C3" w:rsidP="00940E03">
      <w:r w:rsidRPr="000633FC">
        <w:t>In contrast, the Victorian economy has a potential shortfall of workers at skill levels three and four, where roles requiring trades and technical skills are concentrated. Among the existing workforce as of 2016, 19 per cent of workers had an education equivalent to skill level three or four. By comparison 39 per cent of roles were classified at these skill levels in 2016, indicating a material shortfall in workers with qualifications equivalent to skill levels three and four. The chart further shows that the highest educational attainment of 33 per cent of workers was secondary school or Certificate I (skill level five). However, only 17 per cent of occupations are classified at that skill level.</w:t>
      </w:r>
    </w:p>
    <w:p w:rsidR="00F918C3" w:rsidRPr="000633FC" w:rsidRDefault="00F918C3" w:rsidP="00F21920">
      <w:pPr>
        <w:pStyle w:val="Heading20"/>
      </w:pPr>
      <w:r w:rsidRPr="000633FC">
        <w:t>Shortages in technician and trades skills</w:t>
      </w:r>
    </w:p>
    <w:p w:rsidR="00F918C3" w:rsidRPr="000633FC" w:rsidRDefault="00F918C3" w:rsidP="00F21920">
      <w:r w:rsidRPr="000633FC">
        <w:t>Job vacancy data further suggests that Victorian businesses are finding it harder to fill positions in occupations at skill levels three and four, where many technical or trade specialist roles are classified. The vacancy rate (the ratio of vacancies per 1 000 total positions) for occupations in skill levels three and four, which includes occupations such as carpenters, aged carers and truck drivers, increased to 13.3 per 1 000 jobs in 2017, up from 10.8 per 1 000 jobs in 2013 (Chart 3.6).</w:t>
      </w:r>
    </w:p>
    <w:p w:rsidR="00F918C3" w:rsidRPr="000633FC" w:rsidRDefault="00F918C3" w:rsidP="007B5494">
      <w:pPr>
        <w:pStyle w:val="TableHeading"/>
        <w:spacing w:before="120" w:after="0"/>
      </w:pPr>
      <w:r w:rsidRPr="000633FC">
        <w:t>Chart 3.6:</w:t>
      </w:r>
      <w:r w:rsidRPr="000633FC">
        <w:tab/>
        <w:t>Vacant jobs per 1 000 total jobs, 2013 to 2017</w:t>
      </w:r>
    </w:p>
    <w:p w:rsidR="00F918C3" w:rsidRPr="000633FC" w:rsidRDefault="00A9166F" w:rsidP="00694F13">
      <w:r>
        <w:rPr>
          <w:noProof/>
          <w:lang w:eastAsia="en-AU"/>
        </w:rPr>
        <w:pict>
          <v:shape id="_x0000_i1038" type="#_x0000_t75" style="width:377.85pt;height:221.2pt">
            <v:imagedata r:id="rId40" o:title=""/>
          </v:shape>
        </w:pict>
      </w:r>
    </w:p>
    <w:p w:rsidR="00F918C3" w:rsidRPr="000633FC" w:rsidRDefault="00F918C3" w:rsidP="00694F13">
      <w:pPr>
        <w:rPr>
          <w:rStyle w:val="SourceChar"/>
        </w:rPr>
      </w:pPr>
      <w:r w:rsidRPr="000633FC">
        <w:rPr>
          <w:rStyle w:val="SourceChar"/>
        </w:rPr>
        <w:t>Source: Commonwealth</w:t>
      </w:r>
      <w:r w:rsidR="008C27C4">
        <w:rPr>
          <w:rStyle w:val="SourceChar"/>
        </w:rPr>
        <w:fldChar w:fldCharType="begin"/>
      </w:r>
      <w:r w:rsidR="008C27C4">
        <w:instrText xml:space="preserve"> XE "</w:instrText>
      </w:r>
      <w:r w:rsidR="008C27C4" w:rsidRPr="00EF1E91">
        <w:instrText>Commonwealth</w:instrText>
      </w:r>
      <w:r w:rsidR="008C27C4">
        <w:instrText xml:space="preserve">" </w:instrText>
      </w:r>
      <w:r w:rsidR="008C27C4">
        <w:rPr>
          <w:rStyle w:val="SourceChar"/>
        </w:rPr>
        <w:fldChar w:fldCharType="end"/>
      </w:r>
      <w:r w:rsidRPr="000633FC">
        <w:rPr>
          <w:rStyle w:val="SourceChar"/>
        </w:rPr>
        <w:t xml:space="preserve"> Department of Jobs</w:t>
      </w:r>
      <w:r>
        <w:rPr>
          <w:rStyle w:val="SourceChar"/>
        </w:rPr>
        <w:t xml:space="preserve"> </w:t>
      </w:r>
      <w:r w:rsidRPr="000633FC">
        <w:rPr>
          <w:rStyle w:val="SourceChar"/>
        </w:rPr>
        <w:t xml:space="preserve"> and Small Business</w:t>
      </w:r>
    </w:p>
    <w:p w:rsidR="00F918C3" w:rsidRPr="000633FC" w:rsidRDefault="00F918C3" w:rsidP="00DD10CA">
      <w:r w:rsidRPr="000633FC">
        <w:t>Survey results provide further evidence of an undersupply of middle skill workers.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0633FC">
        <w:t xml:space="preserve"> Department of </w:t>
      </w:r>
      <w:r>
        <w:t>Jobs and Small Business’ Survey</w:t>
      </w:r>
      <w:r w:rsidRPr="000633FC">
        <w:t xml:space="preserve"> of Employers’ Recruitment Experiences found that technician and trades roles were more difficult to fill than professional roles. In 2016-17, 68 per cent of professional vacancies were filled, versus 56 per cent of technicians and trades vacancies. There were an average of 13.8 applicants for each </w:t>
      </w:r>
      <w:r w:rsidRPr="00131B48">
        <w:t>professional position, but only 9.3 for each technical and trade position. This data indicates that the pool of available qualified labour is smaller</w:t>
      </w:r>
      <w:r w:rsidRPr="000633FC">
        <w:t xml:space="preserve"> for technician and trade roles, with these trends remaining broadly consistent over the past five to 10 years, suggesting an underlying shortage of labour supply in these specific segments.</w:t>
      </w:r>
    </w:p>
    <w:p w:rsidR="00F918C3" w:rsidRPr="000633FC" w:rsidRDefault="00F918C3" w:rsidP="00252F73">
      <w:pPr>
        <w:pStyle w:val="Heading20"/>
      </w:pPr>
      <w:r w:rsidRPr="000633FC">
        <w:t>Need for skills continues to grow</w:t>
      </w:r>
    </w:p>
    <w:p w:rsidR="00F918C3" w:rsidRPr="000633FC" w:rsidRDefault="00F918C3" w:rsidP="00252F73">
      <w:r w:rsidRPr="000633FC">
        <w:t>Demand for skilled workers is expected to remain strong into the future. Jobs requiring a bachelor’s degree or higher are likely to make up the largest share of national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rsidRPr="000633FC">
        <w:t xml:space="preserve"> over the next five years (Chart 3.7). Victoria is well placed to meet growing demand at the highest skill levels, where a strong supply of skilled workers already exists.</w:t>
      </w:r>
    </w:p>
    <w:p w:rsidR="00F918C3" w:rsidRDefault="00F918C3">
      <w:pPr>
        <w:keepLines w:val="0"/>
      </w:pPr>
      <w:r>
        <w:br w:type="page"/>
      </w:r>
    </w:p>
    <w:p w:rsidR="00F918C3" w:rsidRPr="000633FC" w:rsidRDefault="00F918C3" w:rsidP="00252F73">
      <w:bookmarkStart w:id="44" w:name="BP2Ch3TAFE"/>
      <w:r w:rsidRPr="000633FC">
        <w:t>However, there is a greater challenge to address the shortfall of workers in the technical and trade occupations at skill levels three and four (Certificate II, III or IV). Investing in Victoria’s TAFE and vocational sector will be important to address this shortfall. Failure to do so could impact on the productivity and growth of industries such as construction, which relies heavily on workers at skill levels three and four and is one of Victoria’s largest employers.</w:t>
      </w:r>
    </w:p>
    <w:p w:rsidR="00F918C3" w:rsidRPr="000633FC" w:rsidRDefault="00F918C3" w:rsidP="00252F73">
      <w:pPr>
        <w:pStyle w:val="TableHeading"/>
        <w:spacing w:before="120" w:after="0"/>
      </w:pPr>
      <w:r w:rsidRPr="000633FC">
        <w:t>Chart 3.7:</w:t>
      </w:r>
      <w:r w:rsidRPr="000633FC">
        <w:tab/>
        <w:t>Share of forecast employment growth by qualification level, Australia, 2017 to 2022</w:t>
      </w:r>
      <w:r w:rsidRPr="000633FC">
        <w:rPr>
          <w:vertAlign w:val="superscript"/>
        </w:rPr>
        <w:t xml:space="preserve"> (a)</w:t>
      </w:r>
    </w:p>
    <w:p w:rsidR="00F918C3" w:rsidRPr="000633FC" w:rsidRDefault="00A9166F" w:rsidP="00252F73">
      <w:pPr>
        <w:spacing w:before="0"/>
      </w:pPr>
      <w:r>
        <w:pict>
          <v:shape id="_x0000_i1039" type="#_x0000_t75" style="width:382.45pt;height:223.5pt">
            <v:imagedata r:id="rId41" o:title=""/>
          </v:shape>
        </w:pict>
      </w:r>
    </w:p>
    <w:p w:rsidR="00F918C3" w:rsidRPr="002114FC" w:rsidRDefault="00F918C3" w:rsidP="002114FC">
      <w:pPr>
        <w:pStyle w:val="Source"/>
        <w:rPr>
          <w:rStyle w:val="SourceChar"/>
          <w:i/>
        </w:rPr>
      </w:pPr>
      <w:r w:rsidRPr="002114FC">
        <w:rPr>
          <w:rStyle w:val="SourceChar"/>
          <w:i/>
        </w:rPr>
        <w:t>Source: Commonwealth</w:t>
      </w:r>
      <w:r w:rsidR="008C27C4" w:rsidRPr="002114FC">
        <w:rPr>
          <w:rStyle w:val="SourceChar"/>
          <w:i/>
        </w:rPr>
        <w:fldChar w:fldCharType="begin"/>
      </w:r>
      <w:r w:rsidR="008C27C4" w:rsidRPr="002114FC">
        <w:rPr>
          <w:i w:val="0"/>
        </w:rPr>
        <w:instrText xml:space="preserve"> XE "Commonwealth" </w:instrText>
      </w:r>
      <w:r w:rsidR="008C27C4" w:rsidRPr="002114FC">
        <w:rPr>
          <w:rStyle w:val="SourceChar"/>
          <w:i/>
        </w:rPr>
        <w:fldChar w:fldCharType="end"/>
      </w:r>
      <w:r w:rsidRPr="002114FC">
        <w:rPr>
          <w:rStyle w:val="SourceChar"/>
          <w:i/>
        </w:rPr>
        <w:t xml:space="preserve"> Department of Jobs  and Small Business</w:t>
      </w:r>
    </w:p>
    <w:p w:rsidR="00F918C3" w:rsidRPr="000633FC" w:rsidRDefault="00F918C3" w:rsidP="00514A57">
      <w:pPr>
        <w:pStyle w:val="Note"/>
      </w:pPr>
      <w:r w:rsidRPr="000633FC">
        <w:t>Note:</w:t>
      </w:r>
    </w:p>
    <w:p w:rsidR="00F918C3" w:rsidRPr="000633FC" w:rsidRDefault="00F918C3" w:rsidP="00514A57">
      <w:pPr>
        <w:pStyle w:val="Note"/>
      </w:pPr>
      <w:r w:rsidRPr="000633FC">
        <w:t>(a)</w:t>
      </w:r>
      <w:r w:rsidRPr="000633FC">
        <w:tab/>
        <w:t>Skill level three includes Certificate III with two years’ on</w:t>
      </w:r>
      <w:r w:rsidRPr="000633FC">
        <w:noBreakHyphen/>
        <w:t>the</w:t>
      </w:r>
      <w:r w:rsidRPr="000633FC">
        <w:noBreakHyphen/>
        <w:t xml:space="preserve">job training. </w:t>
      </w:r>
    </w:p>
    <w:p w:rsidR="00F918C3" w:rsidRPr="000633FC" w:rsidRDefault="00F918C3" w:rsidP="00252F73">
      <w:r w:rsidRPr="000633FC">
        <w:t>Labour demand is forecast to be strongest in Victoria’s services industries (Chart 3.8). While many of the strongest growing industries require a similar level of skill, the types of ski</w:t>
      </w:r>
      <w:r>
        <w:t>lls required across industries are</w:t>
      </w:r>
      <w:r w:rsidRPr="000633FC">
        <w:t xml:space="preserve"> diverse. This highlights the importance of both increasing the average skill level of the workforce and ensuring the mix of skills meets the range of requirements across industry sectors.</w:t>
      </w:r>
    </w:p>
    <w:p w:rsidR="00F918C3" w:rsidRPr="000633FC" w:rsidRDefault="00F918C3" w:rsidP="00252F73">
      <w:pPr>
        <w:pStyle w:val="TableHeading"/>
        <w:spacing w:before="120" w:after="0"/>
      </w:pPr>
      <w:r w:rsidRPr="000633FC">
        <w:t>Chart 3.8:</w:t>
      </w:r>
      <w:r w:rsidRPr="000633FC">
        <w:tab/>
        <w:t>Projected Victorian employment growth, selected industry divisions, 2017 to 2022</w:t>
      </w:r>
    </w:p>
    <w:p w:rsidR="00F918C3" w:rsidRPr="000633FC" w:rsidRDefault="00A9166F" w:rsidP="00252F73">
      <w:pPr>
        <w:keepNext/>
        <w:spacing w:before="0"/>
      </w:pPr>
      <w:r>
        <w:pict>
          <v:shape id="_x0000_i1040" type="#_x0000_t75" style="width:382.45pt;height:221.2pt">
            <v:imagedata r:id="rId42" o:title=""/>
          </v:shape>
        </w:pict>
      </w:r>
    </w:p>
    <w:p w:rsidR="00F918C3" w:rsidRPr="000633FC" w:rsidRDefault="00F918C3" w:rsidP="00252F73">
      <w:pPr>
        <w:keepNext/>
        <w:spacing w:before="0"/>
        <w:rPr>
          <w:rStyle w:val="SourceChar"/>
        </w:rPr>
      </w:pPr>
      <w:r w:rsidRPr="000633FC">
        <w:rPr>
          <w:rStyle w:val="SourceChar"/>
        </w:rPr>
        <w:t>Source: A</w:t>
      </w:r>
      <w:r>
        <w:rPr>
          <w:rStyle w:val="SourceChar"/>
        </w:rPr>
        <w:t>ustralian Bureau of Statistics</w:t>
      </w:r>
    </w:p>
    <w:p w:rsidR="00F918C3" w:rsidRPr="000633FC" w:rsidRDefault="00F918C3" w:rsidP="00252F73">
      <w:pPr>
        <w:keepNext/>
        <w:spacing w:before="0"/>
        <w:rPr>
          <w:rStyle w:val="SourceChar"/>
        </w:rPr>
      </w:pPr>
    </w:p>
    <w:p w:rsidR="00F918C3" w:rsidRPr="000633FC" w:rsidRDefault="00F918C3" w:rsidP="00252F73">
      <w:r w:rsidRPr="000633FC">
        <w:t xml:space="preserve">As well as the right mix of skills, Victorian workers need </w:t>
      </w:r>
      <w:r>
        <w:t xml:space="preserve">high </w:t>
      </w:r>
      <w:r w:rsidRPr="000633FC">
        <w:t>quality training. This ensures applicants are job</w:t>
      </w:r>
      <w:r w:rsidRPr="000633FC">
        <w:noBreakHyphen/>
        <w:t xml:space="preserve">ready, with the skills Victorian employers need. </w:t>
      </w:r>
      <w:r>
        <w:t xml:space="preserve">High </w:t>
      </w:r>
      <w:r w:rsidRPr="000633FC">
        <w:t>quality training means graduates spend less time looking for work.</w:t>
      </w:r>
    </w:p>
    <w:p w:rsidR="00F918C3" w:rsidRPr="000633FC" w:rsidRDefault="00F918C3" w:rsidP="00056647">
      <w:r w:rsidRPr="000633FC">
        <w:t>The role of the education system is critical in developing a skilled and diverse workforce. The role of government is to ensure the quality, integrity and sustainability of this system, while supporting access to relevant skills and training so that all Victorians have the opportunity to maximise their employment prospects and life outcomes.</w:t>
      </w:r>
      <w:r>
        <w:fldChar w:fldCharType="begin"/>
      </w:r>
      <w:r>
        <w:instrText xml:space="preserve"> XE "</w:instrText>
      </w:r>
      <w:r w:rsidRPr="00A3655D">
        <w:instrText>Skills</w:instrText>
      </w:r>
      <w:r>
        <w:instrText xml:space="preserve">" \r "BP2Ch3Skills" </w:instrText>
      </w:r>
      <w:r>
        <w:fldChar w:fldCharType="end"/>
      </w:r>
      <w:r>
        <w:fldChar w:fldCharType="begin"/>
      </w:r>
      <w:r>
        <w:instrText xml:space="preserve"> XE "Jobs" \r "BP2Ch3Skills" </w:instrText>
      </w:r>
      <w:r>
        <w:fldChar w:fldCharType="end"/>
      </w:r>
    </w:p>
    <w:p w:rsidR="00F918C3" w:rsidRPr="000633FC" w:rsidRDefault="00F918C3" w:rsidP="00252F73">
      <w:pPr>
        <w:pStyle w:val="Heading10"/>
      </w:pPr>
      <w:bookmarkStart w:id="45" w:name="_Toc512629763"/>
      <w:bookmarkEnd w:id="43"/>
      <w:r w:rsidRPr="000633FC">
        <w:t>Investing for the future</w:t>
      </w:r>
      <w:bookmarkEnd w:id="45"/>
    </w:p>
    <w:p w:rsidR="00F918C3" w:rsidRPr="000633FC" w:rsidRDefault="00F918C3" w:rsidP="00252F73">
      <w:pPr>
        <w:rPr>
          <w:rFonts w:ascii="Garamond" w:eastAsia="Garamond" w:hAnsi="Garamond" w:cs="Times New Roman"/>
        </w:rPr>
      </w:pPr>
      <w:r w:rsidRPr="000633FC">
        <w:t xml:space="preserve">The Government has made significant progress in building the skills of Victorians for the future. In 2015 the Government appointed the first Victorian Skills Commissioner, who led reform to </w:t>
      </w:r>
      <w:r w:rsidRPr="000633FC">
        <w:rPr>
          <w:rFonts w:ascii="Garamond" w:eastAsia="Garamond" w:hAnsi="Garamond" w:cs="Times New Roman"/>
        </w:rPr>
        <w:t>better align the TAFE and vocational training sector with the needs of industry and the economy. Ten Industry Advisory Groups were established as part of the Industry Engagement Framework covering industries ranging from construction and health, to resources and manufacturing. The groups provide advice to the Victorian Skills Commissioner on skill demand pressures and future industry skills needs.</w:t>
      </w:r>
    </w:p>
    <w:p w:rsidR="00F918C3" w:rsidRPr="000633FC" w:rsidRDefault="00F918C3" w:rsidP="00252F73">
      <w:r w:rsidRPr="000633FC">
        <w:t>TAFEs are the cornerstone of the vocational training system. They play an important role as the public providers supporting students of all ages and abilities, and in all locations. That is why the Government has invested in TAFE through initiatives like the TAFE Rescue Fund, TAFE Back to Work Fund, and TAFE Boost Fund.</w:t>
      </w:r>
    </w:p>
    <w:p w:rsidR="00F918C3" w:rsidRPr="000633FC" w:rsidRDefault="00F918C3" w:rsidP="00252F73">
      <w:r w:rsidRPr="000633FC">
        <w:rPr>
          <w:rFonts w:ascii="Garamond" w:eastAsia="Garamond" w:hAnsi="Garamond" w:cs="Times New Roman"/>
        </w:rPr>
        <w:t>The Government also implemented the Skills First</w:t>
      </w:r>
      <w:r>
        <w:rPr>
          <w:rFonts w:ascii="Garamond" w:eastAsia="Garamond" w:hAnsi="Garamond" w:cs="Times New Roman"/>
        </w:rPr>
        <w:fldChar w:fldCharType="begin"/>
      </w:r>
      <w:r>
        <w:rPr>
          <w:rFonts w:ascii="Garamond" w:eastAsia="Garamond" w:hAnsi="Garamond" w:cs="Times New Roman"/>
        </w:rPr>
        <w:instrText xml:space="preserve"> XE "</w:instrText>
      </w:r>
      <w:r w:rsidRPr="00D02DCA">
        <w:instrText>Skills First</w:instrText>
      </w:r>
      <w:r>
        <w:instrText>"</w:instrText>
      </w:r>
      <w:r>
        <w:rPr>
          <w:rFonts w:ascii="Garamond" w:eastAsia="Garamond" w:hAnsi="Garamond" w:cs="Times New Roman"/>
        </w:rPr>
        <w:instrText xml:space="preserve"> </w:instrText>
      </w:r>
      <w:r>
        <w:rPr>
          <w:rFonts w:ascii="Garamond" w:eastAsia="Garamond" w:hAnsi="Garamond" w:cs="Times New Roman"/>
        </w:rPr>
        <w:fldChar w:fldCharType="end"/>
      </w:r>
      <w:r w:rsidRPr="000633FC">
        <w:rPr>
          <w:rFonts w:ascii="Garamond" w:eastAsia="Garamond" w:hAnsi="Garamond" w:cs="Times New Roman"/>
        </w:rPr>
        <w:t xml:space="preserve"> reforms in 2017 to strengthen the TAFE and vocational training sector. In the short period since implementation, there is already evidence that the share of enrolments in TAFE has increased and that vocational education and training (VET) </w:t>
      </w:r>
      <w:r w:rsidRPr="000633FC">
        <w:t xml:space="preserve">enrolments </w:t>
      </w:r>
      <w:r w:rsidRPr="00131B48">
        <w:t>are more closely aligned to Government priorities including apprenticeships, high</w:t>
      </w:r>
      <w:r w:rsidRPr="00131B48">
        <w:noBreakHyphen/>
        <w:t>value traineeships and skills that workers need to</w:t>
      </w:r>
      <w:r w:rsidRPr="000633FC">
        <w:t xml:space="preserve"> address family violence and support the National Disability Insurance Scheme (NDIS).</w:t>
      </w:r>
    </w:p>
    <w:p w:rsidR="00F918C3" w:rsidRPr="000633FC" w:rsidRDefault="00F918C3" w:rsidP="00600D9C">
      <w:r w:rsidRPr="000633FC">
        <w:t>In addition the Government has put in place a framework that will help deliver its pipeline of major infrastructure projects (Box 3.2).</w:t>
      </w:r>
    </w:p>
    <w:p w:rsidR="00F918C3" w:rsidRPr="000633FC" w:rsidRDefault="00F918C3" w:rsidP="00F85F76">
      <w:r w:rsidRPr="000633FC">
        <w:t>These successes are encouraging, but more needs to be done. Without Government action, the shortfall in trade and technically skilled workers is likely to continue, with enrolments in Certificates II, III and IV courses in Victorian vocational education institutions declining in recent years (Chart 3.9). These trends suggest that further investment in the TAFE and vocational education sector is needed to strengthen Victoria’s workforce across the middle skill levels.</w:t>
      </w:r>
      <w:r w:rsidR="002114FC">
        <w:fldChar w:fldCharType="begin"/>
      </w:r>
      <w:r w:rsidR="002114FC">
        <w:instrText xml:space="preserve"> XE "</w:instrText>
      </w:r>
      <w:r w:rsidR="002114FC" w:rsidRPr="000849E4">
        <w:instrText>TAFE</w:instrText>
      </w:r>
      <w:r w:rsidR="002114FC">
        <w:instrText xml:space="preserve">" \r "BP2Ch3TAFE" </w:instrText>
      </w:r>
      <w:r w:rsidR="002114FC">
        <w:fldChar w:fldCharType="end"/>
      </w:r>
    </w:p>
    <w:bookmarkEnd w:id="44"/>
    <w:p w:rsidR="00F918C3" w:rsidRPr="000633FC" w:rsidRDefault="00F918C3" w:rsidP="00135F7F">
      <w:pPr>
        <w:pStyle w:val="TableHeading"/>
        <w:spacing w:before="120" w:after="0"/>
      </w:pPr>
      <w:r w:rsidRPr="000633FC">
        <w:t>Chart 3.9:</w:t>
      </w:r>
      <w:r w:rsidRPr="000633FC">
        <w:tab/>
        <w:t>Vocational education enrolments by qualification level, Victoria, 2006 to 2016</w:t>
      </w:r>
    </w:p>
    <w:p w:rsidR="00F918C3" w:rsidRPr="000633FC" w:rsidRDefault="00A9166F" w:rsidP="00135F7F">
      <w:pPr>
        <w:keepNext/>
      </w:pPr>
      <w:r>
        <w:rPr>
          <w:noProof/>
          <w:lang w:eastAsia="en-AU"/>
        </w:rPr>
        <w:pict>
          <v:shape id="_x0000_i1041" type="#_x0000_t75" style="width:381.9pt;height:223.5pt">
            <v:imagedata r:id="rId43" o:title=""/>
          </v:shape>
        </w:pict>
      </w:r>
    </w:p>
    <w:p w:rsidR="00F918C3" w:rsidRPr="002114FC" w:rsidRDefault="00F918C3" w:rsidP="007D2704">
      <w:pPr>
        <w:pStyle w:val="Source"/>
        <w:rPr>
          <w:i w:val="0"/>
        </w:rPr>
      </w:pPr>
      <w:r w:rsidRPr="002114FC">
        <w:rPr>
          <w:rStyle w:val="SourceChar"/>
          <w:i/>
        </w:rPr>
        <w:t>Source: National Centre for Vocational Education Research</w:t>
      </w:r>
    </w:p>
    <w:p w:rsidR="00F918C3" w:rsidRPr="000633FC" w:rsidRDefault="00F918C3" w:rsidP="00911DD4">
      <w:pPr>
        <w:pStyle w:val="HighlightBoxHeading"/>
        <w:pageBreakBefore/>
      </w:pPr>
      <w:r w:rsidRPr="000633FC">
        <w:t>Box 3.2:</w:t>
      </w:r>
      <w:r w:rsidRPr="000633FC">
        <w:tab/>
        <w:t>Workforce skills to deliver infrastructure</w:t>
      </w:r>
    </w:p>
    <w:p w:rsidR="00F918C3" w:rsidRPr="000633FC" w:rsidRDefault="00F918C3" w:rsidP="00F568FA">
      <w:pPr>
        <w:pStyle w:val="HighlightBoxText"/>
      </w:pPr>
      <w:r w:rsidRPr="000633FC">
        <w:t xml:space="preserve">The </w:t>
      </w:r>
      <w:r w:rsidRPr="000633FC">
        <w:rPr>
          <w:i/>
        </w:rPr>
        <w:t>2018-19 Budget</w:t>
      </w:r>
      <w:r w:rsidRPr="000633FC">
        <w:t xml:space="preserve"> </w:t>
      </w:r>
      <w:r>
        <w:t xml:space="preserve">outlines </w:t>
      </w:r>
      <w:r w:rsidRPr="000633FC">
        <w:t>the Government’s plans to invest $10.1</w:t>
      </w:r>
      <w:r w:rsidR="006371F3">
        <w:t> billion</w:t>
      </w:r>
      <w:r w:rsidRPr="000633FC">
        <w:t xml:space="preserve"> a year on average over the next four years in infrastructure across Victoria. This includes major new initiatives that will accommodate greater economic activity, such as the Suburban Roads Upgrade</w:t>
      </w:r>
      <w:r w:rsidR="008C27C4">
        <w:fldChar w:fldCharType="begin"/>
      </w:r>
      <w:r w:rsidR="008C27C4">
        <w:instrText xml:space="preserve"> XE "</w:instrText>
      </w:r>
      <w:r w:rsidR="008C27C4" w:rsidRPr="005A1DCE">
        <w:rPr>
          <w:iCs/>
        </w:rPr>
        <w:instrText>Suburban Roads Upgrade</w:instrText>
      </w:r>
      <w:r w:rsidR="008C27C4">
        <w:instrText xml:space="preserve">" </w:instrText>
      </w:r>
      <w:r w:rsidR="008C27C4">
        <w:fldChar w:fldCharType="end"/>
      </w:r>
      <w:r w:rsidRPr="000633FC">
        <w:t xml:space="preserve"> </w:t>
      </w:r>
      <w:r w:rsidRPr="00131B48">
        <w:t>and the Monash Freeway upgrade – Stage 2, and</w:t>
      </w:r>
      <w:r w:rsidRPr="000633FC">
        <w:t xml:space="preserve"> ongoing projects such as the Metro Tunnel</w:t>
      </w:r>
      <w:r w:rsidR="008C27C4">
        <w:fldChar w:fldCharType="begin"/>
      </w:r>
      <w:r w:rsidR="008C27C4">
        <w:instrText xml:space="preserve"> XE "</w:instrText>
      </w:r>
      <w:r w:rsidR="008C27C4" w:rsidRPr="005873EA">
        <w:instrText>Metro Tunnel</w:instrText>
      </w:r>
      <w:r w:rsidR="008C27C4">
        <w:instrText xml:space="preserve">" </w:instrText>
      </w:r>
      <w:r w:rsidR="008C27C4">
        <w:fldChar w:fldCharType="end"/>
      </w:r>
      <w:r w:rsidRPr="000633FC">
        <w:t>, West Gate Tunnel Project</w:t>
      </w:r>
      <w:r>
        <w:fldChar w:fldCharType="begin"/>
      </w:r>
      <w:r>
        <w:instrText xml:space="preserve"> XE "</w:instrText>
      </w:r>
      <w:r w:rsidRPr="00D02DCA">
        <w:instrText>West Gate Tunnel Project</w:instrText>
      </w:r>
      <w:r>
        <w:instrText xml:space="preserve">" </w:instrText>
      </w:r>
      <w:r>
        <w:fldChar w:fldCharType="end"/>
      </w:r>
      <w:r w:rsidRPr="000633FC">
        <w:t xml:space="preserve"> and Level Crossing Removal Program</w:t>
      </w:r>
      <w:r>
        <w:fldChar w:fldCharType="begin"/>
      </w:r>
      <w:r>
        <w:instrText xml:space="preserve"> XE "</w:instrText>
      </w:r>
      <w:r w:rsidRPr="00D02DCA">
        <w:instrText>Level Crossing Removal Program</w:instrText>
      </w:r>
      <w:r>
        <w:instrText xml:space="preserve">" </w:instrText>
      </w:r>
      <w:r>
        <w:fldChar w:fldCharType="end"/>
      </w:r>
      <w:r w:rsidRPr="000633FC">
        <w:t>.</w:t>
      </w:r>
    </w:p>
    <w:p w:rsidR="00F918C3" w:rsidRPr="000633FC" w:rsidRDefault="00F918C3" w:rsidP="00F568FA">
      <w:pPr>
        <w:pStyle w:val="HighlightBoxText"/>
      </w:pPr>
      <w:r w:rsidRPr="000633FC">
        <w:t>These projects will employ thousands of Victorians and boost Victoria’s productivity. The projects will rely on a large, highly skilled workforce with expertise in all aspects of infrastructure to ensure these projects are delivered on cost, on time and to a high quality.</w:t>
      </w:r>
    </w:p>
    <w:p w:rsidR="00F918C3" w:rsidRPr="000633FC" w:rsidRDefault="00F918C3" w:rsidP="00F568FA">
      <w:pPr>
        <w:pStyle w:val="HighlightBoxText"/>
      </w:pPr>
      <w:r w:rsidRPr="000633FC">
        <w:t>This comes at a time when other states – such as New South Wales and Queensland – are also making significant investment in infrastructure, and will be competing with Victoria for skilled workers. It is important to ensure Victoria will have the supply of skilled labour needed for the Government’s infrastructure pipeline.</w:t>
      </w:r>
    </w:p>
    <w:p w:rsidR="00F918C3" w:rsidRPr="000633FC" w:rsidRDefault="00F918C3" w:rsidP="00F568FA">
      <w:pPr>
        <w:pStyle w:val="HighlightBoxText"/>
        <w:keepNext/>
      </w:pPr>
      <w:r w:rsidRPr="000633FC">
        <w:t>Research commissioned by Victoria’s transport agencies identified priority skill areas for constructing transport infrastructure, including:</w:t>
      </w:r>
    </w:p>
    <w:p w:rsidR="00F918C3" w:rsidRPr="000633FC" w:rsidRDefault="00F918C3" w:rsidP="00F568FA">
      <w:pPr>
        <w:pStyle w:val="HighlightBoxBullet"/>
        <w:keepNext/>
      </w:pPr>
      <w:r w:rsidRPr="000633FC">
        <w:t>railway signalling expertise;</w:t>
      </w:r>
    </w:p>
    <w:p w:rsidR="00F918C3" w:rsidRPr="000633FC" w:rsidRDefault="00F918C3" w:rsidP="00F568FA">
      <w:pPr>
        <w:pStyle w:val="HighlightBoxBullet"/>
      </w:pPr>
      <w:r w:rsidRPr="000633FC">
        <w:t>tunnelling expertise;</w:t>
      </w:r>
    </w:p>
    <w:p w:rsidR="00F918C3" w:rsidRPr="000633FC" w:rsidRDefault="00F918C3" w:rsidP="00F568FA">
      <w:pPr>
        <w:pStyle w:val="HighlightBoxBullet"/>
      </w:pPr>
      <w:r w:rsidRPr="000633FC">
        <w:t>cost engineers and quantity surveyors;</w:t>
      </w:r>
    </w:p>
    <w:p w:rsidR="00F918C3" w:rsidRPr="000633FC" w:rsidRDefault="00F918C3" w:rsidP="00F568FA">
      <w:pPr>
        <w:pStyle w:val="HighlightBoxBullet"/>
      </w:pPr>
      <w:r w:rsidRPr="000633FC">
        <w:t>project leadership;</w:t>
      </w:r>
    </w:p>
    <w:p w:rsidR="00F918C3" w:rsidRPr="000633FC" w:rsidRDefault="00F918C3" w:rsidP="00F568FA">
      <w:pPr>
        <w:pStyle w:val="HighlightBoxBullet"/>
      </w:pPr>
      <w:r w:rsidRPr="000633FC">
        <w:t>service relocation and utility network operation; and</w:t>
      </w:r>
    </w:p>
    <w:p w:rsidR="00F918C3" w:rsidRPr="000633FC" w:rsidRDefault="00F918C3" w:rsidP="00F568FA">
      <w:pPr>
        <w:pStyle w:val="HighlightBoxBullet"/>
      </w:pPr>
      <w:r w:rsidRPr="000633FC">
        <w:t>structural and pre-cast concrete.</w:t>
      </w:r>
    </w:p>
    <w:p w:rsidR="00F918C3" w:rsidRPr="000633FC" w:rsidRDefault="00F918C3" w:rsidP="00F568FA">
      <w:pPr>
        <w:pStyle w:val="HighlightBoxText"/>
      </w:pPr>
      <w:r w:rsidRPr="000633FC">
        <w:t>Without action, labour supply constraints may also spill over into sectors such as health, education and building construction, all of which are linked to infrastructure in some way.</w:t>
      </w:r>
    </w:p>
    <w:p w:rsidR="00F918C3" w:rsidRPr="000633FC" w:rsidRDefault="00F918C3" w:rsidP="00F568FA">
      <w:pPr>
        <w:pStyle w:val="HighlightBoxText"/>
      </w:pPr>
      <w:r w:rsidRPr="000633FC">
        <w:t>The Major Projects Skills Guarantee</w:t>
      </w:r>
      <w:r w:rsidR="008C27C4">
        <w:fldChar w:fldCharType="begin"/>
      </w:r>
      <w:r w:rsidR="008C27C4">
        <w:instrText xml:space="preserve"> XE "</w:instrText>
      </w:r>
      <w:r w:rsidR="008C27C4" w:rsidRPr="005873EA">
        <w:instrText>Major Projects Skills Guarantee</w:instrText>
      </w:r>
      <w:r w:rsidR="008C27C4">
        <w:instrText xml:space="preserve">" </w:instrText>
      </w:r>
      <w:r w:rsidR="008C27C4">
        <w:fldChar w:fldCharType="end"/>
      </w:r>
      <w:r w:rsidRPr="000633FC">
        <w:t xml:space="preserve"> supports developing the skilled workforce that is needed for Victoria’s major infrastructure projects. The Major Projects Skills Guarantee requires that at least 10 per cent of the work on major public projects is undertaken by local apprentices, trainees or engineering cadets. This provides opportunities for Victorians in the early stages of their careers to gain on the job experience working on some of Victoria’s biggest building and infrastructure projects, including the Metro Tunnel</w:t>
      </w:r>
      <w:r w:rsidR="008C27C4">
        <w:fldChar w:fldCharType="begin"/>
      </w:r>
      <w:r w:rsidR="008C27C4">
        <w:instrText xml:space="preserve"> XE "</w:instrText>
      </w:r>
      <w:r w:rsidR="008C27C4" w:rsidRPr="005873EA">
        <w:instrText>Metro Tunnel</w:instrText>
      </w:r>
      <w:r w:rsidR="008C27C4">
        <w:instrText xml:space="preserve">" </w:instrText>
      </w:r>
      <w:r w:rsidR="008C27C4">
        <w:fldChar w:fldCharType="end"/>
      </w:r>
      <w:r w:rsidRPr="000633FC">
        <w:t xml:space="preserve"> and Level Crossing Removal Program, and encourages major employers to offer t</w:t>
      </w:r>
      <w:r>
        <w:t>raining positions</w:t>
      </w:r>
      <w:r w:rsidRPr="000633FC">
        <w:t>.</w:t>
      </w:r>
    </w:p>
    <w:p w:rsidR="00F918C3" w:rsidRDefault="00F918C3">
      <w:pPr>
        <w:keepLines w:val="0"/>
        <w:rPr>
          <w:rFonts w:asciiTheme="majorHAnsi" w:eastAsiaTheme="majorEastAsia" w:hAnsiTheme="majorHAnsi" w:cstheme="majorBidi"/>
          <w:b/>
          <w:spacing w:val="-2"/>
          <w:sz w:val="26"/>
          <w:szCs w:val="26"/>
        </w:rPr>
      </w:pPr>
      <w:r>
        <w:br w:type="page"/>
      </w:r>
    </w:p>
    <w:p w:rsidR="00F918C3" w:rsidRPr="000633FC" w:rsidRDefault="00F918C3" w:rsidP="00B819CD">
      <w:pPr>
        <w:pStyle w:val="Heading20"/>
        <w:rPr>
          <w:rFonts w:eastAsia="Times New Roman"/>
        </w:rPr>
      </w:pPr>
      <w:r w:rsidRPr="000633FC">
        <w:t xml:space="preserve">Investing in </w:t>
      </w:r>
      <w:r w:rsidRPr="000633FC">
        <w:rPr>
          <w:rFonts w:eastAsia="Times New Roman"/>
        </w:rPr>
        <w:t>a strong TAFE and vocational training sector</w:t>
      </w:r>
    </w:p>
    <w:p w:rsidR="00F918C3" w:rsidRPr="00B75E97" w:rsidRDefault="00F918C3" w:rsidP="0005606D">
      <w:r w:rsidRPr="000633FC">
        <w:t>The Government is committed to ensuring Victorian workers are equipped for the jobs of the future, the jobs that will drive economic growth</w:t>
      </w:r>
      <w:r>
        <w:fldChar w:fldCharType="begin"/>
      </w:r>
      <w:r>
        <w:instrText xml:space="preserve"> XE "</w:instrText>
      </w:r>
      <w:r w:rsidRPr="00D02DCA">
        <w:instrText>Economic growth</w:instrText>
      </w:r>
      <w:r>
        <w:instrText xml:space="preserve">" </w:instrText>
      </w:r>
      <w:r>
        <w:fldChar w:fldCharType="end"/>
      </w:r>
      <w:r w:rsidRPr="000633FC">
        <w:t xml:space="preserve"> and enable workers to improve their lives.</w:t>
      </w:r>
      <w:r>
        <w:t xml:space="preserve"> </w:t>
      </w:r>
    </w:p>
    <w:p w:rsidR="00F918C3" w:rsidRPr="000633FC" w:rsidRDefault="00F918C3" w:rsidP="00504D42">
      <w:pPr>
        <w:keepNext/>
      </w:pPr>
      <w:r w:rsidRPr="000633FC">
        <w:t xml:space="preserve">The </w:t>
      </w:r>
      <w:r w:rsidRPr="000633FC">
        <w:rPr>
          <w:i/>
        </w:rPr>
        <w:t>2018-19 Budget</w:t>
      </w:r>
      <w:r w:rsidRPr="000633FC">
        <w:t xml:space="preserve"> complements and builds on Victoria’s strong skill development. It includes initiatives that will:</w:t>
      </w:r>
    </w:p>
    <w:p w:rsidR="00F918C3" w:rsidRPr="000633FC" w:rsidRDefault="00F918C3" w:rsidP="000D7CFD">
      <w:pPr>
        <w:pStyle w:val="ListBullet"/>
      </w:pPr>
      <w:r w:rsidRPr="000633FC">
        <w:t xml:space="preserve">continue to build the strength of the TAFE sector; </w:t>
      </w:r>
    </w:p>
    <w:p w:rsidR="00F918C3" w:rsidRPr="000633FC" w:rsidRDefault="00F918C3" w:rsidP="000D7CFD">
      <w:pPr>
        <w:pStyle w:val="ListBullet"/>
      </w:pPr>
      <w:r w:rsidRPr="000633FC">
        <w:t>increase access to training, and the number of Victorians with higher level skills; and</w:t>
      </w:r>
    </w:p>
    <w:p w:rsidR="00F918C3" w:rsidRPr="000633FC" w:rsidRDefault="00F918C3" w:rsidP="000D7CFD">
      <w:pPr>
        <w:pStyle w:val="ListBullet"/>
      </w:pPr>
      <w:r w:rsidRPr="000633FC">
        <w:t>improve the quality of training, especially of apprenticeships and traineeships.</w:t>
      </w:r>
    </w:p>
    <w:p w:rsidR="00F918C3" w:rsidRPr="000633FC" w:rsidRDefault="00F918C3" w:rsidP="000D7CFD">
      <w:r w:rsidRPr="000633FC">
        <w:t xml:space="preserve">These and other initiatives will support Victoria to be ready for the jobs of the future. A university education is not the right choice for everyone, and diversifying and improving the quality of non-university pathways suits the needs of individual Victorians and the broader economy. </w:t>
      </w:r>
    </w:p>
    <w:p w:rsidR="00F918C3" w:rsidRPr="000633FC" w:rsidRDefault="00F918C3" w:rsidP="0005606D">
      <w:pPr>
        <w:pStyle w:val="Heading30"/>
        <w:rPr>
          <w:rFonts w:eastAsia="Garamond"/>
        </w:rPr>
      </w:pPr>
      <w:r w:rsidRPr="000633FC">
        <w:rPr>
          <w:rFonts w:eastAsia="Garamond"/>
        </w:rPr>
        <w:t>Free TAFE for Priority Courses</w:t>
      </w:r>
    </w:p>
    <w:p w:rsidR="00F918C3" w:rsidRPr="000633FC" w:rsidRDefault="00F918C3" w:rsidP="002140E8">
      <w:bookmarkStart w:id="46" w:name="BP2Ch3AppPathways"/>
      <w:r w:rsidRPr="000633FC">
        <w:t xml:space="preserve">To encourage Victorians to train in </w:t>
      </w:r>
      <w:r w:rsidRPr="001F0622">
        <w:t xml:space="preserve">skills for the future, the </w:t>
      </w:r>
      <w:r w:rsidRPr="001F0622">
        <w:rPr>
          <w:i/>
        </w:rPr>
        <w:t>2018-19 Budget</w:t>
      </w:r>
      <w:r w:rsidRPr="001F0622">
        <w:t xml:space="preserve"> provides $172</w:t>
      </w:r>
      <w:r w:rsidR="006371F3">
        <w:t> million</w:t>
      </w:r>
      <w:r w:rsidRPr="001F0622">
        <w:t xml:space="preserve"> over four years to provide free TAFE for students</w:t>
      </w:r>
      <w:r w:rsidRPr="000633FC">
        <w:t xml:space="preserve"> in key areas of </w:t>
      </w:r>
      <w:r w:rsidRPr="001F0622">
        <w:t>skills needs. From 1 January 2019, students will pay no course tuition fees for 30 priority non</w:t>
      </w:r>
      <w:r w:rsidRPr="001F0622">
        <w:noBreakHyphen/>
        <w:t>apprenticeship courses and 18 Apprenticeship Pathway courses</w:t>
      </w:r>
      <w:r w:rsidRPr="000633FC">
        <w:t xml:space="preserve"> (also known as pre</w:t>
      </w:r>
      <w:r w:rsidRPr="000633FC">
        <w:noBreakHyphen/>
        <w:t xml:space="preserve">apprenticeships). The initial 20 non-apprenticeship courses and 18 </w:t>
      </w:r>
      <w:r w:rsidRPr="001F0622">
        <w:t>Apprenticeship Pathway courses are listed in Table 3.2. The Government will make further announcements to confirm the composition of the remaining 10 priority courses following consultation with industry. This initiative will reduce</w:t>
      </w:r>
      <w:r w:rsidRPr="000633FC">
        <w:t xml:space="preserve"> barriers to training and encourage a more efficient response to industry demand for trained graduates in priority areas. The initiative will enable more Victorians to develop their skills, which is particularly important given that most vocational education students do not have any post</w:t>
      </w:r>
      <w:r w:rsidRPr="000633FC">
        <w:noBreakHyphen/>
        <w:t>school qualification (Box 3.3).</w:t>
      </w:r>
    </w:p>
    <w:p w:rsidR="00F918C3" w:rsidRPr="001F0622" w:rsidRDefault="00F918C3" w:rsidP="00D100C1">
      <w:r w:rsidRPr="000633FC">
        <w:t xml:space="preserve">The non-apprenticeship courses have been selected based on a range of factors including employment projections, job advertisement data, data on improved employment status after training, student demand in 2017, gender balance, and alignment with Government </w:t>
      </w:r>
      <w:r w:rsidRPr="001F0622">
        <w:t xml:space="preserve">priorities including infrastructure, prevention of family violence, and the roll-out of the National Disability Insurance Scheme. </w:t>
      </w:r>
    </w:p>
    <w:p w:rsidR="00F918C3" w:rsidRPr="000633FC" w:rsidRDefault="00F918C3" w:rsidP="00D100C1">
      <w:pPr>
        <w:rPr>
          <w:bCs/>
        </w:rPr>
      </w:pPr>
      <w:r w:rsidRPr="001F0622">
        <w:t>Eighteen government-funded Apprenticeship Pathway courses will also be free</w:t>
      </w:r>
      <w:r>
        <w:t xml:space="preserve"> of</w:t>
      </w:r>
      <w:r w:rsidRPr="001F0622">
        <w:t xml:space="preserve"> tuition fees. The importance of Apprenticeship Pathways was recently emphasised in the Victorian Skills Commissioner’s Apprenticeship</w:t>
      </w:r>
      <w:r w:rsidRPr="001F0622">
        <w:rPr>
          <w:bCs/>
        </w:rPr>
        <w:t xml:space="preserve"> and Traineeship Taskforce Report, </w:t>
      </w:r>
      <w:r w:rsidRPr="001F0622">
        <w:rPr>
          <w:bCs/>
          <w:i/>
        </w:rPr>
        <w:t>Rebalance and Relaunch</w:t>
      </w:r>
      <w:r w:rsidRPr="000633FC">
        <w:rPr>
          <w:bCs/>
        </w:rPr>
        <w:t xml:space="preserve">. </w:t>
      </w:r>
    </w:p>
    <w:p w:rsidR="00F918C3" w:rsidRPr="000633FC" w:rsidRDefault="00F918C3" w:rsidP="00FC667B">
      <w:pPr>
        <w:pStyle w:val="TableHeading"/>
      </w:pPr>
      <w:r w:rsidRPr="000633FC">
        <w:t>Table 3.2:</w:t>
      </w:r>
      <w:r w:rsidRPr="000633FC">
        <w:tab/>
        <w:t>Initial 20 non</w:t>
      </w:r>
      <w:r w:rsidRPr="000633FC">
        <w:noBreakHyphen/>
        <w:t>apprenticeship courses and 18 Apprenticeship Pathway courses in 2019</w:t>
      </w:r>
    </w:p>
    <w:tbl>
      <w:tblPr>
        <w:tblStyle w:val="DTFTable"/>
        <w:tblW w:w="0" w:type="auto"/>
        <w:tblLook w:val="04A0" w:firstRow="1" w:lastRow="0" w:firstColumn="1" w:lastColumn="0" w:noHBand="0" w:noVBand="1"/>
      </w:tblPr>
      <w:tblGrid>
        <w:gridCol w:w="3894"/>
        <w:gridCol w:w="3895"/>
      </w:tblGrid>
      <w:tr w:rsidR="00F918C3" w:rsidRPr="000633FC" w:rsidTr="00510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keepNext/>
              <w:ind w:left="0" w:firstLine="0"/>
            </w:pPr>
          </w:p>
        </w:tc>
        <w:tc>
          <w:tcPr>
            <w:tcW w:w="3895" w:type="dxa"/>
          </w:tcPr>
          <w:p w:rsidR="00F918C3" w:rsidRPr="000633FC" w:rsidRDefault="00F918C3" w:rsidP="00510E31">
            <w:pPr>
              <w:keepNext/>
              <w:cnfStyle w:val="100000000000" w:firstRow="1" w:lastRow="0" w:firstColumn="0" w:lastColumn="0" w:oddVBand="0" w:evenVBand="0" w:oddHBand="0" w:evenHBand="0" w:firstRowFirstColumn="0" w:firstRowLastColumn="0" w:lastRowFirstColumn="0" w:lastRowLastColumn="0"/>
            </w:pP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IV/Diploma/Advanced Diploma in Accounting</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IV in Plumbing and Services</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IV in Ageing Support</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Automotive Air Conditioning Technology</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B86901">
            <w:pPr>
              <w:pStyle w:val="ListContinue"/>
              <w:keepNext/>
              <w:ind w:left="0" w:firstLine="0"/>
            </w:pPr>
            <w:r>
              <w:t>Certificate II/III/IV i</w:t>
            </w:r>
            <w:r w:rsidRPr="000633FC">
              <w:t>n Agriculture</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Automotive Body Repair Technology</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B86901">
            <w:pPr>
              <w:pStyle w:val="ListContinue"/>
              <w:keepNext/>
              <w:ind w:left="0" w:firstLine="0"/>
            </w:pPr>
            <w:r w:rsidRPr="000633FC">
              <w:t>Certificate III In Agriculture (Dairy Production)</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Automotive Servicing Technology</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III/IV in Allied Health Assistance</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Automotive Vocational Preparation</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CC3F8A">
            <w:pPr>
              <w:pStyle w:val="ListContinue"/>
              <w:keepNext/>
              <w:ind w:left="0" w:firstLine="0"/>
            </w:pPr>
            <w:r w:rsidRPr="000633FC">
              <w:t>Certificate IV/Diploma in Building and Construction (Building)</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Construction Pathways</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CC3F8A">
            <w:pPr>
              <w:pStyle w:val="ListContinue"/>
              <w:keepNext/>
              <w:ind w:left="0" w:firstLine="0"/>
            </w:pPr>
            <w:r w:rsidRPr="000633FC">
              <w:t>Certificate III in Civil Construction</w:t>
            </w:r>
          </w:p>
        </w:tc>
        <w:tc>
          <w:tcPr>
            <w:tcW w:w="3895" w:type="dxa"/>
          </w:tcPr>
          <w:p w:rsidR="00F918C3" w:rsidRPr="000633FC" w:rsidRDefault="00F918C3" w:rsidP="00CB3DF9">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Electrotechnology (Pre</w:t>
            </w:r>
            <w:r w:rsidRPr="000633FC">
              <w:noBreakHyphen/>
              <w:t>vocational)</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CC3F8A">
            <w:pPr>
              <w:pStyle w:val="ListContinue"/>
              <w:keepNext/>
              <w:ind w:left="0" w:firstLine="0"/>
            </w:pPr>
            <w:r w:rsidRPr="000633FC">
              <w:t>Certificate III/IV/Diploma in Community Services</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Electrotechnology (Career Start)</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 in Concreting</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Engineering Pathways</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 in Construction Waterproofing</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Engineering Studies</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III/IV in Dental Assisting</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Furniture Making</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IV in Disability</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Glass and Glazing</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B86901">
            <w:pPr>
              <w:pStyle w:val="ListContinue"/>
              <w:keepNext/>
              <w:ind w:left="0" w:firstLine="0"/>
            </w:pPr>
            <w:r w:rsidRPr="000633FC">
              <w:t>Certificate III/IV in Education Support</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Horticulture</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IV in Engineering</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Meat Processing (Food Services)</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 in Horticulture</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Plumbing (Pre</w:t>
            </w:r>
            <w:r w:rsidRPr="000633FC">
              <w:noBreakHyphen/>
              <w:t>apprenticeship)</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 in Hospitality</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Printing and Graphic Arts (General)</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III in Individual Support</w:t>
            </w:r>
          </w:p>
        </w:tc>
        <w:tc>
          <w:tcPr>
            <w:tcW w:w="3895" w:type="dxa"/>
          </w:tcPr>
          <w:p w:rsidR="00F918C3" w:rsidRPr="000633FC" w:rsidRDefault="00F918C3" w:rsidP="00510E31">
            <w:pPr>
              <w:pStyle w:val="ListContinue"/>
              <w:keepNext/>
              <w:ind w:left="0"/>
              <w:jc w:val="left"/>
              <w:cnfStyle w:val="000000100000" w:firstRow="0" w:lastRow="0" w:firstColumn="0" w:lastColumn="0" w:oddVBand="0" w:evenVBand="0" w:oddHBand="1" w:evenHBand="0" w:firstRowFirstColumn="0" w:firstRowLastColumn="0" w:lastRowFirstColumn="0" w:lastRowLastColumn="0"/>
            </w:pPr>
            <w:r w:rsidRPr="000633FC">
              <w:t>Certificate II in Retail Baking Assistance</w:t>
            </w:r>
          </w:p>
        </w:tc>
      </w:tr>
      <w:tr w:rsidR="00F918C3" w:rsidRPr="000633FC" w:rsidTr="00510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keepNext/>
              <w:ind w:left="0" w:firstLine="0"/>
            </w:pPr>
            <w:r w:rsidRPr="000633FC">
              <w:t>Certificate IV in Mental Health</w:t>
            </w:r>
          </w:p>
        </w:tc>
        <w:tc>
          <w:tcPr>
            <w:tcW w:w="3895" w:type="dxa"/>
          </w:tcPr>
          <w:p w:rsidR="00F918C3" w:rsidRPr="000633FC" w:rsidRDefault="00F918C3" w:rsidP="00510E31">
            <w:pPr>
              <w:pStyle w:val="ListContinue"/>
              <w:keepNext/>
              <w:ind w:left="0"/>
              <w:jc w:val="left"/>
              <w:cnfStyle w:val="000000010000" w:firstRow="0" w:lastRow="0" w:firstColumn="0" w:lastColumn="0" w:oddVBand="0" w:evenVBand="0" w:oddHBand="0" w:evenHBand="1" w:firstRowFirstColumn="0" w:firstRowLastColumn="0" w:lastRowFirstColumn="0" w:lastRowLastColumn="0"/>
            </w:pPr>
            <w:r w:rsidRPr="000633FC">
              <w:t>Certificate II in Salon Assistant</w:t>
            </w:r>
          </w:p>
        </w:tc>
      </w:tr>
      <w:tr w:rsidR="00F918C3" w:rsidRPr="000633FC" w:rsidTr="0051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rsidR="00F918C3" w:rsidRPr="000633FC" w:rsidRDefault="00F918C3" w:rsidP="00510E31">
            <w:pPr>
              <w:pStyle w:val="ListContinue"/>
              <w:ind w:left="0" w:firstLine="0"/>
            </w:pPr>
            <w:r w:rsidRPr="000633FC">
              <w:t>Diploma of Nursing</w:t>
            </w:r>
          </w:p>
        </w:tc>
        <w:tc>
          <w:tcPr>
            <w:tcW w:w="3895" w:type="dxa"/>
          </w:tcPr>
          <w:p w:rsidR="00F918C3" w:rsidRPr="000633FC" w:rsidRDefault="00F918C3" w:rsidP="00510E31">
            <w:pPr>
              <w:pStyle w:val="ListContinue"/>
              <w:ind w:left="0"/>
              <w:jc w:val="left"/>
              <w:cnfStyle w:val="000000100000" w:firstRow="0" w:lastRow="0" w:firstColumn="0" w:lastColumn="0" w:oddVBand="0" w:evenVBand="0" w:oddHBand="1" w:evenHBand="0" w:firstRowFirstColumn="0" w:firstRowLastColumn="0" w:lastRowFirstColumn="0" w:lastRowLastColumn="0"/>
            </w:pPr>
            <w:r w:rsidRPr="000633FC">
              <w:t>Certificate II in Signage and Graphics</w:t>
            </w:r>
          </w:p>
        </w:tc>
      </w:tr>
    </w:tbl>
    <w:p w:rsidR="00F918C3" w:rsidRPr="000633FC" w:rsidRDefault="00F918C3" w:rsidP="001B7263"/>
    <w:p w:rsidR="00F918C3" w:rsidRPr="000633FC" w:rsidRDefault="00F918C3" w:rsidP="00911DD4">
      <w:pPr>
        <w:pStyle w:val="HighlightBoxHeading"/>
        <w:pageBreakBefore/>
      </w:pPr>
      <w:bookmarkStart w:id="47" w:name="BP2Ch3TAFE2"/>
      <w:r w:rsidRPr="000633FC">
        <w:t>Box 3.3:</w:t>
      </w:r>
      <w:r w:rsidRPr="000633FC">
        <w:tab/>
        <w:t>A typical Victorian TAFE student</w:t>
      </w:r>
    </w:p>
    <w:p w:rsidR="00F918C3" w:rsidRPr="009A23C4" w:rsidRDefault="00F918C3" w:rsidP="00530B77">
      <w:pPr>
        <w:pStyle w:val="HighlightBoxText"/>
      </w:pPr>
      <w:r w:rsidRPr="000633FC">
        <w:t xml:space="preserve">Young people, particularly those who have left school early or who are unemployed, often cite course tuition fees as a barrier to accessing training. Even relatively small amounts of </w:t>
      </w:r>
      <w:r w:rsidRPr="009A23C4">
        <w:t>money can be seen as a deterrent to study, and students from lower socio</w:t>
      </w:r>
      <w:r w:rsidRPr="009A23C4">
        <w:noBreakHyphen/>
        <w:t>economic backgrounds also tend to underestimate the benefits of post</w:t>
      </w:r>
      <w:r w:rsidRPr="009A23C4">
        <w:noBreakHyphen/>
        <w:t xml:space="preserve">school education. Making TAFE free for priority courses will remove this barrier, ensuring </w:t>
      </w:r>
      <w:r>
        <w:t>those</w:t>
      </w:r>
      <w:r w:rsidRPr="009A23C4">
        <w:t xml:space="preserve"> who wish to undertake a priority TAFE course or Apprenticeship Pathway course can do so.</w:t>
      </w:r>
      <w:r w:rsidR="00B42920">
        <w:fldChar w:fldCharType="begin"/>
      </w:r>
      <w:r w:rsidR="00B42920">
        <w:instrText xml:space="preserve"> XE "</w:instrText>
      </w:r>
      <w:r w:rsidR="00B42920" w:rsidRPr="000B5DC4">
        <w:instrText>Apprenticeships:Apprenticeship Pathways</w:instrText>
      </w:r>
      <w:r w:rsidR="00B42920">
        <w:instrText xml:space="preserve">" \r "BP2Ch3AppPathways" </w:instrText>
      </w:r>
      <w:r w:rsidR="00B42920">
        <w:fldChar w:fldCharType="end"/>
      </w:r>
    </w:p>
    <w:bookmarkEnd w:id="46"/>
    <w:p w:rsidR="00F918C3" w:rsidRPr="000633FC" w:rsidRDefault="00F918C3" w:rsidP="00530B77">
      <w:pPr>
        <w:pStyle w:val="HighlightBoxText"/>
      </w:pPr>
      <w:r w:rsidRPr="009A23C4">
        <w:t>A typical student utilising a government</w:t>
      </w:r>
      <w:r w:rsidRPr="009A23C4">
        <w:noBreakHyphen/>
        <w:t>subsidised placement is young and has no</w:t>
      </w:r>
      <w:r w:rsidRPr="000633FC">
        <w:t xml:space="preserve"> post</w:t>
      </w:r>
      <w:r w:rsidRPr="000633FC">
        <w:noBreakHyphen/>
        <w:t>school qualification (Chart 3.10). More than half of the government subsidised students enrolled in TAFE are under 25 years old. Two</w:t>
      </w:r>
      <w:r w:rsidRPr="000633FC">
        <w:noBreakHyphen/>
        <w:t>thirds of VET students have no post</w:t>
      </w:r>
      <w:r w:rsidRPr="000633FC">
        <w:noBreakHyphen/>
        <w:t>school qualifications and of those almost half have not completed school.</w:t>
      </w:r>
    </w:p>
    <w:p w:rsidR="00F918C3" w:rsidRPr="000633FC" w:rsidRDefault="00F918C3" w:rsidP="00530B77">
      <w:pPr>
        <w:pStyle w:val="HighlightBoxText"/>
      </w:pPr>
      <w:r w:rsidRPr="000633FC">
        <w:t xml:space="preserve">In addition, </w:t>
      </w:r>
      <w:r w:rsidRPr="000633FC">
        <w:rPr>
          <w:color w:val="000000" w:themeColor="text1"/>
        </w:rPr>
        <w:t>74.4 per </w:t>
      </w:r>
      <w:r w:rsidRPr="000633FC">
        <w:t>cent of government subsidised VET students are enrolled in courses at Certificate III or higher. This means completing a VET qualification is likely to significantly increase future employment and earning prospects for those students, increase their labour force participation</w:t>
      </w:r>
      <w:r>
        <w:fldChar w:fldCharType="begin"/>
      </w:r>
      <w:r>
        <w:instrText xml:space="preserve"> XE "</w:instrText>
      </w:r>
      <w:r w:rsidRPr="00BF0AF8">
        <w:instrText>Labour force participation</w:instrText>
      </w:r>
      <w:r>
        <w:instrText xml:space="preserve">" </w:instrText>
      </w:r>
      <w:r>
        <w:fldChar w:fldCharType="end"/>
      </w:r>
      <w:r w:rsidRPr="000633FC">
        <w:t xml:space="preserve"> rate and reduce the risk of long</w:t>
      </w:r>
      <w:r w:rsidRPr="000633FC">
        <w:noBreakHyphen/>
        <w:t>term unemployment.</w:t>
      </w:r>
    </w:p>
    <w:p w:rsidR="00F918C3" w:rsidRPr="000633FC" w:rsidRDefault="00F918C3" w:rsidP="00A06D73">
      <w:pPr>
        <w:pStyle w:val="HighlightBoxHeading"/>
      </w:pPr>
      <w:r w:rsidRPr="000633FC">
        <w:t>Chart 3.10:</w:t>
      </w:r>
      <w:r w:rsidRPr="000633FC">
        <w:tab/>
        <w:t>Previous highest level of education, Victorian VET students, 2016</w:t>
      </w:r>
    </w:p>
    <w:p w:rsidR="00F918C3" w:rsidRPr="000633FC" w:rsidRDefault="00F918C3" w:rsidP="008375A4">
      <w:pPr>
        <w:pStyle w:val="HighlightBoxBullet"/>
        <w:keepNext/>
        <w:numPr>
          <w:ilvl w:val="0"/>
          <w:numId w:val="0"/>
        </w:numPr>
        <w:ind w:left="284" w:hanging="284"/>
      </w:pPr>
      <w:r w:rsidRPr="000633FC">
        <w:object w:dxaOrig="9605" w:dyaOrig="5304">
          <v:shape id="_x0000_i1042" type="#_x0000_t75" style="width:383.05pt;height:201pt" o:ole="">
            <v:imagedata r:id="rId44" o:title=""/>
          </v:shape>
          <o:OLEObject Type="Embed" ProgID="Excel.Sheet.12" ShapeID="_x0000_i1042" DrawAspect="Content" ObjectID="_1586589925" r:id="rId45"/>
        </w:object>
      </w:r>
    </w:p>
    <w:p w:rsidR="00F918C3" w:rsidRPr="000633FC" w:rsidRDefault="00F918C3" w:rsidP="005438AE">
      <w:pPr>
        <w:pStyle w:val="HighlightBoxBullet"/>
        <w:numPr>
          <w:ilvl w:val="0"/>
          <w:numId w:val="0"/>
        </w:numPr>
        <w:spacing w:before="20" w:after="60"/>
        <w:rPr>
          <w:rFonts w:asciiTheme="majorHAnsi" w:hAnsiTheme="majorHAnsi"/>
          <w:i/>
          <w:sz w:val="14"/>
          <w:szCs w:val="14"/>
        </w:rPr>
      </w:pPr>
      <w:r w:rsidRPr="000633FC">
        <w:rPr>
          <w:rFonts w:asciiTheme="majorHAnsi" w:hAnsiTheme="majorHAnsi"/>
          <w:i/>
          <w:sz w:val="14"/>
          <w:szCs w:val="14"/>
        </w:rPr>
        <w:t>Source: National Centre for Vocational Education Research</w:t>
      </w:r>
    </w:p>
    <w:bookmarkEnd w:id="38"/>
    <w:p w:rsidR="00F918C3" w:rsidRDefault="00F918C3">
      <w:pPr>
        <w:keepLines w:val="0"/>
        <w:rPr>
          <w:rFonts w:asciiTheme="majorHAnsi" w:eastAsia="Garamond" w:hAnsiTheme="majorHAnsi" w:cstheme="majorBidi"/>
          <w:b/>
          <w:bCs/>
          <w:spacing w:val="-2"/>
          <w:sz w:val="23"/>
          <w:szCs w:val="26"/>
        </w:rPr>
      </w:pPr>
      <w:r>
        <w:rPr>
          <w:rFonts w:eastAsia="Garamond"/>
        </w:rPr>
        <w:br w:type="page"/>
      </w:r>
    </w:p>
    <w:p w:rsidR="00F918C3" w:rsidRPr="000633FC" w:rsidRDefault="00F918C3" w:rsidP="00711438">
      <w:pPr>
        <w:pStyle w:val="Heading30"/>
        <w:rPr>
          <w:rFonts w:eastAsia="Garamond"/>
        </w:rPr>
      </w:pPr>
      <w:r w:rsidRPr="000633FC">
        <w:rPr>
          <w:rFonts w:eastAsia="Garamond"/>
        </w:rPr>
        <w:t>Investing in TAFE facilities</w:t>
      </w:r>
    </w:p>
    <w:p w:rsidR="00F918C3" w:rsidRPr="000633FC" w:rsidRDefault="00F918C3" w:rsidP="00386C72">
      <w:r w:rsidRPr="000633FC">
        <w:t xml:space="preserve">The performance of TAFEs, including the quality of the training they provide, depends on having fit-for-purpose facilities. The </w:t>
      </w:r>
      <w:r w:rsidRPr="000633FC">
        <w:rPr>
          <w:i/>
        </w:rPr>
        <w:t>2018-19 Budget</w:t>
      </w:r>
      <w:r w:rsidRPr="000633FC">
        <w:t xml:space="preserve"> invests $120</w:t>
      </w:r>
      <w:r w:rsidR="006371F3">
        <w:t> million</w:t>
      </w:r>
      <w:r w:rsidRPr="000633FC">
        <w:t xml:space="preserve"> in three TAFE refurbishment and development projects at Bendigo Kangan Institute McRae St Campus, Federation Training Morwell Campus, and Federation Training Port of Sale Campus. These works will ensure TAFEs remain modern and contemporary institutions at the heart of the training system, ready to build the skills needed now and improve lifelong education pathways.</w:t>
      </w:r>
    </w:p>
    <w:p w:rsidR="00F918C3" w:rsidRPr="000633FC" w:rsidRDefault="00F918C3" w:rsidP="00711438">
      <w:pPr>
        <w:pStyle w:val="Heading30"/>
        <w:rPr>
          <w:rFonts w:eastAsia="Garamond"/>
        </w:rPr>
      </w:pPr>
      <w:r w:rsidRPr="000633FC">
        <w:rPr>
          <w:rFonts w:eastAsia="Garamond"/>
        </w:rPr>
        <w:t>More subsidised training places</w:t>
      </w:r>
    </w:p>
    <w:p w:rsidR="00F918C3" w:rsidRPr="000633FC" w:rsidRDefault="00F918C3" w:rsidP="00711438">
      <w:pPr>
        <w:rPr>
          <w:rFonts w:ascii="Garamond" w:eastAsia="Garamond" w:hAnsi="Garamond" w:cs="Times New Roman"/>
        </w:rPr>
      </w:pPr>
      <w:r w:rsidRPr="000633FC">
        <w:rPr>
          <w:rFonts w:ascii="Garamond" w:eastAsia="Garamond" w:hAnsi="Garamond" w:cs="Times New Roman"/>
        </w:rPr>
        <w:t>Victorians are keen to train, and to build their skills. In addition to free TAFE in priority courses, the</w:t>
      </w:r>
      <w:r w:rsidRPr="000633FC">
        <w:rPr>
          <w:rFonts w:ascii="Garamond" w:eastAsia="Garamond" w:hAnsi="Garamond" w:cs="Times New Roman"/>
          <w:i/>
        </w:rPr>
        <w:t xml:space="preserve"> 2018-19 Budget</w:t>
      </w:r>
      <w:r w:rsidRPr="000633FC">
        <w:rPr>
          <w:rFonts w:ascii="Garamond" w:eastAsia="Garamond" w:hAnsi="Garamond" w:cs="Times New Roman"/>
        </w:rPr>
        <w:t xml:space="preserve"> allocates $304</w:t>
      </w:r>
      <w:r w:rsidR="006371F3">
        <w:rPr>
          <w:rFonts w:ascii="Garamond" w:eastAsia="Garamond" w:hAnsi="Garamond" w:cs="Times New Roman"/>
        </w:rPr>
        <w:t> million</w:t>
      </w:r>
      <w:r w:rsidRPr="000633FC">
        <w:rPr>
          <w:rFonts w:ascii="Garamond" w:eastAsia="Garamond" w:hAnsi="Garamond" w:cs="Times New Roman"/>
        </w:rPr>
        <w:t xml:space="preserve"> to respond to Victorian jobs growth with more training places for courses on the funded course list.</w:t>
      </w:r>
      <w:r w:rsidRPr="000633FC">
        <w:rPr>
          <w:rStyle w:val="FootnoteReference"/>
          <w:rFonts w:ascii="Garamond" w:eastAsia="Garamond" w:hAnsi="Garamond" w:cs="Times New Roman"/>
        </w:rPr>
        <w:footnoteReference w:id="4"/>
      </w:r>
      <w:r w:rsidRPr="000633FC">
        <w:rPr>
          <w:rFonts w:ascii="Garamond" w:eastAsia="Garamond" w:hAnsi="Garamond" w:cs="Times New Roman"/>
        </w:rPr>
        <w:t xml:space="preserve"> This will ensure there is an affordable place available in a VET course for all Victorian students. This investment, and the other initiatives to make more training places available, will help to close the gap in skills Victoria currently faces.</w:t>
      </w:r>
    </w:p>
    <w:p w:rsidR="00F918C3" w:rsidRPr="000633FC" w:rsidRDefault="00F918C3" w:rsidP="00711438">
      <w:pPr>
        <w:rPr>
          <w:rFonts w:ascii="Garamond" w:eastAsia="Garamond" w:hAnsi="Garamond" w:cs="Times New Roman"/>
        </w:rPr>
      </w:pPr>
      <w:r w:rsidRPr="000633FC">
        <w:rPr>
          <w:rFonts w:ascii="Garamond" w:eastAsia="Garamond" w:hAnsi="Garamond" w:cs="Times New Roman"/>
        </w:rPr>
        <w:t>Additional places will be made available in line with the existing emphasis on Skills First</w:t>
      </w:r>
      <w:r>
        <w:rPr>
          <w:rFonts w:ascii="Garamond" w:eastAsia="Garamond" w:hAnsi="Garamond" w:cs="Times New Roman"/>
        </w:rPr>
        <w:fldChar w:fldCharType="begin"/>
      </w:r>
      <w:r>
        <w:rPr>
          <w:rFonts w:ascii="Garamond" w:eastAsia="Garamond" w:hAnsi="Garamond" w:cs="Times New Roman"/>
        </w:rPr>
        <w:instrText xml:space="preserve"> XE "</w:instrText>
      </w:r>
      <w:r w:rsidRPr="00D02DCA">
        <w:instrText>Skills First</w:instrText>
      </w:r>
      <w:r>
        <w:instrText>"</w:instrText>
      </w:r>
      <w:r>
        <w:rPr>
          <w:rFonts w:ascii="Garamond" w:eastAsia="Garamond" w:hAnsi="Garamond" w:cs="Times New Roman"/>
        </w:rPr>
        <w:instrText xml:space="preserve"> </w:instrText>
      </w:r>
      <w:r>
        <w:rPr>
          <w:rFonts w:ascii="Garamond" w:eastAsia="Garamond" w:hAnsi="Garamond" w:cs="Times New Roman"/>
        </w:rPr>
        <w:fldChar w:fldCharType="end"/>
      </w:r>
      <w:r w:rsidRPr="000633FC">
        <w:rPr>
          <w:rFonts w:ascii="Garamond" w:eastAsia="Garamond" w:hAnsi="Garamond" w:cs="Times New Roman"/>
        </w:rPr>
        <w:t xml:space="preserve"> priority sectors, which have strong jobs outcomes and are linked to government priorities. These include: apprenticeships, high value traineeships, courses supporting infrastructure and the </w:t>
      </w:r>
      <w:r w:rsidRPr="000633FC">
        <w:t>NDIS,</w:t>
      </w:r>
      <w:r w:rsidRPr="000633FC">
        <w:rPr>
          <w:rFonts w:ascii="Garamond" w:eastAsia="Garamond" w:hAnsi="Garamond" w:cs="Times New Roman"/>
        </w:rPr>
        <w:t xml:space="preserve"> and courses for those in family violence related occupations.</w:t>
      </w:r>
      <w:r w:rsidRPr="000633FC">
        <w:t xml:space="preserve"> The funded course list is updated annually based on employment forecasts and input from industry through a comprehensive stakeholder consultation process, led by the Victorian Skills Commissioner.</w:t>
      </w:r>
    </w:p>
    <w:p w:rsidR="00F918C3" w:rsidRPr="000633FC" w:rsidRDefault="00F918C3" w:rsidP="000D7CFD">
      <w:pPr>
        <w:keepNext/>
        <w:numPr>
          <w:ilvl w:val="2"/>
          <w:numId w:val="0"/>
        </w:numPr>
        <w:tabs>
          <w:tab w:val="right" w:pos="9582"/>
        </w:tabs>
        <w:spacing w:before="240"/>
        <w:outlineLvl w:val="2"/>
        <w:rPr>
          <w:rFonts w:asciiTheme="majorHAnsi" w:eastAsia="Times New Roman" w:hAnsiTheme="majorHAnsi" w:cstheme="majorBidi"/>
          <w:b/>
          <w:bCs/>
          <w:spacing w:val="-2"/>
          <w:sz w:val="23"/>
          <w:szCs w:val="26"/>
        </w:rPr>
      </w:pPr>
      <w:r>
        <w:rPr>
          <w:rFonts w:asciiTheme="majorHAnsi" w:eastAsia="Times New Roman" w:hAnsiTheme="majorHAnsi" w:cstheme="majorBidi"/>
          <w:b/>
          <w:bCs/>
          <w:spacing w:val="-2"/>
          <w:sz w:val="23"/>
          <w:szCs w:val="26"/>
        </w:rPr>
        <w:t xml:space="preserve">High </w:t>
      </w:r>
      <w:r w:rsidRPr="000633FC">
        <w:rPr>
          <w:rFonts w:asciiTheme="majorHAnsi" w:eastAsia="Times New Roman" w:hAnsiTheme="majorHAnsi" w:cstheme="majorBidi"/>
          <w:b/>
          <w:bCs/>
          <w:spacing w:val="-2"/>
          <w:sz w:val="23"/>
          <w:szCs w:val="26"/>
        </w:rPr>
        <w:t>quality apprenticeships and traineeships</w:t>
      </w:r>
    </w:p>
    <w:p w:rsidR="00F918C3" w:rsidRPr="000633FC" w:rsidRDefault="00F918C3" w:rsidP="005A3FBB">
      <w:pPr>
        <w:ind w:right="-235"/>
      </w:pPr>
      <w:r w:rsidRPr="000633FC">
        <w:t xml:space="preserve">The </w:t>
      </w:r>
      <w:r w:rsidRPr="000633FC">
        <w:rPr>
          <w:i/>
        </w:rPr>
        <w:t>2018</w:t>
      </w:r>
      <w:r w:rsidRPr="000633FC">
        <w:rPr>
          <w:i/>
        </w:rPr>
        <w:noBreakHyphen/>
        <w:t>19 Budget</w:t>
      </w:r>
      <w:r w:rsidRPr="000633FC">
        <w:t xml:space="preserve"> also invests in strengthening the quality and consistency of full</w:t>
      </w:r>
      <w:r w:rsidRPr="000633FC">
        <w:noBreakHyphen/>
        <w:t>time apprenticeships and traineeships. Apprenticeships and traineeships are essential components of the broader vocational training system in Victoria, providing an opportunity for people to earn a wage while developing skills and knowledge on the job. TAFEs deliver around 70 per cent of all apprenticeships, making TAFEs critical to the success of efforts to improve and grow the apprenticeship model in Victoria.</w:t>
      </w:r>
      <w:r w:rsidR="002114FC">
        <w:fldChar w:fldCharType="begin"/>
      </w:r>
      <w:r w:rsidR="002114FC">
        <w:instrText xml:space="preserve"> XE "</w:instrText>
      </w:r>
      <w:r w:rsidR="002114FC" w:rsidRPr="00EB401E">
        <w:instrText>TAFE</w:instrText>
      </w:r>
      <w:r w:rsidR="002114FC">
        <w:instrText xml:space="preserve">" \r "BP2Ch3TAFE2" </w:instrText>
      </w:r>
      <w:r w:rsidR="002114FC">
        <w:fldChar w:fldCharType="end"/>
      </w:r>
    </w:p>
    <w:bookmarkEnd w:id="47"/>
    <w:p w:rsidR="00F918C3" w:rsidRPr="000633FC" w:rsidRDefault="00F918C3" w:rsidP="000D7CFD">
      <w:pPr>
        <w:rPr>
          <w:rFonts w:ascii="Garamond" w:eastAsia="Garamond" w:hAnsi="Garamond" w:cs="Times New Roman"/>
        </w:rPr>
      </w:pPr>
      <w:r w:rsidRPr="000633FC">
        <w:rPr>
          <w:rFonts w:ascii="Garamond" w:eastAsia="Garamond" w:hAnsi="Garamond" w:cs="Times New Roman"/>
        </w:rPr>
        <w:t>The Government is investing $44</w:t>
      </w:r>
      <w:r w:rsidR="006371F3">
        <w:rPr>
          <w:rFonts w:ascii="Garamond" w:eastAsia="Garamond" w:hAnsi="Garamond" w:cs="Times New Roman"/>
        </w:rPr>
        <w:t> million</w:t>
      </w:r>
      <w:r w:rsidRPr="000633FC">
        <w:rPr>
          <w:rFonts w:ascii="Garamond" w:eastAsia="Garamond" w:hAnsi="Garamond" w:cs="Times New Roman"/>
        </w:rPr>
        <w:t xml:space="preserve"> over four years to:</w:t>
      </w:r>
    </w:p>
    <w:p w:rsidR="00F918C3" w:rsidRPr="000633FC" w:rsidRDefault="00F918C3" w:rsidP="000D7CFD">
      <w:pPr>
        <w:pStyle w:val="ListBullet"/>
      </w:pPr>
      <w:r w:rsidRPr="000633FC">
        <w:t>work in partnership with industry to expand independent assessment of apprentices and trainees at the end of their training;</w:t>
      </w:r>
    </w:p>
    <w:p w:rsidR="00F918C3" w:rsidRPr="000633FC" w:rsidRDefault="00F918C3" w:rsidP="000D7CFD">
      <w:pPr>
        <w:pStyle w:val="ListBullet"/>
      </w:pPr>
      <w:r w:rsidRPr="000633FC">
        <w:t>reintroduce trade papers to recognise completion of a quality apprenticeship; and</w:t>
      </w:r>
    </w:p>
    <w:p w:rsidR="00F918C3" w:rsidRPr="000633FC" w:rsidRDefault="00F918C3" w:rsidP="000D7CFD">
      <w:pPr>
        <w:pStyle w:val="ListBullet"/>
      </w:pPr>
      <w:r>
        <w:t xml:space="preserve">invest in high </w:t>
      </w:r>
      <w:r w:rsidRPr="000633FC">
        <w:t>quality, up-to-date learning materials.</w:t>
      </w:r>
    </w:p>
    <w:p w:rsidR="00F918C3" w:rsidRPr="000633FC" w:rsidRDefault="00F918C3" w:rsidP="002F2635">
      <w:r w:rsidRPr="000633FC">
        <w:t>These reforms will both help to improve learning and increase the consistency of assessment, so students and employers will have more confidence in the value of a qualification.</w:t>
      </w:r>
    </w:p>
    <w:p w:rsidR="00F918C3" w:rsidRPr="000633FC" w:rsidRDefault="00F918C3" w:rsidP="00B819CD">
      <w:pPr>
        <w:pStyle w:val="Heading20"/>
        <w:rPr>
          <w:rFonts w:eastAsia="Times New Roman"/>
        </w:rPr>
      </w:pPr>
      <w:r w:rsidRPr="000633FC">
        <w:t>Investing earlier to build skills for the future</w:t>
      </w:r>
    </w:p>
    <w:p w:rsidR="00F918C3" w:rsidRPr="000633FC" w:rsidRDefault="00F918C3" w:rsidP="00D12EA9">
      <w:pPr>
        <w:rPr>
          <w:rFonts w:ascii="Garamond" w:eastAsia="Garamond" w:hAnsi="Garamond" w:cs="Times New Roman"/>
        </w:rPr>
      </w:pPr>
      <w:r w:rsidRPr="000633FC">
        <w:rPr>
          <w:rFonts w:ascii="Garamond" w:eastAsia="Garamond" w:hAnsi="Garamond" w:cs="Times New Roman"/>
        </w:rPr>
        <w:t xml:space="preserve">The skill development journey begins at school. </w:t>
      </w:r>
      <w:r w:rsidRPr="000633FC">
        <w:t xml:space="preserve">The </w:t>
      </w:r>
      <w:r w:rsidRPr="000633FC">
        <w:rPr>
          <w:i/>
        </w:rPr>
        <w:t>2018</w:t>
      </w:r>
      <w:r w:rsidRPr="000633FC">
        <w:rPr>
          <w:i/>
        </w:rPr>
        <w:noBreakHyphen/>
        <w:t>19 Budget</w:t>
      </w:r>
      <w:r w:rsidRPr="000633FC">
        <w:t xml:space="preserve"> </w:t>
      </w:r>
      <w:r w:rsidRPr="000633FC">
        <w:rPr>
          <w:rFonts w:ascii="Garamond" w:eastAsia="Garamond" w:hAnsi="Garamond" w:cs="Times New Roman"/>
        </w:rPr>
        <w:t>includes funding to ensure school students have the knowledge and educational options available to make good choices about their future careers and begin developing the skills they will need now.</w:t>
      </w:r>
    </w:p>
    <w:p w:rsidR="00F918C3" w:rsidRPr="000633FC" w:rsidRDefault="00F918C3" w:rsidP="004659FB">
      <w:pPr>
        <w:pStyle w:val="Heading30"/>
        <w:rPr>
          <w:rFonts w:eastAsia="Garamond"/>
        </w:rPr>
      </w:pPr>
      <w:r w:rsidRPr="000633FC">
        <w:rPr>
          <w:rFonts w:eastAsia="Garamond"/>
        </w:rPr>
        <w:t>Expanding career choices</w:t>
      </w:r>
    </w:p>
    <w:p w:rsidR="00F918C3" w:rsidRPr="009A23C4" w:rsidRDefault="00F918C3" w:rsidP="00687F0F">
      <w:pPr>
        <w:rPr>
          <w:rFonts w:ascii="Garamond" w:eastAsia="Garamond" w:hAnsi="Garamond" w:cs="Times New Roman"/>
        </w:rPr>
      </w:pPr>
      <w:r w:rsidRPr="009A23C4">
        <w:rPr>
          <w:rFonts w:ascii="Garamond" w:eastAsia="Garamond" w:hAnsi="Garamond" w:cs="Times New Roman"/>
        </w:rPr>
        <w:t>This budget provides funding to ensure all school students have access to relevant and timely advice about further learning options. Effective career education helps students understand the connection between school and future careers, improving their motivation and willingness to learn and, in turn, increasing their engagement at school. High quality career education also supports students to make informed course and career decisions and navigate multiple careers throughout their lives.</w:t>
      </w:r>
    </w:p>
    <w:p w:rsidR="00F918C3" w:rsidRPr="009A23C4" w:rsidRDefault="00F918C3" w:rsidP="004742EA">
      <w:pPr>
        <w:keepNext/>
        <w:rPr>
          <w:rFonts w:ascii="Garamond" w:eastAsia="Garamond" w:hAnsi="Garamond" w:cs="Times New Roman"/>
        </w:rPr>
      </w:pPr>
      <w:r w:rsidRPr="009A23C4">
        <w:rPr>
          <w:rFonts w:ascii="Garamond" w:eastAsia="Garamond" w:hAnsi="Garamond" w:cs="Times New Roman"/>
        </w:rPr>
        <w:t xml:space="preserve">The </w:t>
      </w:r>
      <w:r w:rsidRPr="009A23C4">
        <w:rPr>
          <w:rFonts w:ascii="Garamond" w:eastAsia="Garamond" w:hAnsi="Garamond" w:cs="Times New Roman"/>
          <w:i/>
        </w:rPr>
        <w:t>2018-19 Budget</w:t>
      </w:r>
      <w:r w:rsidRPr="009A23C4">
        <w:rPr>
          <w:rFonts w:ascii="Garamond" w:eastAsia="Garamond" w:hAnsi="Garamond" w:cs="Times New Roman"/>
        </w:rPr>
        <w:t xml:space="preserve"> allocates $109</w:t>
      </w:r>
      <w:r w:rsidR="006371F3">
        <w:rPr>
          <w:rFonts w:ascii="Garamond" w:eastAsia="Garamond" w:hAnsi="Garamond" w:cs="Times New Roman"/>
        </w:rPr>
        <w:t> million</w:t>
      </w:r>
      <w:r w:rsidRPr="009A23C4">
        <w:rPr>
          <w:rFonts w:ascii="Garamond" w:eastAsia="Garamond" w:hAnsi="Garamond" w:cs="Times New Roman"/>
        </w:rPr>
        <w:t xml:space="preserve"> over four years to reform career education in Victorian government schools</w:t>
      </w:r>
      <w:r>
        <w:fldChar w:fldCharType="begin"/>
      </w:r>
      <w:r>
        <w:instrText xml:space="preserve"> XE "</w:instrText>
      </w:r>
      <w:r w:rsidRPr="00FE0A7F">
        <w:instrText>Education:Schools</w:instrText>
      </w:r>
      <w:r>
        <w:instrText xml:space="preserve">" </w:instrText>
      </w:r>
      <w:r>
        <w:fldChar w:fldCharType="end"/>
      </w:r>
      <w:r w:rsidRPr="009A23C4">
        <w:rPr>
          <w:rFonts w:ascii="Garamond" w:eastAsia="Garamond" w:hAnsi="Garamond" w:cs="Times New Roman"/>
        </w:rPr>
        <w:t>, to empower students to take the career and pathway decisions that will best suit them. Expanded services will intervene earlier and provide career education for years seven, eight and nine students, so that students are better able to guide their secondary schooling choices with their career goals in mind. Career advice to year 10 to 12 students will also be maintained and improved. Key elements include:</w:t>
      </w:r>
    </w:p>
    <w:p w:rsidR="00F918C3" w:rsidRPr="009A23C4" w:rsidRDefault="00F918C3" w:rsidP="004742EA">
      <w:pPr>
        <w:pStyle w:val="ListBullet"/>
      </w:pPr>
      <w:r w:rsidRPr="009A23C4">
        <w:t>holding Career Exploration Workshops each year for all students in years seven and eight to explore strengths, interests and aspirations;</w:t>
      </w:r>
    </w:p>
    <w:p w:rsidR="00F918C3" w:rsidRPr="009A23C4" w:rsidRDefault="00F918C3" w:rsidP="004742EA">
      <w:pPr>
        <w:pStyle w:val="ListBullet"/>
      </w:pPr>
      <w:r w:rsidRPr="009A23C4">
        <w:t>creating a comprehensive Careers e-Portfolio for all year nine students at this pivotal time in their career planning journey, supported by a professional career diagnostic assessment and guidance service;</w:t>
      </w:r>
    </w:p>
    <w:p w:rsidR="00F918C3" w:rsidRPr="009A23C4" w:rsidRDefault="00F918C3" w:rsidP="00E80694">
      <w:pPr>
        <w:pStyle w:val="ListBullet"/>
      </w:pPr>
      <w:r w:rsidRPr="009A23C4">
        <w:t xml:space="preserve">providing tailored career counselling and high quality Career Action Plans for year 10 to 12 students; </w:t>
      </w:r>
    </w:p>
    <w:p w:rsidR="00F918C3" w:rsidRPr="009A23C4" w:rsidRDefault="00F918C3" w:rsidP="00865C8C">
      <w:pPr>
        <w:pStyle w:val="ListBullet"/>
      </w:pPr>
      <w:r w:rsidRPr="009A23C4">
        <w:t>improving engagement with industry, including school</w:t>
      </w:r>
      <w:r w:rsidRPr="009A23C4">
        <w:noBreakHyphen/>
        <w:t>industry roundtables and industry engagement activities for disadvantaged students; and</w:t>
      </w:r>
    </w:p>
    <w:p w:rsidR="00F918C3" w:rsidRPr="009A23C4" w:rsidRDefault="00F918C3" w:rsidP="00BF63AA">
      <w:pPr>
        <w:pStyle w:val="ListBullet"/>
      </w:pPr>
      <w:r w:rsidRPr="009A23C4">
        <w:t>supporting career practitioners to attain qualifications in career education.</w:t>
      </w:r>
    </w:p>
    <w:p w:rsidR="00F918C3" w:rsidRPr="009A23C4" w:rsidRDefault="00F918C3" w:rsidP="00C23401">
      <w:pPr>
        <w:keepNext/>
        <w:numPr>
          <w:ilvl w:val="2"/>
          <w:numId w:val="0"/>
        </w:numPr>
        <w:tabs>
          <w:tab w:val="right" w:pos="9582"/>
        </w:tabs>
        <w:outlineLvl w:val="2"/>
        <w:rPr>
          <w:rFonts w:asciiTheme="majorHAnsi" w:eastAsia="Times New Roman" w:hAnsiTheme="majorHAnsi" w:cstheme="majorBidi"/>
          <w:b/>
          <w:bCs/>
          <w:spacing w:val="-2"/>
          <w:sz w:val="23"/>
          <w:szCs w:val="26"/>
        </w:rPr>
      </w:pPr>
      <w:r w:rsidRPr="009A23C4">
        <w:rPr>
          <w:rFonts w:asciiTheme="majorHAnsi" w:eastAsia="Times New Roman" w:hAnsiTheme="majorHAnsi" w:cstheme="majorBidi"/>
          <w:b/>
          <w:bCs/>
          <w:spacing w:val="-2"/>
          <w:sz w:val="23"/>
          <w:szCs w:val="26"/>
        </w:rPr>
        <w:t>Enhancing vocational pathways in secondary school</w:t>
      </w:r>
    </w:p>
    <w:p w:rsidR="00F918C3" w:rsidRPr="009A23C4" w:rsidRDefault="00F918C3" w:rsidP="006371F3">
      <w:r w:rsidRPr="009A23C4">
        <w:t>This budget improves the critical pat</w:t>
      </w:r>
      <w:r>
        <w:t>hways to vocational education in</w:t>
      </w:r>
      <w:r w:rsidRPr="009A23C4">
        <w:t xml:space="preserve"> schools</w:t>
      </w:r>
      <w:r>
        <w:fldChar w:fldCharType="begin"/>
      </w:r>
      <w:r>
        <w:instrText xml:space="preserve"> XE "</w:instrText>
      </w:r>
      <w:r w:rsidRPr="00FE0A7F">
        <w:instrText>Education:Schools</w:instrText>
      </w:r>
      <w:r>
        <w:instrText xml:space="preserve">" </w:instrText>
      </w:r>
      <w:r>
        <w:fldChar w:fldCharType="end"/>
      </w:r>
      <w:r w:rsidRPr="009A23C4">
        <w:t xml:space="preserve"> by investing $</w:t>
      </w:r>
      <w:r>
        <w:t>49.8</w:t>
      </w:r>
      <w:r w:rsidR="006371F3">
        <w:t> million</w:t>
      </w:r>
      <w:r w:rsidRPr="009A23C4">
        <w:t xml:space="preserve"> to pilot Head Start Apprenticeships and Traineeships</w:t>
      </w:r>
      <w:r w:rsidR="008C27C4">
        <w:fldChar w:fldCharType="begin"/>
      </w:r>
      <w:r w:rsidR="008C27C4">
        <w:instrText xml:space="preserve"> XE "</w:instrText>
      </w:r>
      <w:r w:rsidR="008C27C4" w:rsidRPr="00E12CD4">
        <w:instrText>App</w:instrText>
      </w:r>
      <w:r w:rsidR="00B42920">
        <w:instrText>r</w:instrText>
      </w:r>
      <w:r w:rsidR="008C27C4" w:rsidRPr="00E12CD4">
        <w:instrText>enticeships:Head Start Apprenticeships and Traineeships</w:instrText>
      </w:r>
      <w:r w:rsidR="008C27C4">
        <w:instrText xml:space="preserve">" </w:instrText>
      </w:r>
      <w:r w:rsidR="008C27C4">
        <w:fldChar w:fldCharType="end"/>
      </w:r>
      <w:r w:rsidRPr="009A23C4">
        <w:t xml:space="preserve"> and $26</w:t>
      </w:r>
      <w:r w:rsidR="006371F3">
        <w:t> million</w:t>
      </w:r>
      <w:r w:rsidRPr="009A23C4">
        <w:t xml:space="preserve"> in Vocational Education and Training in Schools</w:t>
      </w:r>
      <w:r w:rsidR="006371F3">
        <w:fldChar w:fldCharType="begin"/>
      </w:r>
      <w:r w:rsidR="006371F3">
        <w:instrText xml:space="preserve"> XE "</w:instrText>
      </w:r>
      <w:r w:rsidR="006371F3" w:rsidRPr="00445328">
        <w:instrText>Vocational Education and Training in Schools</w:instrText>
      </w:r>
      <w:r w:rsidR="006371F3">
        <w:instrText xml:space="preserve">" </w:instrText>
      </w:r>
      <w:r w:rsidR="006371F3">
        <w:fldChar w:fldCharType="end"/>
      </w:r>
      <w:r w:rsidRPr="009A23C4">
        <w:t xml:space="preserve"> (VETiS). </w:t>
      </w:r>
    </w:p>
    <w:p w:rsidR="00F918C3" w:rsidRPr="009A23C4" w:rsidRDefault="00F918C3" w:rsidP="00865C8C">
      <w:pPr>
        <w:rPr>
          <w:rFonts w:ascii="Garamond" w:eastAsia="Garamond" w:hAnsi="Garamond" w:cs="Times New Roman"/>
        </w:rPr>
      </w:pPr>
      <w:r w:rsidRPr="009A23C4">
        <w:rPr>
          <w:rFonts w:ascii="Garamond" w:eastAsia="Garamond" w:hAnsi="Garamond" w:cs="Times New Roman"/>
        </w:rPr>
        <w:t>The new Head Start Apprenticeships and Traineeships</w:t>
      </w:r>
      <w:r w:rsidR="008C27C4">
        <w:rPr>
          <w:rFonts w:ascii="Garamond" w:eastAsia="Garamond" w:hAnsi="Garamond" w:cs="Times New Roman"/>
        </w:rPr>
        <w:fldChar w:fldCharType="begin"/>
      </w:r>
      <w:r w:rsidR="008C27C4">
        <w:instrText xml:space="preserve"> XE "</w:instrText>
      </w:r>
      <w:r w:rsidR="008C27C4" w:rsidRPr="00E12CD4">
        <w:instrText>App</w:instrText>
      </w:r>
      <w:r w:rsidR="00B42920">
        <w:instrText>r</w:instrText>
      </w:r>
      <w:r w:rsidR="008C27C4" w:rsidRPr="00E12CD4">
        <w:instrText>enticeships:Head Start Apprenticeships and Traineeships</w:instrText>
      </w:r>
      <w:r w:rsidR="008C27C4">
        <w:instrText xml:space="preserve">" </w:instrText>
      </w:r>
      <w:r w:rsidR="008C27C4">
        <w:rPr>
          <w:rFonts w:ascii="Garamond" w:eastAsia="Garamond" w:hAnsi="Garamond" w:cs="Times New Roman"/>
        </w:rPr>
        <w:fldChar w:fldCharType="end"/>
      </w:r>
      <w:r w:rsidRPr="009A23C4">
        <w:rPr>
          <w:rFonts w:ascii="Garamond" w:eastAsia="Garamond" w:hAnsi="Garamond" w:cs="Times New Roman"/>
        </w:rPr>
        <w:t xml:space="preserve"> pilot will give students the option of an additional year of school so they have the opportunity to learn their trade at school and get a job sooner. </w:t>
      </w:r>
    </w:p>
    <w:p w:rsidR="006371F3" w:rsidRDefault="006371F3">
      <w:pPr>
        <w:keepLines w:val="0"/>
        <w:rPr>
          <w:rFonts w:ascii="Garamond" w:eastAsia="Garamond" w:hAnsi="Garamond" w:cs="Times New Roman"/>
        </w:rPr>
      </w:pPr>
      <w:r>
        <w:rPr>
          <w:rFonts w:ascii="Garamond" w:eastAsia="Garamond" w:hAnsi="Garamond" w:cs="Times New Roman"/>
        </w:rPr>
        <w:br w:type="page"/>
      </w:r>
    </w:p>
    <w:p w:rsidR="00F918C3" w:rsidRPr="000633FC" w:rsidRDefault="00F918C3" w:rsidP="004C0A9F">
      <w:pPr>
        <w:rPr>
          <w:rFonts w:ascii="Garamond" w:eastAsia="Garamond" w:hAnsi="Garamond" w:cs="Times New Roman"/>
        </w:rPr>
      </w:pPr>
      <w:bookmarkStart w:id="48" w:name="BP2Ch3TAFE3"/>
      <w:r w:rsidRPr="009A23C4">
        <w:rPr>
          <w:rFonts w:ascii="Garamond" w:eastAsia="Garamond" w:hAnsi="Garamond" w:cs="Times New Roman"/>
        </w:rPr>
        <w:t>The new Head Start Apprenticeships and Traineeships</w:t>
      </w:r>
      <w:r w:rsidR="008C27C4">
        <w:rPr>
          <w:rFonts w:ascii="Garamond" w:eastAsia="Garamond" w:hAnsi="Garamond" w:cs="Times New Roman"/>
        </w:rPr>
        <w:fldChar w:fldCharType="begin"/>
      </w:r>
      <w:r w:rsidR="008C27C4">
        <w:instrText xml:space="preserve"> XE "</w:instrText>
      </w:r>
      <w:r w:rsidR="008C27C4" w:rsidRPr="00E12CD4">
        <w:instrText>App</w:instrText>
      </w:r>
      <w:r w:rsidR="00B42920">
        <w:instrText>r</w:instrText>
      </w:r>
      <w:r w:rsidR="008C27C4" w:rsidRPr="00E12CD4">
        <w:instrText>enticeships:Head Start Apprenticeships and Traineeships</w:instrText>
      </w:r>
      <w:r w:rsidR="008C27C4">
        <w:instrText xml:space="preserve">" </w:instrText>
      </w:r>
      <w:r w:rsidR="008C27C4">
        <w:rPr>
          <w:rFonts w:ascii="Garamond" w:eastAsia="Garamond" w:hAnsi="Garamond" w:cs="Times New Roman"/>
        </w:rPr>
        <w:fldChar w:fldCharType="end"/>
      </w:r>
      <w:r w:rsidRPr="009A23C4">
        <w:rPr>
          <w:rFonts w:ascii="Garamond" w:eastAsia="Garamond" w:hAnsi="Garamond" w:cs="Times New Roman"/>
        </w:rPr>
        <w:t xml:space="preserve"> will be implemented with the</w:t>
      </w:r>
      <w:r w:rsidRPr="000633FC">
        <w:rPr>
          <w:rFonts w:ascii="Garamond" w:eastAsia="Garamond" w:hAnsi="Garamond" w:cs="Times New Roman"/>
        </w:rPr>
        <w:t xml:space="preserve"> aim of:</w:t>
      </w:r>
    </w:p>
    <w:p w:rsidR="00F918C3" w:rsidRPr="000633FC" w:rsidRDefault="00F918C3" w:rsidP="00F2518C">
      <w:pPr>
        <w:pStyle w:val="ListBullet"/>
        <w:keepLines w:val="0"/>
      </w:pPr>
      <w:r w:rsidRPr="000633FC">
        <w:t>ensuring students are well-prepared to undertake Head Start Apprenticeships and Traineeships</w:t>
      </w:r>
      <w:r w:rsidR="008C27C4">
        <w:fldChar w:fldCharType="begin"/>
      </w:r>
      <w:r w:rsidR="008C27C4">
        <w:instrText xml:space="preserve"> XE "</w:instrText>
      </w:r>
      <w:r w:rsidR="008C27C4" w:rsidRPr="00E12CD4">
        <w:instrText>App</w:instrText>
      </w:r>
      <w:r w:rsidR="00B42920">
        <w:instrText>r</w:instrText>
      </w:r>
      <w:r w:rsidR="008C27C4" w:rsidRPr="00E12CD4">
        <w:instrText>enticeships:Head Start Apprenticeships and Traineeships</w:instrText>
      </w:r>
      <w:r w:rsidR="008C27C4">
        <w:instrText xml:space="preserve">" </w:instrText>
      </w:r>
      <w:r w:rsidR="008C27C4">
        <w:fldChar w:fldCharType="end"/>
      </w:r>
      <w:r w:rsidRPr="000633FC">
        <w:t xml:space="preserve"> through career counselling and strengthening the school’s role in preparing students;</w:t>
      </w:r>
    </w:p>
    <w:p w:rsidR="00F918C3" w:rsidRPr="000633FC" w:rsidRDefault="00F918C3" w:rsidP="00F2518C">
      <w:pPr>
        <w:pStyle w:val="ListBullet"/>
        <w:keepLines w:val="0"/>
      </w:pPr>
      <w:r>
        <w:t xml:space="preserve">securing high </w:t>
      </w:r>
      <w:r w:rsidRPr="000633FC">
        <w:t>quality work opportunities by coordinating relationships with employers, trainings organisations and Local Learning and Employment Networks;</w:t>
      </w:r>
    </w:p>
    <w:p w:rsidR="00F918C3" w:rsidRPr="000633FC" w:rsidRDefault="00F918C3" w:rsidP="00510E31">
      <w:pPr>
        <w:pStyle w:val="ListBullet"/>
        <w:keepNext/>
        <w:ind w:left="288" w:hanging="288"/>
      </w:pPr>
      <w:r w:rsidRPr="000633FC">
        <w:t xml:space="preserve">increasing the quality and quantity of on-the-job learning, including through holiday work </w:t>
      </w:r>
      <w:r w:rsidRPr="00725974">
        <w:t>intensives and potentially starting</w:t>
      </w:r>
      <w:r w:rsidRPr="000633FC">
        <w:t xml:space="preserve"> in year 10 or incorporating a year 13; and</w:t>
      </w:r>
    </w:p>
    <w:p w:rsidR="00F918C3" w:rsidRPr="000633FC" w:rsidRDefault="00F918C3" w:rsidP="00911DD4">
      <w:pPr>
        <w:pStyle w:val="ListBullet"/>
        <w:keepNext/>
        <w:keepLines w:val="0"/>
        <w:ind w:left="288" w:hanging="288"/>
      </w:pPr>
      <w:r w:rsidRPr="000633FC">
        <w:t>incorporating high-quality assessment for all Head Start Apprenticeships and Traineeships</w:t>
      </w:r>
      <w:r w:rsidR="008C27C4">
        <w:fldChar w:fldCharType="begin"/>
      </w:r>
      <w:r w:rsidR="008C27C4">
        <w:instrText xml:space="preserve"> XE "</w:instrText>
      </w:r>
      <w:r w:rsidR="008C27C4" w:rsidRPr="00E12CD4">
        <w:instrText>App</w:instrText>
      </w:r>
      <w:r w:rsidR="00B42920">
        <w:instrText>r</w:instrText>
      </w:r>
      <w:r w:rsidR="008C27C4" w:rsidRPr="00E12CD4">
        <w:instrText>enticeships:Head Start Apprenticeships and Traineeships</w:instrText>
      </w:r>
      <w:r w:rsidR="008C27C4">
        <w:instrText xml:space="preserve">" </w:instrText>
      </w:r>
      <w:r w:rsidR="008C27C4">
        <w:fldChar w:fldCharType="end"/>
      </w:r>
      <w:r w:rsidRPr="000633FC">
        <w:t xml:space="preserve"> </w:t>
      </w:r>
      <w:r>
        <w:t>so students</w:t>
      </w:r>
      <w:r w:rsidRPr="000633FC">
        <w:t xml:space="preserve"> are assessed to the same standard as full-time apprenticeships and traineeships.</w:t>
      </w:r>
    </w:p>
    <w:p w:rsidR="00F918C3" w:rsidRDefault="00F918C3" w:rsidP="004C0A9F">
      <w:pPr>
        <w:keepNext/>
        <w:rPr>
          <w:rFonts w:ascii="Garamond" w:eastAsia="Garamond" w:hAnsi="Garamond" w:cs="Times New Roman"/>
        </w:rPr>
      </w:pPr>
      <w:r w:rsidRPr="00CC26F9">
        <w:rPr>
          <w:rFonts w:ascii="Garamond" w:eastAsia="Garamond" w:hAnsi="Garamond" w:cs="Times New Roman"/>
        </w:rPr>
        <w:t>This funding will enable the program to be implemented i</w:t>
      </w:r>
      <w:r>
        <w:rPr>
          <w:rFonts w:ascii="Garamond" w:eastAsia="Garamond" w:hAnsi="Garamond" w:cs="Times New Roman"/>
        </w:rPr>
        <w:t>n 100 secondary schools</w:t>
      </w:r>
      <w:r>
        <w:fldChar w:fldCharType="begin"/>
      </w:r>
      <w:r>
        <w:instrText xml:space="preserve"> XE "</w:instrText>
      </w:r>
      <w:r w:rsidRPr="00FE0A7F">
        <w:instrText>Education:Schools</w:instrText>
      </w:r>
      <w:r>
        <w:instrText xml:space="preserve">" </w:instrText>
      </w:r>
      <w:r>
        <w:fldChar w:fldCharType="end"/>
      </w:r>
      <w:r>
        <w:rPr>
          <w:rFonts w:ascii="Garamond" w:eastAsia="Garamond" w:hAnsi="Garamond" w:cs="Times New Roman"/>
        </w:rPr>
        <w:t>, creating up to 1 </w:t>
      </w:r>
      <w:r w:rsidRPr="00CC26F9">
        <w:rPr>
          <w:rFonts w:ascii="Garamond" w:eastAsia="Garamond" w:hAnsi="Garamond" w:cs="Times New Roman"/>
        </w:rPr>
        <w:t>700 new Head Start Apprenticeships and Traineeships</w:t>
      </w:r>
      <w:r w:rsidR="008C27C4">
        <w:rPr>
          <w:rFonts w:ascii="Garamond" w:eastAsia="Garamond" w:hAnsi="Garamond" w:cs="Times New Roman"/>
        </w:rPr>
        <w:fldChar w:fldCharType="begin"/>
      </w:r>
      <w:r w:rsidR="008C27C4">
        <w:instrText xml:space="preserve"> XE "</w:instrText>
      </w:r>
      <w:r w:rsidR="008C27C4" w:rsidRPr="00E12CD4">
        <w:instrText>A</w:instrText>
      </w:r>
      <w:r w:rsidR="00B42920">
        <w:instrText>pprentice</w:instrText>
      </w:r>
      <w:r w:rsidR="008C27C4" w:rsidRPr="00E12CD4">
        <w:instrText>ships:Head Start Apprenticeships and Traineeships</w:instrText>
      </w:r>
      <w:r w:rsidR="008C27C4">
        <w:instrText xml:space="preserve">" </w:instrText>
      </w:r>
      <w:r w:rsidR="008C27C4">
        <w:rPr>
          <w:rFonts w:ascii="Garamond" w:eastAsia="Garamond" w:hAnsi="Garamond" w:cs="Times New Roman"/>
        </w:rPr>
        <w:fldChar w:fldCharType="end"/>
      </w:r>
      <w:r w:rsidRPr="00CC26F9">
        <w:rPr>
          <w:rFonts w:ascii="Garamond" w:eastAsia="Garamond" w:hAnsi="Garamond" w:cs="Times New Roman"/>
        </w:rPr>
        <w:t xml:space="preserve"> in priority industries including construction technologies, health care and social assistance.</w:t>
      </w:r>
    </w:p>
    <w:p w:rsidR="00F918C3" w:rsidRPr="000633FC" w:rsidRDefault="00F918C3" w:rsidP="004C0A9F">
      <w:pPr>
        <w:keepNext/>
        <w:rPr>
          <w:rFonts w:ascii="Garamond" w:eastAsia="Garamond" w:hAnsi="Garamond" w:cs="Times New Roman"/>
        </w:rPr>
      </w:pPr>
      <w:r w:rsidRPr="000633FC">
        <w:rPr>
          <w:rFonts w:ascii="Garamond" w:eastAsia="Garamond" w:hAnsi="Garamond" w:cs="Times New Roman"/>
        </w:rPr>
        <w:t xml:space="preserve">New investment will increase the quality and availability of </w:t>
      </w:r>
      <w:r w:rsidR="008C27C4">
        <w:rPr>
          <w:rFonts w:ascii="Garamond" w:eastAsia="Garamond" w:hAnsi="Garamond" w:cs="Times New Roman"/>
        </w:rPr>
        <w:fldChar w:fldCharType="begin"/>
      </w:r>
      <w:r w:rsidR="008C27C4">
        <w:instrText xml:space="preserve"> XE "</w:instrText>
      </w:r>
      <w:r w:rsidR="008C27C4" w:rsidRPr="00D9222F">
        <w:rPr>
          <w:rFonts w:ascii="Garamond" w:eastAsia="Garamond" w:hAnsi="Garamond" w:cs="Times New Roman"/>
        </w:rPr>
        <w:instrText>Vocational Education and Training in Schools</w:instrText>
      </w:r>
      <w:r w:rsidR="008C27C4">
        <w:instrText xml:space="preserve">" </w:instrText>
      </w:r>
      <w:r w:rsidR="008C27C4">
        <w:rPr>
          <w:rFonts w:ascii="Garamond" w:eastAsia="Garamond" w:hAnsi="Garamond" w:cs="Times New Roman"/>
        </w:rPr>
        <w:fldChar w:fldCharType="end"/>
      </w:r>
      <w:r w:rsidRPr="000633FC">
        <w:rPr>
          <w:rFonts w:ascii="Garamond" w:eastAsia="Garamond" w:hAnsi="Garamond" w:cs="Times New Roman"/>
        </w:rPr>
        <w:t>VETiS to ensure all Victorian school students can access these options. The VETiS package includes:</w:t>
      </w:r>
    </w:p>
    <w:p w:rsidR="00F918C3" w:rsidRPr="000633FC" w:rsidRDefault="00F918C3" w:rsidP="00C15248">
      <w:pPr>
        <w:pStyle w:val="ListBullet"/>
      </w:pPr>
      <w:r w:rsidRPr="000633FC">
        <w:t xml:space="preserve">top-up funding for targeted VETiS programs to ensure funding is not a barrier to students accessing VETiS; </w:t>
      </w:r>
    </w:p>
    <w:p w:rsidR="00F918C3" w:rsidRPr="000633FC" w:rsidRDefault="00F918C3" w:rsidP="00C15248">
      <w:pPr>
        <w:pStyle w:val="ListBullet"/>
      </w:pPr>
      <w:r w:rsidRPr="000633FC">
        <w:t>initiatives designed to boost VETiS quality, including the implementation of a quality framework for VETiS; and</w:t>
      </w:r>
    </w:p>
    <w:p w:rsidR="00F918C3" w:rsidRPr="000633FC" w:rsidRDefault="00F918C3" w:rsidP="00C15248">
      <w:pPr>
        <w:pStyle w:val="ListBullet"/>
      </w:pPr>
      <w:r w:rsidRPr="000633FC">
        <w:t>a funding supplement to support increased provision of VETiS by TAFEs.</w:t>
      </w:r>
    </w:p>
    <w:p w:rsidR="00F918C3" w:rsidRDefault="00F918C3" w:rsidP="00687F0F">
      <w:pPr>
        <w:rPr>
          <w:rFonts w:ascii="Garamond" w:eastAsia="Garamond" w:hAnsi="Garamond" w:cs="Times New Roman"/>
        </w:rPr>
      </w:pPr>
      <w:r w:rsidRPr="000633FC">
        <w:rPr>
          <w:rFonts w:ascii="Garamond" w:eastAsia="Garamond" w:hAnsi="Garamond" w:cs="Times New Roman"/>
        </w:rPr>
        <w:t>These reforms form an integrated package to raise the quality of school</w:t>
      </w:r>
      <w:r w:rsidRPr="000633FC">
        <w:rPr>
          <w:rFonts w:ascii="Garamond" w:eastAsia="Garamond" w:hAnsi="Garamond" w:cs="Times New Roman"/>
        </w:rPr>
        <w:noBreakHyphen/>
        <w:t>based vocational pathways. The development of a quality framework for VETiS will make it clear what high quality looks like, and support consistent assessment in these units. Improving links with employers and TAFEs through Head Start Apprenticeships and Traineeships</w:t>
      </w:r>
      <w:r w:rsidR="008C27C4">
        <w:rPr>
          <w:rFonts w:ascii="Garamond" w:eastAsia="Garamond" w:hAnsi="Garamond" w:cs="Times New Roman"/>
        </w:rPr>
        <w:fldChar w:fldCharType="begin"/>
      </w:r>
      <w:r w:rsidR="008C27C4">
        <w:instrText xml:space="preserve"> XE "</w:instrText>
      </w:r>
      <w:r w:rsidR="008C27C4" w:rsidRPr="00E12CD4">
        <w:instrText>A</w:instrText>
      </w:r>
      <w:r w:rsidR="00B42920">
        <w:instrText>pprentice</w:instrText>
      </w:r>
      <w:r w:rsidR="008C27C4" w:rsidRPr="00E12CD4">
        <w:instrText>ships:Head Start Apprenticeships and Traineeships</w:instrText>
      </w:r>
      <w:r w:rsidR="008C27C4">
        <w:instrText xml:space="preserve">" </w:instrText>
      </w:r>
      <w:r w:rsidR="008C27C4">
        <w:rPr>
          <w:rFonts w:ascii="Garamond" w:eastAsia="Garamond" w:hAnsi="Garamond" w:cs="Times New Roman"/>
        </w:rPr>
        <w:fldChar w:fldCharType="end"/>
      </w:r>
      <w:r w:rsidRPr="000633FC">
        <w:rPr>
          <w:rFonts w:ascii="Garamond" w:eastAsia="Garamond" w:hAnsi="Garamond" w:cs="Times New Roman"/>
        </w:rPr>
        <w:t xml:space="preserve"> will help to raise the quality of both formal learning and employment placements. Bringing Head Start Apprenticeship</w:t>
      </w:r>
      <w:r>
        <w:rPr>
          <w:rFonts w:ascii="Garamond" w:eastAsia="Garamond" w:hAnsi="Garamond" w:cs="Times New Roman"/>
        </w:rPr>
        <w:t>s</w:t>
      </w:r>
      <w:r w:rsidRPr="000633FC">
        <w:rPr>
          <w:rFonts w:ascii="Garamond" w:eastAsia="Garamond" w:hAnsi="Garamond" w:cs="Times New Roman"/>
        </w:rPr>
        <w:t xml:space="preserve"> and Traineeship</w:t>
      </w:r>
      <w:r>
        <w:rPr>
          <w:rFonts w:ascii="Garamond" w:eastAsia="Garamond" w:hAnsi="Garamond" w:cs="Times New Roman"/>
        </w:rPr>
        <w:t>s</w:t>
      </w:r>
      <w:r w:rsidR="008C27C4">
        <w:rPr>
          <w:rFonts w:ascii="Garamond" w:eastAsia="Garamond" w:hAnsi="Garamond" w:cs="Times New Roman"/>
        </w:rPr>
        <w:fldChar w:fldCharType="begin"/>
      </w:r>
      <w:r w:rsidR="008C27C4">
        <w:instrText xml:space="preserve"> XE "</w:instrText>
      </w:r>
      <w:r w:rsidR="008C27C4" w:rsidRPr="00E12CD4">
        <w:instrText>A</w:instrText>
      </w:r>
      <w:r w:rsidR="00B42920">
        <w:instrText>pprentice</w:instrText>
      </w:r>
      <w:r w:rsidR="008C27C4" w:rsidRPr="00E12CD4">
        <w:instrText>ships:Head Start Apprenticeships and Traineeships</w:instrText>
      </w:r>
      <w:r w:rsidR="008C27C4">
        <w:instrText xml:space="preserve">" </w:instrText>
      </w:r>
      <w:r w:rsidR="008C27C4">
        <w:rPr>
          <w:rFonts w:ascii="Garamond" w:eastAsia="Garamond" w:hAnsi="Garamond" w:cs="Times New Roman"/>
        </w:rPr>
        <w:fldChar w:fldCharType="end"/>
      </w:r>
      <w:r w:rsidRPr="000633FC">
        <w:rPr>
          <w:rFonts w:ascii="Garamond" w:eastAsia="Garamond" w:hAnsi="Garamond" w:cs="Times New Roman"/>
        </w:rPr>
        <w:t xml:space="preserve"> assessment into line with that of full-time apprenticeships and traineeships will increase the consistency and confidence in these qualifications.</w:t>
      </w:r>
    </w:p>
    <w:p w:rsidR="00F918C3" w:rsidRPr="00E16D08" w:rsidRDefault="00F918C3" w:rsidP="00D95A5C">
      <w:pPr>
        <w:pStyle w:val="Heading20"/>
      </w:pPr>
      <w:r w:rsidRPr="00E16D08">
        <w:t>Cutting the cost for students, families and employers</w:t>
      </w:r>
    </w:p>
    <w:p w:rsidR="00F918C3" w:rsidRPr="00E16D08" w:rsidRDefault="00F918C3" w:rsidP="00D95A5C">
      <w:pPr>
        <w:rPr>
          <w:rFonts w:ascii="Garamond" w:eastAsia="Garamond" w:hAnsi="Garamond" w:cs="Times New Roman"/>
        </w:rPr>
      </w:pPr>
      <w:r w:rsidRPr="00E16D08">
        <w:rPr>
          <w:rFonts w:ascii="Garamond" w:eastAsia="Garamond" w:hAnsi="Garamond" w:cs="Times New Roman"/>
        </w:rPr>
        <w:t xml:space="preserve">The Government is cutting the cost of living for students and their families, and cutting costs for employers, by making training more accessible and affordable for more students. Initiatives such as offering free TAFE for priority courses, and others, will reduce the barriers to training, especially for those for whom the cost might be a deterrent. This will </w:t>
      </w:r>
      <w:r w:rsidRPr="00E16D08">
        <w:t>enable more Victorians to develop their skills, giving them access to the security and dignity of a job.</w:t>
      </w:r>
    </w:p>
    <w:p w:rsidR="00F918C3" w:rsidRPr="00E16D08" w:rsidRDefault="00F918C3" w:rsidP="00D95A5C">
      <w:pPr>
        <w:rPr>
          <w:rFonts w:ascii="Garamond" w:eastAsia="Garamond" w:hAnsi="Garamond" w:cs="Times New Roman"/>
        </w:rPr>
      </w:pPr>
      <w:r w:rsidRPr="00E16D08">
        <w:rPr>
          <w:rFonts w:ascii="Garamond" w:eastAsia="Garamond" w:hAnsi="Garamond" w:cs="Times New Roman"/>
        </w:rPr>
        <w:t>By reducing the cost and increasing the availability of training, more people will have skills that employers and businesses need, making it easier to grow and strengthen Victoria’s economy.</w:t>
      </w:r>
    </w:p>
    <w:p w:rsidR="00F918C3" w:rsidRDefault="00F918C3" w:rsidP="001929CB">
      <w:pPr>
        <w:pStyle w:val="Heading10"/>
      </w:pPr>
      <w:bookmarkStart w:id="49" w:name="_Toc512629764"/>
      <w:r w:rsidRPr="00E16D08">
        <w:t>Skilling Victoria’s workforce</w:t>
      </w:r>
      <w:bookmarkEnd w:id="49"/>
    </w:p>
    <w:p w:rsidR="00F918C3" w:rsidRDefault="00F918C3" w:rsidP="00330C06">
      <w:bookmarkStart w:id="50" w:name="BP2Ch3EducationState"/>
      <w:r>
        <w:t>The Government is investing in Victoria’s future by investing in its people. It is building Victoria as the Education State, where every student will have the knowledge, capabilities and attributes that will see them thrive throughout their lives.</w:t>
      </w:r>
    </w:p>
    <w:p w:rsidR="00F918C3" w:rsidRDefault="00F918C3" w:rsidP="008D3013">
      <w:r>
        <w:t>Past investment has laid the foundations for the Education State to improve outcomes for all students by providing funding to build new schools</w:t>
      </w:r>
      <w:r>
        <w:fldChar w:fldCharType="begin"/>
      </w:r>
      <w:r>
        <w:instrText xml:space="preserve"> XE "</w:instrText>
      </w:r>
      <w:r w:rsidRPr="00FE0A7F">
        <w:instrText>Education:Schools</w:instrText>
      </w:r>
      <w:r>
        <w:instrText xml:space="preserve">" </w:instrText>
      </w:r>
      <w:r>
        <w:fldChar w:fldCharType="end"/>
      </w:r>
      <w:r>
        <w:t xml:space="preserve"> in fast growing areas, supporting </w:t>
      </w:r>
      <w:r w:rsidRPr="00E16D08">
        <w:t>the development of teachers and positioning TAFEs at the heart of the training system.</w:t>
      </w:r>
      <w:r>
        <w:t xml:space="preserve"> </w:t>
      </w:r>
    </w:p>
    <w:p w:rsidR="00F918C3" w:rsidRPr="00E16D08" w:rsidRDefault="00F918C3" w:rsidP="00FC52A0">
      <w:r>
        <w:t xml:space="preserve">The Government has also improved the fairness of the education system, so all students can succeed regardless of their background or circumstance, including by providing the largest ever boost to equity </w:t>
      </w:r>
      <w:r w:rsidRPr="00E16D08">
        <w:t>funding in schools, introducing extra funding for disadvantaged children in kindergarten, providing more support to re</w:t>
      </w:r>
      <w:r w:rsidRPr="00E16D08">
        <w:noBreakHyphen/>
        <w:t xml:space="preserve">engage students in education and helping disadvantaged job seekers into new jobs. </w:t>
      </w:r>
    </w:p>
    <w:p w:rsidR="00F918C3" w:rsidRDefault="00F918C3" w:rsidP="00330C06">
      <w:r w:rsidRPr="00E16D08">
        <w:t>The</w:t>
      </w:r>
      <w:r>
        <w:t xml:space="preserve"> </w:t>
      </w:r>
      <w:r w:rsidRPr="001929CB">
        <w:rPr>
          <w:i/>
        </w:rPr>
        <w:t>201</w:t>
      </w:r>
      <w:r>
        <w:rPr>
          <w:i/>
        </w:rPr>
        <w:t>8</w:t>
      </w:r>
      <w:r w:rsidRPr="001929CB">
        <w:rPr>
          <w:i/>
        </w:rPr>
        <w:t>-1</w:t>
      </w:r>
      <w:r>
        <w:rPr>
          <w:i/>
        </w:rPr>
        <w:t>9</w:t>
      </w:r>
      <w:r w:rsidRPr="001929CB">
        <w:rPr>
          <w:i/>
        </w:rPr>
        <w:t xml:space="preserve"> Budget</w:t>
      </w:r>
      <w:r>
        <w:t xml:space="preserve"> builds on these earlier investments, and continues the progress towards the Education State, with additional investment in early childhood and schools, and a strong focus on skilling Victoria’s workforce.</w:t>
      </w:r>
    </w:p>
    <w:p w:rsidR="00F918C3" w:rsidRDefault="00F918C3" w:rsidP="00365F1A">
      <w:r>
        <w:t>This budget provides funding to align the education system more closely with industry needs, link the schooling sector with post</w:t>
      </w:r>
      <w:r>
        <w:noBreakHyphen/>
        <w:t>school career pathways, improve the quality of TAFE and vocational training and provide all Victorians with the opportunity to increase their skills and improve their prospects in the labour market. This will put more Victorians in work, boost productivity and help grow the economy.</w:t>
      </w:r>
      <w:r w:rsidR="002114FC">
        <w:fldChar w:fldCharType="begin"/>
      </w:r>
      <w:r w:rsidR="002114FC">
        <w:instrText xml:space="preserve"> XE "</w:instrText>
      </w:r>
      <w:r w:rsidR="002114FC" w:rsidRPr="00013EC2">
        <w:rPr>
          <w:rFonts w:ascii="Garamond" w:eastAsia="Garamond" w:hAnsi="Garamond" w:cs="Times New Roman"/>
        </w:rPr>
        <w:instrText>TAFE</w:instrText>
      </w:r>
      <w:r w:rsidR="002114FC">
        <w:instrText xml:space="preserve">" \r "BP2Ch3TAFE3" </w:instrText>
      </w:r>
      <w:r w:rsidR="002114FC">
        <w:fldChar w:fldCharType="end"/>
      </w:r>
    </w:p>
    <w:bookmarkEnd w:id="48"/>
    <w:p w:rsidR="00F918C3" w:rsidRPr="004304F8" w:rsidRDefault="00F918C3" w:rsidP="00365F1A">
      <w:r>
        <w:t>Investing in skills is just one of the ways the Government is making it easier for Victorians to learn, earn and improve their standard of living.</w:t>
      </w:r>
    </w:p>
    <w:p w:rsidR="00F918C3" w:rsidRDefault="00F918C3" w:rsidP="009E6730">
      <w:r>
        <w:t>The changes being funded in this budget will continue laying the foundation for continued strong economic growth in Victoria and higher standards of living for all Victorians.</w:t>
      </w:r>
      <w:r>
        <w:fldChar w:fldCharType="begin"/>
      </w:r>
      <w:r>
        <w:instrText xml:space="preserve"> XE "</w:instrText>
      </w:r>
      <w:r w:rsidRPr="006D65E5">
        <w:instrText>Education State</w:instrText>
      </w:r>
      <w:r>
        <w:instrText xml:space="preserve">" \r "BP2Ch3EducationState" </w:instrText>
      </w:r>
      <w:r>
        <w:fldChar w:fldCharType="end"/>
      </w:r>
    </w:p>
    <w:p w:rsidR="006371F3" w:rsidRDefault="006371F3">
      <w:pPr>
        <w:keepLines w:val="0"/>
      </w:pPr>
      <w:r>
        <w:br w:type="page"/>
      </w:r>
    </w:p>
    <w:p w:rsidR="006371F3" w:rsidRDefault="006371F3" w:rsidP="009E6730"/>
    <w:bookmarkEnd w:id="50"/>
    <w:p w:rsidR="00F918C3" w:rsidRDefault="00F918C3" w:rsidP="009E6730"/>
    <w:p w:rsidR="00F918C3" w:rsidRPr="004304F8" w:rsidRDefault="00F918C3" w:rsidP="006421F1"/>
    <w:p w:rsidR="00F918C3" w:rsidRDefault="00F918C3" w:rsidP="00B942A3">
      <w:pPr>
        <w:sectPr w:rsidR="00F918C3" w:rsidSect="00AC3BBB">
          <w:footerReference w:type="even" r:id="rId46"/>
          <w:footerReference w:type="default" r:id="rId47"/>
          <w:type w:val="oddPage"/>
          <w:pgSz w:w="9979" w:h="14170" w:code="34"/>
          <w:pgMar w:top="1138" w:right="1138" w:bottom="1138" w:left="1138" w:header="619" w:footer="562" w:gutter="0"/>
          <w:cols w:sep="1" w:space="567"/>
          <w:docGrid w:linePitch="360"/>
        </w:sectPr>
      </w:pPr>
    </w:p>
    <w:p w:rsidR="00F918C3" w:rsidRPr="00C203E5" w:rsidRDefault="00F918C3" w:rsidP="0043405A">
      <w:pPr>
        <w:pStyle w:val="ChapterHeading0"/>
      </w:pPr>
      <w:bookmarkStart w:id="51" w:name="_Toc481160571"/>
      <w:bookmarkStart w:id="52" w:name="_Toc481246479"/>
      <w:bookmarkStart w:id="53" w:name="_Toc512629765"/>
      <w:r w:rsidRPr="00C203E5">
        <w:t>Chapter 4 – Budget position and outlook</w:t>
      </w:r>
      <w:bookmarkEnd w:id="51"/>
      <w:bookmarkEnd w:id="52"/>
      <w:bookmarkEnd w:id="53"/>
    </w:p>
    <w:p w:rsidR="00F918C3" w:rsidRPr="00C203E5" w:rsidRDefault="00F918C3" w:rsidP="005E7A0A">
      <w:pPr>
        <w:pStyle w:val="HighlightBoxBullet"/>
        <w:numPr>
          <w:ilvl w:val="0"/>
          <w:numId w:val="26"/>
        </w:numPr>
      </w:pPr>
      <w:r w:rsidRPr="00C203E5">
        <w:t xml:space="preserve">The </w:t>
      </w:r>
      <w:r w:rsidRPr="00C203E5">
        <w:rPr>
          <w:i/>
        </w:rPr>
        <w:t>2018</w:t>
      </w:r>
      <w:r w:rsidRPr="00C203E5">
        <w:rPr>
          <w:i/>
        </w:rPr>
        <w:noBreakHyphen/>
        <w:t xml:space="preserve">19 Budget </w:t>
      </w:r>
      <w:r w:rsidRPr="00C203E5">
        <w:t>builds on the past three years of investment by the Government in the services and infrastructure our growing state needs, while maintaining a strong and sustainable fiscal position.</w:t>
      </w:r>
    </w:p>
    <w:p w:rsidR="00F918C3" w:rsidRPr="00C203E5" w:rsidRDefault="00F918C3" w:rsidP="005E7A0A">
      <w:pPr>
        <w:pStyle w:val="HighlightBoxBullet"/>
        <w:numPr>
          <w:ilvl w:val="0"/>
          <w:numId w:val="26"/>
        </w:numPr>
      </w:pPr>
      <w:r w:rsidRPr="00C203E5">
        <w:t>In this budget, the Government has announced $9.4</w:t>
      </w:r>
      <w:r w:rsidR="006371F3">
        <w:t> billion</w:t>
      </w:r>
      <w:r w:rsidRPr="00C203E5">
        <w:t xml:space="preserve"> in new output initiatives and up to $9.3</w:t>
      </w:r>
      <w:r w:rsidR="006371F3">
        <w:t> billion</w:t>
      </w:r>
      <w:r w:rsidRPr="00C203E5">
        <w:t xml:space="preserve"> total estimated investment (TEI) in new asset initiatives. </w:t>
      </w:r>
    </w:p>
    <w:p w:rsidR="00F918C3" w:rsidRPr="00C203E5" w:rsidRDefault="00F918C3" w:rsidP="005E7A0A">
      <w:pPr>
        <w:pStyle w:val="HighlightBoxBullet"/>
        <w:numPr>
          <w:ilvl w:val="0"/>
          <w:numId w:val="26"/>
        </w:numPr>
      </w:pPr>
      <w:r w:rsidRPr="00C203E5">
        <w:t>The general government sector operating surplus in 2018</w:t>
      </w:r>
      <w:r w:rsidRPr="00C203E5">
        <w:noBreakHyphen/>
        <w:t>19 is estimated to be $1.4</w:t>
      </w:r>
      <w:r w:rsidR="006371F3">
        <w:t> billion</w:t>
      </w:r>
      <w:r w:rsidRPr="00C203E5">
        <w:t>, with strong surpluses averaging $2.5</w:t>
      </w:r>
      <w:r w:rsidR="006371F3">
        <w:t> billion</w:t>
      </w:r>
      <w:r w:rsidRPr="00C203E5">
        <w:t xml:space="preserve"> across the forward estimates. </w:t>
      </w:r>
    </w:p>
    <w:p w:rsidR="00F918C3" w:rsidRPr="00C203E5" w:rsidRDefault="00F918C3" w:rsidP="005E7A0A">
      <w:pPr>
        <w:pStyle w:val="HighlightBoxBullet"/>
        <w:numPr>
          <w:ilvl w:val="0"/>
          <w:numId w:val="26"/>
        </w:numPr>
      </w:pPr>
      <w:r w:rsidRPr="00C203E5">
        <w:t>In 2018</w:t>
      </w:r>
      <w:r w:rsidRPr="00C203E5">
        <w:noBreakHyphen/>
        <w:t xml:space="preserve">19, </w:t>
      </w:r>
      <w:r>
        <w:t xml:space="preserve">the </w:t>
      </w:r>
      <w:r w:rsidRPr="00D230AD">
        <w:t>general government sector</w:t>
      </w:r>
      <w:r w:rsidRPr="00C203E5">
        <w:t xml:space="preserve"> is expected to collect $69.5</w:t>
      </w:r>
      <w:r w:rsidR="006371F3">
        <w:t> billion</w:t>
      </w:r>
      <w:r w:rsidRPr="00C203E5">
        <w:t xml:space="preserve"> in revenue, and spend $68.1</w:t>
      </w:r>
      <w:r w:rsidR="006371F3">
        <w:t> billion</w:t>
      </w:r>
      <w:r w:rsidRPr="00C203E5">
        <w:t xml:space="preserve"> on services. Revenue growth is expected to average 4.0 per cent a year over the budget and forward estimates, exceeding average expense growth of 3.9 per cent a year.</w:t>
      </w:r>
    </w:p>
    <w:p w:rsidR="00F918C3" w:rsidRPr="00C203E5" w:rsidRDefault="00F918C3" w:rsidP="005E7A0A">
      <w:pPr>
        <w:pStyle w:val="HighlightBoxBullet"/>
        <w:numPr>
          <w:ilvl w:val="0"/>
          <w:numId w:val="26"/>
        </w:numPr>
      </w:pPr>
      <w:r w:rsidRPr="00C203E5">
        <w:t>Government infrastructure investment</w:t>
      </w:r>
      <w:r>
        <w:fldChar w:fldCharType="begin"/>
      </w:r>
      <w:r>
        <w:instrText xml:space="preserve"> XE "</w:instrText>
      </w:r>
      <w:r w:rsidRPr="00D02DCA">
        <w:instrText>Government infrastructure investment</w:instrText>
      </w:r>
      <w:r>
        <w:instrText xml:space="preserve">" </w:instrText>
      </w:r>
      <w:r>
        <w:fldChar w:fldCharType="end"/>
      </w:r>
      <w:r w:rsidRPr="00C203E5">
        <w:t xml:space="preserve"> (GII) will average $10.1</w:t>
      </w:r>
      <w:r w:rsidR="006371F3">
        <w:t> billion</w:t>
      </w:r>
      <w:r w:rsidRPr="00C203E5">
        <w:t xml:space="preserve"> a year o</w:t>
      </w:r>
      <w:r>
        <w:t>f</w:t>
      </w:r>
      <w:r w:rsidRPr="00C203E5">
        <w:t>ver the budget and forward estimates, more than double the average of $4.9</w:t>
      </w:r>
      <w:r w:rsidR="006371F3">
        <w:t> billion</w:t>
      </w:r>
      <w:r w:rsidRPr="00C203E5">
        <w:t xml:space="preserve"> a year from 2005</w:t>
      </w:r>
      <w:r w:rsidRPr="00C203E5">
        <w:noBreakHyphen/>
        <w:t>06 to 2014</w:t>
      </w:r>
      <w:r w:rsidRPr="00C203E5">
        <w:noBreakHyphen/>
        <w:t>15.</w:t>
      </w:r>
    </w:p>
    <w:p w:rsidR="00F918C3" w:rsidRPr="00C203E5" w:rsidRDefault="00F918C3" w:rsidP="005E7A0A">
      <w:pPr>
        <w:pStyle w:val="HighlightBoxBullet"/>
        <w:numPr>
          <w:ilvl w:val="0"/>
          <w:numId w:val="26"/>
        </w:numPr>
      </w:pPr>
      <w:r w:rsidRPr="00C203E5">
        <w:t>Net debt</w:t>
      </w:r>
      <w:r>
        <w:fldChar w:fldCharType="begin"/>
      </w:r>
      <w:r>
        <w:instrText xml:space="preserve"> XE "</w:instrText>
      </w:r>
      <w:r w:rsidRPr="00D02DCA">
        <w:instrText>Debt:Net debt</w:instrText>
      </w:r>
      <w:r>
        <w:instrText xml:space="preserve">" </w:instrText>
      </w:r>
      <w:r>
        <w:fldChar w:fldCharType="end"/>
      </w:r>
      <w:r w:rsidRPr="00C203E5">
        <w:t xml:space="preserve"> is expected to be $31.4</w:t>
      </w:r>
      <w:r w:rsidR="006371F3">
        <w:t> billion</w:t>
      </w:r>
      <w:r w:rsidRPr="00C203E5">
        <w:t xml:space="preserve"> by June 2022. As a proportion of gross state product (GSP</w:t>
      </w:r>
      <w:r>
        <w:fldChar w:fldCharType="begin"/>
      </w:r>
      <w:r>
        <w:instrText xml:space="preserve"> XE "</w:instrText>
      </w:r>
      <w:r w:rsidRPr="00D02DCA">
        <w:instrText>Gross state product</w:instrText>
      </w:r>
      <w:r>
        <w:instrText xml:space="preserve">" </w:instrText>
      </w:r>
      <w:r>
        <w:fldChar w:fldCharType="end"/>
      </w:r>
      <w:r w:rsidRPr="00C203E5">
        <w:t xml:space="preserve">), net debt is projected to increase from its June 2018 level of 4.6 per cent to 6.0 per cent by June 2021, and remain at that level in 2021-22. </w:t>
      </w:r>
    </w:p>
    <w:p w:rsidR="00F918C3" w:rsidRPr="00C203E5" w:rsidRDefault="00F918C3" w:rsidP="005E7A0A">
      <w:pPr>
        <w:pStyle w:val="HighlightBoxBullet"/>
        <w:numPr>
          <w:ilvl w:val="0"/>
          <w:numId w:val="26"/>
        </w:numPr>
      </w:pPr>
      <w:r w:rsidRPr="00C203E5">
        <w:t>The Government’s prudent approach to financial management means Victoria’s finances are in excellent health, which is reflected in the State’s triple</w:t>
      </w:r>
      <w:r w:rsidRPr="00C203E5">
        <w:noBreakHyphen/>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rsidRPr="00C203E5">
        <w:t>.</w:t>
      </w:r>
    </w:p>
    <w:p w:rsidR="00F918C3" w:rsidRPr="00C203E5" w:rsidRDefault="00F918C3" w:rsidP="005E7A0A">
      <w:pPr>
        <w:pStyle w:val="HighlightBoxBullet"/>
        <w:numPr>
          <w:ilvl w:val="0"/>
          <w:numId w:val="26"/>
        </w:numPr>
      </w:pPr>
      <w:r w:rsidRPr="00C203E5">
        <w:t>The Government is on track to fully fund the State’s unfunded superannuation liability by 2035.</w:t>
      </w:r>
    </w:p>
    <w:p w:rsidR="00F918C3" w:rsidRPr="00C203E5" w:rsidRDefault="00F918C3" w:rsidP="00423C3D"/>
    <w:p w:rsidR="00F918C3" w:rsidRPr="00C203E5" w:rsidRDefault="00F918C3" w:rsidP="00423C3D">
      <w:r w:rsidRPr="00C203E5">
        <w:t xml:space="preserve">This chapter outlines the budget position of the general government sector. The broader public sector is covered in Chapter 5 </w:t>
      </w:r>
      <w:r w:rsidRPr="00C203E5">
        <w:rPr>
          <w:i/>
        </w:rPr>
        <w:t>Position and Outlook of the Broader Public Sector</w:t>
      </w:r>
      <w:r w:rsidRPr="00C203E5">
        <w:t>. This budget paper takes into account the financial impacts as at 23 April 2018 of all policy decisions made by the Government, as well as other information that affects the financial statements, unless otherwise stated.</w:t>
      </w:r>
    </w:p>
    <w:p w:rsidR="00F918C3" w:rsidRPr="00C203E5" w:rsidRDefault="00F918C3" w:rsidP="00423C3D">
      <w:pPr>
        <w:pStyle w:val="Heading10"/>
        <w:rPr>
          <w:rFonts w:eastAsiaTheme="minorHAnsi"/>
        </w:rPr>
      </w:pPr>
      <w:bookmarkStart w:id="54" w:name="_Toc449123066"/>
      <w:bookmarkStart w:id="55" w:name="_Toc481160572"/>
      <w:bookmarkStart w:id="56" w:name="_Toc481246480"/>
      <w:bookmarkStart w:id="57" w:name="_Toc512629766"/>
      <w:r w:rsidRPr="00C203E5">
        <w:rPr>
          <w:rFonts w:eastAsiaTheme="minorHAnsi"/>
        </w:rPr>
        <w:t>General government sector</w:t>
      </w:r>
      <w:bookmarkEnd w:id="54"/>
      <w:bookmarkEnd w:id="55"/>
      <w:bookmarkEnd w:id="56"/>
      <w:bookmarkEnd w:id="57"/>
    </w:p>
    <w:p w:rsidR="00F918C3" w:rsidRPr="00C203E5" w:rsidRDefault="00F918C3" w:rsidP="00423C3D">
      <w:pPr>
        <w:pStyle w:val="Heading20"/>
        <w:rPr>
          <w:rFonts w:eastAsiaTheme="minorHAnsi"/>
        </w:rPr>
      </w:pPr>
      <w:r w:rsidRPr="00C203E5">
        <w:rPr>
          <w:rFonts w:eastAsiaTheme="minorHAnsi"/>
        </w:rPr>
        <w:t>Overview</w:t>
      </w:r>
    </w:p>
    <w:p w:rsidR="00F918C3" w:rsidRPr="00C203E5" w:rsidRDefault="00F918C3" w:rsidP="00423C3D">
      <w:r w:rsidRPr="00C203E5">
        <w:t xml:space="preserve">The </w:t>
      </w:r>
      <w:r w:rsidRPr="00C203E5">
        <w:rPr>
          <w:i/>
        </w:rPr>
        <w:t>2018</w:t>
      </w:r>
      <w:r w:rsidRPr="00C203E5">
        <w:rPr>
          <w:i/>
        </w:rPr>
        <w:noBreakHyphen/>
        <w:t>19</w:t>
      </w:r>
      <w:r w:rsidRPr="00C203E5">
        <w:t xml:space="preserve"> </w:t>
      </w:r>
      <w:r w:rsidRPr="00C203E5">
        <w:rPr>
          <w:i/>
        </w:rPr>
        <w:t xml:space="preserve">Budget </w:t>
      </w:r>
      <w:r w:rsidRPr="00C203E5">
        <w:t>continues the Government’s commitment to delivering the services and infrastructure our growing state needs. In each of its four budgets, the Government has adhered to a clear and responsible fiscal framework, enabling investments in services and infrastructure to meet the needs of a growing population while maintaining a strong fiscal position.</w:t>
      </w:r>
      <w:r w:rsidRPr="00C203E5">
        <w:rPr>
          <w:rFonts w:ascii="Helv" w:hAnsi="Helv" w:cs="Helv"/>
          <w:color w:val="000000"/>
          <w:sz w:val="20"/>
          <w:szCs w:val="20"/>
        </w:rPr>
        <w:t xml:space="preserve"> </w:t>
      </w:r>
      <w:r w:rsidRPr="00C203E5">
        <w:t>This budget invests $9.4</w:t>
      </w:r>
      <w:r w:rsidR="006371F3">
        <w:t> billion</w:t>
      </w:r>
      <w:r w:rsidRPr="00C203E5">
        <w:t xml:space="preserve"> in additional services and up to $9.3</w:t>
      </w:r>
      <w:r w:rsidR="006371F3">
        <w:t> billion</w:t>
      </w:r>
      <w:r w:rsidRPr="00C203E5">
        <w:t xml:space="preserve"> TEI in new asset initiatives.</w:t>
      </w:r>
    </w:p>
    <w:p w:rsidR="00F918C3" w:rsidRDefault="00F918C3" w:rsidP="00423C3D">
      <w:r w:rsidRPr="009C1B92">
        <w:t>Revenue growth is expected to average 4.0 per cent a year over the budget and forward estimates, exceeding average expense growth of 3.9 per cent a year.</w:t>
      </w:r>
      <w:r>
        <w:t xml:space="preserve"> </w:t>
      </w:r>
    </w:p>
    <w:p w:rsidR="00F918C3" w:rsidRPr="00C203E5" w:rsidRDefault="00F918C3" w:rsidP="00423C3D">
      <w:r w:rsidRPr="00C203E5">
        <w:t>The operating result</w:t>
      </w:r>
      <w:r>
        <w:fldChar w:fldCharType="begin"/>
      </w:r>
      <w:r>
        <w:instrText xml:space="preserve"> XE "</w:instrText>
      </w:r>
      <w:r w:rsidRPr="00E751BC">
        <w:instrText>Operating result:General government sector</w:instrText>
      </w:r>
      <w:r>
        <w:instrText xml:space="preserve">" </w:instrText>
      </w:r>
      <w:r>
        <w:fldChar w:fldCharType="end"/>
      </w:r>
      <w:r w:rsidRPr="00C203E5">
        <w:t xml:space="preserve"> (net result from transactions) for the general government sector in 2018</w:t>
      </w:r>
      <w:r w:rsidRPr="00C203E5">
        <w:noBreakHyphen/>
        <w:t>19 is forecast to be a surplus of $1.4</w:t>
      </w:r>
      <w:r w:rsidR="006371F3">
        <w:t> billion</w:t>
      </w:r>
      <w:r w:rsidRPr="00C203E5">
        <w:t>, with annual operating surpluses averaging $2.5</w:t>
      </w:r>
      <w:r w:rsidR="006371F3">
        <w:t> billion</w:t>
      </w:r>
      <w:r w:rsidRPr="00C203E5">
        <w:t xml:space="preserve"> over the forward estimates (Table 4.1).</w:t>
      </w:r>
    </w:p>
    <w:p w:rsidR="00F918C3" w:rsidRPr="0013091C" w:rsidRDefault="00F918C3" w:rsidP="0013091C">
      <w:pPr>
        <w:pStyle w:val="TableHeading"/>
      </w:pPr>
      <w:r w:rsidRPr="00C203E5">
        <w:t xml:space="preserve">Table 4.1: </w:t>
      </w:r>
      <w:r w:rsidRPr="00C203E5">
        <w:tab/>
        <w:t>General government fiscal aggregates</w:t>
      </w:r>
    </w:p>
    <w:tbl>
      <w:tblPr>
        <w:tblStyle w:val="DTFTable"/>
        <w:tblW w:w="7761" w:type="dxa"/>
        <w:tblInd w:w="45" w:type="dxa"/>
        <w:tblLayout w:type="fixed"/>
        <w:tblCellMar>
          <w:left w:w="45" w:type="dxa"/>
          <w:right w:w="45" w:type="dxa"/>
        </w:tblCellMar>
        <w:tblLook w:val="06E0" w:firstRow="1" w:lastRow="1" w:firstColumn="1" w:lastColumn="0" w:noHBand="1" w:noVBand="1"/>
      </w:tblPr>
      <w:tblGrid>
        <w:gridCol w:w="2069"/>
        <w:gridCol w:w="811"/>
        <w:gridCol w:w="811"/>
        <w:gridCol w:w="816"/>
        <w:gridCol w:w="811"/>
        <w:gridCol w:w="816"/>
        <w:gridCol w:w="811"/>
        <w:gridCol w:w="816"/>
      </w:tblGrid>
      <w:tr w:rsidR="00F918C3" w:rsidRPr="0013091C" w:rsidTr="0013091C">
        <w:trPr>
          <w:cnfStyle w:val="100000000000" w:firstRow="1" w:lastRow="0" w:firstColumn="0" w:lastColumn="0" w:oddVBand="0" w:evenVBand="0" w:oddHBand="0"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shd w:val="solid" w:color="000000" w:fill="FFFFFF"/>
          </w:tcPr>
          <w:p w:rsidR="00F918C3" w:rsidRPr="0013091C" w:rsidRDefault="00F918C3" w:rsidP="0013091C">
            <w:pPr>
              <w:pStyle w:val="TableHeading"/>
              <w:rPr>
                <w:rFonts w:eastAsiaTheme="minorEastAsia" w:cs="Calibri"/>
                <w:color w:val="000000"/>
                <w:sz w:val="17"/>
                <w:szCs w:val="17"/>
                <w:lang w:eastAsia="en-AU"/>
              </w:rPr>
            </w:pPr>
            <w:r w:rsidRPr="0013091C">
              <w:rPr>
                <w:rFonts w:eastAsiaTheme="minorEastAsia" w:cs="Calibri"/>
                <w:color w:val="000000"/>
                <w:sz w:val="17"/>
                <w:szCs w:val="17"/>
                <w:lang w:eastAsia="en-AU"/>
              </w:rPr>
              <w:t xml:space="preserve"> </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Unit of</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2016-17</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2017-18</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2018-19</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2019-20</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2020-21</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13091C">
              <w:rPr>
                <w:rFonts w:eastAsiaTheme="minorEastAsia" w:cs="Calibri"/>
                <w:iCs/>
                <w:color w:val="FFFFFF"/>
                <w:szCs w:val="17"/>
                <w:lang w:eastAsia="en-AU"/>
              </w:rPr>
              <w:t>2021-22</w:t>
            </w:r>
          </w:p>
        </w:tc>
      </w:tr>
      <w:tr w:rsidR="00F918C3" w:rsidRPr="0013091C" w:rsidTr="0013091C">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rPr>
                <w:rFonts w:eastAsiaTheme="minorEastAsia" w:cs="Calibri"/>
                <w:i/>
                <w:color w:val="000000"/>
                <w:szCs w:val="17"/>
                <w:lang w:eastAsia="en-AU"/>
              </w:rPr>
            </w:pPr>
            <w:r w:rsidRPr="0013091C">
              <w:rPr>
                <w:rFonts w:eastAsiaTheme="minorEastAsia" w:cs="Calibri"/>
                <w:i/>
                <w:color w:val="000000"/>
                <w:szCs w:val="17"/>
                <w:lang w:eastAsia="en-AU"/>
              </w:rPr>
              <w:t xml:space="preserve"> </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measure</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actual</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revised</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budget</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estimate</w:t>
            </w:r>
          </w:p>
        </w:tc>
        <w:tc>
          <w:tcPr>
            <w:tcW w:w="811"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estimate</w:t>
            </w:r>
          </w:p>
        </w:tc>
        <w:tc>
          <w:tcPr>
            <w:tcW w:w="816" w:type="dxa"/>
            <w:tcBorders>
              <w:top w:val="nil"/>
              <w:left w:val="nil"/>
              <w:bottom w:val="nil"/>
              <w:right w:val="nil"/>
            </w:tcBorders>
            <w:shd w:val="solid" w:color="000000" w:fill="FFFFFF"/>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13091C">
              <w:rPr>
                <w:rFonts w:eastAsiaTheme="minorEastAsia" w:cs="Calibri"/>
                <w:i/>
                <w:iCs/>
                <w:color w:val="FFFFFF"/>
                <w:szCs w:val="17"/>
                <w:lang w:eastAsia="en-AU"/>
              </w:rPr>
              <w:t>estimate</w:t>
            </w:r>
          </w:p>
        </w:tc>
      </w:tr>
      <w:tr w:rsidR="00F918C3" w:rsidRPr="0013091C" w:rsidTr="0013091C">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13091C" w:rsidRDefault="00F918C3" w:rsidP="0013091C">
            <w:pPr>
              <w:keepLines w:val="0"/>
              <w:autoSpaceDE w:val="0"/>
              <w:autoSpaceDN w:val="0"/>
              <w:adjustRightInd w:val="0"/>
              <w:rPr>
                <w:rFonts w:eastAsiaTheme="minorEastAsia" w:cs="Calibri"/>
                <w:color w:val="000000"/>
                <w:szCs w:val="17"/>
                <w:lang w:eastAsia="en-AU"/>
              </w:rPr>
            </w:pPr>
            <w:r w:rsidRPr="0013091C">
              <w:rPr>
                <w:rFonts w:eastAsiaTheme="minorEastAsia" w:cs="Calibri"/>
                <w:color w:val="000000"/>
                <w:szCs w:val="17"/>
                <w:lang w:eastAsia="en-AU"/>
              </w:rPr>
              <w:t>Net result from transactions</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2.7</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2.0</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1.4</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2.0</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2.7</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2.9</w:t>
            </w:r>
            <w:r w:rsidRPr="0013091C">
              <w:t xml:space="preserve"> </w:t>
            </w:r>
          </w:p>
        </w:tc>
      </w:tr>
      <w:tr w:rsidR="00F918C3" w:rsidRPr="0013091C" w:rsidTr="0013091C">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13091C" w:rsidRDefault="00F918C3" w:rsidP="002A175F">
            <w:pPr>
              <w:keepLines w:val="0"/>
              <w:autoSpaceDE w:val="0"/>
              <w:autoSpaceDN w:val="0"/>
              <w:adjustRightInd w:val="0"/>
              <w:rPr>
                <w:rFonts w:eastAsiaTheme="minorEastAsia" w:cs="Calibri"/>
                <w:color w:val="000000"/>
                <w:szCs w:val="17"/>
                <w:lang w:eastAsia="en-AU"/>
              </w:rPr>
            </w:pPr>
            <w:r w:rsidRPr="0013091C">
              <w:rPr>
                <w:rFonts w:eastAsiaTheme="minorEastAsia" w:cs="Calibri"/>
                <w:color w:val="000000"/>
                <w:szCs w:val="17"/>
                <w:lang w:eastAsia="en-AU"/>
              </w:rPr>
              <w:t xml:space="preserve">Government infrastructure investment </w:t>
            </w:r>
            <w:r w:rsidRPr="0013091C">
              <w:rPr>
                <w:rFonts w:eastAsiaTheme="minorEastAsia" w:cs="Calibri"/>
                <w:color w:val="000000"/>
                <w:szCs w:val="17"/>
                <w:vertAlign w:val="superscript"/>
                <w:lang w:eastAsia="en-AU"/>
              </w:rPr>
              <w:t>(a)(b)</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9.1</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11.6</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13.7</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10.0</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8.9</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7.6</w:t>
            </w:r>
            <w:r w:rsidRPr="0013091C">
              <w:t xml:space="preserve"> </w:t>
            </w:r>
          </w:p>
        </w:tc>
      </w:tr>
      <w:tr w:rsidR="00F918C3" w:rsidRPr="0013091C" w:rsidTr="0013091C">
        <w:tc>
          <w:tcPr>
            <w:cnfStyle w:val="001000000000" w:firstRow="0" w:lastRow="0" w:firstColumn="1" w:lastColumn="0" w:oddVBand="0" w:evenVBand="0" w:oddHBand="0" w:evenHBand="0" w:firstRowFirstColumn="0" w:firstRowLastColumn="0" w:lastRowFirstColumn="0" w:lastRowLastColumn="0"/>
            <w:tcW w:w="2069" w:type="dxa"/>
            <w:tcBorders>
              <w:top w:val="nil"/>
              <w:left w:val="nil"/>
              <w:bottom w:val="nil"/>
              <w:right w:val="nil"/>
            </w:tcBorders>
          </w:tcPr>
          <w:p w:rsidR="00F918C3" w:rsidRPr="0013091C" w:rsidRDefault="00F918C3" w:rsidP="002A175F">
            <w:pPr>
              <w:keepLines w:val="0"/>
              <w:autoSpaceDE w:val="0"/>
              <w:autoSpaceDN w:val="0"/>
              <w:adjustRightInd w:val="0"/>
              <w:rPr>
                <w:rFonts w:eastAsiaTheme="minorEastAsia" w:cs="Calibri"/>
                <w:color w:val="000000"/>
                <w:szCs w:val="17"/>
                <w:lang w:eastAsia="en-AU"/>
              </w:rPr>
            </w:pPr>
            <w:r w:rsidRPr="0013091C">
              <w:rPr>
                <w:rFonts w:eastAsiaTheme="minorEastAsia" w:cs="Calibri"/>
                <w:color w:val="000000"/>
                <w:szCs w:val="17"/>
                <w:lang w:eastAsia="en-AU"/>
              </w:rPr>
              <w:t>Net debt</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w:t>
            </w:r>
            <w:r w:rsidR="006371F3">
              <w:rPr>
                <w:rFonts w:eastAsiaTheme="minorEastAsia" w:cs="Calibri"/>
                <w:color w:val="000000"/>
                <w:szCs w:val="17"/>
                <w:lang w:eastAsia="en-AU"/>
              </w:rPr>
              <w:t> billion</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15.8</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19.6</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24.3</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28.0</w:t>
            </w:r>
            <w:r w:rsidRPr="0013091C">
              <w:t xml:space="preserve"> </w:t>
            </w:r>
          </w:p>
        </w:tc>
        <w:tc>
          <w:tcPr>
            <w:tcW w:w="811"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29.8</w:t>
            </w:r>
            <w:r w:rsidRPr="0013091C">
              <w:t xml:space="preserve"> </w:t>
            </w:r>
          </w:p>
        </w:tc>
        <w:tc>
          <w:tcPr>
            <w:tcW w:w="816" w:type="dxa"/>
            <w:tcBorders>
              <w:top w:val="nil"/>
              <w:left w:val="nil"/>
              <w:bottom w:val="nil"/>
              <w:right w:val="nil"/>
            </w:tcBorders>
          </w:tcPr>
          <w:p w:rsidR="00F918C3" w:rsidRPr="0013091C" w:rsidRDefault="00F918C3" w:rsidP="0013091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13091C">
              <w:rPr>
                <w:rFonts w:eastAsiaTheme="minorEastAsia" w:cs="Calibri"/>
                <w:color w:val="000000"/>
                <w:szCs w:val="17"/>
                <w:lang w:eastAsia="en-AU"/>
              </w:rPr>
              <w:t>31.4</w:t>
            </w:r>
            <w:r w:rsidRPr="0013091C">
              <w:t xml:space="preserve"> </w:t>
            </w:r>
          </w:p>
        </w:tc>
      </w:tr>
      <w:tr w:rsidR="00F918C3" w:rsidRPr="0013091C" w:rsidTr="001309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top w:val="nil"/>
              <w:bottom w:val="single" w:sz="12" w:space="0" w:color="auto"/>
            </w:tcBorders>
          </w:tcPr>
          <w:p w:rsidR="00F918C3" w:rsidRPr="0013091C" w:rsidRDefault="00F918C3" w:rsidP="002A175F">
            <w:pPr>
              <w:keepLines w:val="0"/>
              <w:autoSpaceDE w:val="0"/>
              <w:autoSpaceDN w:val="0"/>
              <w:adjustRightInd w:val="0"/>
              <w:rPr>
                <w:rFonts w:eastAsiaTheme="minorEastAsia" w:cs="Calibri"/>
                <w:b w:val="0"/>
                <w:color w:val="000000"/>
                <w:szCs w:val="17"/>
                <w:lang w:eastAsia="en-AU"/>
              </w:rPr>
            </w:pPr>
            <w:r w:rsidRPr="0013091C">
              <w:rPr>
                <w:rFonts w:eastAsiaTheme="minorEastAsia" w:cs="Calibri"/>
                <w:b w:val="0"/>
                <w:color w:val="000000"/>
                <w:szCs w:val="17"/>
                <w:lang w:eastAsia="en-AU"/>
              </w:rPr>
              <w:t xml:space="preserve">Net debt to GSP </w:t>
            </w:r>
            <w:r w:rsidRPr="00083D9F">
              <w:rPr>
                <w:rFonts w:eastAsiaTheme="minorEastAsia" w:cs="Calibri"/>
                <w:b w:val="0"/>
                <w:color w:val="000000"/>
                <w:szCs w:val="17"/>
                <w:vertAlign w:val="superscript"/>
                <w:lang w:eastAsia="en-AU"/>
              </w:rPr>
              <w:t>(c)</w:t>
            </w:r>
          </w:p>
        </w:tc>
        <w:tc>
          <w:tcPr>
            <w:tcW w:w="811" w:type="dxa"/>
            <w:tcBorders>
              <w:top w:val="nil"/>
              <w:bottom w:val="single" w:sz="12" w:space="0" w:color="auto"/>
            </w:tcBorders>
          </w:tcPr>
          <w:p w:rsidR="00F918C3" w:rsidRPr="0013091C" w:rsidRDefault="00F918C3" w:rsidP="0013091C">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13091C">
              <w:rPr>
                <w:rFonts w:eastAsiaTheme="minorEastAsia" w:cs="Calibri"/>
                <w:b w:val="0"/>
                <w:color w:val="000000"/>
                <w:szCs w:val="17"/>
                <w:lang w:eastAsia="en-AU"/>
              </w:rPr>
              <w:t>per cent</w:t>
            </w:r>
          </w:p>
        </w:tc>
        <w:tc>
          <w:tcPr>
            <w:tcW w:w="811"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3.9</w:t>
            </w:r>
            <w:r w:rsidRPr="0013091C">
              <w:t xml:space="preserve"> </w:t>
            </w:r>
          </w:p>
        </w:tc>
        <w:tc>
          <w:tcPr>
            <w:tcW w:w="816"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4.6</w:t>
            </w:r>
            <w:r w:rsidRPr="0013091C">
              <w:t xml:space="preserve"> </w:t>
            </w:r>
          </w:p>
        </w:tc>
        <w:tc>
          <w:tcPr>
            <w:tcW w:w="811"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5.4</w:t>
            </w:r>
            <w:r w:rsidRPr="0013091C">
              <w:t xml:space="preserve"> </w:t>
            </w:r>
          </w:p>
        </w:tc>
        <w:tc>
          <w:tcPr>
            <w:tcW w:w="816"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5.9</w:t>
            </w:r>
            <w:r w:rsidRPr="0013091C">
              <w:t xml:space="preserve"> </w:t>
            </w:r>
          </w:p>
        </w:tc>
        <w:tc>
          <w:tcPr>
            <w:tcW w:w="811"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6.0</w:t>
            </w:r>
            <w:r w:rsidRPr="0013091C">
              <w:t xml:space="preserve"> </w:t>
            </w:r>
          </w:p>
        </w:tc>
        <w:tc>
          <w:tcPr>
            <w:tcW w:w="816" w:type="dxa"/>
            <w:tcBorders>
              <w:top w:val="nil"/>
              <w:bottom w:val="single" w:sz="12" w:space="0" w:color="auto"/>
            </w:tcBorders>
          </w:tcPr>
          <w:p w:rsidR="00F918C3" w:rsidRPr="0013091C" w:rsidRDefault="00F918C3" w:rsidP="0013091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13091C">
              <w:rPr>
                <w:rFonts w:eastAsiaTheme="minorEastAsia" w:cs="Calibri"/>
                <w:b w:val="0"/>
                <w:color w:val="000000"/>
                <w:szCs w:val="17"/>
                <w:lang w:eastAsia="en-AU"/>
              </w:rPr>
              <w:t>6.0</w:t>
            </w:r>
            <w:r w:rsidRPr="0013091C">
              <w:t xml:space="preserve"> </w:t>
            </w:r>
          </w:p>
        </w:tc>
      </w:tr>
    </w:tbl>
    <w:p w:rsidR="00F918C3" w:rsidRPr="00C203E5" w:rsidRDefault="00F918C3" w:rsidP="00590F34">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(a)</w:t>
      </w:r>
      <w:r w:rsidRPr="00C203E5">
        <w:tab/>
        <w:t>Includes general government net infrastructure investment and estimated cash flows for Partnerships Victoria projects.</w:t>
      </w:r>
    </w:p>
    <w:p w:rsidR="00F918C3" w:rsidRPr="00C203E5" w:rsidRDefault="00F918C3" w:rsidP="00423C3D">
      <w:pPr>
        <w:pStyle w:val="Note"/>
      </w:pPr>
      <w:r w:rsidRPr="00C203E5">
        <w:t>(b)</w:t>
      </w:r>
      <w:r w:rsidRPr="00C203E5">
        <w:tab/>
        <w:t xml:space="preserve">Excludes the </w:t>
      </w:r>
      <w:r>
        <w:t>impact of the medium-</w:t>
      </w:r>
      <w:r w:rsidRPr="00C203E5">
        <w:t>term lease over the operations of the Port of Melbourne and the divestment of Victoria’s share of Snowy Hydro Limited</w:t>
      </w:r>
      <w:r w:rsidR="008C27C4">
        <w:fldChar w:fldCharType="begin"/>
      </w:r>
      <w:r w:rsidR="008C27C4">
        <w:instrText xml:space="preserve"> XE "</w:instrText>
      </w:r>
      <w:r w:rsidR="008C27C4" w:rsidRPr="00D9222F">
        <w:instrText>Snowy Hydro Limited</w:instrText>
      </w:r>
      <w:r w:rsidR="008C27C4">
        <w:instrText xml:space="preserve">" </w:instrText>
      </w:r>
      <w:r w:rsidR="008C27C4">
        <w:fldChar w:fldCharType="end"/>
      </w:r>
      <w:r w:rsidRPr="00C203E5">
        <w:t>.</w:t>
      </w:r>
    </w:p>
    <w:p w:rsidR="00F918C3" w:rsidRPr="00C203E5" w:rsidRDefault="00F918C3" w:rsidP="00B12DC1">
      <w:pPr>
        <w:pStyle w:val="Note"/>
      </w:pPr>
      <w:r w:rsidRPr="00C203E5">
        <w:t>(c)</w:t>
      </w:r>
      <w:r w:rsidRPr="00C203E5">
        <w:tab/>
        <w:t>The ratios to GSP may vary from publications year to year due to revisions to the Australian Bureau of Statistics (ABS) GSP data.</w:t>
      </w:r>
    </w:p>
    <w:p w:rsidR="00F918C3" w:rsidRPr="00C203E5" w:rsidRDefault="00F918C3" w:rsidP="00423C3D">
      <w:pPr>
        <w:pStyle w:val="Note"/>
      </w:pPr>
    </w:p>
    <w:p w:rsidR="00F918C3" w:rsidRDefault="00F918C3" w:rsidP="002148DF">
      <w:r w:rsidRPr="00C203E5">
        <w:t>Infrastructure investment</w:t>
      </w:r>
      <w:r>
        <w:fldChar w:fldCharType="begin"/>
      </w:r>
      <w:r>
        <w:instrText xml:space="preserve"> XE "</w:instrText>
      </w:r>
      <w:r w:rsidRPr="00D02DCA">
        <w:instrText>Infrastructure investment</w:instrText>
      </w:r>
      <w:r>
        <w:instrText xml:space="preserve">" </w:instrText>
      </w:r>
      <w:r>
        <w:fldChar w:fldCharType="end"/>
      </w:r>
      <w:r w:rsidRPr="00C203E5">
        <w:t>, as measured by GII</w:t>
      </w:r>
      <w:r>
        <w:fldChar w:fldCharType="begin"/>
      </w:r>
      <w:r>
        <w:instrText xml:space="preserve"> XE "</w:instrText>
      </w:r>
      <w:r w:rsidRPr="00D02DCA">
        <w:instrText>Government infrastructure investment</w:instrText>
      </w:r>
      <w:r>
        <w:instrText xml:space="preserve">" </w:instrText>
      </w:r>
      <w:r>
        <w:fldChar w:fldCharType="end"/>
      </w:r>
      <w:r w:rsidRPr="00C203E5">
        <w:t>, will average $10.1</w:t>
      </w:r>
      <w:r w:rsidR="006371F3">
        <w:t> billion</w:t>
      </w:r>
      <w:r w:rsidRPr="00C203E5">
        <w:t xml:space="preserve"> a year over the next four </w:t>
      </w:r>
      <w:r w:rsidRPr="00D63162">
        <w:t>years, more than double the average</w:t>
      </w:r>
      <w:r w:rsidRPr="00C203E5">
        <w:t xml:space="preserve"> of $4.9</w:t>
      </w:r>
      <w:r w:rsidR="006371F3">
        <w:t> billion</w:t>
      </w:r>
      <w:r w:rsidRPr="00C203E5">
        <w:t xml:space="preserve"> a year from 2005</w:t>
      </w:r>
      <w:r w:rsidRPr="00C203E5">
        <w:noBreakHyphen/>
        <w:t>06 to 2014</w:t>
      </w:r>
      <w:r w:rsidRPr="00C203E5">
        <w:noBreakHyphen/>
        <w:t>15. Net debt</w:t>
      </w:r>
      <w:r>
        <w:fldChar w:fldCharType="begin"/>
      </w:r>
      <w:r>
        <w:instrText xml:space="preserve"> XE "</w:instrText>
      </w:r>
      <w:r w:rsidRPr="00D02DCA">
        <w:instrText>Debt:Net debt</w:instrText>
      </w:r>
      <w:r>
        <w:instrText xml:space="preserve">" </w:instrText>
      </w:r>
      <w:r>
        <w:fldChar w:fldCharType="end"/>
      </w:r>
      <w:r w:rsidRPr="00C203E5">
        <w:t xml:space="preserve"> as a proportion of GSP</w:t>
      </w:r>
      <w:r>
        <w:fldChar w:fldCharType="begin"/>
      </w:r>
      <w:r>
        <w:instrText xml:space="preserve"> XE "</w:instrText>
      </w:r>
      <w:r w:rsidRPr="00D02DCA">
        <w:instrText>Gross state product</w:instrText>
      </w:r>
      <w:r>
        <w:instrText xml:space="preserve">" </w:instrText>
      </w:r>
      <w:r>
        <w:fldChar w:fldCharType="end"/>
      </w:r>
      <w:r w:rsidRPr="00C203E5">
        <w:t xml:space="preserve"> is expected to be </w:t>
      </w:r>
      <w:bookmarkStart w:id="58" w:name="_Toc449123067"/>
      <w:r w:rsidRPr="00C203E5">
        <w:t>4.6 per cent at June 2018 and increase to 6.0 per cent by June 2021, and remain at that level in 2021-22.</w:t>
      </w:r>
      <w:r>
        <w:t xml:space="preserve"> </w:t>
      </w:r>
    </w:p>
    <w:p w:rsidR="00F918C3" w:rsidRPr="002148DF" w:rsidRDefault="00F918C3" w:rsidP="002148DF">
      <w:r w:rsidRPr="00C203E5">
        <w:t xml:space="preserve">The additional investments announced in the </w:t>
      </w:r>
      <w:r w:rsidRPr="00C203E5">
        <w:rPr>
          <w:i/>
        </w:rPr>
        <w:t>2018</w:t>
      </w:r>
      <w:r w:rsidRPr="00C203E5">
        <w:rPr>
          <w:i/>
        </w:rPr>
        <w:noBreakHyphen/>
        <w:t>19 Budget</w:t>
      </w:r>
      <w:r w:rsidRPr="00C203E5">
        <w:t xml:space="preserve">, combined with Victoria’s strong economy and </w:t>
      </w:r>
      <w:r w:rsidRPr="009C1B92">
        <w:t xml:space="preserve">the Government’s strong fiscal </w:t>
      </w:r>
      <w:r w:rsidRPr="00C203E5">
        <w:t>management, is consistent with maintaining a triple</w:t>
      </w:r>
      <w:r w:rsidRPr="00C203E5">
        <w:noBreakHyphen/>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rsidRPr="00C203E5">
        <w:t xml:space="preserve">. The </w:t>
      </w:r>
      <w:r w:rsidRPr="00C203E5">
        <w:rPr>
          <w:i/>
        </w:rPr>
        <w:t>2018-19 Budget</w:t>
      </w:r>
      <w:r w:rsidRPr="00C203E5">
        <w:t xml:space="preserve"> delivers against the Government’s financial measures and targets outlined in Table 4.2.</w:t>
      </w:r>
    </w:p>
    <w:p w:rsidR="00F918C3" w:rsidRPr="00C203E5" w:rsidRDefault="00F918C3" w:rsidP="00306E62">
      <w:pPr>
        <w:pStyle w:val="TableHeading"/>
      </w:pPr>
      <w:r w:rsidRPr="00C203E5">
        <w:t xml:space="preserve">Table 4.2: </w:t>
      </w:r>
      <w:r w:rsidRPr="00C203E5">
        <w:tab/>
        <w:t xml:space="preserve">Financial measures and targets for the </w:t>
      </w:r>
      <w:r w:rsidRPr="00C203E5">
        <w:rPr>
          <w:i/>
        </w:rPr>
        <w:t>2018-19 Budget</w:t>
      </w:r>
    </w:p>
    <w:tbl>
      <w:tblPr>
        <w:tblStyle w:val="DTFTable"/>
        <w:tblW w:w="7560" w:type="dxa"/>
        <w:tblInd w:w="0" w:type="dxa"/>
        <w:tblLayout w:type="fixed"/>
        <w:tblCellMar>
          <w:left w:w="45" w:type="dxa"/>
          <w:right w:w="45" w:type="dxa"/>
        </w:tblCellMar>
        <w:tblLook w:val="0620" w:firstRow="1" w:lastRow="0" w:firstColumn="0" w:lastColumn="0" w:noHBand="1" w:noVBand="1"/>
      </w:tblPr>
      <w:tblGrid>
        <w:gridCol w:w="2341"/>
        <w:gridCol w:w="5219"/>
      </w:tblGrid>
      <w:tr w:rsidR="00F918C3" w:rsidRPr="00C203E5" w:rsidTr="007A3113">
        <w:trPr>
          <w:cnfStyle w:val="100000000000" w:firstRow="1" w:lastRow="0" w:firstColumn="0" w:lastColumn="0" w:oddVBand="0" w:evenVBand="0" w:oddHBand="0" w:evenHBand="0" w:firstRowFirstColumn="0" w:firstRowLastColumn="0" w:lastRowFirstColumn="0" w:lastRowLastColumn="0"/>
          <w:cantSplit/>
          <w:tblHeader/>
        </w:trPr>
        <w:tc>
          <w:tcPr>
            <w:tcW w:w="2341" w:type="dxa"/>
            <w:tcBorders>
              <w:top w:val="nil"/>
              <w:left w:val="nil"/>
              <w:bottom w:val="nil"/>
              <w:right w:val="nil"/>
            </w:tcBorders>
            <w:shd w:val="solid" w:color="000000" w:fill="auto"/>
          </w:tcPr>
          <w:p w:rsidR="00F918C3" w:rsidRPr="00C203E5" w:rsidRDefault="00F918C3" w:rsidP="007A3113">
            <w:pPr>
              <w:autoSpaceDE w:val="0"/>
              <w:autoSpaceDN w:val="0"/>
              <w:adjustRightInd w:val="0"/>
              <w:jc w:val="left"/>
              <w:rPr>
                <w:rFonts w:eastAsiaTheme="minorEastAsia" w:cs="Calibri"/>
                <w:iCs/>
                <w:color w:val="FFFFFF"/>
                <w:szCs w:val="20"/>
                <w:lang w:eastAsia="en-AU"/>
              </w:rPr>
            </w:pPr>
            <w:r w:rsidRPr="00C203E5">
              <w:rPr>
                <w:rFonts w:eastAsiaTheme="minorEastAsia" w:cs="Calibri"/>
                <w:iCs/>
                <w:color w:val="FFFFFF"/>
                <w:szCs w:val="20"/>
                <w:lang w:eastAsia="en-AU"/>
              </w:rPr>
              <w:t>Financial measures</w:t>
            </w:r>
          </w:p>
        </w:tc>
        <w:tc>
          <w:tcPr>
            <w:tcW w:w="5219" w:type="dxa"/>
            <w:tcBorders>
              <w:top w:val="nil"/>
              <w:left w:val="nil"/>
              <w:bottom w:val="nil"/>
              <w:right w:val="nil"/>
            </w:tcBorders>
            <w:shd w:val="solid" w:color="000000" w:fill="auto"/>
          </w:tcPr>
          <w:p w:rsidR="00F918C3" w:rsidRPr="00C203E5" w:rsidRDefault="00F918C3" w:rsidP="007A3113">
            <w:pPr>
              <w:autoSpaceDE w:val="0"/>
              <w:autoSpaceDN w:val="0"/>
              <w:adjustRightInd w:val="0"/>
              <w:jc w:val="left"/>
              <w:rPr>
                <w:rFonts w:eastAsiaTheme="minorEastAsia" w:cs="Calibri"/>
                <w:iCs/>
                <w:color w:val="FFFFFF"/>
                <w:szCs w:val="20"/>
                <w:lang w:eastAsia="en-AU"/>
              </w:rPr>
            </w:pPr>
            <w:r w:rsidRPr="00C203E5">
              <w:rPr>
                <w:rFonts w:eastAsiaTheme="minorEastAsia" w:cs="Calibri"/>
                <w:iCs/>
                <w:color w:val="FFFFFF"/>
                <w:szCs w:val="20"/>
                <w:lang w:eastAsia="en-AU"/>
              </w:rPr>
              <w:t>Target</w:t>
            </w:r>
          </w:p>
        </w:tc>
      </w:tr>
      <w:tr w:rsidR="00F918C3" w:rsidRPr="00C203E5" w:rsidTr="007A3113">
        <w:tc>
          <w:tcPr>
            <w:tcW w:w="2341" w:type="dxa"/>
            <w:tcBorders>
              <w:top w:val="nil"/>
              <w:left w:val="nil"/>
              <w:bottom w:val="nil"/>
              <w:right w:val="nil"/>
            </w:tcBorders>
          </w:tcPr>
          <w:p w:rsidR="00F918C3" w:rsidRPr="00C203E5" w:rsidRDefault="00F918C3" w:rsidP="002A175F">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Net debt</w:t>
            </w:r>
          </w:p>
        </w:tc>
        <w:tc>
          <w:tcPr>
            <w:tcW w:w="5219" w:type="dxa"/>
            <w:tcBorders>
              <w:top w:val="nil"/>
              <w:left w:val="nil"/>
              <w:bottom w:val="nil"/>
              <w:right w:val="nil"/>
            </w:tcBorders>
          </w:tcPr>
          <w:p w:rsidR="00F918C3" w:rsidRPr="00C203E5" w:rsidRDefault="00F918C3" w:rsidP="002A175F">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General government net debt</w:t>
            </w:r>
            <w:r>
              <w:rPr>
                <w:rFonts w:eastAsiaTheme="minorEastAsia" w:cs="Calibri"/>
                <w:color w:val="000000"/>
                <w:szCs w:val="20"/>
                <w:lang w:eastAsia="en-AU"/>
              </w:rPr>
              <w:fldChar w:fldCharType="begin"/>
            </w:r>
            <w:r>
              <w:instrText xml:space="preserve"> XE "</w:instrText>
            </w:r>
            <w:r w:rsidRPr="00624710">
              <w:instrText>Debt:General government net debt</w:instrText>
            </w:r>
            <w:r>
              <w:instrText xml:space="preserve">" </w:instrText>
            </w:r>
            <w:r>
              <w:rPr>
                <w:rFonts w:eastAsiaTheme="minorEastAsia" w:cs="Calibri"/>
                <w:color w:val="000000"/>
                <w:szCs w:val="20"/>
                <w:lang w:eastAsia="en-AU"/>
              </w:rPr>
              <w:fldChar w:fldCharType="end"/>
            </w:r>
            <w:r w:rsidRPr="00C203E5">
              <w:rPr>
                <w:rFonts w:eastAsiaTheme="minorEastAsia" w:cs="Calibri"/>
                <w:color w:val="000000"/>
                <w:szCs w:val="20"/>
                <w:lang w:eastAsia="en-AU"/>
              </w:rPr>
              <w:t xml:space="preserve"> as a percentage of GSP to be maintained at a sustainable level over the medium term.</w:t>
            </w:r>
          </w:p>
        </w:tc>
      </w:tr>
      <w:tr w:rsidR="00F918C3" w:rsidRPr="00C203E5" w:rsidTr="007A3113">
        <w:tc>
          <w:tcPr>
            <w:tcW w:w="2341" w:type="dxa"/>
            <w:tcBorders>
              <w:top w:val="nil"/>
              <w:left w:val="nil"/>
              <w:bottom w:val="nil"/>
              <w:right w:val="nil"/>
            </w:tcBorders>
          </w:tcPr>
          <w:p w:rsidR="00F918C3" w:rsidRPr="00C203E5" w:rsidRDefault="00F918C3" w:rsidP="002A175F">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 xml:space="preserve">Superannuation liabilities </w:t>
            </w:r>
          </w:p>
        </w:tc>
        <w:tc>
          <w:tcPr>
            <w:tcW w:w="5219" w:type="dxa"/>
            <w:tcBorders>
              <w:top w:val="nil"/>
              <w:left w:val="nil"/>
              <w:bottom w:val="nil"/>
              <w:right w:val="nil"/>
            </w:tcBorders>
          </w:tcPr>
          <w:p w:rsidR="00F918C3" w:rsidRPr="00C203E5" w:rsidRDefault="00F918C3" w:rsidP="007A3113">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Fully fund the unfunded superannuation liability by 2035.</w:t>
            </w:r>
          </w:p>
        </w:tc>
      </w:tr>
      <w:tr w:rsidR="00F918C3" w:rsidRPr="00C203E5" w:rsidTr="007A3113">
        <w:tc>
          <w:tcPr>
            <w:tcW w:w="2341" w:type="dxa"/>
            <w:tcBorders>
              <w:top w:val="nil"/>
              <w:left w:val="nil"/>
              <w:bottom w:val="single" w:sz="12" w:space="0" w:color="auto"/>
              <w:right w:val="nil"/>
            </w:tcBorders>
          </w:tcPr>
          <w:p w:rsidR="00F918C3" w:rsidRPr="00C203E5" w:rsidRDefault="00F918C3" w:rsidP="002A175F">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Operating surplus</w:t>
            </w:r>
          </w:p>
        </w:tc>
        <w:tc>
          <w:tcPr>
            <w:tcW w:w="5219" w:type="dxa"/>
            <w:tcBorders>
              <w:top w:val="nil"/>
              <w:left w:val="nil"/>
              <w:bottom w:val="single" w:sz="12" w:space="0" w:color="auto"/>
              <w:right w:val="nil"/>
            </w:tcBorders>
          </w:tcPr>
          <w:p w:rsidR="00F918C3" w:rsidRPr="00C203E5" w:rsidRDefault="00F918C3" w:rsidP="007A3113">
            <w:pPr>
              <w:autoSpaceDE w:val="0"/>
              <w:autoSpaceDN w:val="0"/>
              <w:adjustRightInd w:val="0"/>
              <w:spacing w:before="0"/>
              <w:jc w:val="left"/>
              <w:rPr>
                <w:rFonts w:eastAsiaTheme="minorEastAsia" w:cs="Calibri"/>
                <w:color w:val="000000"/>
                <w:szCs w:val="20"/>
                <w:lang w:eastAsia="en-AU"/>
              </w:rPr>
            </w:pPr>
            <w:r w:rsidRPr="00C203E5">
              <w:rPr>
                <w:rFonts w:eastAsiaTheme="minorEastAsia" w:cs="Calibri"/>
                <w:color w:val="000000"/>
                <w:szCs w:val="20"/>
                <w:lang w:eastAsia="en-AU"/>
              </w:rPr>
              <w:t>A net operating surplus consistent with maintaining general government net debt at a sustainable level over the medium term.</w:t>
            </w:r>
          </w:p>
        </w:tc>
      </w:tr>
    </w:tbl>
    <w:p w:rsidR="00F918C3" w:rsidRPr="00C203E5" w:rsidRDefault="00F918C3" w:rsidP="00813E4C">
      <w:pPr>
        <w:pStyle w:val="Source"/>
      </w:pPr>
    </w:p>
    <w:p w:rsidR="00F918C3" w:rsidRPr="00C203E5" w:rsidRDefault="00F918C3" w:rsidP="00423C3D">
      <w:pPr>
        <w:pStyle w:val="Heading10"/>
        <w:rPr>
          <w:rFonts w:eastAsiaTheme="minorHAnsi"/>
        </w:rPr>
      </w:pPr>
      <w:bookmarkStart w:id="59" w:name="_Toc481160573"/>
      <w:bookmarkStart w:id="60" w:name="_Toc481246481"/>
      <w:bookmarkStart w:id="61" w:name="_Toc512629767"/>
      <w:r w:rsidRPr="00C203E5">
        <w:rPr>
          <w:rFonts w:eastAsiaTheme="minorHAnsi"/>
        </w:rPr>
        <w:t>Budget and forward estimates outlook</w:t>
      </w:r>
      <w:bookmarkEnd w:id="58"/>
      <w:bookmarkEnd w:id="59"/>
      <w:bookmarkEnd w:id="60"/>
      <w:bookmarkEnd w:id="61"/>
    </w:p>
    <w:p w:rsidR="00F918C3" w:rsidRPr="00C203E5" w:rsidRDefault="00F918C3" w:rsidP="008F6A30">
      <w:pPr>
        <w:keepNext/>
      </w:pPr>
      <w:r w:rsidRPr="00C203E5">
        <w:t xml:space="preserve">Table 4.3 summarises the operating statement for the general government sector. A comprehensive operating statement is presented in Budget Paper No. 5, Chapter 1 </w:t>
      </w:r>
      <w:r w:rsidRPr="00C203E5">
        <w:rPr>
          <w:i/>
        </w:rPr>
        <w:t>Estimated Financial Statements for the General Government Sector</w:t>
      </w:r>
      <w:r w:rsidRPr="00C203E5">
        <w:t>.</w:t>
      </w:r>
    </w:p>
    <w:p w:rsidR="00F918C3" w:rsidRPr="00083D9F" w:rsidRDefault="00F918C3" w:rsidP="00083D9F">
      <w:pPr>
        <w:pStyle w:val="TableHeading"/>
        <w:rPr>
          <w:bCs/>
          <w:lang w:val="en-US"/>
        </w:rPr>
      </w:pPr>
      <w:r w:rsidRPr="00C203E5">
        <w:t xml:space="preserve">Table 4.3: </w:t>
      </w:r>
      <w:r w:rsidRPr="00C203E5">
        <w:tab/>
        <w:t>Summary operating statement for the general government sector</w:t>
      </w:r>
      <w:r w:rsidRPr="00C203E5">
        <w:rPr>
          <w:vertAlign w:val="superscript"/>
        </w:rPr>
        <w:t>(a)</w:t>
      </w:r>
      <w:r w:rsidRPr="00C203E5">
        <w:rPr>
          <w:vertAlign w:val="superscript"/>
        </w:rPr>
        <w:tab/>
      </w:r>
      <w:r w:rsidRPr="00C203E5">
        <w:t>($</w:t>
      </w:r>
      <w:r w:rsidR="006371F3">
        <w:t> million</w:t>
      </w:r>
      <w:r w:rsidRPr="00C203E5">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F918C3" w:rsidRPr="00083D9F" w:rsidTr="00083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FFFFFF"/>
          </w:tcPr>
          <w:p w:rsidR="00F918C3" w:rsidRPr="00083D9F" w:rsidRDefault="00F918C3" w:rsidP="00083D9F">
            <w:pPr>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 xml:space="preserve"> </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083D9F">
              <w:rPr>
                <w:rFonts w:eastAsiaTheme="minorEastAsia" w:cs="Calibri"/>
                <w:iCs/>
                <w:color w:val="FFFFFF"/>
                <w:szCs w:val="17"/>
                <w:lang w:eastAsia="en-AU"/>
              </w:rPr>
              <w:t>2016-17</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83D9F">
              <w:rPr>
                <w:rFonts w:eastAsiaTheme="minorEastAsia" w:cs="Calibri"/>
                <w:iCs/>
                <w:color w:val="FFFFFF"/>
                <w:szCs w:val="18"/>
                <w:lang w:eastAsia="en-AU"/>
              </w:rPr>
              <w:t>2017-18</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83D9F">
              <w:rPr>
                <w:rFonts w:eastAsiaTheme="minorEastAsia" w:cs="Calibri"/>
                <w:iCs/>
                <w:color w:val="FFFFFF"/>
                <w:szCs w:val="18"/>
                <w:lang w:eastAsia="en-AU"/>
              </w:rPr>
              <w:t>2018-19</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83D9F">
              <w:rPr>
                <w:rFonts w:eastAsiaTheme="minorEastAsia" w:cs="Calibri"/>
                <w:iCs/>
                <w:color w:val="FFFFFF"/>
                <w:szCs w:val="18"/>
                <w:lang w:eastAsia="en-AU"/>
              </w:rPr>
              <w:t>2019-20</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83D9F">
              <w:rPr>
                <w:rFonts w:eastAsiaTheme="minorEastAsia" w:cs="Calibri"/>
                <w:iCs/>
                <w:color w:val="FFFFFF"/>
                <w:szCs w:val="18"/>
                <w:lang w:eastAsia="en-AU"/>
              </w:rPr>
              <w:t>2020-21</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83D9F">
              <w:rPr>
                <w:rFonts w:eastAsiaTheme="minorEastAsia" w:cs="Calibri"/>
                <w:iCs/>
                <w:color w:val="FFFFFF"/>
                <w:szCs w:val="18"/>
                <w:lang w:eastAsia="en-AU"/>
              </w:rPr>
              <w:t>2021-22</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rPr>
                <w:rFonts w:eastAsiaTheme="minorEastAsia" w:cs="Calibri"/>
                <w:i/>
                <w:color w:val="000000"/>
                <w:szCs w:val="17"/>
                <w:lang w:eastAsia="en-AU"/>
              </w:rPr>
            </w:pPr>
            <w:r w:rsidRPr="00083D9F">
              <w:rPr>
                <w:rFonts w:eastAsiaTheme="minorEastAsia" w:cs="Calibri"/>
                <w:i/>
                <w:color w:val="000000"/>
                <w:szCs w:val="17"/>
                <w:lang w:eastAsia="en-AU"/>
              </w:rPr>
              <w:t xml:space="preserve"> </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083D9F">
              <w:rPr>
                <w:rFonts w:eastAsiaTheme="minorEastAsia" w:cs="Calibri"/>
                <w:i/>
                <w:iCs/>
                <w:color w:val="FFFFFF"/>
                <w:szCs w:val="17"/>
                <w:lang w:eastAsia="en-AU"/>
              </w:rPr>
              <w:t>actual</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083D9F">
              <w:rPr>
                <w:rFonts w:eastAsiaTheme="minorEastAsia" w:cs="Calibri"/>
                <w:i/>
                <w:iCs/>
                <w:color w:val="FFFFFF"/>
                <w:szCs w:val="18"/>
                <w:lang w:eastAsia="en-AU"/>
              </w:rPr>
              <w:t>revised</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083D9F">
              <w:rPr>
                <w:rFonts w:eastAsiaTheme="minorEastAsia" w:cs="Calibri"/>
                <w:i/>
                <w:iCs/>
                <w:color w:val="FFFFFF"/>
                <w:szCs w:val="18"/>
                <w:lang w:eastAsia="en-AU"/>
              </w:rPr>
              <w:t>budget</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083D9F">
              <w:rPr>
                <w:rFonts w:eastAsiaTheme="minorEastAsia" w:cs="Calibri"/>
                <w:i/>
                <w:iCs/>
                <w:color w:val="FFFFFF"/>
                <w:szCs w:val="18"/>
                <w:lang w:eastAsia="en-AU"/>
              </w:rPr>
              <w:t>estimate</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083D9F">
              <w:rPr>
                <w:rFonts w:eastAsiaTheme="minorEastAsia" w:cs="Calibri"/>
                <w:i/>
                <w:iCs/>
                <w:color w:val="FFFFFF"/>
                <w:szCs w:val="18"/>
                <w:lang w:eastAsia="en-AU"/>
              </w:rPr>
              <w:t>estimate</w:t>
            </w:r>
          </w:p>
        </w:tc>
        <w:tc>
          <w:tcPr>
            <w:tcW w:w="850" w:type="dxa"/>
            <w:tcBorders>
              <w:top w:val="nil"/>
              <w:left w:val="nil"/>
              <w:bottom w:val="nil"/>
              <w:right w:val="nil"/>
            </w:tcBorders>
            <w:shd w:val="solid" w:color="000000" w:fill="FFFFFF"/>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083D9F">
              <w:rPr>
                <w:rFonts w:eastAsiaTheme="minorEastAsia" w:cs="Calibri"/>
                <w:i/>
                <w:iCs/>
                <w:color w:val="FFFFFF"/>
                <w:szCs w:val="18"/>
                <w:lang w:eastAsia="en-AU"/>
              </w:rPr>
              <w:t>estimate</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083D9F">
            <w:pPr>
              <w:keepLines w:val="0"/>
              <w:autoSpaceDE w:val="0"/>
              <w:autoSpaceDN w:val="0"/>
              <w:adjustRightInd w:val="0"/>
              <w:rPr>
                <w:rFonts w:eastAsiaTheme="minorEastAsia" w:cs="Calibri"/>
                <w:b/>
                <w:bCs/>
                <w:color w:val="000000"/>
                <w:szCs w:val="17"/>
                <w:lang w:eastAsia="en-AU"/>
              </w:rPr>
            </w:pPr>
            <w:r w:rsidRPr="00083D9F">
              <w:rPr>
                <w:rFonts w:eastAsiaTheme="minorEastAsia" w:cs="Calibri"/>
                <w:b/>
                <w:bCs/>
                <w:color w:val="000000"/>
                <w:szCs w:val="17"/>
                <w:lang w:eastAsia="en-AU"/>
              </w:rPr>
              <w:t>Revenue</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2A175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Taxation</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22 272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22 446</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24 081</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25 245</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26 074</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27 483</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 xml:space="preserve">Dividends, TER and interest </w:t>
            </w:r>
            <w:r w:rsidRPr="00083D9F">
              <w:rPr>
                <w:rFonts w:eastAsiaTheme="minorEastAsia" w:cs="Calibri"/>
                <w:color w:val="000000"/>
                <w:szCs w:val="17"/>
                <w:vertAlign w:val="superscript"/>
                <w:lang w:eastAsia="en-AU"/>
              </w:rPr>
              <w:t>(b)</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1 521</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1 638</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1 786</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1 369</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1 397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1 376</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Sales of goods and services</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6 939</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7 087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7 541</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8 275</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8 450</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8 621</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Grant revenue</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27 542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30 342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33 458</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33 107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34 002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34 778</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Other current revenue</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2 645</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2 492</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2 622</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2 622</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2 687</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2 747</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A75F06" w:rsidRDefault="00F918C3" w:rsidP="00083D9F">
            <w:pPr>
              <w:keepLines w:val="0"/>
              <w:autoSpaceDE w:val="0"/>
              <w:autoSpaceDN w:val="0"/>
              <w:adjustRightInd w:val="0"/>
              <w:rPr>
                <w:rFonts w:eastAsiaTheme="minorEastAsia" w:cs="Calibri"/>
                <w:b/>
                <w:bCs/>
                <w:color w:val="000000"/>
                <w:szCs w:val="17"/>
                <w:lang w:eastAsia="en-AU"/>
              </w:rPr>
            </w:pPr>
            <w:r w:rsidRPr="00A75F06">
              <w:rPr>
                <w:rFonts w:eastAsiaTheme="minorEastAsia" w:cs="Calibri"/>
                <w:b/>
                <w:bCs/>
                <w:color w:val="000000"/>
                <w:szCs w:val="17"/>
                <w:lang w:eastAsia="en-AU"/>
              </w:rPr>
              <w:t>Total revenue</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7"/>
                <w:lang w:eastAsia="en-AU"/>
              </w:rPr>
            </w:pPr>
            <w:r w:rsidRPr="00A75F06">
              <w:rPr>
                <w:rFonts w:eastAsiaTheme="minorEastAsia" w:cs="Calibri"/>
                <w:b/>
                <w:color w:val="000000"/>
                <w:szCs w:val="17"/>
                <w:lang w:eastAsia="en-AU"/>
              </w:rPr>
              <w:t>60 918</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64 005</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69 487</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70 617</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72 609</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75 004</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rPr>
                <w:rFonts w:eastAsiaTheme="minorEastAsia" w:cs="Calibri"/>
                <w:i/>
                <w:iCs/>
                <w:color w:val="000000"/>
                <w:szCs w:val="17"/>
                <w:lang w:eastAsia="en-AU"/>
              </w:rPr>
            </w:pPr>
            <w:r w:rsidRPr="00A75F06">
              <w:rPr>
                <w:rFonts w:eastAsiaTheme="minorEastAsia" w:cs="Calibri"/>
                <w:i/>
                <w:iCs/>
                <w:color w:val="000000"/>
                <w:szCs w:val="17"/>
                <w:lang w:eastAsia="en-AU"/>
              </w:rPr>
              <w:t xml:space="preserve">% change </w:t>
            </w:r>
            <w:r w:rsidRPr="00A75F06">
              <w:rPr>
                <w:rFonts w:eastAsiaTheme="minorEastAsia" w:cs="Calibri"/>
                <w:i/>
                <w:iCs/>
                <w:color w:val="000000"/>
                <w:szCs w:val="17"/>
                <w:vertAlign w:val="superscript"/>
                <w:lang w:eastAsia="en-AU"/>
              </w:rPr>
              <w:t>(c)</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7.1 </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6.4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8.6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1.6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2.8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3.3 </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rPr>
                <w:rFonts w:eastAsiaTheme="minorEastAsia" w:cs="Calibri"/>
                <w:b/>
                <w:bCs/>
                <w:color w:val="000000"/>
                <w:szCs w:val="17"/>
                <w:lang w:eastAsia="en-AU"/>
              </w:rPr>
            </w:pPr>
            <w:r w:rsidRPr="00083D9F">
              <w:rPr>
                <w:rFonts w:eastAsiaTheme="minorEastAsia" w:cs="Calibri"/>
                <w:b/>
                <w:bCs/>
                <w:color w:val="000000"/>
                <w:szCs w:val="17"/>
                <w:lang w:eastAsia="en-AU"/>
              </w:rPr>
              <w:t>Expenses</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 xml:space="preserve"> </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83D9F">
              <w:rPr>
                <w:rFonts w:eastAsiaTheme="minorEastAsia" w:cs="Calibri"/>
                <w:color w:val="000000"/>
                <w:lang w:eastAsia="en-AU"/>
              </w:rPr>
              <w:t xml:space="preserve"> </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Employee expenses</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21 497</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22 989</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25 562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26 354</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27 302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28 288</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2A175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 xml:space="preserve">Superannuation </w:t>
            </w:r>
            <w:r w:rsidRPr="00083D9F">
              <w:rPr>
                <w:rFonts w:eastAsiaTheme="minorEastAsia" w:cs="Calibri"/>
                <w:color w:val="000000"/>
                <w:szCs w:val="17"/>
                <w:vertAlign w:val="superscript"/>
                <w:lang w:eastAsia="en-AU"/>
              </w:rPr>
              <w:t>(d)</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3 023</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3 250</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3 338</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3 367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3 399</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3 481</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Depreciation</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2 616</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2 764</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2 876</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3 036</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3 337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3 507</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Interest expense</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2 028</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2 102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2 167</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2 211</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2 275</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2 319</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Other operating expenses</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18 575</w:t>
            </w:r>
          </w:p>
        </w:tc>
        <w:tc>
          <w:tcPr>
            <w:tcW w:w="850" w:type="dxa"/>
            <w:tcBorders>
              <w:top w:val="nil"/>
              <w:left w:val="nil"/>
              <w:bottom w:val="nil"/>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20 352</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21 264</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19 713</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19 906</w:t>
            </w:r>
          </w:p>
        </w:tc>
        <w:tc>
          <w:tcPr>
            <w:tcW w:w="850" w:type="dxa"/>
            <w:tcBorders>
              <w:top w:val="nil"/>
              <w:left w:val="nil"/>
              <w:bottom w:val="nil"/>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20 528</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shd w:val="clear" w:color="auto" w:fill="auto"/>
          </w:tcPr>
          <w:p w:rsidR="00F918C3" w:rsidRPr="00083D9F" w:rsidRDefault="00F918C3" w:rsidP="00083D9F">
            <w:pPr>
              <w:keepLines w:val="0"/>
              <w:autoSpaceDE w:val="0"/>
              <w:autoSpaceDN w:val="0"/>
              <w:adjustRightInd w:val="0"/>
              <w:rPr>
                <w:rFonts w:eastAsiaTheme="minorEastAsia" w:cs="Calibri"/>
                <w:color w:val="000000"/>
                <w:szCs w:val="17"/>
                <w:lang w:eastAsia="en-AU"/>
              </w:rPr>
            </w:pPr>
            <w:r w:rsidRPr="00083D9F">
              <w:rPr>
                <w:rFonts w:eastAsiaTheme="minorEastAsia" w:cs="Calibri"/>
                <w:color w:val="000000"/>
                <w:szCs w:val="17"/>
                <w:lang w:eastAsia="en-AU"/>
              </w:rPr>
              <w:t>Grants</w:t>
            </w:r>
            <w:r>
              <w:rPr>
                <w:rFonts w:eastAsiaTheme="minorEastAsia" w:cs="Calibri"/>
                <w:color w:val="000000"/>
                <w:szCs w:val="17"/>
                <w:lang w:eastAsia="en-AU"/>
              </w:rPr>
              <w:fldChar w:fldCharType="begin"/>
            </w:r>
            <w:r>
              <w:rPr>
                <w:rFonts w:eastAsiaTheme="minorEastAsia" w:cs="Calibri"/>
                <w:color w:val="000000"/>
                <w:szCs w:val="17"/>
                <w:lang w:eastAsia="en-AU"/>
              </w:rPr>
              <w:instrText xml:space="preserve"> XE "</w:instrText>
            </w:r>
            <w:r w:rsidRPr="00D02DCA">
              <w:instrText>Grants</w:instrText>
            </w:r>
            <w:r>
              <w:instrText>"</w:instrText>
            </w:r>
            <w:r>
              <w:rPr>
                <w:rFonts w:eastAsiaTheme="minorEastAsia" w:cs="Calibri"/>
                <w:color w:val="000000"/>
                <w:szCs w:val="17"/>
                <w:lang w:eastAsia="en-AU"/>
              </w:rPr>
              <w:instrText xml:space="preserve"> </w:instrText>
            </w:r>
            <w:r>
              <w:rPr>
                <w:rFonts w:eastAsiaTheme="minorEastAsia" w:cs="Calibri"/>
                <w:color w:val="000000"/>
                <w:szCs w:val="17"/>
                <w:lang w:eastAsia="en-AU"/>
              </w:rPr>
              <w:fldChar w:fldCharType="end"/>
            </w:r>
            <w:r w:rsidRPr="00083D9F">
              <w:rPr>
                <w:rFonts w:eastAsiaTheme="minorEastAsia" w:cs="Calibri"/>
                <w:color w:val="000000"/>
                <w:szCs w:val="17"/>
                <w:lang w:eastAsia="en-AU"/>
              </w:rPr>
              <w:t xml:space="preserve"> and other transfers</w:t>
            </w:r>
          </w:p>
        </w:tc>
        <w:tc>
          <w:tcPr>
            <w:tcW w:w="850" w:type="dxa"/>
            <w:tcBorders>
              <w:top w:val="nil"/>
              <w:left w:val="nil"/>
              <w:bottom w:val="single" w:sz="6" w:space="0" w:color="auto"/>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10 471</w:t>
            </w:r>
          </w:p>
        </w:tc>
        <w:tc>
          <w:tcPr>
            <w:tcW w:w="850" w:type="dxa"/>
            <w:tcBorders>
              <w:top w:val="nil"/>
              <w:left w:val="nil"/>
              <w:bottom w:val="single" w:sz="6" w:space="0" w:color="auto"/>
              <w:right w:val="nil"/>
            </w:tcBorders>
            <w:shd w:val="clear" w:color="auto" w:fill="auto"/>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10 506</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12 901</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13 966</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13 674</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13 991</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rPr>
                <w:rFonts w:eastAsiaTheme="minorEastAsia" w:cs="Calibri"/>
                <w:b/>
                <w:bCs/>
                <w:color w:val="000000"/>
                <w:szCs w:val="17"/>
                <w:lang w:eastAsia="en-AU"/>
              </w:rPr>
            </w:pPr>
            <w:r w:rsidRPr="00A75F06">
              <w:rPr>
                <w:rFonts w:eastAsiaTheme="minorEastAsia" w:cs="Calibri"/>
                <w:b/>
                <w:bCs/>
                <w:color w:val="000000"/>
                <w:szCs w:val="17"/>
                <w:lang w:eastAsia="en-AU"/>
              </w:rPr>
              <w:t>Total expenses</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7"/>
                <w:lang w:eastAsia="en-AU"/>
              </w:rPr>
            </w:pPr>
            <w:r w:rsidRPr="00A75F06">
              <w:rPr>
                <w:rFonts w:eastAsiaTheme="minorEastAsia" w:cs="Calibri"/>
                <w:b/>
                <w:color w:val="000000"/>
                <w:szCs w:val="17"/>
                <w:lang w:eastAsia="en-AU"/>
              </w:rPr>
              <w:t>58 210</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61 963</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68 108</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68 646</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69 894</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72 114</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rPr>
                <w:rFonts w:eastAsiaTheme="minorEastAsia" w:cs="Calibri"/>
                <w:i/>
                <w:iCs/>
                <w:color w:val="000000"/>
                <w:szCs w:val="17"/>
                <w:lang w:eastAsia="en-AU"/>
              </w:rPr>
            </w:pPr>
            <w:r w:rsidRPr="00A75F06">
              <w:rPr>
                <w:rFonts w:eastAsiaTheme="minorEastAsia" w:cs="Calibri"/>
                <w:i/>
                <w:iCs/>
                <w:color w:val="000000"/>
                <w:szCs w:val="17"/>
                <w:lang w:eastAsia="en-AU"/>
              </w:rPr>
              <w:t>% change</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7.7 </w:t>
            </w:r>
          </w:p>
        </w:tc>
        <w:tc>
          <w:tcPr>
            <w:tcW w:w="850" w:type="dxa"/>
            <w:tcBorders>
              <w:top w:val="nil"/>
              <w:left w:val="nil"/>
              <w:bottom w:val="nil"/>
              <w:right w:val="nil"/>
            </w:tcBorders>
            <w:shd w:val="clear" w:color="auto" w:fill="auto"/>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6.4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9.9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0.8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1.8 </w:t>
            </w:r>
          </w:p>
        </w:tc>
        <w:tc>
          <w:tcPr>
            <w:tcW w:w="850" w:type="dxa"/>
            <w:tcBorders>
              <w:top w:val="nil"/>
              <w:left w:val="nil"/>
              <w:bottom w:val="nil"/>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i/>
              </w:rPr>
            </w:pPr>
            <w:r w:rsidRPr="00A75F06">
              <w:rPr>
                <w:rFonts w:eastAsiaTheme="minorEastAsia" w:cs="Calibri"/>
                <w:i/>
                <w:color w:val="000000"/>
                <w:szCs w:val="17"/>
                <w:lang w:eastAsia="en-AU"/>
              </w:rPr>
              <w:t xml:space="preserve">3.2 </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A75F06" w:rsidRDefault="00F918C3" w:rsidP="00083D9F">
            <w:pPr>
              <w:keepLines w:val="0"/>
              <w:autoSpaceDE w:val="0"/>
              <w:autoSpaceDN w:val="0"/>
              <w:adjustRightInd w:val="0"/>
              <w:rPr>
                <w:rFonts w:eastAsiaTheme="minorEastAsia" w:cs="Calibri"/>
                <w:b/>
                <w:bCs/>
                <w:color w:val="000000"/>
                <w:szCs w:val="17"/>
                <w:lang w:eastAsia="en-AU"/>
              </w:rPr>
            </w:pPr>
            <w:r w:rsidRPr="00A75F06">
              <w:rPr>
                <w:rFonts w:eastAsiaTheme="minorEastAsia" w:cs="Calibri"/>
                <w:b/>
                <w:bCs/>
                <w:color w:val="000000"/>
                <w:szCs w:val="17"/>
                <w:lang w:eastAsia="en-AU"/>
              </w:rPr>
              <w:t>Net result from transactions</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7"/>
                <w:lang w:eastAsia="en-AU"/>
              </w:rPr>
            </w:pPr>
            <w:r w:rsidRPr="00A75F06">
              <w:rPr>
                <w:rFonts w:eastAsiaTheme="minorEastAsia" w:cs="Calibri"/>
                <w:b/>
                <w:color w:val="000000"/>
                <w:szCs w:val="17"/>
                <w:lang w:eastAsia="en-AU"/>
              </w:rPr>
              <w:t>2 709</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2 042</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1 380</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1 971</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2 715</w:t>
            </w:r>
          </w:p>
        </w:tc>
        <w:tc>
          <w:tcPr>
            <w:tcW w:w="850" w:type="dxa"/>
            <w:tcBorders>
              <w:top w:val="nil"/>
              <w:left w:val="nil"/>
              <w:bottom w:val="single" w:sz="6" w:space="0" w:color="auto"/>
              <w:right w:val="nil"/>
            </w:tcBorders>
          </w:tcPr>
          <w:p w:rsidR="00F918C3" w:rsidRPr="00A75F06"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8"/>
                <w:lang w:eastAsia="en-AU"/>
              </w:rPr>
            </w:pPr>
            <w:r w:rsidRPr="00A75F06">
              <w:rPr>
                <w:rFonts w:eastAsiaTheme="minorEastAsia" w:cs="Calibri"/>
                <w:b/>
                <w:color w:val="000000"/>
                <w:szCs w:val="18"/>
                <w:lang w:eastAsia="en-AU"/>
              </w:rPr>
              <w:t>2 891</w:t>
            </w:r>
          </w:p>
        </w:tc>
      </w:tr>
      <w:tr w:rsidR="00F918C3" w:rsidRPr="00083D9F" w:rsidTr="00083D9F">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083D9F" w:rsidRDefault="00F918C3" w:rsidP="00083D9F">
            <w:pPr>
              <w:keepLines w:val="0"/>
              <w:autoSpaceDE w:val="0"/>
              <w:autoSpaceDN w:val="0"/>
              <w:adjustRightInd w:val="0"/>
              <w:rPr>
                <w:rFonts w:eastAsiaTheme="minorEastAsia" w:cs="Calibri"/>
                <w:b/>
                <w:bCs/>
                <w:color w:val="000000"/>
                <w:szCs w:val="17"/>
                <w:lang w:eastAsia="en-AU"/>
              </w:rPr>
            </w:pPr>
            <w:r w:rsidRPr="00083D9F">
              <w:rPr>
                <w:rFonts w:eastAsiaTheme="minorEastAsia" w:cs="Calibri"/>
                <w:b/>
                <w:bCs/>
                <w:color w:val="000000"/>
                <w:szCs w:val="17"/>
                <w:lang w:eastAsia="en-AU"/>
              </w:rPr>
              <w:t xml:space="preserve">Total other economic flows included in net result </w:t>
            </w:r>
            <w:r w:rsidRPr="00083D9F">
              <w:rPr>
                <w:rFonts w:eastAsiaTheme="minorEastAsia" w:cs="Calibri"/>
                <w:b/>
                <w:bCs/>
                <w:color w:val="000000"/>
                <w:szCs w:val="17"/>
                <w:vertAlign w:val="superscript"/>
                <w:lang w:eastAsia="en-AU"/>
              </w:rPr>
              <w:t>(e)</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(150)</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(694)</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(242)</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(83)</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(202)</w:t>
            </w:r>
          </w:p>
        </w:tc>
        <w:tc>
          <w:tcPr>
            <w:tcW w:w="850" w:type="dxa"/>
            <w:tcBorders>
              <w:top w:val="nil"/>
              <w:left w:val="nil"/>
              <w:bottom w:val="single" w:sz="6" w:space="0" w:color="auto"/>
              <w:right w:val="nil"/>
            </w:tcBorders>
          </w:tcPr>
          <w:p w:rsidR="00F918C3" w:rsidRPr="00083D9F" w:rsidRDefault="00F918C3" w:rsidP="00083D9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083D9F">
              <w:rPr>
                <w:rFonts w:eastAsiaTheme="minorEastAsia" w:cs="Calibri"/>
                <w:b/>
                <w:bCs/>
                <w:color w:val="000000"/>
                <w:szCs w:val="17"/>
                <w:lang w:eastAsia="en-AU"/>
              </w:rPr>
              <w:t xml:space="preserve"> (226)</w:t>
            </w:r>
          </w:p>
        </w:tc>
      </w:tr>
      <w:tr w:rsidR="00F918C3" w:rsidRPr="00083D9F" w:rsidTr="00083D9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F918C3" w:rsidRPr="00083D9F" w:rsidRDefault="00F918C3" w:rsidP="00083D9F">
            <w:pPr>
              <w:keepLines w:val="0"/>
              <w:autoSpaceDE w:val="0"/>
              <w:autoSpaceDN w:val="0"/>
              <w:adjustRightInd w:val="0"/>
              <w:rPr>
                <w:rFonts w:eastAsiaTheme="minorEastAsia" w:cs="Calibri"/>
                <w:bCs/>
                <w:color w:val="000000"/>
                <w:szCs w:val="17"/>
                <w:lang w:eastAsia="en-AU"/>
              </w:rPr>
            </w:pPr>
            <w:r w:rsidRPr="00083D9F">
              <w:rPr>
                <w:rFonts w:eastAsiaTheme="minorEastAsia" w:cs="Calibri"/>
                <w:bCs/>
                <w:color w:val="000000"/>
                <w:szCs w:val="17"/>
                <w:lang w:eastAsia="en-AU"/>
              </w:rPr>
              <w:t>Net result</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083D9F">
              <w:rPr>
                <w:rFonts w:eastAsiaTheme="minorEastAsia" w:cs="Calibri"/>
                <w:color w:val="000000"/>
                <w:szCs w:val="17"/>
                <w:lang w:eastAsia="en-AU"/>
              </w:rPr>
              <w:t>2 559</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1 349</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1 137</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1 888</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2 514</w:t>
            </w:r>
          </w:p>
        </w:tc>
        <w:tc>
          <w:tcPr>
            <w:tcW w:w="850" w:type="dxa"/>
            <w:tcBorders>
              <w:top w:val="single" w:sz="6" w:space="0" w:color="auto"/>
              <w:bottom w:val="single" w:sz="12" w:space="0" w:color="auto"/>
            </w:tcBorders>
          </w:tcPr>
          <w:p w:rsidR="00F918C3" w:rsidRPr="00083D9F" w:rsidRDefault="00F918C3" w:rsidP="00083D9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83D9F">
              <w:rPr>
                <w:rFonts w:eastAsiaTheme="minorEastAsia" w:cs="Calibri"/>
                <w:color w:val="000000"/>
                <w:szCs w:val="18"/>
                <w:lang w:eastAsia="en-AU"/>
              </w:rPr>
              <w:t>2 665</w:t>
            </w:r>
          </w:p>
        </w:tc>
      </w:tr>
    </w:tbl>
    <w:p w:rsidR="00F918C3" w:rsidRPr="00C203E5" w:rsidRDefault="00F918C3" w:rsidP="006E2344">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 xml:space="preserve">(a) </w:t>
      </w:r>
      <w:r w:rsidRPr="00C203E5">
        <w:tab/>
        <w:t>Figures in this table are subject to rounding to the nearest</w:t>
      </w:r>
      <w:r w:rsidR="006371F3">
        <w:t> million</w:t>
      </w:r>
      <w:r w:rsidRPr="00C203E5">
        <w:t xml:space="preserve"> and may not add up to totals.</w:t>
      </w:r>
    </w:p>
    <w:p w:rsidR="00F918C3" w:rsidRPr="00C203E5" w:rsidRDefault="00F918C3" w:rsidP="009A4EA4">
      <w:pPr>
        <w:pStyle w:val="Note"/>
      </w:pPr>
      <w:r w:rsidRPr="00C203E5">
        <w:t xml:space="preserve">(b) </w:t>
      </w:r>
      <w:r w:rsidRPr="00C203E5">
        <w:tab/>
        <w:t>Comprises dividends, income tax and rate equivalent revenue and interest.</w:t>
      </w:r>
    </w:p>
    <w:p w:rsidR="00F918C3" w:rsidRPr="00C203E5" w:rsidRDefault="00F918C3" w:rsidP="009A4EA4">
      <w:pPr>
        <w:pStyle w:val="Note"/>
      </w:pPr>
      <w:r w:rsidRPr="00C203E5">
        <w:t xml:space="preserve">(c) </w:t>
      </w:r>
      <w:r w:rsidRPr="00C203E5">
        <w:tab/>
        <w:t>The percentage changes in 2016-17 and 2017-18 refer to the previous years’ actual figures. These are adjusted to remove the one-off receipt of revenue associated with the High Court of Australia's decision in favour of the State relating to the Tatts Group Limited's 'Gambling Licences' proceedings in 2015-16 and the upfront payment of the Port Licence Fee in 2016-17.</w:t>
      </w:r>
    </w:p>
    <w:p w:rsidR="00F918C3" w:rsidRPr="00C203E5" w:rsidRDefault="00F918C3" w:rsidP="00423C3D">
      <w:pPr>
        <w:pStyle w:val="Note"/>
      </w:pPr>
      <w:r w:rsidRPr="00C203E5">
        <w:t>(d)</w:t>
      </w:r>
      <w:r w:rsidRPr="00C203E5">
        <w:tab/>
        <w:t>Comprises superannuation interest expense and other superannuation expenses.</w:t>
      </w:r>
    </w:p>
    <w:p w:rsidR="00F918C3" w:rsidRPr="00C203E5" w:rsidRDefault="00F918C3" w:rsidP="00542C03">
      <w:pPr>
        <w:pStyle w:val="Note"/>
      </w:pPr>
      <w:r w:rsidRPr="00C203E5">
        <w:t xml:space="preserve">(e) </w:t>
      </w:r>
      <w:r w:rsidRPr="00C203E5">
        <w:tab/>
        <w:t>This typically includes gains and losses from the disposal of non</w:t>
      </w:r>
      <w:r w:rsidRPr="00C203E5">
        <w:noBreakHyphen/>
        <w:t>financial assets, adjustments for bad and doubtful debts and revaluations of financial assets and liabilities.</w:t>
      </w:r>
    </w:p>
    <w:p w:rsidR="00F918C3" w:rsidRPr="00C203E5" w:rsidRDefault="00F918C3" w:rsidP="00423C3D">
      <w:pPr>
        <w:pStyle w:val="Heading20"/>
        <w:rPr>
          <w:rFonts w:eastAsiaTheme="minorHAnsi"/>
        </w:rPr>
      </w:pPr>
      <w:r w:rsidRPr="00C203E5">
        <w:rPr>
          <w:rFonts w:eastAsiaTheme="minorHAnsi"/>
        </w:rPr>
        <w:t>Revenue outlook</w:t>
      </w:r>
    </w:p>
    <w:p w:rsidR="00F918C3" w:rsidRPr="00C203E5" w:rsidRDefault="00F918C3" w:rsidP="00E17B52">
      <w:r w:rsidRPr="00C203E5">
        <w:t xml:space="preserve">As outlined in Chapter 2 </w:t>
      </w:r>
      <w:r w:rsidRPr="00C203E5">
        <w:rPr>
          <w:i/>
        </w:rPr>
        <w:t>Economic Outlook</w:t>
      </w:r>
      <w:r w:rsidRPr="00C203E5">
        <w:t>, Victoria’s economy is strong, expanding at an above</w:t>
      </w:r>
      <w:r w:rsidRPr="00C203E5">
        <w:noBreakHyphen/>
        <w:t>trend pace in recent years and supporting growth in employment. The outlook is positive with economic growth</w:t>
      </w:r>
      <w:r>
        <w:fldChar w:fldCharType="begin"/>
      </w:r>
      <w:r>
        <w:instrText xml:space="preserve"> XE "</w:instrText>
      </w:r>
      <w:r w:rsidRPr="00D02DCA">
        <w:instrText>Economic growth</w:instrText>
      </w:r>
      <w:r>
        <w:instrText xml:space="preserve">" </w:instrText>
      </w:r>
      <w:r>
        <w:fldChar w:fldCharType="end"/>
      </w:r>
      <w:r w:rsidRPr="00C203E5">
        <w:t xml:space="preserve"> forecast to remain robust.</w:t>
      </w:r>
    </w:p>
    <w:p w:rsidR="00F918C3" w:rsidRPr="00C203E5" w:rsidRDefault="00F918C3" w:rsidP="00E17B52">
      <w:r>
        <w:t>The g</w:t>
      </w:r>
      <w:r w:rsidRPr="00C203E5">
        <w:t>eneral government sector is expected to collect $69.5</w:t>
      </w:r>
      <w:r w:rsidR="006371F3">
        <w:t> billion</w:t>
      </w:r>
      <w:r w:rsidRPr="00C203E5">
        <w:t xml:space="preserve"> in revenue in 2018</w:t>
      </w:r>
      <w:r w:rsidRPr="00C203E5">
        <w:noBreakHyphen/>
        <w:t>19, with revenue growth projected to average 4.0 per cent a year over the budget and forward estimates. The State’s strong economy and positive labour market conditions are expected to continue to underpin solid growth in tax revenue.</w:t>
      </w:r>
    </w:p>
    <w:p w:rsidR="00F918C3" w:rsidRPr="00C203E5" w:rsidRDefault="00F918C3" w:rsidP="00423C3D">
      <w:pPr>
        <w:pStyle w:val="Heading30"/>
        <w:rPr>
          <w:rFonts w:eastAsiaTheme="minorHAnsi"/>
        </w:rPr>
      </w:pPr>
      <w:r w:rsidRPr="00C203E5">
        <w:rPr>
          <w:rFonts w:eastAsiaTheme="minorHAnsi"/>
        </w:rPr>
        <w:t>Taxation</w:t>
      </w:r>
    </w:p>
    <w:p w:rsidR="00F918C3" w:rsidRPr="00C203E5" w:rsidRDefault="00F918C3" w:rsidP="00E17B52">
      <w:r w:rsidRPr="00C203E5">
        <w:t xml:space="preserve">State taxation revenue </w:t>
      </w:r>
      <w:r>
        <w:fldChar w:fldCharType="begin"/>
      </w:r>
      <w:r>
        <w:instrText xml:space="preserve"> XE "</w:instrText>
      </w:r>
      <w:r w:rsidRPr="00D02DCA">
        <w:instrText>Taxation</w:instrText>
      </w:r>
      <w:r>
        <w:instrText xml:space="preserve">:Revenue" </w:instrText>
      </w:r>
      <w:r>
        <w:fldChar w:fldCharType="end"/>
      </w:r>
      <w:r w:rsidRPr="00C203E5">
        <w:t>is expected to grow to $24.1</w:t>
      </w:r>
      <w:r w:rsidR="006371F3">
        <w:t> billion</w:t>
      </w:r>
      <w:r w:rsidRPr="00C203E5">
        <w:t xml:space="preserve"> in 2018</w:t>
      </w:r>
      <w:r w:rsidRPr="00C203E5">
        <w:noBreakHyphen/>
        <w:t>19, with growth expected to average 4.5 per cent a year over the forward estimates. Revenue will be supported by steady growth in the economy. Specifically:</w:t>
      </w:r>
    </w:p>
    <w:p w:rsidR="00F918C3" w:rsidRPr="00C203E5" w:rsidRDefault="00F918C3" w:rsidP="005E7A0A">
      <w:pPr>
        <w:pStyle w:val="ListBullet"/>
        <w:numPr>
          <w:ilvl w:val="0"/>
          <w:numId w:val="26"/>
        </w:numPr>
      </w:pPr>
      <w:r w:rsidRPr="00C203E5">
        <w:t>land transfer duty</w:t>
      </w:r>
      <w:r>
        <w:fldChar w:fldCharType="begin"/>
      </w:r>
      <w:r>
        <w:instrText xml:space="preserve"> XE "</w:instrText>
      </w:r>
      <w:r w:rsidRPr="00D02DCA">
        <w:instrText>Taxation</w:instrText>
      </w:r>
      <w:r>
        <w:instrText xml:space="preserve">:Land transfer duty" </w:instrText>
      </w:r>
      <w:r>
        <w:fldChar w:fldCharType="end"/>
      </w:r>
      <w:r w:rsidRPr="00C203E5">
        <w:t xml:space="preserve"> revenue is expected to grow by 3.8 per cent to $7.1</w:t>
      </w:r>
      <w:r w:rsidR="006371F3">
        <w:t> billion</w:t>
      </w:r>
      <w:r w:rsidRPr="00C203E5">
        <w:t xml:space="preserve"> in 2018</w:t>
      </w:r>
      <w:r w:rsidRPr="00C203E5">
        <w:noBreakHyphen/>
        <w:t xml:space="preserve">19, and is expected to increase by 3.2 per cent a year on average over the forward estimates. This </w:t>
      </w:r>
      <w:r w:rsidRPr="002D649A">
        <w:t>forecast represents a moderation in growth of land transfer duty, and is in line with the outlook for the property market, following estimated growth</w:t>
      </w:r>
      <w:r w:rsidRPr="00C203E5">
        <w:t xml:space="preserve"> of 11.0</w:t>
      </w:r>
      <w:r>
        <w:t> per </w:t>
      </w:r>
      <w:r w:rsidRPr="00C203E5">
        <w:t>cent in 2017</w:t>
      </w:r>
      <w:r w:rsidRPr="00C203E5">
        <w:noBreakHyphen/>
        <w:t>18;</w:t>
      </w:r>
    </w:p>
    <w:p w:rsidR="00F918C3" w:rsidRPr="00C203E5" w:rsidRDefault="00F918C3" w:rsidP="005E7A0A">
      <w:pPr>
        <w:pStyle w:val="ListBullet"/>
        <w:numPr>
          <w:ilvl w:val="0"/>
          <w:numId w:val="26"/>
        </w:numPr>
      </w:pPr>
      <w:r w:rsidRPr="00C203E5">
        <w:t xml:space="preserve">land tax </w:t>
      </w:r>
      <w:r>
        <w:fldChar w:fldCharType="begin"/>
      </w:r>
      <w:r>
        <w:instrText xml:space="preserve"> XE "</w:instrText>
      </w:r>
      <w:r w:rsidRPr="00D02DCA">
        <w:instrText>Taxation</w:instrText>
      </w:r>
      <w:r>
        <w:instrText xml:space="preserve">:Land tax" </w:instrText>
      </w:r>
      <w:r>
        <w:fldChar w:fldCharType="end"/>
      </w:r>
      <w:r w:rsidRPr="00C203E5">
        <w:t>revenue is forecast to grow to $3.1</w:t>
      </w:r>
      <w:r w:rsidR="006371F3">
        <w:t> billion</w:t>
      </w:r>
      <w:r w:rsidRPr="00C203E5">
        <w:t xml:space="preserve"> in 2018</w:t>
      </w:r>
      <w:r w:rsidRPr="00C203E5">
        <w:noBreakHyphen/>
        <w:t xml:space="preserve">19, largely as a result of the biennial land revaluation that is currently underway. Land tax revenue is expected to grow by an average of 7.8 per cent over the forward estimates. This latest revaluation cycle covers the period from 1 January 2016 to 31 December 2017. As announced in the </w:t>
      </w:r>
      <w:r w:rsidRPr="00C203E5">
        <w:rPr>
          <w:i/>
        </w:rPr>
        <w:t>2017-18 Budget</w:t>
      </w:r>
      <w:r w:rsidRPr="00C203E5">
        <w:t>, from 1 July 2018, the Government will centralise land valuations with the Valuer</w:t>
      </w:r>
      <w:r w:rsidRPr="00C203E5">
        <w:noBreakHyphen/>
        <w:t>General of Victoria (VGV) and introduce annual valuations. This will smooth the volatility in land tax revenues associated with biennial valuations;</w:t>
      </w:r>
    </w:p>
    <w:p w:rsidR="00F918C3" w:rsidRPr="00C203E5" w:rsidRDefault="00F918C3" w:rsidP="005E7A0A">
      <w:pPr>
        <w:pStyle w:val="ListBullet"/>
        <w:numPr>
          <w:ilvl w:val="0"/>
          <w:numId w:val="26"/>
        </w:numPr>
      </w:pPr>
      <w:r w:rsidRPr="00C203E5">
        <w:t>payroll tax revenue is expected to grow by 4.1 per cent to $6.2</w:t>
      </w:r>
      <w:r w:rsidR="006371F3">
        <w:t> billion</w:t>
      </w:r>
      <w:r w:rsidRPr="00C203E5">
        <w:t xml:space="preserve"> in 2018</w:t>
      </w:r>
      <w:r w:rsidRPr="00C203E5">
        <w:noBreakHyphen/>
        <w:t>19 and by an average of 5.3 per cent a year over the forward estimates, supported by sustained growth in employment and wages;</w:t>
      </w:r>
    </w:p>
    <w:p w:rsidR="00F918C3" w:rsidRPr="00C203E5" w:rsidRDefault="00F918C3" w:rsidP="005E7A0A">
      <w:pPr>
        <w:pStyle w:val="ListBullet"/>
        <w:numPr>
          <w:ilvl w:val="0"/>
          <w:numId w:val="26"/>
        </w:numPr>
      </w:pPr>
      <w:r w:rsidRPr="00C203E5">
        <w:t>gambling tax</w:t>
      </w:r>
      <w:r w:rsidR="008C27C4">
        <w:fldChar w:fldCharType="begin"/>
      </w:r>
      <w:r w:rsidR="008C27C4">
        <w:instrText xml:space="preserve"> XE "</w:instrText>
      </w:r>
      <w:r w:rsidR="008C27C4" w:rsidRPr="0024442A">
        <w:instrText>Taxation:Gambling</w:instrText>
      </w:r>
      <w:r w:rsidR="008C27C4">
        <w:instrText xml:space="preserve">" </w:instrText>
      </w:r>
      <w:r w:rsidR="008C27C4">
        <w:fldChar w:fldCharType="end"/>
      </w:r>
      <w:r w:rsidRPr="00C203E5">
        <w:t xml:space="preserve"> revenue is forecast to grow by 1.9 per cent to $1.9</w:t>
      </w:r>
      <w:r w:rsidR="006371F3">
        <w:t> billion</w:t>
      </w:r>
      <w:r w:rsidRPr="00C203E5">
        <w:t xml:space="preserve"> in 2018</w:t>
      </w:r>
      <w:r w:rsidRPr="00C203E5">
        <w:noBreakHyphen/>
        <w:t>19 and by an average of 1.6 per cent a year over the forward estimates. This rate of growth in gambling revenue is broadly similar to that of recent years;</w:t>
      </w:r>
    </w:p>
    <w:p w:rsidR="00F918C3" w:rsidRPr="00C203E5" w:rsidRDefault="00F918C3" w:rsidP="005E7A0A">
      <w:pPr>
        <w:pStyle w:val="ListBullet"/>
        <w:numPr>
          <w:ilvl w:val="0"/>
          <w:numId w:val="26"/>
        </w:numPr>
      </w:pPr>
      <w:r w:rsidRPr="00C203E5">
        <w:t>insurance tax revenue is expected to grow by 8.1 per cent to $1.4</w:t>
      </w:r>
      <w:r w:rsidR="006371F3">
        <w:t> billion</w:t>
      </w:r>
      <w:r w:rsidRPr="00C203E5">
        <w:t xml:space="preserve"> in 2018</w:t>
      </w:r>
      <w:r w:rsidRPr="00C203E5">
        <w:noBreakHyphen/>
        <w:t>19 and by 6.4 per cent a year on average over the forward estimates; and</w:t>
      </w:r>
    </w:p>
    <w:p w:rsidR="00F918C3" w:rsidRPr="00C203E5" w:rsidRDefault="00F918C3" w:rsidP="005E7A0A">
      <w:pPr>
        <w:pStyle w:val="ListBullet"/>
        <w:numPr>
          <w:ilvl w:val="0"/>
          <w:numId w:val="26"/>
        </w:numPr>
      </w:pPr>
      <w:r w:rsidRPr="00C203E5">
        <w:t>motor vehicle taxes</w:t>
      </w:r>
      <w:r w:rsidR="008C27C4">
        <w:fldChar w:fldCharType="begin"/>
      </w:r>
      <w:r w:rsidR="008C27C4">
        <w:instrText xml:space="preserve"> XE "</w:instrText>
      </w:r>
      <w:r w:rsidR="008C27C4" w:rsidRPr="004F65E6">
        <w:instrText>Taxation:Motor vehicle</w:instrText>
      </w:r>
      <w:r w:rsidR="008C27C4">
        <w:instrText xml:space="preserve">" </w:instrText>
      </w:r>
      <w:r w:rsidR="008C27C4">
        <w:fldChar w:fldCharType="end"/>
      </w:r>
      <w:r w:rsidRPr="00C203E5">
        <w:t xml:space="preserve"> are expected to grow by 13.9 per cent to $2.7</w:t>
      </w:r>
      <w:r w:rsidR="006371F3">
        <w:t> billion</w:t>
      </w:r>
      <w:r w:rsidRPr="00C203E5">
        <w:t xml:space="preserve"> in 2018</w:t>
      </w:r>
      <w:r w:rsidRPr="00C203E5">
        <w:noBreakHyphen/>
        <w:t>19 and by an average of 4.7 per cent a year over the forward estimates. Continued population growth in Victoria is anticipated to sustain steady growth in motor vehicle revenue over the forward estimates.</w:t>
      </w:r>
    </w:p>
    <w:p w:rsidR="00F918C3" w:rsidRPr="00C203E5" w:rsidRDefault="00F918C3" w:rsidP="00423C3D">
      <w:pPr>
        <w:pStyle w:val="Heading30"/>
        <w:rPr>
          <w:rFonts w:eastAsiaTheme="minorHAnsi"/>
        </w:rPr>
      </w:pPr>
      <w:r w:rsidRPr="00C203E5">
        <w:rPr>
          <w:rFonts w:eastAsiaTheme="minorHAnsi"/>
        </w:rPr>
        <w:t>Dividends, income tax equivalent and interest</w:t>
      </w:r>
    </w:p>
    <w:p w:rsidR="00F918C3" w:rsidRPr="00C203E5" w:rsidRDefault="00F918C3" w:rsidP="00E17B52">
      <w:r w:rsidRPr="00C203E5">
        <w:t>Dividend and income tax equivalent (ITE) revenue is projected to be $922</w:t>
      </w:r>
      <w:r w:rsidR="006371F3">
        <w:t> million</w:t>
      </w:r>
      <w:r w:rsidRPr="00C203E5">
        <w:t xml:space="preserve"> in 2018</w:t>
      </w:r>
      <w:r w:rsidRPr="00C203E5">
        <w:noBreakHyphen/>
        <w:t>19 and decrease by an average of 15.7 per cent a year over the following three years. The increase in 2018</w:t>
      </w:r>
      <w:r w:rsidRPr="00C203E5">
        <w:noBreakHyphen/>
        <w:t>19, compared to 2017</w:t>
      </w:r>
      <w:r w:rsidRPr="00C203E5">
        <w:noBreakHyphen/>
        <w:t>18 is due to dividends received in 2018</w:t>
      </w:r>
      <w:r w:rsidRPr="00C203E5">
        <w:noBreakHyphen/>
        <w:t>19 from the Victorian Managed Insurance Authority.</w:t>
      </w:r>
    </w:p>
    <w:p w:rsidR="00F918C3" w:rsidRPr="00C203E5" w:rsidRDefault="00F918C3" w:rsidP="00E17B52">
      <w:r w:rsidRPr="00C203E5">
        <w:t>Interest income is earned on holdings of cash and deposits. Total interest income is expected to be $864</w:t>
      </w:r>
      <w:r w:rsidR="006371F3">
        <w:t> million</w:t>
      </w:r>
      <w:r w:rsidRPr="00C203E5">
        <w:t xml:space="preserve"> in 2018</w:t>
      </w:r>
      <w:r w:rsidRPr="00C203E5">
        <w:noBreakHyphen/>
        <w:t>19, and to decline by an average of 1.6 per cent a year over the following three years as money is drawn down from the Victorian Transport Fund</w:t>
      </w:r>
      <w:r>
        <w:fldChar w:fldCharType="begin"/>
      </w:r>
      <w:r>
        <w:instrText xml:space="preserve"> XE "</w:instrText>
      </w:r>
      <w:r w:rsidRPr="00D02DCA">
        <w:instrText>Victorian Transport Fund</w:instrText>
      </w:r>
      <w:r>
        <w:instrText xml:space="preserve">" </w:instrText>
      </w:r>
      <w:r>
        <w:fldChar w:fldCharType="end"/>
      </w:r>
      <w:r w:rsidRPr="00C203E5">
        <w:t xml:space="preserve"> to fund infrastructure.</w:t>
      </w:r>
    </w:p>
    <w:p w:rsidR="00F918C3" w:rsidRPr="00C203E5" w:rsidRDefault="00F918C3" w:rsidP="00423C3D">
      <w:pPr>
        <w:pStyle w:val="Heading30"/>
        <w:rPr>
          <w:rFonts w:eastAsiaTheme="minorHAnsi"/>
        </w:rPr>
      </w:pPr>
      <w:r w:rsidRPr="00C203E5">
        <w:rPr>
          <w:rFonts w:eastAsiaTheme="minorHAnsi"/>
        </w:rPr>
        <w:t>Sales of goods and services</w:t>
      </w:r>
    </w:p>
    <w:p w:rsidR="00F918C3" w:rsidRPr="00C203E5" w:rsidRDefault="00F918C3" w:rsidP="00423C3D">
      <w:r w:rsidRPr="00C203E5">
        <w:t>Revenue from the sales of goods and services is expected to grow by 6.4 per cent in 2018</w:t>
      </w:r>
      <w:r w:rsidRPr="00C203E5">
        <w:noBreakHyphen/>
        <w:t>19 to $7.5</w:t>
      </w:r>
      <w:r w:rsidR="006371F3">
        <w:t> billion</w:t>
      </w:r>
      <w:r w:rsidRPr="00C203E5">
        <w:t>. Over the forward estimates, growth is expected to average 4.6 per cent a year. This growth largely reflects an increase in the capital asset charge revenue from VicTrack associated with an increase in its asset base, an increase in TAFE</w:t>
      </w:r>
      <w:r w:rsidR="008C27C4">
        <w:fldChar w:fldCharType="begin"/>
      </w:r>
      <w:r w:rsidR="008C27C4">
        <w:instrText xml:space="preserve"> XE "</w:instrText>
      </w:r>
      <w:r w:rsidR="008C27C4" w:rsidRPr="008F218F">
        <w:instrText>TAFE</w:instrText>
      </w:r>
      <w:r w:rsidR="008C27C4">
        <w:instrText xml:space="preserve">" </w:instrText>
      </w:r>
      <w:r w:rsidR="008C27C4">
        <w:fldChar w:fldCharType="end"/>
      </w:r>
      <w:r w:rsidRPr="00C203E5">
        <w:t xml:space="preserve"> fees for service and an increase in land registration fees.</w:t>
      </w:r>
    </w:p>
    <w:p w:rsidR="00F918C3" w:rsidRPr="00C203E5" w:rsidRDefault="00F918C3" w:rsidP="00423C3D">
      <w:pPr>
        <w:pStyle w:val="Heading30"/>
      </w:pPr>
      <w:r w:rsidRPr="00C203E5">
        <w:rPr>
          <w:rFonts w:eastAsiaTheme="minorHAnsi"/>
        </w:rPr>
        <w:t>Grants</w:t>
      </w:r>
      <w:r>
        <w:rPr>
          <w:rFonts w:eastAsiaTheme="minorHAnsi"/>
        </w:rPr>
        <w:fldChar w:fldCharType="begin"/>
      </w:r>
      <w:r>
        <w:rPr>
          <w:rFonts w:eastAsiaTheme="minorHAnsi"/>
        </w:rPr>
        <w:instrText xml:space="preserve"> XE "</w:instrText>
      </w:r>
      <w:r w:rsidRPr="00D02DCA">
        <w:instrText>Grants</w:instrText>
      </w:r>
      <w:r>
        <w:instrText>"</w:instrText>
      </w:r>
      <w:r>
        <w:rPr>
          <w:rFonts w:eastAsiaTheme="minorHAnsi"/>
        </w:rPr>
        <w:instrText xml:space="preserve"> </w:instrText>
      </w:r>
      <w:r>
        <w:rPr>
          <w:rFonts w:eastAsiaTheme="minorHAnsi"/>
        </w:rPr>
        <w:fldChar w:fldCharType="end"/>
      </w:r>
    </w:p>
    <w:p w:rsidR="00F918C3" w:rsidRPr="00C203E5" w:rsidRDefault="00F918C3" w:rsidP="00FB3951">
      <w:r w:rsidRPr="00C203E5">
        <w:t>Total grants revenue is expected to grow by 10.3 per cent to $33.5</w:t>
      </w:r>
      <w:r w:rsidR="006371F3">
        <w:t> billion</w:t>
      </w:r>
      <w:r w:rsidRPr="00C203E5">
        <w:t xml:space="preserve"> in 2018</w:t>
      </w:r>
      <w:r w:rsidRPr="00C203E5">
        <w:noBreakHyphen/>
        <w:t>19 with growth easing to 1.3 per cent a year on average over the forward estimates. The growth in 2018</w:t>
      </w:r>
      <w:r w:rsidRPr="00C203E5">
        <w:noBreakHyphen/>
        <w:t>19 is mostly driven by GST revenue</w:t>
      </w:r>
      <w:r>
        <w:fldChar w:fldCharType="begin"/>
      </w:r>
      <w:r>
        <w:instrText xml:space="preserve"> XE "</w:instrText>
      </w:r>
      <w:r w:rsidRPr="00D02DCA">
        <w:instrText>Goods and services tax:Revenue</w:instrText>
      </w:r>
      <w:r>
        <w:instrText xml:space="preserve">" </w:instrText>
      </w:r>
      <w:r>
        <w:fldChar w:fldCharType="end"/>
      </w:r>
      <w:r w:rsidRPr="00C203E5">
        <w:t>, which is anticipated to grow by 9.6 per cent to $16.9</w:t>
      </w:r>
      <w:r w:rsidR="006371F3">
        <w:t> billion</w:t>
      </w:r>
      <w:r w:rsidRPr="00C203E5">
        <w:t xml:space="preserve"> in 2018</w:t>
      </w:r>
      <w:r w:rsidRPr="00C203E5">
        <w:noBreakHyphen/>
        <w:t xml:space="preserve">19. The lower growth </w:t>
      </w:r>
      <w:r>
        <w:t xml:space="preserve">in grants </w:t>
      </w:r>
      <w:r w:rsidRPr="00C203E5">
        <w:t>over the forward estimates is principally due to a levelling out of expected GST revenue following recent changes to GST relativities and the transfer of responsibility for disability services to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w:t>
      </w:r>
    </w:p>
    <w:p w:rsidR="00F918C3" w:rsidRPr="00C203E5" w:rsidRDefault="00F918C3" w:rsidP="00FB3951">
      <w:r w:rsidRPr="00C203E5">
        <w:t>Victoria’s share of the GST pool has increased from 24.0 per cent in 2017</w:t>
      </w:r>
      <w:r w:rsidRPr="00C203E5">
        <w:noBreakHyphen/>
        <w:t>18 to 25.6 per cent in 2018</w:t>
      </w:r>
      <w:r w:rsidRPr="00C203E5">
        <w:noBreakHyphen/>
        <w:t>19. This largely reflects continued strong population growth relative to other states, a related need for greater investment in infrastructure and a continued smaller share of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infrastructure grants.</w:t>
      </w:r>
    </w:p>
    <w:p w:rsidR="00F918C3" w:rsidRPr="00C203E5" w:rsidRDefault="00F918C3" w:rsidP="00FB3951">
      <w:r w:rsidRPr="00C203E5">
        <w:t>Over the forward estimates, Victorian GST revenue</w:t>
      </w:r>
      <w:r>
        <w:fldChar w:fldCharType="begin"/>
      </w:r>
      <w:r>
        <w:instrText xml:space="preserve"> XE "</w:instrText>
      </w:r>
      <w:r w:rsidRPr="00D02DCA">
        <w:instrText>Goods and services tax:Revenue</w:instrText>
      </w:r>
      <w:r>
        <w:instrText xml:space="preserve">" </w:instrText>
      </w:r>
      <w:r>
        <w:fldChar w:fldCharType="end"/>
      </w:r>
      <w:r w:rsidRPr="00C203E5">
        <w:t xml:space="preserve"> is expected to increase on average by 3.0 per cent a year, buoyed by the continued growth in the GST pool. Victoria’s GST relativity is forecast to ease beyond 2018</w:t>
      </w:r>
      <w:r w:rsidRPr="00C203E5">
        <w:noBreakHyphen/>
        <w:t>19 partly due to the State’s relatively stronger revenue outlook.</w:t>
      </w:r>
    </w:p>
    <w:p w:rsidR="00F918C3" w:rsidRPr="00C203E5" w:rsidRDefault="00F918C3" w:rsidP="00FB3951">
      <w:r w:rsidRPr="00C203E5">
        <w:t>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grants</w:t>
      </w:r>
      <w:r>
        <w:fldChar w:fldCharType="begin"/>
      </w:r>
      <w:r>
        <w:instrText xml:space="preserve"> XE "</w:instrText>
      </w:r>
      <w:r w:rsidRPr="00D02DCA">
        <w:instrText>Grants:Commonwealth</w:instrText>
      </w:r>
      <w:r>
        <w:instrText xml:space="preserve">" </w:instrText>
      </w:r>
      <w:r>
        <w:fldChar w:fldCharType="end"/>
      </w:r>
      <w:r w:rsidRPr="00C203E5">
        <w:t xml:space="preserve"> for specific purposes are projected to average $15.3</w:t>
      </w:r>
      <w:r w:rsidR="006371F3">
        <w:t> billion</w:t>
      </w:r>
      <w:r w:rsidRPr="00C203E5">
        <w:t xml:space="preserve"> a year across the forward estimates. The Commonwealth provides these grants as contributions towards healthcare, education, disability and other services, and major infrastructure investment. </w:t>
      </w:r>
    </w:p>
    <w:p w:rsidR="00F918C3" w:rsidRPr="00C203E5" w:rsidRDefault="00F918C3" w:rsidP="00FB3951">
      <w:r w:rsidRPr="00C203E5">
        <w:t>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grant revenue decreases in 2019</w:t>
      </w:r>
      <w:r w:rsidRPr="00C203E5">
        <w:noBreakHyphen/>
        <w:t xml:space="preserve">20 largely due to the transfer of responsibility for disability services, and the Commonwealth funding attached to these services from Victoria, to the National Disability Insurance Agency as part of the full roll out of the National Disability Insurance Scheme (NDIS). </w:t>
      </w:r>
    </w:p>
    <w:p w:rsidR="00F918C3" w:rsidRPr="00C203E5" w:rsidRDefault="00F918C3" w:rsidP="00423C3D">
      <w:pPr>
        <w:pStyle w:val="Heading30"/>
        <w:rPr>
          <w:rFonts w:eastAsiaTheme="minorHAnsi"/>
        </w:rPr>
      </w:pPr>
      <w:r w:rsidRPr="00C203E5">
        <w:rPr>
          <w:rFonts w:eastAsiaTheme="minorHAnsi"/>
        </w:rPr>
        <w:t>Other current revenue</w:t>
      </w:r>
    </w:p>
    <w:p w:rsidR="00F918C3" w:rsidRPr="00C203E5" w:rsidRDefault="00F918C3" w:rsidP="00423C3D">
      <w:r w:rsidRPr="00C203E5">
        <w:t>Other current revenue includes fines, royalties, donations and gifts, assets received free of charge and other miscellaneous revenues. Other current revenue is projected to increase by 5.2 per cent to $2.6</w:t>
      </w:r>
      <w:r w:rsidR="006371F3">
        <w:t> billion</w:t>
      </w:r>
      <w:r w:rsidRPr="00C203E5">
        <w:t xml:space="preserve"> in 2018</w:t>
      </w:r>
      <w:r w:rsidRPr="00C203E5">
        <w:noBreakHyphen/>
        <w:t>19 and by an average of 1.6 per cent a year across the forward estimates.</w:t>
      </w:r>
    </w:p>
    <w:p w:rsidR="00F918C3" w:rsidRPr="00C203E5" w:rsidRDefault="00F918C3" w:rsidP="006A6BBE">
      <w:r w:rsidRPr="00C203E5">
        <w:t xml:space="preserve">Budget Paper No. 5, Chapter 4 </w:t>
      </w:r>
      <w:r w:rsidRPr="00C203E5">
        <w:rPr>
          <w:i/>
        </w:rPr>
        <w:t xml:space="preserve">State </w:t>
      </w:r>
      <w:r w:rsidRPr="00A75F06">
        <w:rPr>
          <w:i/>
        </w:rPr>
        <w:t>R</w:t>
      </w:r>
      <w:r w:rsidRPr="00C203E5">
        <w:rPr>
          <w:i/>
        </w:rPr>
        <w:t>evenue</w:t>
      </w:r>
      <w:r w:rsidRPr="00C203E5">
        <w:t xml:space="preserve"> contains further details of expected movements in the major categories of general government revenue.</w:t>
      </w:r>
    </w:p>
    <w:p w:rsidR="00F918C3" w:rsidRPr="00C203E5" w:rsidRDefault="00F918C3" w:rsidP="00423C3D">
      <w:pPr>
        <w:pStyle w:val="Heading20"/>
        <w:rPr>
          <w:rFonts w:eastAsiaTheme="minorHAnsi"/>
        </w:rPr>
      </w:pPr>
      <w:r w:rsidRPr="00C203E5">
        <w:rPr>
          <w:rFonts w:eastAsiaTheme="minorHAnsi"/>
        </w:rPr>
        <w:t>Expenses outlook</w:t>
      </w:r>
    </w:p>
    <w:p w:rsidR="00F918C3" w:rsidRPr="00C203E5" w:rsidRDefault="00F918C3" w:rsidP="0032246A">
      <w:r w:rsidRPr="00C203E5">
        <w:t>The Government is expected to spend $68.1</w:t>
      </w:r>
      <w:r w:rsidR="006371F3">
        <w:t> billion</w:t>
      </w:r>
      <w:r w:rsidRPr="00C203E5">
        <w:t xml:space="preserve"> in 2018</w:t>
      </w:r>
      <w:r w:rsidRPr="00C203E5">
        <w:noBreakHyphen/>
        <w:t>19. Total expenses are expected to grow by 3.9 per cent a year on average over the four years to $72.1</w:t>
      </w:r>
      <w:r w:rsidR="006371F3">
        <w:t> billion</w:t>
      </w:r>
      <w:r w:rsidRPr="00C203E5">
        <w:t xml:space="preserve"> in 2021</w:t>
      </w:r>
      <w:r w:rsidRPr="00C203E5">
        <w:noBreakHyphen/>
        <w:t>22.</w:t>
      </w:r>
    </w:p>
    <w:p w:rsidR="00F918C3" w:rsidRPr="00C203E5" w:rsidRDefault="00F918C3" w:rsidP="00423C3D">
      <w:r w:rsidRPr="00C203E5">
        <w:t>The growth in expenses reflect the Government’s ongoing commitment to investing in services and infrastructure to meet the needs of a growing population, with major funding increases for skills</w:t>
      </w:r>
      <w:r>
        <w:fldChar w:fldCharType="begin"/>
      </w:r>
      <w:r>
        <w:instrText xml:space="preserve"> XE "Skills" </w:instrText>
      </w:r>
      <w:r>
        <w:fldChar w:fldCharType="end"/>
      </w:r>
      <w:r w:rsidRPr="00C203E5">
        <w:t>, schools</w:t>
      </w:r>
      <w:r>
        <w:fldChar w:fldCharType="begin"/>
      </w:r>
      <w:r>
        <w:instrText xml:space="preserve"> XE "</w:instrText>
      </w:r>
      <w:r w:rsidRPr="00FE0A7F">
        <w:instrText>Education:Schools</w:instrText>
      </w:r>
      <w:r>
        <w:instrText xml:space="preserve">" </w:instrText>
      </w:r>
      <w:r>
        <w:fldChar w:fldCharType="end"/>
      </w:r>
      <w:r w:rsidRPr="00C203E5">
        <w:t>, health</w:t>
      </w:r>
      <w:r>
        <w:fldChar w:fldCharType="begin"/>
      </w:r>
      <w:r>
        <w:instrText xml:space="preserve"> XE "Health" </w:instrText>
      </w:r>
      <w:r>
        <w:fldChar w:fldCharType="end"/>
      </w:r>
      <w:r w:rsidRPr="00C203E5">
        <w:t>, mental health</w:t>
      </w:r>
      <w:r>
        <w:fldChar w:fldCharType="begin"/>
      </w:r>
      <w:r>
        <w:instrText xml:space="preserve"> XE "Health:Mental health" </w:instrText>
      </w:r>
      <w:r>
        <w:fldChar w:fldCharType="end"/>
      </w:r>
      <w:r w:rsidRPr="00C203E5">
        <w:t>, community safety and the continuation of the Government’s record infrastructure program. Specifically:</w:t>
      </w:r>
    </w:p>
    <w:p w:rsidR="00F918C3" w:rsidRPr="00C203E5" w:rsidRDefault="00F918C3" w:rsidP="005E7A0A">
      <w:pPr>
        <w:pStyle w:val="ListBullet"/>
        <w:numPr>
          <w:ilvl w:val="0"/>
          <w:numId w:val="26"/>
        </w:numPr>
      </w:pPr>
      <w:r w:rsidRPr="00C203E5">
        <w:t>grants and other transfer expenses are forecast to increase by 22.8 per cent to $12.9</w:t>
      </w:r>
      <w:r w:rsidR="006371F3">
        <w:t> billion</w:t>
      </w:r>
      <w:r w:rsidRPr="00C203E5">
        <w:t xml:space="preserve"> in 2018</w:t>
      </w:r>
      <w:r w:rsidRPr="00C203E5">
        <w:noBreakHyphen/>
        <w:t>19, largely driven by payments made to the National Disability Insurance Agency for disability services as part of the full roll out of the NDIS. Thereafter, growth is expected to moderate to an average of 2.7 per cent a year over the forward estimates;</w:t>
      </w:r>
    </w:p>
    <w:p w:rsidR="00F918C3" w:rsidRPr="00C203E5" w:rsidRDefault="00F918C3" w:rsidP="005E7A0A">
      <w:pPr>
        <w:pStyle w:val="ListBullet"/>
        <w:numPr>
          <w:ilvl w:val="0"/>
          <w:numId w:val="26"/>
        </w:numPr>
      </w:pPr>
      <w:r w:rsidRPr="00C203E5">
        <w:t>depreciation expense is forecast to grow by 4.0 per cent to $2.9</w:t>
      </w:r>
      <w:r w:rsidR="006371F3">
        <w:t> billion</w:t>
      </w:r>
      <w:r w:rsidRPr="00C203E5">
        <w:t xml:space="preserve"> in 2018</w:t>
      </w:r>
      <w:r w:rsidRPr="00C203E5">
        <w:noBreakHyphen/>
        <w:t>19 and increase by 6.8 per cent a year on average over the forward estimates to $3.5</w:t>
      </w:r>
      <w:r w:rsidR="006371F3">
        <w:t> billion</w:t>
      </w:r>
      <w:r w:rsidRPr="00C203E5">
        <w:t xml:space="preserve"> in 2021</w:t>
      </w:r>
      <w:r w:rsidRPr="00C203E5">
        <w:noBreakHyphen/>
        <w:t>22. This growth is broadly in line with the Government’s increased investment in infrastructure;</w:t>
      </w:r>
    </w:p>
    <w:p w:rsidR="00F918C3" w:rsidRDefault="00F918C3" w:rsidP="005E7A0A">
      <w:pPr>
        <w:pStyle w:val="ListBullet"/>
        <w:numPr>
          <w:ilvl w:val="0"/>
          <w:numId w:val="26"/>
        </w:numPr>
      </w:pPr>
      <w:r w:rsidRPr="00C203E5">
        <w:t>employee expenses (including superannuation) are forecast to grow by 10.1 per cent in 2018</w:t>
      </w:r>
      <w:r w:rsidRPr="00C203E5">
        <w:noBreakHyphen/>
        <w:t>19, moderating to an average annual increase of 3.2 per cent over the forward estimates. The growth in 2018</w:t>
      </w:r>
      <w:r w:rsidRPr="00C203E5">
        <w:noBreakHyphen/>
        <w:t>19 reflects increases in public sector workers to support Victoria’s growing population, including teachers and education workers to deliver the Government’s Education State</w:t>
      </w:r>
      <w:r>
        <w:fldChar w:fldCharType="begin"/>
      </w:r>
      <w:r>
        <w:instrText xml:space="preserve"> XE "</w:instrText>
      </w:r>
      <w:r w:rsidRPr="00D02DCA">
        <w:instrText>Education State</w:instrText>
      </w:r>
      <w:r>
        <w:instrText xml:space="preserve">" </w:instrText>
      </w:r>
      <w:r>
        <w:fldChar w:fldCharType="end"/>
      </w:r>
      <w:r w:rsidRPr="00C203E5">
        <w:t xml:space="preserve"> commitment, public health and community services workers for increased acute and mental health services, and police and corrections officers to deliver the Government’s community safety agenda. The increase in employee expenses also reflect</w:t>
      </w:r>
      <w:r>
        <w:t>s</w:t>
      </w:r>
      <w:r w:rsidRPr="00C203E5">
        <w:t xml:space="preserve"> changes in average remuneration levels consistent with enterprise bargaining agreements, including </w:t>
      </w:r>
      <w:r>
        <w:t>teachers, police and public health sector agreements;</w:t>
      </w:r>
    </w:p>
    <w:p w:rsidR="00F918C3" w:rsidRPr="00C203E5" w:rsidRDefault="00F918C3" w:rsidP="005E7A0A">
      <w:pPr>
        <w:pStyle w:val="ListBullet"/>
        <w:numPr>
          <w:ilvl w:val="0"/>
          <w:numId w:val="26"/>
        </w:numPr>
        <w:ind w:right="-94"/>
      </w:pPr>
      <w:r w:rsidRPr="00C203E5">
        <w:t>other operating expenses are forecast to increase by 4.5 per cent in 2018</w:t>
      </w:r>
      <w:r w:rsidRPr="00C203E5">
        <w:noBreakHyphen/>
        <w:t>19 and decrease by an average of 1.2 per cent a year over the forward estimates to $20.5</w:t>
      </w:r>
      <w:r w:rsidR="006371F3">
        <w:t> billion</w:t>
      </w:r>
      <w:r w:rsidRPr="00C203E5">
        <w:t xml:space="preserve"> in 2021</w:t>
      </w:r>
      <w:r w:rsidRPr="00C203E5">
        <w:noBreakHyphen/>
        <w:t>22; and</w:t>
      </w:r>
    </w:p>
    <w:p w:rsidR="00F918C3" w:rsidRPr="00C203E5" w:rsidRDefault="00F918C3" w:rsidP="005E7A0A">
      <w:pPr>
        <w:pStyle w:val="ListBullet"/>
        <w:numPr>
          <w:ilvl w:val="0"/>
          <w:numId w:val="26"/>
        </w:numPr>
      </w:pPr>
      <w:r w:rsidRPr="00C203E5">
        <w:t>interest expense is forecast to grow by 3.1 per cent to $2.2</w:t>
      </w:r>
      <w:r w:rsidR="006371F3">
        <w:t> billion</w:t>
      </w:r>
      <w:r w:rsidRPr="00C203E5">
        <w:t xml:space="preserve"> in 2018</w:t>
      </w:r>
      <w:r w:rsidRPr="00C203E5">
        <w:noBreakHyphen/>
        <w:t xml:space="preserve">19. Interest expense is expected to grow moderately over the forward estimates, growing by an average of </w:t>
      </w:r>
      <w:r w:rsidRPr="008D4149">
        <w:t>2.3</w:t>
      </w:r>
      <w:r w:rsidRPr="00C203E5">
        <w:t> per cent a year.</w:t>
      </w:r>
    </w:p>
    <w:p w:rsidR="00F918C3" w:rsidRPr="00C203E5" w:rsidRDefault="00F918C3">
      <w:pPr>
        <w:keepLines w:val="0"/>
        <w:rPr>
          <w:rFonts w:asciiTheme="majorHAnsi" w:hAnsiTheme="majorHAnsi" w:cstheme="majorBidi"/>
          <w:b/>
          <w:spacing w:val="-2"/>
          <w:sz w:val="26"/>
          <w:szCs w:val="26"/>
        </w:rPr>
      </w:pPr>
      <w:r w:rsidRPr="00C203E5">
        <w:br w:type="page"/>
      </w:r>
    </w:p>
    <w:p w:rsidR="00F918C3" w:rsidRPr="00C203E5" w:rsidRDefault="00F918C3" w:rsidP="00423C3D">
      <w:pPr>
        <w:pStyle w:val="Heading20"/>
        <w:rPr>
          <w:rFonts w:eastAsiaTheme="minorHAnsi"/>
        </w:rPr>
      </w:pPr>
      <w:r w:rsidRPr="00C203E5">
        <w:rPr>
          <w:rFonts w:eastAsiaTheme="minorHAnsi"/>
        </w:rPr>
        <w:t xml:space="preserve">Reconciliation of estimates to the </w:t>
      </w:r>
      <w:r w:rsidRPr="00C203E5">
        <w:rPr>
          <w:rFonts w:eastAsiaTheme="minorHAnsi"/>
          <w:i/>
        </w:rPr>
        <w:t>2017</w:t>
      </w:r>
      <w:r w:rsidRPr="00C203E5">
        <w:rPr>
          <w:rFonts w:eastAsiaTheme="minorHAnsi"/>
          <w:i/>
        </w:rPr>
        <w:noBreakHyphen/>
        <w:t>18 Budget Update</w:t>
      </w:r>
    </w:p>
    <w:p w:rsidR="00F918C3" w:rsidRPr="00C203E5" w:rsidRDefault="00F918C3" w:rsidP="00290359">
      <w:r w:rsidRPr="00C203E5">
        <w:t xml:space="preserve">Relative to the </w:t>
      </w:r>
      <w:r w:rsidRPr="00C203E5">
        <w:rPr>
          <w:i/>
        </w:rPr>
        <w:t>2017</w:t>
      </w:r>
      <w:r w:rsidRPr="00C203E5">
        <w:rPr>
          <w:i/>
        </w:rPr>
        <w:noBreakHyphen/>
        <w:t>18 Budget Update</w:t>
      </w:r>
      <w:r w:rsidRPr="00C203E5">
        <w:t>, the net result from transactions has been revised down by $737</w:t>
      </w:r>
      <w:r w:rsidR="006371F3">
        <w:t> million</w:t>
      </w:r>
      <w:r w:rsidRPr="00C203E5">
        <w:t xml:space="preserve"> in 2018</w:t>
      </w:r>
      <w:r w:rsidRPr="00C203E5">
        <w:noBreakHyphen/>
        <w:t>19, down by $16</w:t>
      </w:r>
      <w:r w:rsidR="006371F3">
        <w:t> million</w:t>
      </w:r>
      <w:r w:rsidRPr="00C203E5">
        <w:t xml:space="preserve"> in 2019</w:t>
      </w:r>
      <w:r w:rsidRPr="00C203E5">
        <w:noBreakHyphen/>
        <w:t>20 and up by $74</w:t>
      </w:r>
      <w:r w:rsidR="006371F3">
        <w:t> million</w:t>
      </w:r>
      <w:r w:rsidRPr="00C203E5">
        <w:t xml:space="preserve"> in 2020</w:t>
      </w:r>
      <w:r w:rsidRPr="00C203E5">
        <w:noBreakHyphen/>
        <w:t>21 (Table 4.4).</w:t>
      </w:r>
    </w:p>
    <w:p w:rsidR="00F918C3" w:rsidRPr="00C203E5" w:rsidRDefault="00F918C3" w:rsidP="004471D1">
      <w:pPr>
        <w:pStyle w:val="TableHeading"/>
      </w:pPr>
      <w:r w:rsidRPr="00C203E5">
        <w:t xml:space="preserve">Table 4.4: </w:t>
      </w:r>
      <w:r w:rsidRPr="00C203E5">
        <w:tab/>
        <w:t xml:space="preserve">Reconciliation of estimates to the </w:t>
      </w:r>
      <w:r w:rsidRPr="00C203E5">
        <w:rPr>
          <w:i/>
        </w:rPr>
        <w:t>2017</w:t>
      </w:r>
      <w:r w:rsidRPr="00C203E5">
        <w:rPr>
          <w:i/>
        </w:rPr>
        <w:noBreakHyphen/>
        <w:t>18 Budget Update</w:t>
      </w:r>
      <w:r w:rsidRPr="00C203E5">
        <w:t xml:space="preserve"> </w:t>
      </w:r>
      <w:r w:rsidRPr="00C203E5">
        <w:rPr>
          <w:vertAlign w:val="superscript"/>
        </w:rPr>
        <w:t>(a)</w:t>
      </w:r>
      <w:r w:rsidRPr="00C203E5">
        <w:t xml:space="preserve"> </w:t>
      </w:r>
      <w:r w:rsidRPr="00C203E5">
        <w:tab/>
        <w:t>($</w:t>
      </w:r>
      <w:r w:rsidR="006371F3">
        <w:t> million</w:t>
      </w:r>
      <w:r w:rsidRPr="00C203E5">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5217"/>
        <w:gridCol w:w="850"/>
        <w:gridCol w:w="850"/>
        <w:gridCol w:w="850"/>
      </w:tblGrid>
      <w:tr w:rsidR="00F918C3" w:rsidRPr="00C203E5" w:rsidTr="00447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single" w:sz="4" w:space="0" w:color="auto"/>
              <w:left w:val="single" w:sz="4" w:space="0" w:color="auto"/>
              <w:bottom w:val="nil"/>
              <w:right w:val="nil"/>
            </w:tcBorders>
            <w:shd w:val="solid" w:color="000000" w:fill="auto"/>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w:t>
            </w:r>
          </w:p>
        </w:tc>
        <w:tc>
          <w:tcPr>
            <w:tcW w:w="850" w:type="dxa"/>
            <w:tcBorders>
              <w:top w:val="single" w:sz="4" w:space="0" w:color="auto"/>
              <w:left w:val="nil"/>
              <w:bottom w:val="nil"/>
              <w:right w:val="nil"/>
            </w:tcBorders>
            <w:shd w:val="solid" w:color="000000" w:fill="auto"/>
          </w:tcPr>
          <w:p w:rsidR="00F918C3" w:rsidRPr="00C203E5" w:rsidRDefault="00F918C3" w:rsidP="004471D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2018-19</w:t>
            </w:r>
          </w:p>
        </w:tc>
        <w:tc>
          <w:tcPr>
            <w:tcW w:w="850" w:type="dxa"/>
            <w:tcBorders>
              <w:top w:val="single" w:sz="4" w:space="0" w:color="auto"/>
              <w:left w:val="nil"/>
              <w:bottom w:val="nil"/>
              <w:right w:val="nil"/>
            </w:tcBorders>
            <w:shd w:val="solid" w:color="000000" w:fill="auto"/>
          </w:tcPr>
          <w:p w:rsidR="00F918C3" w:rsidRPr="00C203E5" w:rsidRDefault="00F918C3" w:rsidP="004471D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2019-20</w:t>
            </w:r>
          </w:p>
        </w:tc>
        <w:tc>
          <w:tcPr>
            <w:tcW w:w="850" w:type="dxa"/>
            <w:tcBorders>
              <w:top w:val="single" w:sz="4" w:space="0" w:color="auto"/>
              <w:left w:val="nil"/>
              <w:bottom w:val="nil"/>
              <w:right w:val="single" w:sz="4" w:space="0" w:color="auto"/>
            </w:tcBorders>
            <w:shd w:val="solid" w:color="000000" w:fill="auto"/>
          </w:tcPr>
          <w:p w:rsidR="00F918C3" w:rsidRPr="00C203E5" w:rsidRDefault="00F918C3" w:rsidP="004471D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2020-21</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single" w:sz="4" w:space="0" w:color="auto"/>
              <w:bottom w:val="single" w:sz="4" w:space="0" w:color="auto"/>
              <w:right w:val="nil"/>
            </w:tcBorders>
            <w:shd w:val="solid" w:color="000000" w:fill="auto"/>
          </w:tcPr>
          <w:p w:rsidR="00F918C3" w:rsidRPr="00C203E5" w:rsidRDefault="00F918C3" w:rsidP="004471D1">
            <w:pPr>
              <w:keepLines w:val="0"/>
              <w:autoSpaceDE w:val="0"/>
              <w:autoSpaceDN w:val="0"/>
              <w:adjustRightInd w:val="0"/>
              <w:rPr>
                <w:rFonts w:eastAsiaTheme="minorEastAsia" w:cs="Calibri"/>
                <w:i/>
                <w:color w:val="000000"/>
                <w:szCs w:val="17"/>
                <w:lang w:eastAsia="en-AU"/>
              </w:rPr>
            </w:pPr>
            <w:r w:rsidRPr="00C203E5">
              <w:rPr>
                <w:rFonts w:eastAsiaTheme="minorEastAsia" w:cs="Calibri"/>
                <w:i/>
                <w:color w:val="000000"/>
                <w:szCs w:val="17"/>
                <w:lang w:eastAsia="en-AU"/>
              </w:rPr>
              <w:t xml:space="preserve"> </w:t>
            </w:r>
          </w:p>
        </w:tc>
        <w:tc>
          <w:tcPr>
            <w:tcW w:w="850" w:type="dxa"/>
            <w:tcBorders>
              <w:top w:val="nil"/>
              <w:left w:val="nil"/>
              <w:bottom w:val="single" w:sz="4" w:space="0" w:color="auto"/>
              <w:right w:val="nil"/>
            </w:tcBorders>
            <w:shd w:val="solid" w:color="000000" w:fill="auto"/>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budget</w:t>
            </w:r>
          </w:p>
        </w:tc>
        <w:tc>
          <w:tcPr>
            <w:tcW w:w="850" w:type="dxa"/>
            <w:tcBorders>
              <w:top w:val="nil"/>
              <w:left w:val="nil"/>
              <w:bottom w:val="single" w:sz="4" w:space="0" w:color="auto"/>
              <w:right w:val="nil"/>
            </w:tcBorders>
            <w:shd w:val="solid" w:color="000000" w:fill="auto"/>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estimate</w:t>
            </w:r>
          </w:p>
        </w:tc>
        <w:tc>
          <w:tcPr>
            <w:tcW w:w="850" w:type="dxa"/>
            <w:tcBorders>
              <w:top w:val="nil"/>
              <w:left w:val="nil"/>
              <w:bottom w:val="single" w:sz="4" w:space="0" w:color="auto"/>
              <w:right w:val="single" w:sz="4" w:space="0" w:color="auto"/>
            </w:tcBorders>
            <w:shd w:val="solid" w:color="000000" w:fill="auto"/>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estimate</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single" w:sz="4" w:space="0" w:color="auto"/>
              <w:left w:val="nil"/>
              <w:bottom w:val="nil"/>
              <w:right w:val="nil"/>
            </w:tcBorders>
          </w:tcPr>
          <w:p w:rsidR="00F918C3" w:rsidRPr="00C203E5" w:rsidRDefault="00F918C3" w:rsidP="004471D1">
            <w:pPr>
              <w:keepLines w:val="0"/>
              <w:autoSpaceDE w:val="0"/>
              <w:autoSpaceDN w:val="0"/>
              <w:adjustRightInd w:val="0"/>
              <w:rPr>
                <w:rFonts w:eastAsiaTheme="minorEastAsia" w:cs="Calibri"/>
                <w:b/>
                <w:bCs/>
                <w:i/>
                <w:iCs/>
                <w:color w:val="000000"/>
                <w:szCs w:val="17"/>
                <w:lang w:eastAsia="en-AU"/>
              </w:rPr>
            </w:pPr>
            <w:r w:rsidRPr="00C203E5">
              <w:rPr>
                <w:rFonts w:eastAsiaTheme="minorEastAsia" w:cs="Calibri"/>
                <w:b/>
                <w:bCs/>
                <w:color w:val="000000"/>
                <w:szCs w:val="17"/>
                <w:lang w:eastAsia="en-AU"/>
              </w:rPr>
              <w:t xml:space="preserve">Net result from transactions: </w:t>
            </w:r>
            <w:r w:rsidRPr="00C203E5">
              <w:rPr>
                <w:rFonts w:eastAsiaTheme="minorEastAsia" w:cs="Calibri"/>
                <w:b/>
                <w:bCs/>
                <w:i/>
                <w:iCs/>
                <w:color w:val="000000"/>
                <w:szCs w:val="17"/>
                <w:lang w:eastAsia="en-AU"/>
              </w:rPr>
              <w:t>2017-18 Budget Update</w:t>
            </w:r>
          </w:p>
        </w:tc>
        <w:tc>
          <w:tcPr>
            <w:tcW w:w="850" w:type="dxa"/>
            <w:tcBorders>
              <w:top w:val="single" w:sz="4" w:space="0" w:color="auto"/>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r w:rsidRPr="00C203E5">
              <w:rPr>
                <w:rFonts w:eastAsiaTheme="minorEastAsia" w:cs="Helvetica"/>
                <w:b/>
                <w:bCs/>
                <w:color w:val="000000"/>
                <w:szCs w:val="18"/>
                <w:lang w:eastAsia="en-AU"/>
              </w:rPr>
              <w:t>2 117</w:t>
            </w:r>
          </w:p>
        </w:tc>
        <w:tc>
          <w:tcPr>
            <w:tcW w:w="850" w:type="dxa"/>
            <w:tcBorders>
              <w:top w:val="single" w:sz="4" w:space="0" w:color="auto"/>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r w:rsidRPr="00C203E5">
              <w:rPr>
                <w:rFonts w:eastAsiaTheme="minorEastAsia" w:cs="Helvetica"/>
                <w:b/>
                <w:bCs/>
                <w:color w:val="000000"/>
                <w:szCs w:val="18"/>
                <w:lang w:eastAsia="en-AU"/>
              </w:rPr>
              <w:t>1 987</w:t>
            </w:r>
          </w:p>
        </w:tc>
        <w:tc>
          <w:tcPr>
            <w:tcW w:w="850" w:type="dxa"/>
            <w:tcBorders>
              <w:top w:val="single" w:sz="4" w:space="0" w:color="auto"/>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r w:rsidRPr="00C203E5">
              <w:rPr>
                <w:rFonts w:eastAsiaTheme="minorEastAsia" w:cs="Helvetica"/>
                <w:b/>
                <w:bCs/>
                <w:color w:val="000000"/>
                <w:szCs w:val="18"/>
                <w:lang w:eastAsia="en-AU"/>
              </w:rPr>
              <w:t>2 641</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Policy variations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Revenue policy initiatives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(41</w:t>
            </w:r>
            <w:r w:rsidRPr="00C203E5">
              <w:t>)</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(42)</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(45)</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pPr>
            <w:r w:rsidRPr="00C203E5">
              <w:rPr>
                <w:rFonts w:eastAsiaTheme="minorEastAsia" w:cs="Calibri"/>
                <w:color w:val="000000"/>
                <w:szCs w:val="17"/>
                <w:lang w:eastAsia="en-AU"/>
              </w:rPr>
              <w:t xml:space="preserve">   </w:t>
            </w:r>
            <w:r w:rsidRPr="00C203E5">
              <w:t xml:space="preserve">Output policy initiatives </w:t>
            </w:r>
            <w:r w:rsidRPr="00C203E5">
              <w:rPr>
                <w:vertAlign w:val="superscript"/>
              </w:rPr>
              <w:t>(b)</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(2 872</w:t>
            </w:r>
            <w:r w:rsidRPr="00C203E5">
              <w:t>)</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(1 282</w:t>
            </w:r>
            <w:r w:rsidRPr="00C203E5">
              <w:t>)</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(852</w:t>
            </w:r>
            <w:r w:rsidRPr="00C203E5">
              <w:t>)</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20"/>
                <w:lang w:eastAsia="en-AU"/>
              </w:rPr>
              <w:t xml:space="preserve"> (2 913</w:t>
            </w:r>
            <w:r w:rsidRPr="00C203E5">
              <w:rPr>
                <w:b/>
              </w:rPr>
              <w:t>)</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20"/>
                <w:lang w:eastAsia="en-AU"/>
              </w:rPr>
              <w:t xml:space="preserve"> (1 324</w:t>
            </w:r>
            <w:r w:rsidRPr="00C203E5">
              <w:rPr>
                <w:b/>
              </w:rPr>
              <w:t>)</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(897</w:t>
            </w:r>
            <w:r w:rsidRPr="00C203E5">
              <w:rPr>
                <w:b/>
              </w:rPr>
              <w:t>)</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Economic/demographic variations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Taxation</w:t>
            </w:r>
            <w:r>
              <w:rPr>
                <w:rFonts w:eastAsiaTheme="minorEastAsia" w:cs="Calibri"/>
                <w:color w:val="000000"/>
                <w:szCs w:val="17"/>
                <w:lang w:eastAsia="en-AU"/>
              </w:rPr>
              <w:fldChar w:fldCharType="begin"/>
            </w:r>
            <w:r>
              <w:rPr>
                <w:rFonts w:eastAsiaTheme="minorEastAsia" w:cs="Calibri"/>
                <w:color w:val="000000"/>
                <w:szCs w:val="17"/>
                <w:lang w:eastAsia="en-AU"/>
              </w:rPr>
              <w:instrText xml:space="preserve"> XE "</w:instrText>
            </w:r>
            <w:r w:rsidRPr="00D02DCA">
              <w:instrText>Taxation</w:instrText>
            </w:r>
            <w:r>
              <w:instrText>"</w:instrText>
            </w:r>
            <w:r>
              <w:rPr>
                <w:rFonts w:eastAsiaTheme="minorEastAsia" w:cs="Calibri"/>
                <w:color w:val="000000"/>
                <w:szCs w:val="17"/>
                <w:lang w:eastAsia="en-AU"/>
              </w:rPr>
              <w:instrText xml:space="preserve"> </w:instrText>
            </w:r>
            <w:r>
              <w:rPr>
                <w:rFonts w:eastAsiaTheme="minorEastAsia" w:cs="Calibri"/>
                <w:color w:val="000000"/>
                <w:szCs w:val="17"/>
                <w:lang w:eastAsia="en-AU"/>
              </w:rPr>
              <w:fldChar w:fldCharType="end"/>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318</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279</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256</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Investment income </w:t>
            </w:r>
            <w:r w:rsidRPr="00C203E5">
              <w:rPr>
                <w:rFonts w:eastAsiaTheme="minorEastAsia" w:cs="Calibri"/>
                <w:color w:val="000000"/>
                <w:szCs w:val="17"/>
                <w:vertAlign w:val="superscript"/>
                <w:lang w:eastAsia="en-AU"/>
              </w:rPr>
              <w:t>(c)</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330</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50</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(56</w:t>
            </w:r>
            <w:r w:rsidRPr="00C203E5">
              <w:t>)</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647</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329</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200</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Commonwealth</w:t>
            </w:r>
            <w:r w:rsidR="008C27C4">
              <w:rPr>
                <w:rFonts w:eastAsiaTheme="minorEastAsia" w:cs="Calibri"/>
                <w:b/>
                <w:bCs/>
                <w:color w:val="000000"/>
                <w:szCs w:val="17"/>
                <w:lang w:eastAsia="en-AU"/>
              </w:rPr>
              <w:fldChar w:fldCharType="begin"/>
            </w:r>
            <w:r w:rsidR="008C27C4">
              <w:instrText xml:space="preserve"> XE "</w:instrText>
            </w:r>
            <w:r w:rsidR="008C27C4" w:rsidRPr="00EF1E91">
              <w:instrText>Commonwealth</w:instrText>
            </w:r>
            <w:r w:rsidR="008C27C4">
              <w:instrText xml:space="preserve">" </w:instrText>
            </w:r>
            <w:r w:rsidR="008C27C4">
              <w:rPr>
                <w:rFonts w:eastAsiaTheme="minorEastAsia" w:cs="Calibri"/>
                <w:b/>
                <w:bCs/>
                <w:color w:val="000000"/>
                <w:szCs w:val="17"/>
                <w:lang w:eastAsia="en-AU"/>
              </w:rPr>
              <w:fldChar w:fldCharType="end"/>
            </w:r>
            <w:r w:rsidRPr="00C203E5">
              <w:rPr>
                <w:rFonts w:eastAsiaTheme="minorEastAsia" w:cs="Calibri"/>
                <w:b/>
                <w:bCs/>
                <w:color w:val="000000"/>
                <w:szCs w:val="17"/>
                <w:lang w:eastAsia="en-AU"/>
              </w:rPr>
              <w:t xml:space="preserve"> grant variations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General purpose grants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713</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507</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96</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Specific purpose grants </w:t>
            </w:r>
            <w:r w:rsidRPr="00C203E5">
              <w:rPr>
                <w:rFonts w:eastAsiaTheme="minorEastAsia" w:cs="Calibri"/>
                <w:color w:val="000000"/>
                <w:szCs w:val="17"/>
                <w:vertAlign w:val="superscript"/>
                <w:lang w:eastAsia="en-AU"/>
              </w:rPr>
              <w:t>(d)</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31</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t xml:space="preserve"> ..</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color w:val="000000"/>
                <w:szCs w:val="18"/>
                <w:lang w:eastAsia="en-AU"/>
              </w:rPr>
            </w:pPr>
            <w:r w:rsidRPr="00C203E5">
              <w:rPr>
                <w:rFonts w:eastAsiaTheme="minorEastAsia" w:cs="Helvetica"/>
                <w:color w:val="000000"/>
                <w:szCs w:val="18"/>
                <w:lang w:eastAsia="en-AU"/>
              </w:rPr>
              <w:t xml:space="preserve"> ..</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744</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507</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20"/>
                <w:lang w:eastAsia="en-AU"/>
              </w:rPr>
              <w:t xml:space="preserve"> </w:t>
            </w:r>
            <w:r w:rsidRPr="00C203E5">
              <w:rPr>
                <w:b/>
              </w:rPr>
              <w:t>96</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Administrative variations</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pPr>
            <w:r w:rsidRPr="00C203E5">
              <w:rPr>
                <w:rFonts w:eastAsiaTheme="minorEastAsia" w:cs="Calibri"/>
                <w:color w:val="000000"/>
                <w:szCs w:val="17"/>
                <w:lang w:eastAsia="en-AU"/>
              </w:rPr>
              <w:t xml:space="preserve">   </w:t>
            </w:r>
            <w:r w:rsidRPr="00C203E5">
              <w:t xml:space="preserve">Contingency offset for new policy initiatives </w:t>
            </w:r>
            <w:r w:rsidRPr="00C203E5">
              <w:rPr>
                <w:vertAlign w:val="superscript"/>
              </w:rPr>
              <w:t>(e)</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300</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500</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800</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Other administrative variations</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484</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(28)</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color w:val="000000"/>
                <w:szCs w:val="18"/>
                <w:lang w:eastAsia="en-AU"/>
              </w:rPr>
              <w:t xml:space="preserve"> </w:t>
            </w:r>
            <w:r w:rsidRPr="00C203E5">
              <w:t>(125)</w:t>
            </w: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20"/>
                <w:lang w:eastAsia="en-AU"/>
              </w:rPr>
              <w:t xml:space="preserve"> </w:t>
            </w:r>
            <w:r w:rsidRPr="00C203E5">
              <w:rPr>
                <w:b/>
              </w:rPr>
              <w:t>784</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20"/>
                <w:lang w:eastAsia="en-AU"/>
              </w:rPr>
              <w:t xml:space="preserve"> </w:t>
            </w:r>
            <w:r w:rsidRPr="00C203E5">
              <w:rPr>
                <w:b/>
              </w:rPr>
              <w:t>472</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20"/>
                <w:lang w:eastAsia="en-AU"/>
              </w:rPr>
              <w:t xml:space="preserve"> </w:t>
            </w:r>
            <w:r w:rsidRPr="00C203E5">
              <w:rPr>
                <w:b/>
              </w:rPr>
              <w:t>675</w:t>
            </w:r>
          </w:p>
        </w:tc>
      </w:tr>
      <w:tr w:rsidR="00F918C3" w:rsidRPr="00C203E5" w:rsidTr="004471D1">
        <w:trPr>
          <w:trHeight w:hRule="exact" w:val="120"/>
        </w:trPr>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nil"/>
              <w:right w:val="nil"/>
            </w:tcBorders>
          </w:tcPr>
          <w:p w:rsidR="00F918C3" w:rsidRPr="00C203E5" w:rsidRDefault="00F918C3" w:rsidP="004471D1">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 </w:t>
            </w: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c>
          <w:tcPr>
            <w:tcW w:w="850" w:type="dxa"/>
            <w:tcBorders>
              <w:top w:val="nil"/>
              <w:left w:val="nil"/>
              <w:bottom w:val="nil"/>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p>
        </w:tc>
      </w:tr>
      <w:tr w:rsidR="00F918C3" w:rsidRPr="00C203E5" w:rsidTr="004471D1">
        <w:tc>
          <w:tcPr>
            <w:cnfStyle w:val="001000000000" w:firstRow="0" w:lastRow="0" w:firstColumn="1" w:lastColumn="0" w:oddVBand="0" w:evenVBand="0" w:oddHBand="0" w:evenHBand="0" w:firstRowFirstColumn="0" w:firstRowLastColumn="0" w:lastRowFirstColumn="0" w:lastRowLastColumn="0"/>
            <w:tcW w:w="5216" w:type="dxa"/>
            <w:tcBorders>
              <w:top w:val="nil"/>
              <w:left w:val="nil"/>
              <w:bottom w:val="single" w:sz="6" w:space="0" w:color="auto"/>
              <w:right w:val="nil"/>
            </w:tcBorders>
          </w:tcPr>
          <w:p w:rsidR="00F918C3" w:rsidRPr="00C203E5" w:rsidRDefault="00F918C3" w:rsidP="004471D1">
            <w:pPr>
              <w:keepLines w:val="0"/>
              <w:autoSpaceDE w:val="0"/>
              <w:autoSpaceDN w:val="0"/>
              <w:adjustRightInd w:val="0"/>
              <w:rPr>
                <w:rFonts w:eastAsiaTheme="minorEastAsia" w:cs="Calibri"/>
                <w:b/>
                <w:bCs/>
                <w:i/>
                <w:iCs/>
                <w:color w:val="000000"/>
                <w:szCs w:val="17"/>
                <w:lang w:eastAsia="en-AU"/>
              </w:rPr>
            </w:pPr>
            <w:r w:rsidRPr="00C203E5">
              <w:rPr>
                <w:rFonts w:eastAsiaTheme="minorEastAsia" w:cs="Calibri"/>
                <w:b/>
                <w:bCs/>
                <w:color w:val="000000"/>
                <w:szCs w:val="17"/>
                <w:lang w:eastAsia="en-AU"/>
              </w:rPr>
              <w:t xml:space="preserve">Total variation since </w:t>
            </w:r>
            <w:r w:rsidRPr="00C203E5">
              <w:rPr>
                <w:rFonts w:eastAsiaTheme="minorEastAsia" w:cs="Calibri"/>
                <w:b/>
                <w:bCs/>
                <w:i/>
                <w:iCs/>
                <w:color w:val="000000"/>
                <w:szCs w:val="17"/>
                <w:lang w:eastAsia="en-AU"/>
              </w:rPr>
              <w:t>2017-18 Budget Update</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Helvetica"/>
                <w:b/>
                <w:bCs/>
                <w:color w:val="000000"/>
                <w:szCs w:val="18"/>
                <w:lang w:eastAsia="en-AU"/>
              </w:rPr>
              <w:t xml:space="preserve"> (737</w:t>
            </w:r>
            <w:r w:rsidRPr="00C203E5">
              <w:rPr>
                <w:b/>
              </w:rPr>
              <w:t>)</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Helvetica"/>
                <w:b/>
                <w:bCs/>
                <w:color w:val="000000"/>
                <w:szCs w:val="18"/>
                <w:lang w:eastAsia="en-AU"/>
              </w:rPr>
              <w:t xml:space="preserve"> (16</w:t>
            </w:r>
            <w:r w:rsidRPr="00C203E5">
              <w:rPr>
                <w:b/>
              </w:rPr>
              <w:t>)</w:t>
            </w:r>
          </w:p>
        </w:tc>
        <w:tc>
          <w:tcPr>
            <w:tcW w:w="850" w:type="dxa"/>
            <w:tcBorders>
              <w:top w:val="nil"/>
              <w:left w:val="nil"/>
              <w:bottom w:val="single" w:sz="6" w:space="0" w:color="auto"/>
              <w:right w:val="nil"/>
            </w:tcBorders>
          </w:tcPr>
          <w:p w:rsidR="00F918C3" w:rsidRPr="00C203E5" w:rsidRDefault="00F918C3" w:rsidP="004471D1">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Helvetica"/>
                <w:b/>
                <w:bCs/>
                <w:color w:val="000000"/>
                <w:szCs w:val="18"/>
                <w:lang w:eastAsia="en-AU"/>
              </w:rPr>
            </w:pPr>
            <w:r w:rsidRPr="00C203E5">
              <w:rPr>
                <w:rFonts w:eastAsiaTheme="minorEastAsia" w:cs="Helvetica"/>
                <w:b/>
                <w:bCs/>
                <w:color w:val="000000"/>
                <w:szCs w:val="18"/>
                <w:lang w:eastAsia="en-AU"/>
              </w:rPr>
              <w:t xml:space="preserve"> 74</w:t>
            </w:r>
          </w:p>
        </w:tc>
      </w:tr>
      <w:tr w:rsidR="00F918C3" w:rsidRPr="00C203E5" w:rsidTr="004471D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6" w:type="dxa"/>
            <w:tcBorders>
              <w:top w:val="nil"/>
              <w:bottom w:val="single" w:sz="12" w:space="0" w:color="auto"/>
            </w:tcBorders>
          </w:tcPr>
          <w:p w:rsidR="00F918C3" w:rsidRPr="00C203E5" w:rsidRDefault="00F918C3" w:rsidP="004471D1">
            <w:pPr>
              <w:keepLines w:val="0"/>
              <w:autoSpaceDE w:val="0"/>
              <w:autoSpaceDN w:val="0"/>
              <w:adjustRightInd w:val="0"/>
              <w:rPr>
                <w:rFonts w:eastAsiaTheme="minorEastAsia" w:cs="Calibri"/>
                <w:bCs/>
                <w:i/>
                <w:iCs/>
                <w:color w:val="000000"/>
                <w:szCs w:val="17"/>
                <w:lang w:eastAsia="en-AU"/>
              </w:rPr>
            </w:pPr>
            <w:r w:rsidRPr="00C203E5">
              <w:rPr>
                <w:rFonts w:eastAsiaTheme="minorEastAsia" w:cs="Calibri"/>
                <w:bCs/>
                <w:color w:val="000000"/>
                <w:szCs w:val="17"/>
                <w:lang w:eastAsia="en-AU"/>
              </w:rPr>
              <w:t xml:space="preserve">Net result from transactions: </w:t>
            </w:r>
            <w:r w:rsidRPr="00C203E5">
              <w:rPr>
                <w:rFonts w:eastAsiaTheme="minorEastAsia" w:cs="Calibri"/>
                <w:bCs/>
                <w:i/>
                <w:iCs/>
                <w:color w:val="000000"/>
                <w:szCs w:val="17"/>
                <w:lang w:eastAsia="en-AU"/>
              </w:rPr>
              <w:t>2018-19 Budget</w:t>
            </w:r>
          </w:p>
        </w:tc>
        <w:tc>
          <w:tcPr>
            <w:tcW w:w="850" w:type="dxa"/>
            <w:tcBorders>
              <w:top w:val="nil"/>
              <w:bottom w:val="single" w:sz="12" w:space="0" w:color="auto"/>
            </w:tcBorders>
          </w:tcPr>
          <w:p w:rsidR="00F918C3" w:rsidRPr="00C203E5" w:rsidRDefault="00F918C3" w:rsidP="004471D1">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Helvetica"/>
                <w:bCs/>
                <w:color w:val="000000"/>
                <w:szCs w:val="18"/>
                <w:lang w:eastAsia="en-AU"/>
              </w:rPr>
              <w:t xml:space="preserve">1 </w:t>
            </w:r>
            <w:r w:rsidRPr="00C203E5">
              <w:t>380</w:t>
            </w:r>
          </w:p>
        </w:tc>
        <w:tc>
          <w:tcPr>
            <w:tcW w:w="850" w:type="dxa"/>
            <w:tcBorders>
              <w:top w:val="nil"/>
              <w:bottom w:val="single" w:sz="12" w:space="0" w:color="auto"/>
            </w:tcBorders>
          </w:tcPr>
          <w:p w:rsidR="00F918C3" w:rsidRPr="00C203E5" w:rsidRDefault="00F918C3" w:rsidP="004471D1">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Helvetica"/>
                <w:bCs/>
                <w:color w:val="000000"/>
                <w:szCs w:val="18"/>
                <w:lang w:eastAsia="en-AU"/>
              </w:rPr>
              <w:t xml:space="preserve">1 </w:t>
            </w:r>
            <w:r w:rsidRPr="00C203E5">
              <w:t>971</w:t>
            </w:r>
          </w:p>
        </w:tc>
        <w:tc>
          <w:tcPr>
            <w:tcW w:w="850" w:type="dxa"/>
            <w:tcBorders>
              <w:top w:val="nil"/>
              <w:bottom w:val="single" w:sz="12" w:space="0" w:color="auto"/>
            </w:tcBorders>
          </w:tcPr>
          <w:p w:rsidR="00F918C3" w:rsidRPr="00C203E5" w:rsidRDefault="00F918C3" w:rsidP="004471D1">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Helvetica"/>
                <w:bCs/>
                <w:color w:val="000000"/>
                <w:szCs w:val="18"/>
                <w:lang w:eastAsia="en-AU"/>
              </w:rPr>
              <w:t xml:space="preserve">2 </w:t>
            </w:r>
            <w:r w:rsidRPr="00C203E5">
              <w:t>715</w:t>
            </w:r>
          </w:p>
        </w:tc>
      </w:tr>
    </w:tbl>
    <w:p w:rsidR="00F918C3" w:rsidRPr="00C203E5" w:rsidRDefault="00F918C3" w:rsidP="00590F34">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 xml:space="preserve">(a) </w:t>
      </w:r>
      <w:r w:rsidRPr="00C203E5">
        <w:tab/>
        <w:t>Figures in this table are subject to rounding to the nearest</w:t>
      </w:r>
      <w:r w:rsidR="006371F3">
        <w:t> million</w:t>
      </w:r>
      <w:r w:rsidRPr="00C203E5">
        <w:t xml:space="preserve"> and may not add up to totals.</w:t>
      </w:r>
    </w:p>
    <w:p w:rsidR="00F918C3" w:rsidRPr="00C203E5" w:rsidRDefault="00F918C3" w:rsidP="00423C3D">
      <w:pPr>
        <w:pStyle w:val="Note"/>
      </w:pPr>
      <w:r w:rsidRPr="00C203E5">
        <w:t xml:space="preserve">(b) </w:t>
      </w:r>
      <w:r w:rsidRPr="00C203E5">
        <w:tab/>
      </w:r>
      <w:r>
        <w:t>This is represented in Table 4.5</w:t>
      </w:r>
      <w:r w:rsidRPr="00C203E5">
        <w:t xml:space="preserve"> as the </w:t>
      </w:r>
      <w:r w:rsidRPr="00C203E5">
        <w:rPr>
          <w:i w:val="0"/>
        </w:rPr>
        <w:t>2018</w:t>
      </w:r>
      <w:r w:rsidRPr="00C203E5">
        <w:rPr>
          <w:i w:val="0"/>
        </w:rPr>
        <w:noBreakHyphen/>
        <w:t>19 Budget</w:t>
      </w:r>
      <w:r w:rsidRPr="00C203E5">
        <w:t xml:space="preserve"> output policy decisions.</w:t>
      </w:r>
    </w:p>
    <w:p w:rsidR="00F918C3" w:rsidRPr="00C203E5" w:rsidRDefault="00F918C3" w:rsidP="00423C3D">
      <w:pPr>
        <w:pStyle w:val="Note"/>
      </w:pPr>
      <w:r w:rsidRPr="00C203E5">
        <w:t>(c)</w:t>
      </w:r>
      <w:r w:rsidRPr="00C203E5">
        <w:tab/>
        <w:t>Investment income includes dividends and income tax and rate equivalent revenue.</w:t>
      </w:r>
    </w:p>
    <w:p w:rsidR="00F918C3" w:rsidRPr="00C203E5" w:rsidRDefault="00F918C3" w:rsidP="00423C3D">
      <w:pPr>
        <w:pStyle w:val="Note"/>
      </w:pPr>
      <w:r w:rsidRPr="00C203E5">
        <w:t>(d)</w:t>
      </w:r>
      <w:r w:rsidRPr="00C203E5">
        <w:tab/>
        <w:t xml:space="preserve">Reflects the change in grant revenue as per Note 1.2.4 of Budget Paper No. 5, Chapter 1 </w:t>
      </w:r>
      <w:r w:rsidRPr="00C203E5">
        <w:rPr>
          <w:i w:val="0"/>
        </w:rPr>
        <w:t xml:space="preserve">Grant Revenue </w:t>
      </w:r>
      <w:r w:rsidRPr="00C203E5">
        <w:t xml:space="preserve">less associated expense movements. </w:t>
      </w:r>
    </w:p>
    <w:p w:rsidR="00F918C3" w:rsidRPr="00C203E5" w:rsidRDefault="00F918C3" w:rsidP="00423C3D">
      <w:pPr>
        <w:pStyle w:val="Note"/>
      </w:pPr>
      <w:r w:rsidRPr="00C203E5">
        <w:t>(e)</w:t>
      </w:r>
      <w:r w:rsidRPr="00C203E5">
        <w:tab/>
        <w:t xml:space="preserve">Represents releases from the funding not allocated to specific purposes contingency associated with </w:t>
      </w:r>
      <w:r w:rsidRPr="00C203E5">
        <w:rPr>
          <w:i w:val="0"/>
        </w:rPr>
        <w:t>2018-19 Budget</w:t>
      </w:r>
      <w:r w:rsidRPr="00C203E5">
        <w:t xml:space="preserve"> new output initiatives. Further information on total output contingencies can be found at Note 1.3.5 of Budget Paper No. 5, Chapter 1 </w:t>
      </w:r>
      <w:r w:rsidRPr="00C203E5">
        <w:rPr>
          <w:i w:val="0"/>
        </w:rPr>
        <w:t>Estimated Financial Statements for the General Government Sector</w:t>
      </w:r>
      <w:r w:rsidRPr="00C203E5">
        <w:t xml:space="preserve">. </w:t>
      </w:r>
    </w:p>
    <w:p w:rsidR="00F918C3" w:rsidRPr="00C203E5" w:rsidRDefault="00F918C3">
      <w:pPr>
        <w:keepLines w:val="0"/>
        <w:rPr>
          <w:rFonts w:asciiTheme="majorHAnsi" w:hAnsiTheme="majorHAnsi" w:cstheme="majorBidi"/>
          <w:b/>
          <w:bCs/>
          <w:spacing w:val="-2"/>
          <w:sz w:val="23"/>
          <w:szCs w:val="26"/>
        </w:rPr>
      </w:pPr>
      <w:r w:rsidRPr="00C203E5">
        <w:br w:type="page"/>
      </w:r>
    </w:p>
    <w:p w:rsidR="00F918C3" w:rsidRPr="00C203E5" w:rsidRDefault="00F918C3" w:rsidP="00533657">
      <w:pPr>
        <w:pStyle w:val="Heading30"/>
        <w:rPr>
          <w:rFonts w:eastAsiaTheme="minorHAnsi"/>
          <w:b w:val="0"/>
          <w:i/>
        </w:rPr>
      </w:pPr>
      <w:r w:rsidRPr="00C203E5">
        <w:rPr>
          <w:rFonts w:eastAsiaTheme="minorHAnsi"/>
          <w:b w:val="0"/>
          <w:i/>
        </w:rPr>
        <w:t>Policy variations</w:t>
      </w:r>
    </w:p>
    <w:p w:rsidR="00F918C3" w:rsidRPr="00C203E5" w:rsidRDefault="00F918C3" w:rsidP="00694D60">
      <w:r w:rsidRPr="00C203E5">
        <w:t>Policy variations reflect specific initiatives by the Government that have an impact on the next four years, and are related to a new policy or represent a change in the Government’s existing policy position since the previous publication.</w:t>
      </w:r>
    </w:p>
    <w:p w:rsidR="00F918C3" w:rsidRPr="00C203E5" w:rsidRDefault="00F918C3" w:rsidP="00694D60">
      <w:r w:rsidRPr="00C203E5">
        <w:t xml:space="preserve">The </w:t>
      </w:r>
      <w:r w:rsidRPr="00C203E5">
        <w:rPr>
          <w:i/>
        </w:rPr>
        <w:t>2018</w:t>
      </w:r>
      <w:r w:rsidRPr="00C203E5">
        <w:rPr>
          <w:i/>
        </w:rPr>
        <w:noBreakHyphen/>
        <w:t>19 Budget</w:t>
      </w:r>
      <w:r w:rsidRPr="00C203E5">
        <w:t xml:space="preserve"> funds $9.4</w:t>
      </w:r>
      <w:r w:rsidR="006371F3">
        <w:t> billion</w:t>
      </w:r>
      <w:r w:rsidRPr="00C203E5">
        <w:t xml:space="preserve"> in new output initiatives over the five years to 2021</w:t>
      </w:r>
      <w:r w:rsidRPr="00C203E5">
        <w:noBreakHyphen/>
        <w:t>22. Table 4.5 shows the impact of the new output initiatives in this budget. New revenue policy initiatives have resulted in a moderate downward var</w:t>
      </w:r>
      <w:r>
        <w:t>iation to the operating result</w:t>
      </w:r>
      <w:r>
        <w:fldChar w:fldCharType="begin"/>
      </w:r>
      <w:r>
        <w:instrText xml:space="preserve"> XE "</w:instrText>
      </w:r>
      <w:r w:rsidRPr="00B22DA4">
        <w:instrText>Operating result</w:instrText>
      </w:r>
      <w:r>
        <w:instrText xml:space="preserve">" </w:instrText>
      </w:r>
      <w:r>
        <w:fldChar w:fldCharType="end"/>
      </w:r>
      <w:r>
        <w:t>.</w:t>
      </w:r>
    </w:p>
    <w:p w:rsidR="00F918C3" w:rsidRPr="00C203E5" w:rsidRDefault="00F918C3" w:rsidP="00694D60">
      <w:r w:rsidRPr="00C203E5">
        <w:t xml:space="preserve">Details of specific new output and revenue policy initiatives are contained in Budget Paper No. 3, Chapter 1 </w:t>
      </w:r>
      <w:r w:rsidRPr="00C203E5">
        <w:rPr>
          <w:i/>
        </w:rPr>
        <w:t>Output, Asset Investment, Savings and Revenue Initiatives.</w:t>
      </w:r>
      <w:r w:rsidRPr="00C203E5">
        <w:t xml:space="preserve"> </w:t>
      </w:r>
    </w:p>
    <w:p w:rsidR="00F918C3" w:rsidRPr="002D649A" w:rsidRDefault="00F918C3" w:rsidP="002D649A">
      <w:pPr>
        <w:pStyle w:val="TableHeading"/>
        <w:rPr>
          <w:bCs/>
          <w:lang w:val="en-US"/>
        </w:rPr>
      </w:pPr>
      <w:r w:rsidRPr="00C203E5">
        <w:t>Table 4.5:</w:t>
      </w:r>
      <w:r w:rsidRPr="00C203E5">
        <w:tab/>
        <w:t xml:space="preserve">Net impact of the </w:t>
      </w:r>
      <w:r w:rsidRPr="00C203E5">
        <w:rPr>
          <w:i/>
        </w:rPr>
        <w:t>2018</w:t>
      </w:r>
      <w:r w:rsidRPr="00C203E5">
        <w:rPr>
          <w:i/>
        </w:rPr>
        <w:noBreakHyphen/>
        <w:t>19 Budget</w:t>
      </w:r>
      <w:r w:rsidRPr="00C203E5">
        <w:t xml:space="preserve"> new output initiatives </w:t>
      </w:r>
      <w:r w:rsidRPr="00C203E5">
        <w:rPr>
          <w:vertAlign w:val="superscript"/>
        </w:rPr>
        <w:t>(a)</w:t>
      </w:r>
      <w:r w:rsidRPr="00C203E5">
        <w:t xml:space="preserve"> </w:t>
      </w:r>
      <w:r w:rsidRPr="00C203E5">
        <w:tab/>
        <w:t>($</w:t>
      </w:r>
      <w:r w:rsidR="006371F3">
        <w:t> million</w:t>
      </w:r>
      <w:r w:rsidRPr="00C203E5">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F918C3" w:rsidRPr="002D649A" w:rsidTr="002D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F918C3" w:rsidRPr="002D649A" w:rsidRDefault="00F918C3" w:rsidP="002D649A">
            <w:pPr>
              <w:autoSpaceDE w:val="0"/>
              <w:autoSpaceDN w:val="0"/>
              <w:adjustRightInd w:val="0"/>
              <w:rPr>
                <w:rFonts w:eastAsiaTheme="minorEastAsia" w:cs="Calibri"/>
                <w:iCs/>
                <w:color w:val="FFFFFF"/>
                <w:szCs w:val="17"/>
                <w:lang w:eastAsia="en-AU"/>
              </w:rPr>
            </w:pPr>
            <w:r w:rsidRPr="002D649A">
              <w:rPr>
                <w:rFonts w:eastAsiaTheme="minorEastAsia" w:cs="Calibri"/>
                <w:iCs/>
                <w:color w:val="FFFFFF"/>
                <w:szCs w:val="17"/>
                <w:lang w:eastAsia="en-AU"/>
              </w:rPr>
              <w:t xml:space="preserve"> </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D649A">
              <w:rPr>
                <w:rFonts w:eastAsiaTheme="minorEastAsia" w:cs="Calibri"/>
                <w:iCs/>
                <w:color w:val="FFFFFF"/>
                <w:szCs w:val="17"/>
                <w:lang w:eastAsia="en-AU"/>
              </w:rPr>
              <w:t>2018</w:t>
            </w:r>
            <w:r w:rsidRPr="002D649A">
              <w:rPr>
                <w:rFonts w:eastAsia="MS Gothic" w:cs="MS Gothic" w:hint="eastAsia"/>
                <w:iCs/>
                <w:color w:val="FFFFFF"/>
                <w:szCs w:val="17"/>
                <w:lang w:eastAsia="en-AU"/>
              </w:rPr>
              <w:t>‑</w:t>
            </w:r>
            <w:r w:rsidRPr="002D649A">
              <w:rPr>
                <w:rFonts w:eastAsiaTheme="minorEastAsia" w:cs="Calibri"/>
                <w:iCs/>
                <w:color w:val="FFFFFF"/>
                <w:szCs w:val="17"/>
                <w:lang w:eastAsia="en-AU"/>
              </w:rPr>
              <w:t>19</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D649A">
              <w:rPr>
                <w:rFonts w:eastAsiaTheme="minorEastAsia" w:cs="Calibri"/>
                <w:iCs/>
                <w:color w:val="FFFFFF"/>
                <w:szCs w:val="17"/>
                <w:lang w:eastAsia="en-AU"/>
              </w:rPr>
              <w:t>2019</w:t>
            </w:r>
            <w:r w:rsidRPr="002D649A">
              <w:rPr>
                <w:rFonts w:eastAsia="MS Gothic" w:cs="MS Gothic" w:hint="eastAsia"/>
                <w:iCs/>
                <w:color w:val="FFFFFF"/>
                <w:szCs w:val="17"/>
                <w:lang w:eastAsia="en-AU"/>
              </w:rPr>
              <w:t>‑</w:t>
            </w:r>
            <w:r w:rsidRPr="002D649A">
              <w:rPr>
                <w:rFonts w:eastAsiaTheme="minorEastAsia" w:cs="Calibri"/>
                <w:iCs/>
                <w:color w:val="FFFFFF"/>
                <w:szCs w:val="17"/>
                <w:lang w:eastAsia="en-AU"/>
              </w:rPr>
              <w:t>20</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D649A">
              <w:rPr>
                <w:rFonts w:eastAsiaTheme="minorEastAsia" w:cs="Calibri"/>
                <w:iCs/>
                <w:color w:val="FFFFFF"/>
                <w:szCs w:val="17"/>
                <w:lang w:eastAsia="en-AU"/>
              </w:rPr>
              <w:t>2020</w:t>
            </w:r>
            <w:r w:rsidRPr="002D649A">
              <w:rPr>
                <w:rFonts w:eastAsia="MS Gothic" w:cs="MS Gothic" w:hint="eastAsia"/>
                <w:iCs/>
                <w:color w:val="FFFFFF"/>
                <w:szCs w:val="17"/>
                <w:lang w:eastAsia="en-AU"/>
              </w:rPr>
              <w:t>‑</w:t>
            </w:r>
            <w:r w:rsidRPr="002D649A">
              <w:rPr>
                <w:rFonts w:eastAsiaTheme="minorEastAsia" w:cs="Calibri"/>
                <w:iCs/>
                <w:color w:val="FFFFFF"/>
                <w:szCs w:val="17"/>
                <w:lang w:eastAsia="en-AU"/>
              </w:rPr>
              <w:t>21</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2D649A">
              <w:rPr>
                <w:rFonts w:eastAsiaTheme="minorEastAsia" w:cs="Calibri"/>
                <w:iCs/>
                <w:color w:val="FFFFFF"/>
                <w:szCs w:val="17"/>
                <w:lang w:eastAsia="en-AU"/>
              </w:rPr>
              <w:t>2021</w:t>
            </w:r>
            <w:r w:rsidRPr="002D649A">
              <w:rPr>
                <w:rFonts w:eastAsia="MS Gothic" w:cs="MS Gothic" w:hint="eastAsia"/>
                <w:iCs/>
                <w:color w:val="FFFFFF"/>
                <w:szCs w:val="17"/>
                <w:lang w:eastAsia="en-AU"/>
              </w:rPr>
              <w:t>‑</w:t>
            </w:r>
            <w:r w:rsidRPr="002D649A">
              <w:rPr>
                <w:rFonts w:eastAsiaTheme="minorEastAsia" w:cs="Calibri"/>
                <w:iCs/>
                <w:color w:val="FFFFFF"/>
                <w:szCs w:val="17"/>
                <w:lang w:eastAsia="en-AU"/>
              </w:rPr>
              <w:t>22</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rPr>
                <w:rFonts w:eastAsiaTheme="minorEastAsia" w:cs="Calibri"/>
                <w:i/>
                <w:iCs/>
                <w:color w:val="FFFFFF"/>
                <w:szCs w:val="17"/>
                <w:lang w:eastAsia="en-AU"/>
              </w:rPr>
            </w:pPr>
            <w:r w:rsidRPr="002D649A">
              <w:rPr>
                <w:rFonts w:eastAsiaTheme="minorEastAsia" w:cs="Calibri"/>
                <w:i/>
                <w:iCs/>
                <w:color w:val="FFFFFF"/>
                <w:szCs w:val="17"/>
                <w:lang w:eastAsia="en-AU"/>
              </w:rPr>
              <w:t xml:space="preserve"> </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2D649A">
              <w:rPr>
                <w:rFonts w:eastAsiaTheme="minorEastAsia" w:cs="Calibri"/>
                <w:i/>
                <w:iCs/>
                <w:color w:val="FFFFFF"/>
                <w:szCs w:val="17"/>
                <w:lang w:eastAsia="en-AU"/>
              </w:rPr>
              <w:t>budget</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2D649A">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2D649A">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2D649A">
              <w:rPr>
                <w:rFonts w:eastAsiaTheme="minorEastAsia" w:cs="Calibri"/>
                <w:i/>
                <w:iCs/>
                <w:color w:val="FFFFFF"/>
                <w:szCs w:val="17"/>
                <w:lang w:eastAsia="en-AU"/>
              </w:rPr>
              <w:t>estimate</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2D649A" w:rsidRDefault="00F918C3" w:rsidP="002D649A">
            <w:pPr>
              <w:keepLines w:val="0"/>
              <w:autoSpaceDE w:val="0"/>
              <w:autoSpaceDN w:val="0"/>
              <w:adjustRightInd w:val="0"/>
              <w:rPr>
                <w:rFonts w:eastAsiaTheme="minorEastAsia" w:cs="Calibri"/>
                <w:b/>
                <w:bCs/>
                <w:color w:val="000000"/>
                <w:szCs w:val="17"/>
                <w:lang w:eastAsia="en-AU"/>
              </w:rPr>
            </w:pPr>
            <w:r w:rsidRPr="002D649A">
              <w:rPr>
                <w:rFonts w:eastAsiaTheme="minorEastAsia" w:cs="Calibri"/>
                <w:b/>
                <w:bCs/>
                <w:color w:val="000000"/>
                <w:szCs w:val="17"/>
                <w:lang w:eastAsia="en-AU"/>
              </w:rPr>
              <w:t>New output initiatives</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3 676</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2 261</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1 705</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1 511</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2D649A" w:rsidRDefault="00F918C3" w:rsidP="002D649A">
            <w:pPr>
              <w:keepLines w:val="0"/>
              <w:autoSpaceDE w:val="0"/>
              <w:autoSpaceDN w:val="0"/>
              <w:adjustRightInd w:val="0"/>
              <w:rPr>
                <w:rFonts w:eastAsiaTheme="minorEastAsia" w:cs="Calibri"/>
                <w:color w:val="000000"/>
                <w:szCs w:val="17"/>
                <w:lang w:eastAsia="en-AU"/>
              </w:rPr>
            </w:pPr>
            <w:r w:rsidRPr="002D649A">
              <w:rPr>
                <w:rFonts w:eastAsiaTheme="minorEastAsia" w:cs="Calibri"/>
                <w:color w:val="000000"/>
                <w:szCs w:val="17"/>
                <w:lang w:eastAsia="en-AU"/>
              </w:rPr>
              <w:t>Less:</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 xml:space="preserve"> </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 xml:space="preserve"> </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2D649A" w:rsidRDefault="00F918C3" w:rsidP="002D649A">
            <w:pPr>
              <w:keepLines w:val="0"/>
              <w:autoSpaceDE w:val="0"/>
              <w:autoSpaceDN w:val="0"/>
              <w:adjustRightInd w:val="0"/>
              <w:rPr>
                <w:rFonts w:eastAsiaTheme="minorEastAsia" w:cs="Calibri"/>
                <w:color w:val="000000"/>
                <w:szCs w:val="17"/>
                <w:lang w:eastAsia="en-AU"/>
              </w:rPr>
            </w:pPr>
            <w:r w:rsidRPr="002D649A">
              <w:rPr>
                <w:rFonts w:eastAsiaTheme="minorEastAsia" w:cs="Calibri"/>
                <w:color w:val="000000"/>
                <w:szCs w:val="17"/>
                <w:lang w:eastAsia="en-AU"/>
              </w:rPr>
              <w:t xml:space="preserve">      Reprioritisations and revenue offsets </w:t>
            </w:r>
            <w:r w:rsidRPr="002D649A">
              <w:rPr>
                <w:rFonts w:eastAsiaTheme="minorEastAsia" w:cs="Calibri"/>
                <w:color w:val="000000"/>
                <w:szCs w:val="17"/>
                <w:vertAlign w:val="superscript"/>
                <w:lang w:eastAsia="en-AU"/>
              </w:rPr>
              <w:t>(b)</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575</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543</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388</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414</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2D649A" w:rsidRDefault="00F918C3" w:rsidP="002D649A">
            <w:pPr>
              <w:keepLines w:val="0"/>
              <w:autoSpaceDE w:val="0"/>
              <w:autoSpaceDN w:val="0"/>
              <w:adjustRightInd w:val="0"/>
              <w:rPr>
                <w:rFonts w:eastAsiaTheme="minorEastAsia" w:cs="Calibri"/>
                <w:color w:val="000000"/>
                <w:szCs w:val="17"/>
                <w:lang w:eastAsia="en-AU"/>
              </w:rPr>
            </w:pPr>
            <w:r w:rsidRPr="002D649A">
              <w:rPr>
                <w:rFonts w:eastAsiaTheme="minorEastAsia" w:cs="Calibri"/>
                <w:color w:val="000000"/>
                <w:szCs w:val="17"/>
                <w:lang w:eastAsia="en-AU"/>
              </w:rPr>
              <w:t xml:space="preserve">      Adjustments </w:t>
            </w:r>
            <w:r w:rsidRPr="002D649A">
              <w:rPr>
                <w:rFonts w:eastAsiaTheme="minorEastAsia" w:cs="Calibri"/>
                <w:color w:val="000000"/>
                <w:szCs w:val="17"/>
                <w:vertAlign w:val="superscript"/>
                <w:lang w:eastAsia="en-AU"/>
              </w:rPr>
              <w:t>(c)</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229</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436</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466</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372</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2D649A" w:rsidRDefault="00F918C3" w:rsidP="002D649A">
            <w:pPr>
              <w:keepLines w:val="0"/>
              <w:autoSpaceDE w:val="0"/>
              <w:autoSpaceDN w:val="0"/>
              <w:adjustRightInd w:val="0"/>
              <w:rPr>
                <w:rFonts w:eastAsiaTheme="minorEastAsia" w:cs="Calibri"/>
                <w:color w:val="000000"/>
                <w:szCs w:val="17"/>
                <w:lang w:eastAsia="en-AU"/>
              </w:rPr>
            </w:pPr>
            <w:r w:rsidRPr="002D649A">
              <w:rPr>
                <w:rFonts w:eastAsiaTheme="minorEastAsia" w:cs="Calibri"/>
                <w:color w:val="000000"/>
                <w:szCs w:val="17"/>
                <w:lang w:eastAsia="en-AU"/>
              </w:rPr>
              <w:t xml:space="preserve">      Savings</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D649A">
              <w:rPr>
                <w:rFonts w:eastAsiaTheme="minorEastAsia" w:cs="Calibri"/>
                <w:color w:val="000000"/>
                <w:szCs w:val="17"/>
                <w:lang w:eastAsia="en-AU"/>
              </w:rPr>
              <w:t>..</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D649A">
              <w:rPr>
                <w:rFonts w:eastAsiaTheme="minorEastAsia" w:cs="Calibri"/>
                <w:color w:val="000000"/>
                <w:szCs w:val="17"/>
                <w:lang w:eastAsia="en-AU"/>
              </w:rPr>
              <w:t>..</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D649A">
              <w:rPr>
                <w:rFonts w:eastAsiaTheme="minorEastAsia" w:cs="Calibri"/>
                <w:color w:val="000000"/>
                <w:szCs w:val="17"/>
                <w:lang w:eastAsia="en-AU"/>
              </w:rPr>
              <w:t>..</w:t>
            </w:r>
          </w:p>
        </w:tc>
        <w:tc>
          <w:tcPr>
            <w:tcW w:w="850" w:type="dxa"/>
            <w:tcBorders>
              <w:top w:val="nil"/>
              <w:left w:val="nil"/>
              <w:bottom w:val="nil"/>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2D649A">
              <w:rPr>
                <w:rFonts w:eastAsiaTheme="minorEastAsia" w:cs="Calibri"/>
                <w:color w:val="000000"/>
                <w:szCs w:val="17"/>
                <w:lang w:eastAsia="en-AU"/>
              </w:rPr>
              <w:t>..</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rPr>
                <w:rFonts w:eastAsiaTheme="minorEastAsia" w:cs="Calibri"/>
                <w:b/>
                <w:bCs/>
                <w:i/>
                <w:iCs/>
                <w:color w:val="000000"/>
                <w:szCs w:val="17"/>
                <w:lang w:eastAsia="en-AU"/>
              </w:rPr>
            </w:pPr>
            <w:r w:rsidRPr="002D649A">
              <w:rPr>
                <w:rFonts w:eastAsiaTheme="minorEastAsia" w:cs="Calibri"/>
                <w:b/>
                <w:bCs/>
                <w:color w:val="000000"/>
                <w:szCs w:val="17"/>
                <w:lang w:eastAsia="en-AU"/>
              </w:rPr>
              <w:t>2018-19 Budget</w:t>
            </w:r>
            <w:r w:rsidRPr="002D649A">
              <w:rPr>
                <w:rFonts w:eastAsiaTheme="minorEastAsia" w:cs="Calibri"/>
                <w:b/>
                <w:bCs/>
                <w:i/>
                <w:iCs/>
                <w:color w:val="000000"/>
                <w:szCs w:val="17"/>
                <w:lang w:eastAsia="en-AU"/>
              </w:rPr>
              <w:t xml:space="preserve"> output policy initiatives</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2 872</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2D649A">
              <w:rPr>
                <w:rFonts w:eastAsiaTheme="minorEastAsia" w:cs="Calibri"/>
                <w:b/>
                <w:bCs/>
                <w:color w:val="000000"/>
                <w:szCs w:val="17"/>
                <w:lang w:eastAsia="en-AU"/>
              </w:rPr>
              <w:t>1 282</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b/>
                <w:bCs/>
                <w:color w:val="000000"/>
                <w:szCs w:val="17"/>
                <w:lang w:eastAsia="en-AU"/>
              </w:rPr>
              <w:t xml:space="preserve"> 852</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b/>
                <w:bCs/>
                <w:color w:val="000000"/>
                <w:szCs w:val="17"/>
                <w:lang w:eastAsia="en-AU"/>
              </w:rPr>
              <w:t xml:space="preserve"> 726</w:t>
            </w:r>
          </w:p>
        </w:tc>
      </w:tr>
      <w:tr w:rsidR="00F918C3" w:rsidRPr="002D649A" w:rsidTr="002D649A">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rPr>
                <w:rFonts w:eastAsiaTheme="minorEastAsia" w:cs="Calibri"/>
                <w:color w:val="000000"/>
                <w:szCs w:val="17"/>
                <w:lang w:eastAsia="en-AU"/>
              </w:rPr>
            </w:pPr>
            <w:r w:rsidRPr="002D649A">
              <w:rPr>
                <w:rFonts w:eastAsiaTheme="minorEastAsia" w:cs="Calibri"/>
                <w:color w:val="000000"/>
                <w:szCs w:val="17"/>
                <w:lang w:eastAsia="en-AU"/>
              </w:rPr>
              <w:t xml:space="preserve">Less: contingency offset for new policy </w:t>
            </w:r>
            <w:r w:rsidRPr="002D649A">
              <w:rPr>
                <w:rFonts w:eastAsiaTheme="minorEastAsia" w:cs="Calibri"/>
                <w:color w:val="000000"/>
                <w:szCs w:val="17"/>
                <w:vertAlign w:val="superscript"/>
                <w:lang w:eastAsia="en-AU"/>
              </w:rPr>
              <w:t>(d)</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300</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500</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800</w:t>
            </w:r>
          </w:p>
        </w:tc>
        <w:tc>
          <w:tcPr>
            <w:tcW w:w="850" w:type="dxa"/>
            <w:tcBorders>
              <w:top w:val="single" w:sz="6" w:space="0" w:color="auto"/>
              <w:left w:val="nil"/>
              <w:bottom w:val="single" w:sz="6" w:space="0" w:color="auto"/>
              <w:right w:val="nil"/>
            </w:tcBorders>
          </w:tcPr>
          <w:p w:rsidR="00F918C3" w:rsidRPr="002D649A" w:rsidRDefault="00F918C3" w:rsidP="002D649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D649A">
              <w:rPr>
                <w:rFonts w:eastAsiaTheme="minorEastAsia" w:cs="Calibri"/>
                <w:color w:val="000000"/>
                <w:szCs w:val="17"/>
                <w:lang w:eastAsia="en-AU"/>
              </w:rPr>
              <w:t xml:space="preserve"> 800</w:t>
            </w:r>
          </w:p>
        </w:tc>
      </w:tr>
      <w:tr w:rsidR="00F918C3" w:rsidRPr="002D649A" w:rsidTr="002D649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12" w:space="0" w:color="auto"/>
            </w:tcBorders>
          </w:tcPr>
          <w:p w:rsidR="00F918C3" w:rsidRPr="002D649A" w:rsidRDefault="00F918C3" w:rsidP="002D649A">
            <w:pPr>
              <w:keepLines w:val="0"/>
              <w:autoSpaceDE w:val="0"/>
              <w:autoSpaceDN w:val="0"/>
              <w:adjustRightInd w:val="0"/>
              <w:rPr>
                <w:rFonts w:eastAsiaTheme="minorEastAsia" w:cs="Calibri"/>
                <w:bCs/>
                <w:color w:val="000000"/>
                <w:szCs w:val="17"/>
                <w:lang w:eastAsia="en-AU"/>
              </w:rPr>
            </w:pPr>
            <w:r w:rsidRPr="002D649A">
              <w:rPr>
                <w:rFonts w:eastAsiaTheme="minorEastAsia" w:cs="Calibri"/>
                <w:bCs/>
                <w:color w:val="000000"/>
                <w:szCs w:val="17"/>
                <w:lang w:eastAsia="en-AU"/>
              </w:rPr>
              <w:t xml:space="preserve">Net impact </w:t>
            </w:r>
          </w:p>
        </w:tc>
        <w:tc>
          <w:tcPr>
            <w:tcW w:w="850" w:type="dxa"/>
            <w:tcBorders>
              <w:top w:val="nil"/>
              <w:bottom w:val="single" w:sz="12" w:space="0" w:color="auto"/>
            </w:tcBorders>
          </w:tcPr>
          <w:p w:rsidR="00F918C3" w:rsidRPr="002D649A" w:rsidRDefault="00F918C3" w:rsidP="002D649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2D649A">
              <w:rPr>
                <w:rFonts w:eastAsiaTheme="minorEastAsia" w:cs="Calibri"/>
                <w:bCs/>
                <w:color w:val="000000"/>
                <w:szCs w:val="17"/>
                <w:lang w:eastAsia="en-AU"/>
              </w:rPr>
              <w:t>2 572</w:t>
            </w:r>
          </w:p>
        </w:tc>
        <w:tc>
          <w:tcPr>
            <w:tcW w:w="850" w:type="dxa"/>
            <w:tcBorders>
              <w:top w:val="nil"/>
              <w:bottom w:val="single" w:sz="12" w:space="0" w:color="auto"/>
            </w:tcBorders>
          </w:tcPr>
          <w:p w:rsidR="00F918C3" w:rsidRPr="002D649A" w:rsidRDefault="00F918C3" w:rsidP="002D649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2D649A">
              <w:rPr>
                <w:rFonts w:eastAsiaTheme="minorEastAsia" w:cs="Calibri"/>
                <w:bCs/>
                <w:color w:val="000000"/>
                <w:szCs w:val="17"/>
                <w:lang w:eastAsia="en-AU"/>
              </w:rPr>
              <w:t xml:space="preserve"> 782</w:t>
            </w:r>
          </w:p>
        </w:tc>
        <w:tc>
          <w:tcPr>
            <w:tcW w:w="850" w:type="dxa"/>
            <w:tcBorders>
              <w:top w:val="nil"/>
              <w:bottom w:val="single" w:sz="12" w:space="0" w:color="auto"/>
            </w:tcBorders>
          </w:tcPr>
          <w:p w:rsidR="00F918C3" w:rsidRPr="002D649A" w:rsidRDefault="00F918C3" w:rsidP="002D649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2D649A">
              <w:rPr>
                <w:rFonts w:eastAsiaTheme="minorEastAsia" w:cs="Calibri"/>
                <w:bCs/>
                <w:color w:val="000000"/>
                <w:szCs w:val="17"/>
                <w:lang w:eastAsia="en-AU"/>
              </w:rPr>
              <w:t xml:space="preserve"> 52</w:t>
            </w:r>
          </w:p>
        </w:tc>
        <w:tc>
          <w:tcPr>
            <w:tcW w:w="850" w:type="dxa"/>
            <w:tcBorders>
              <w:top w:val="nil"/>
              <w:bottom w:val="single" w:sz="12" w:space="0" w:color="auto"/>
            </w:tcBorders>
          </w:tcPr>
          <w:p w:rsidR="00F918C3" w:rsidRPr="002D649A" w:rsidRDefault="00F918C3" w:rsidP="002D649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7"/>
                <w:lang w:eastAsia="en-AU"/>
              </w:rPr>
              <w:t xml:space="preserve"> (</w:t>
            </w:r>
            <w:r w:rsidRPr="002D649A">
              <w:rPr>
                <w:rFonts w:eastAsiaTheme="minorEastAsia" w:cs="Calibri"/>
                <w:bCs/>
                <w:color w:val="000000"/>
                <w:szCs w:val="17"/>
                <w:lang w:eastAsia="en-AU"/>
              </w:rPr>
              <w:t>74</w:t>
            </w:r>
            <w:r w:rsidRPr="002D649A">
              <w:t>)</w:t>
            </w:r>
          </w:p>
        </w:tc>
      </w:tr>
    </w:tbl>
    <w:p w:rsidR="00F918C3" w:rsidRPr="00C203E5" w:rsidRDefault="00F918C3" w:rsidP="006E2344">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(a)</w:t>
      </w:r>
      <w:r w:rsidRPr="00C203E5">
        <w:tab/>
        <w:t>Figures in this table are subject to rounding to the nearest</w:t>
      </w:r>
      <w:r w:rsidR="006371F3">
        <w:t> million</w:t>
      </w:r>
      <w:r w:rsidRPr="00C203E5">
        <w:t xml:space="preserve"> and may not add up to totals.</w:t>
      </w:r>
    </w:p>
    <w:p w:rsidR="00F918C3" w:rsidRPr="00C203E5" w:rsidRDefault="00F918C3" w:rsidP="00423C3D">
      <w:pPr>
        <w:pStyle w:val="Note"/>
      </w:pPr>
      <w:r w:rsidRPr="00C203E5">
        <w:t>(b)</w:t>
      </w:r>
      <w:r w:rsidRPr="00C203E5">
        <w:tab/>
        <w:t>This includes the reprioritisation of resources previously allocated to departments and revenue offsets.</w:t>
      </w:r>
    </w:p>
    <w:p w:rsidR="00F918C3" w:rsidRPr="00C203E5" w:rsidRDefault="00F918C3" w:rsidP="00423C3D">
      <w:pPr>
        <w:pStyle w:val="Note"/>
      </w:pPr>
      <w:r w:rsidRPr="00C203E5">
        <w:t>(c)</w:t>
      </w:r>
      <w:r w:rsidRPr="00C203E5">
        <w:tab/>
        <w:t>Primarily incorporates the net impact of the creation and release of contingencies held for decisions made but not yet allocated.</w:t>
      </w:r>
    </w:p>
    <w:p w:rsidR="00F918C3" w:rsidRPr="00C203E5" w:rsidRDefault="00F918C3" w:rsidP="00423C3D">
      <w:pPr>
        <w:pStyle w:val="Note"/>
      </w:pPr>
      <w:r w:rsidRPr="00C203E5">
        <w:t>(d)</w:t>
      </w:r>
      <w:r w:rsidRPr="00C203E5">
        <w:tab/>
        <w:t xml:space="preserve">Represents releases from the funding not allocated to specific purposes contingency associated with </w:t>
      </w:r>
      <w:r w:rsidRPr="00C203E5">
        <w:rPr>
          <w:i w:val="0"/>
        </w:rPr>
        <w:t>2018-19 Budget</w:t>
      </w:r>
      <w:r w:rsidRPr="00C203E5">
        <w:t xml:space="preserve"> new output initiatives. Further information on total output contingencies can be found at Note 1.3.5 of Budget Paper No. 5, Chapter 1 </w:t>
      </w:r>
      <w:r w:rsidRPr="00C203E5">
        <w:rPr>
          <w:i w:val="0"/>
        </w:rPr>
        <w:t>Estimated Financial Statements for the General Government Sector</w:t>
      </w:r>
      <w:r w:rsidRPr="00C203E5">
        <w:t xml:space="preserve">.  </w:t>
      </w:r>
    </w:p>
    <w:p w:rsidR="00F918C3" w:rsidRPr="00C203E5" w:rsidRDefault="00F918C3" w:rsidP="00423C3D">
      <w:pPr>
        <w:pStyle w:val="Heading4"/>
        <w:rPr>
          <w:rFonts w:eastAsiaTheme="minorHAnsi"/>
        </w:rPr>
      </w:pPr>
      <w:r w:rsidRPr="00C203E5">
        <w:rPr>
          <w:rFonts w:eastAsiaTheme="minorHAnsi"/>
        </w:rPr>
        <w:t>Economic and demographic variations</w:t>
      </w:r>
    </w:p>
    <w:p w:rsidR="00F918C3" w:rsidRPr="00C203E5" w:rsidRDefault="00F918C3" w:rsidP="00BA07FF">
      <w:pPr>
        <w:rPr>
          <w:i/>
          <w:iCs/>
        </w:rPr>
      </w:pPr>
      <w:r w:rsidRPr="00C203E5">
        <w:t xml:space="preserve">Since the </w:t>
      </w:r>
      <w:r w:rsidRPr="00A93143">
        <w:rPr>
          <w:i/>
        </w:rPr>
        <w:t>2017</w:t>
      </w:r>
      <w:r w:rsidRPr="00A93143">
        <w:rPr>
          <w:i/>
        </w:rPr>
        <w:noBreakHyphen/>
      </w:r>
      <w:r w:rsidRPr="00C203E5">
        <w:rPr>
          <w:i/>
        </w:rPr>
        <w:t>18 Budget Update</w:t>
      </w:r>
      <w:r w:rsidRPr="00C203E5">
        <w:t>, economic and demographic factors have affected taxation and investment income:</w:t>
      </w:r>
    </w:p>
    <w:p w:rsidR="00F918C3" w:rsidRPr="00C203E5" w:rsidRDefault="00F918C3" w:rsidP="005E7A0A">
      <w:pPr>
        <w:pStyle w:val="ListBullet"/>
        <w:numPr>
          <w:ilvl w:val="0"/>
          <w:numId w:val="26"/>
        </w:numPr>
      </w:pPr>
      <w:r w:rsidRPr="00C203E5">
        <w:t>land tax revenue is forecast to be $141</w:t>
      </w:r>
      <w:r w:rsidR="006371F3">
        <w:t> million</w:t>
      </w:r>
      <w:r w:rsidRPr="00C203E5">
        <w:t xml:space="preserve"> a year higher on average from 2018</w:t>
      </w:r>
      <w:r w:rsidRPr="00C203E5">
        <w:noBreakHyphen/>
        <w:t>19 to 2020</w:t>
      </w:r>
      <w:r w:rsidRPr="00C203E5">
        <w:noBreakHyphen/>
        <w:t xml:space="preserve">21 compared with the </w:t>
      </w:r>
      <w:r w:rsidRPr="00C203E5">
        <w:rPr>
          <w:i/>
        </w:rPr>
        <w:t>2017</w:t>
      </w:r>
      <w:r w:rsidRPr="00C203E5">
        <w:rPr>
          <w:i/>
        </w:rPr>
        <w:noBreakHyphen/>
        <w:t>18 Budget Update</w:t>
      </w:r>
      <w:r w:rsidRPr="00C203E5">
        <w:t xml:space="preserve">. This largely reflects updated valuation data from the VGV suggesting that the recent strength in the property market will translate into significant increases in the value of residential, commercial and industrial land; </w:t>
      </w:r>
    </w:p>
    <w:p w:rsidR="00F918C3" w:rsidRPr="00C203E5" w:rsidRDefault="00F918C3" w:rsidP="005E7A0A">
      <w:pPr>
        <w:pStyle w:val="ListBullet"/>
        <w:numPr>
          <w:ilvl w:val="0"/>
          <w:numId w:val="26"/>
        </w:numPr>
      </w:pPr>
      <w:r w:rsidRPr="00C203E5">
        <w:t>land transfer duty is expected to be $101</w:t>
      </w:r>
      <w:r w:rsidR="006371F3">
        <w:t> million</w:t>
      </w:r>
      <w:r w:rsidRPr="00C203E5">
        <w:t xml:space="preserve"> a year higher on average from 2018</w:t>
      </w:r>
      <w:r w:rsidRPr="00C203E5">
        <w:noBreakHyphen/>
        <w:t>19 to 2020</w:t>
      </w:r>
      <w:r w:rsidRPr="00C203E5">
        <w:noBreakHyphen/>
        <w:t xml:space="preserve">21 compared with the </w:t>
      </w:r>
      <w:r w:rsidRPr="00C203E5">
        <w:rPr>
          <w:i/>
        </w:rPr>
        <w:t>2017</w:t>
      </w:r>
      <w:r w:rsidRPr="00C203E5">
        <w:rPr>
          <w:i/>
        </w:rPr>
        <w:noBreakHyphen/>
        <w:t>18 Budget Update</w:t>
      </w:r>
      <w:r w:rsidRPr="00C203E5">
        <w:t xml:space="preserve">, reflecting </w:t>
      </w:r>
      <w:r>
        <w:t>strong commercial activity in 2017-18 and 2018-19 partially offset by more moderate growth in the residential housing market over this period</w:t>
      </w:r>
      <w:r w:rsidRPr="00C203E5">
        <w:t>; and</w:t>
      </w:r>
    </w:p>
    <w:p w:rsidR="00F918C3" w:rsidRPr="00C203E5" w:rsidRDefault="00F918C3" w:rsidP="005E7A0A">
      <w:pPr>
        <w:pStyle w:val="ListBullet"/>
        <w:numPr>
          <w:ilvl w:val="0"/>
          <w:numId w:val="26"/>
        </w:numPr>
      </w:pPr>
      <w:r w:rsidRPr="00C203E5">
        <w:t>total investment income is expected to be $108</w:t>
      </w:r>
      <w:r w:rsidR="006371F3">
        <w:t> million</w:t>
      </w:r>
      <w:r w:rsidRPr="00C203E5">
        <w:t xml:space="preserve"> higher on average from 2018</w:t>
      </w:r>
      <w:r w:rsidRPr="00C203E5">
        <w:noBreakHyphen/>
        <w:t>19 to 2020</w:t>
      </w:r>
      <w:r w:rsidRPr="00C203E5">
        <w:noBreakHyphen/>
        <w:t xml:space="preserve">21, largely reflecting a rephase of dividends from the PFC sector. </w:t>
      </w:r>
    </w:p>
    <w:p w:rsidR="00F918C3" w:rsidRPr="00C203E5" w:rsidRDefault="00F918C3" w:rsidP="00423C3D">
      <w:pPr>
        <w:pStyle w:val="Heading4"/>
        <w:rPr>
          <w:rFonts w:eastAsiaTheme="minorHAnsi"/>
        </w:rPr>
      </w:pPr>
      <w:r w:rsidRPr="00C203E5">
        <w:rPr>
          <w:rFonts w:eastAsiaTheme="minorHAnsi"/>
        </w:rPr>
        <w:t>Commonwealth</w:t>
      </w:r>
      <w:r w:rsidR="008C27C4">
        <w:rPr>
          <w:rFonts w:eastAsiaTheme="minorHAnsi"/>
        </w:rPr>
        <w:fldChar w:fldCharType="begin"/>
      </w:r>
      <w:r w:rsidR="008C27C4">
        <w:instrText xml:space="preserve"> XE "</w:instrText>
      </w:r>
      <w:r w:rsidR="008C27C4" w:rsidRPr="00EF1E91">
        <w:instrText>Commonwealth</w:instrText>
      </w:r>
      <w:r w:rsidR="008C27C4">
        <w:instrText xml:space="preserve">" </w:instrText>
      </w:r>
      <w:r w:rsidR="008C27C4">
        <w:rPr>
          <w:rFonts w:eastAsiaTheme="minorHAnsi"/>
        </w:rPr>
        <w:fldChar w:fldCharType="end"/>
      </w:r>
      <w:r w:rsidRPr="00C203E5">
        <w:rPr>
          <w:rFonts w:eastAsiaTheme="minorHAnsi"/>
        </w:rPr>
        <w:t xml:space="preserve"> grants variations</w:t>
      </w:r>
    </w:p>
    <w:p w:rsidR="00F918C3" w:rsidRPr="00C203E5" w:rsidRDefault="00F918C3" w:rsidP="00BA07FF">
      <w:pPr>
        <w:rPr>
          <w:i/>
          <w:iCs/>
        </w:rPr>
      </w:pPr>
      <w:r w:rsidRPr="00C203E5">
        <w:t>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general purpose grants</w:t>
      </w:r>
      <w:r>
        <w:fldChar w:fldCharType="begin"/>
      </w:r>
      <w:r>
        <w:instrText xml:space="preserve"> XE "</w:instrText>
      </w:r>
      <w:r w:rsidRPr="00D02DCA">
        <w:instrText>Grants:Commonwealth</w:instrText>
      </w:r>
      <w:r>
        <w:instrText xml:space="preserve">" </w:instrText>
      </w:r>
      <w:r>
        <w:fldChar w:fldCharType="end"/>
      </w:r>
      <w:r w:rsidRPr="00C203E5">
        <w:t xml:space="preserve"> (or GST grants) estimates have been revised up by $713</w:t>
      </w:r>
      <w:r w:rsidR="006371F3">
        <w:t> million</w:t>
      </w:r>
      <w:r w:rsidRPr="00C203E5">
        <w:t xml:space="preserve"> in 2018</w:t>
      </w:r>
      <w:r w:rsidRPr="00C203E5">
        <w:noBreakHyphen/>
        <w:t>19, $507</w:t>
      </w:r>
      <w:r w:rsidR="006371F3">
        <w:t> million</w:t>
      </w:r>
      <w:r w:rsidRPr="00C203E5">
        <w:t xml:space="preserve"> in 2019</w:t>
      </w:r>
      <w:r w:rsidRPr="00C203E5">
        <w:noBreakHyphen/>
        <w:t>20 and $96</w:t>
      </w:r>
      <w:r w:rsidR="006371F3">
        <w:t> million</w:t>
      </w:r>
      <w:r w:rsidRPr="00C203E5">
        <w:t xml:space="preserve"> in 2020</w:t>
      </w:r>
      <w:r w:rsidRPr="00C203E5">
        <w:noBreakHyphen/>
        <w:t xml:space="preserve">21 compared with the </w:t>
      </w:r>
      <w:r w:rsidRPr="00C203E5">
        <w:rPr>
          <w:i/>
        </w:rPr>
        <w:t>2017</w:t>
      </w:r>
      <w:r w:rsidRPr="00C203E5">
        <w:rPr>
          <w:i/>
        </w:rPr>
        <w:noBreakHyphen/>
        <w:t>18 Budget Update</w:t>
      </w:r>
      <w:r w:rsidRPr="00C203E5">
        <w:t>.</w:t>
      </w:r>
    </w:p>
    <w:p w:rsidR="00F918C3" w:rsidRPr="00C203E5" w:rsidRDefault="00F918C3" w:rsidP="00BA07FF">
      <w:pPr>
        <w:rPr>
          <w:i/>
          <w:iCs/>
        </w:rPr>
      </w:pPr>
      <w:r w:rsidRPr="00C203E5">
        <w:t>Net changes to specific purpose grants have increased the operating result</w:t>
      </w:r>
      <w:r>
        <w:fldChar w:fldCharType="begin"/>
      </w:r>
      <w:r>
        <w:instrText xml:space="preserve"> XE "</w:instrText>
      </w:r>
      <w:r w:rsidRPr="00B22DA4">
        <w:instrText>Operating result</w:instrText>
      </w:r>
      <w:r>
        <w:instrText xml:space="preserve">" </w:instrText>
      </w:r>
      <w:r>
        <w:fldChar w:fldCharType="end"/>
      </w:r>
      <w:r w:rsidRPr="00C203E5">
        <w:t xml:space="preserve"> by $31</w:t>
      </w:r>
      <w:r w:rsidR="006371F3">
        <w:t> million</w:t>
      </w:r>
      <w:r w:rsidRPr="00C203E5">
        <w:t xml:space="preserve"> in 2018</w:t>
      </w:r>
      <w:r w:rsidRPr="00C203E5">
        <w:noBreakHyphen/>
        <w:t>19. This is largely due to revenue for the National Water Infrastructure Development Fund, the National Disability SPP and an update to revenue associated with the Goulburn</w:t>
      </w:r>
      <w:r w:rsidRPr="00C203E5">
        <w:noBreakHyphen/>
        <w:t xml:space="preserve">Murray Water Connections Project. Over the forward estimates the level of grants are largely unchanged. </w:t>
      </w:r>
    </w:p>
    <w:p w:rsidR="00F918C3" w:rsidRPr="00C203E5" w:rsidRDefault="00F918C3" w:rsidP="00C614F3">
      <w:pPr>
        <w:pStyle w:val="Heading4"/>
        <w:rPr>
          <w:rFonts w:eastAsiaTheme="minorHAnsi"/>
        </w:rPr>
      </w:pPr>
      <w:r w:rsidRPr="00C203E5">
        <w:rPr>
          <w:rFonts w:eastAsiaTheme="minorHAnsi"/>
        </w:rPr>
        <w:t>Administrative variations</w:t>
      </w:r>
    </w:p>
    <w:p w:rsidR="00F918C3" w:rsidRPr="00C203E5" w:rsidRDefault="00F918C3" w:rsidP="00BA07FF">
      <w:pPr>
        <w:rPr>
          <w:i/>
          <w:iCs/>
        </w:rPr>
      </w:pPr>
      <w:r w:rsidRPr="00C203E5">
        <w:t>Other administrative variations are expected to increase the operating result by $484</w:t>
      </w:r>
      <w:r w:rsidR="006371F3">
        <w:t> million</w:t>
      </w:r>
      <w:r w:rsidRPr="00C203E5">
        <w:t xml:space="preserve"> in 2018</w:t>
      </w:r>
      <w:r w:rsidRPr="00C203E5">
        <w:noBreakHyphen/>
        <w:t>19, decrease it by $28</w:t>
      </w:r>
      <w:r w:rsidR="006371F3">
        <w:t> million</w:t>
      </w:r>
      <w:r w:rsidRPr="00C203E5">
        <w:t xml:space="preserve"> in 2019</w:t>
      </w:r>
      <w:r w:rsidRPr="00C203E5">
        <w:noBreakHyphen/>
        <w:t>20 and decrease it by $125</w:t>
      </w:r>
      <w:r w:rsidR="006371F3">
        <w:t> million</w:t>
      </w:r>
      <w:r w:rsidRPr="00C203E5">
        <w:t xml:space="preserve"> in 2020</w:t>
      </w:r>
      <w:r w:rsidRPr="00C203E5">
        <w:noBreakHyphen/>
        <w:t>21. These movements reflect depreciation adjustments to the VicRoads asset base, a decrease in superannuation expenses due to movements in the discount rate that underlie the key valuation assumptions and updates to outer entity financials in line with corporate plans.</w:t>
      </w:r>
    </w:p>
    <w:p w:rsidR="00F918C3" w:rsidRPr="00C203E5" w:rsidRDefault="00F918C3" w:rsidP="00BC55B0">
      <w:pPr>
        <w:pStyle w:val="Heading20"/>
        <w:rPr>
          <w:rFonts w:eastAsiaTheme="minorHAnsi"/>
        </w:rPr>
      </w:pPr>
      <w:r w:rsidRPr="00C203E5">
        <w:rPr>
          <w:rFonts w:eastAsiaTheme="minorHAnsi"/>
        </w:rPr>
        <w:t>Capital expenditure</w:t>
      </w:r>
    </w:p>
    <w:p w:rsidR="00F918C3" w:rsidRPr="00C203E5" w:rsidRDefault="00F918C3" w:rsidP="00401EC9">
      <w:r w:rsidRPr="00C203E5">
        <w:t>GII</w:t>
      </w:r>
      <w:r>
        <w:fldChar w:fldCharType="begin"/>
      </w:r>
      <w:r>
        <w:instrText xml:space="preserve"> XE "</w:instrText>
      </w:r>
      <w:r w:rsidRPr="00D02DCA">
        <w:instrText>Government infrastructure investment</w:instrText>
      </w:r>
      <w:r>
        <w:instrText xml:space="preserve">" </w:instrText>
      </w:r>
      <w:r>
        <w:fldChar w:fldCharType="end"/>
      </w:r>
      <w:r w:rsidRPr="00C203E5">
        <w:t xml:space="preserve">, which measures investment funded or facilitated by the Government, is at historically high levels. </w:t>
      </w:r>
    </w:p>
    <w:p w:rsidR="00F918C3" w:rsidRPr="00C203E5" w:rsidRDefault="00F918C3" w:rsidP="00401EC9">
      <w:r w:rsidRPr="00C203E5">
        <w:t>GII is forecast to average $10.1</w:t>
      </w:r>
      <w:r w:rsidR="006371F3">
        <w:t> billion</w:t>
      </w:r>
      <w:r w:rsidRPr="00C203E5">
        <w:t xml:space="preserve"> a year over the budget and forward estimates, more than double the average GII from 2005</w:t>
      </w:r>
      <w:r w:rsidRPr="00C203E5">
        <w:noBreakHyphen/>
        <w:t>06 to 2014</w:t>
      </w:r>
      <w:r w:rsidRPr="00C203E5">
        <w:noBreakHyphen/>
        <w:t>15 of $4.9</w:t>
      </w:r>
      <w:r w:rsidR="006371F3">
        <w:t> billion</w:t>
      </w:r>
      <w:r w:rsidRPr="00C203E5">
        <w:t xml:space="preserve"> a year (Chart 4.1). </w:t>
      </w:r>
    </w:p>
    <w:p w:rsidR="00F918C3" w:rsidRPr="00C203E5" w:rsidRDefault="00F918C3" w:rsidP="00D63256">
      <w:pPr>
        <w:pStyle w:val="TableHeading"/>
        <w:ind w:left="0" w:firstLine="0"/>
      </w:pPr>
      <w:r w:rsidRPr="00C203E5">
        <w:t>Chart 4.1:</w:t>
      </w:r>
      <w:r w:rsidRPr="00C203E5">
        <w:tab/>
        <w:t xml:space="preserve">Government infrastructure investment </w:t>
      </w:r>
      <w:r w:rsidRPr="00C203E5">
        <w:rPr>
          <w:vertAlign w:val="superscript"/>
        </w:rPr>
        <w:t>(a)(b)(c)</w:t>
      </w:r>
    </w:p>
    <w:p w:rsidR="00F918C3" w:rsidRPr="00C203E5" w:rsidRDefault="00A9166F" w:rsidP="00590F34">
      <w:r>
        <w:pict>
          <v:shape id="_x0000_i1043" type="#_x0000_t75" style="width:381.3pt;height:261.5pt">
            <v:imagedata r:id="rId48" o:title=""/>
          </v:shape>
        </w:pict>
      </w:r>
    </w:p>
    <w:p w:rsidR="00F918C3" w:rsidRPr="00C203E5" w:rsidRDefault="00F918C3" w:rsidP="00423C3D">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(a)</w:t>
      </w:r>
      <w:r w:rsidRPr="00C203E5">
        <w:tab/>
        <w:t>Includes general government net infrastructure investment and estimated cash flows for Partnerships Victoria projects.</w:t>
      </w:r>
    </w:p>
    <w:p w:rsidR="00F918C3" w:rsidRPr="00C203E5" w:rsidRDefault="00F918C3" w:rsidP="00423C3D">
      <w:pPr>
        <w:pStyle w:val="Note"/>
      </w:pPr>
      <w:r w:rsidRPr="00C203E5">
        <w:t>(b)</w:t>
      </w:r>
      <w:r w:rsidRPr="00C203E5">
        <w:tab/>
        <w:t>Excludes the impact of the medium</w:t>
      </w:r>
      <w:r w:rsidRPr="00C203E5">
        <w:noBreakHyphen/>
        <w:t>term lease over the operations of the Port of Melbourne and the divestment of Victoria’s share of Snowy Hydro Limited</w:t>
      </w:r>
      <w:r w:rsidR="008C27C4">
        <w:fldChar w:fldCharType="begin"/>
      </w:r>
      <w:r w:rsidR="008C27C4">
        <w:instrText xml:space="preserve"> XE "</w:instrText>
      </w:r>
      <w:r w:rsidR="008C27C4" w:rsidRPr="00D9222F">
        <w:instrText>Snowy Hydro Limited</w:instrText>
      </w:r>
      <w:r w:rsidR="008C27C4">
        <w:instrText xml:space="preserve">" </w:instrText>
      </w:r>
      <w:r w:rsidR="008C27C4">
        <w:fldChar w:fldCharType="end"/>
      </w:r>
      <w:r w:rsidRPr="00C203E5">
        <w:t>.</w:t>
      </w:r>
    </w:p>
    <w:p w:rsidR="00F918C3" w:rsidRPr="00C203E5" w:rsidRDefault="00F918C3" w:rsidP="00423C3D">
      <w:pPr>
        <w:pStyle w:val="Note"/>
      </w:pPr>
      <w:r w:rsidRPr="00C203E5">
        <w:t>(c)</w:t>
      </w:r>
      <w:r w:rsidRPr="00C203E5">
        <w:tab/>
        <w:t>The figure for 2017</w:t>
      </w:r>
      <w:r w:rsidRPr="00C203E5">
        <w:noBreakHyphen/>
        <w:t>18 is an estimate.</w:t>
      </w:r>
    </w:p>
    <w:p w:rsidR="00F918C3" w:rsidRPr="00C203E5" w:rsidRDefault="00F918C3" w:rsidP="00423C3D">
      <w:pPr>
        <w:pStyle w:val="Heading30"/>
        <w:rPr>
          <w:rFonts w:eastAsiaTheme="minorHAnsi"/>
          <w:b w:val="0"/>
        </w:rPr>
      </w:pPr>
      <w:r w:rsidRPr="00C203E5">
        <w:rPr>
          <w:rFonts w:eastAsiaTheme="minorHAnsi"/>
        </w:rPr>
        <w:t>New asset initiatives</w:t>
      </w:r>
    </w:p>
    <w:p w:rsidR="00F918C3" w:rsidRPr="00C203E5" w:rsidRDefault="00F918C3" w:rsidP="007814B1">
      <w:pPr>
        <w:spacing w:before="100"/>
      </w:pPr>
      <w:r w:rsidRPr="00C203E5">
        <w:t xml:space="preserve">The </w:t>
      </w:r>
      <w:r w:rsidRPr="00C203E5">
        <w:rPr>
          <w:i/>
        </w:rPr>
        <w:t>2018</w:t>
      </w:r>
      <w:r w:rsidRPr="00C203E5">
        <w:rPr>
          <w:i/>
        </w:rPr>
        <w:noBreakHyphen/>
        <w:t>19 Budget</w:t>
      </w:r>
      <w:r w:rsidRPr="00C203E5">
        <w:t xml:space="preserve"> includes up to $9.3</w:t>
      </w:r>
      <w:r w:rsidR="006371F3">
        <w:t> billion</w:t>
      </w:r>
      <w:r w:rsidRPr="00C203E5">
        <w:t xml:space="preserve"> TEI of new infrastructure investment, underscoring the Government’s commitment to funding projects that will drive the economy in the future and meet the needs of a growing population. </w:t>
      </w:r>
    </w:p>
    <w:p w:rsidR="00F918C3" w:rsidRPr="00C203E5" w:rsidRDefault="00F918C3" w:rsidP="00423C3D">
      <w:r w:rsidRPr="00C203E5">
        <w:t xml:space="preserve">Investment in new assets include: </w:t>
      </w:r>
    </w:p>
    <w:p w:rsidR="00F918C3" w:rsidRPr="00C203E5" w:rsidRDefault="00F918C3" w:rsidP="005E7A0A">
      <w:pPr>
        <w:pStyle w:val="ListBullet"/>
        <w:numPr>
          <w:ilvl w:val="0"/>
          <w:numId w:val="26"/>
        </w:numPr>
      </w:pPr>
      <w:r>
        <w:t>$2.2</w:t>
      </w:r>
      <w:r w:rsidR="006371F3">
        <w:t> billion</w:t>
      </w:r>
      <w:r w:rsidRPr="00C203E5">
        <w:t xml:space="preserve"> for the Suburban Roads Upgrade</w:t>
      </w:r>
      <w:r w:rsidR="008C27C4">
        <w:fldChar w:fldCharType="begin"/>
      </w:r>
      <w:r w:rsidR="008C27C4">
        <w:instrText xml:space="preserve"> XE "</w:instrText>
      </w:r>
      <w:r w:rsidR="008C27C4" w:rsidRPr="005A1DCE">
        <w:rPr>
          <w:iCs/>
        </w:rPr>
        <w:instrText>Suburban Roads Upgrade</w:instrText>
      </w:r>
      <w:r w:rsidR="008C27C4">
        <w:instrText xml:space="preserve">" </w:instrText>
      </w:r>
      <w:r w:rsidR="008C27C4">
        <w:fldChar w:fldCharType="end"/>
      </w:r>
      <w:r w:rsidRPr="00C203E5">
        <w:t>, a targeted package upgrading some of the most congested arterial roads in the south</w:t>
      </w:r>
      <w:r w:rsidRPr="00C203E5">
        <w:noBreakHyphen/>
        <w:t>eastern and northern outer suburban areas of Melbourne;</w:t>
      </w:r>
    </w:p>
    <w:p w:rsidR="00F918C3" w:rsidRPr="00D63162" w:rsidRDefault="00F918C3" w:rsidP="005E7A0A">
      <w:pPr>
        <w:pStyle w:val="ListBullet"/>
        <w:numPr>
          <w:ilvl w:val="0"/>
          <w:numId w:val="26"/>
        </w:numPr>
      </w:pPr>
      <w:r w:rsidRPr="00D63162">
        <w:t>$1.</w:t>
      </w:r>
      <w:r>
        <w:t>5</w:t>
      </w:r>
      <w:r w:rsidR="006371F3">
        <w:t> billion</w:t>
      </w:r>
      <w:r w:rsidRPr="00D63162">
        <w:t xml:space="preserve"> to continue upgrades to metropolitan and regional public transport</w:t>
      </w:r>
      <w:r>
        <w:fldChar w:fldCharType="begin"/>
      </w:r>
      <w:r>
        <w:instrText xml:space="preserve"> XE "</w:instrText>
      </w:r>
      <w:r w:rsidRPr="00D02DCA">
        <w:instrText>Public transport:Regional</w:instrText>
      </w:r>
      <w:r>
        <w:instrText xml:space="preserve">" </w:instrText>
      </w:r>
      <w:r>
        <w:fldChar w:fldCharType="end"/>
      </w:r>
      <w:r w:rsidRPr="00D63162">
        <w:t>;</w:t>
      </w:r>
    </w:p>
    <w:p w:rsidR="00F918C3" w:rsidRPr="00C203E5" w:rsidRDefault="00F918C3" w:rsidP="005E7A0A">
      <w:pPr>
        <w:pStyle w:val="ListBullet"/>
        <w:numPr>
          <w:ilvl w:val="0"/>
          <w:numId w:val="26"/>
        </w:numPr>
      </w:pPr>
      <w:r w:rsidRPr="00C203E5">
        <w:t>$1.4</w:t>
      </w:r>
      <w:r w:rsidR="006371F3">
        <w:t> billion</w:t>
      </w:r>
      <w:r w:rsidRPr="00C203E5">
        <w:t xml:space="preserve"> in new capital investment for acute health services and mental health;</w:t>
      </w:r>
    </w:p>
    <w:p w:rsidR="00F918C3" w:rsidRPr="00C203E5" w:rsidRDefault="00F918C3" w:rsidP="005E7A0A">
      <w:pPr>
        <w:pStyle w:val="ListBullet"/>
        <w:numPr>
          <w:ilvl w:val="0"/>
          <w:numId w:val="26"/>
        </w:numPr>
      </w:pPr>
      <w:r w:rsidRPr="00C203E5">
        <w:t>$1.3</w:t>
      </w:r>
      <w:r w:rsidR="006371F3">
        <w:t> billion</w:t>
      </w:r>
      <w:r w:rsidRPr="00C203E5">
        <w:t xml:space="preserve"> in continuing to make Victoria the Education State</w:t>
      </w:r>
      <w:r>
        <w:fldChar w:fldCharType="begin"/>
      </w:r>
      <w:r>
        <w:instrText xml:space="preserve"> XE "</w:instrText>
      </w:r>
      <w:r w:rsidRPr="00D02DCA">
        <w:instrText>Education State</w:instrText>
      </w:r>
      <w:r>
        <w:instrText xml:space="preserve">" </w:instrText>
      </w:r>
      <w:r>
        <w:fldChar w:fldCharType="end"/>
      </w:r>
      <w:r w:rsidRPr="00C203E5">
        <w:t xml:space="preserve"> through new and upgraded school infrastructure and education modernisation programs; and</w:t>
      </w:r>
    </w:p>
    <w:p w:rsidR="00F918C3" w:rsidRPr="00C203E5" w:rsidRDefault="00F918C3" w:rsidP="005E7A0A">
      <w:pPr>
        <w:pStyle w:val="ListBullet"/>
        <w:numPr>
          <w:ilvl w:val="0"/>
          <w:numId w:val="26"/>
        </w:numPr>
      </w:pPr>
      <w:r>
        <w:t>$689</w:t>
      </w:r>
      <w:r w:rsidR="006371F3">
        <w:t> million</w:t>
      </w:r>
      <w:r>
        <w:t xml:space="preserve"> to expand the Lara Prison p</w:t>
      </w:r>
      <w:r w:rsidRPr="00C203E5">
        <w:t>recinct</w:t>
      </w:r>
      <w:r w:rsidR="008C27C4">
        <w:fldChar w:fldCharType="begin"/>
      </w:r>
      <w:r w:rsidR="008C27C4">
        <w:instrText xml:space="preserve"> XE "</w:instrText>
      </w:r>
      <w:r w:rsidR="008C27C4" w:rsidRPr="00FA7B08">
        <w:instrText>Lara Prison precinct</w:instrText>
      </w:r>
      <w:r w:rsidR="008C27C4">
        <w:instrText xml:space="preserve">" </w:instrText>
      </w:r>
      <w:r w:rsidR="008C27C4">
        <w:fldChar w:fldCharType="end"/>
      </w:r>
      <w:r w:rsidRPr="00C203E5">
        <w:t>, complementing tougher sentencing and bail laws and to meet the growing demands of the corrections</w:t>
      </w:r>
      <w:r w:rsidR="008C27C4">
        <w:fldChar w:fldCharType="begin"/>
      </w:r>
      <w:r w:rsidR="008C27C4">
        <w:instrText xml:space="preserve"> XE "Corrections" </w:instrText>
      </w:r>
      <w:r w:rsidR="008C27C4">
        <w:fldChar w:fldCharType="end"/>
      </w:r>
      <w:r w:rsidRPr="00C203E5">
        <w:t xml:space="preserve"> system. </w:t>
      </w:r>
    </w:p>
    <w:p w:rsidR="00F918C3" w:rsidRPr="00C203E5" w:rsidRDefault="00F918C3" w:rsidP="00487F07">
      <w:pPr>
        <w:rPr>
          <w:rFonts w:asciiTheme="majorHAnsi" w:hAnsiTheme="majorHAnsi" w:cstheme="majorBidi"/>
          <w:b/>
          <w:spacing w:val="-2"/>
          <w:sz w:val="26"/>
          <w:szCs w:val="26"/>
        </w:rPr>
      </w:pPr>
      <w:r w:rsidRPr="00C203E5">
        <w:t xml:space="preserve">Budget Paper No. 3, Chapter 1 </w:t>
      </w:r>
      <w:r w:rsidRPr="00C203E5">
        <w:rPr>
          <w:i/>
        </w:rPr>
        <w:t>Output, Asset Investment, Savings and Revenue Initiatives</w:t>
      </w:r>
      <w:r w:rsidRPr="00C203E5">
        <w:t xml:space="preserve"> contains details of individual asset initiatives.</w:t>
      </w:r>
    </w:p>
    <w:p w:rsidR="00F918C3" w:rsidRPr="00C203E5" w:rsidRDefault="00F918C3" w:rsidP="007814B1">
      <w:pPr>
        <w:pStyle w:val="Heading20"/>
        <w:spacing w:before="120"/>
        <w:rPr>
          <w:rFonts w:eastAsiaTheme="minorHAnsi"/>
          <w:b w:val="0"/>
        </w:rPr>
      </w:pPr>
      <w:r w:rsidRPr="00C203E5">
        <w:rPr>
          <w:rFonts w:eastAsiaTheme="minorHAnsi"/>
        </w:rPr>
        <w:t>Net debt</w:t>
      </w:r>
    </w:p>
    <w:p w:rsidR="00F918C3" w:rsidRPr="00C203E5" w:rsidRDefault="00F918C3" w:rsidP="009624A9">
      <w:r w:rsidRPr="00C203E5">
        <w:t>Net debt</w:t>
      </w:r>
      <w:r>
        <w:fldChar w:fldCharType="begin"/>
      </w:r>
      <w:r>
        <w:instrText xml:space="preserve"> XE "</w:instrText>
      </w:r>
      <w:r w:rsidRPr="00D02DCA">
        <w:instrText>Debt:Net debt</w:instrText>
      </w:r>
      <w:r>
        <w:instrText xml:space="preserve">" </w:instrText>
      </w:r>
      <w:r>
        <w:fldChar w:fldCharType="end"/>
      </w:r>
      <w:r w:rsidRPr="00C203E5">
        <w:t xml:space="preserve"> as a proportion of GSP</w:t>
      </w:r>
      <w:r>
        <w:fldChar w:fldCharType="begin"/>
      </w:r>
      <w:r>
        <w:instrText xml:space="preserve"> XE "</w:instrText>
      </w:r>
      <w:r w:rsidRPr="00D02DCA">
        <w:instrText>Gross state product</w:instrText>
      </w:r>
      <w:r>
        <w:instrText xml:space="preserve">" </w:instrText>
      </w:r>
      <w:r>
        <w:fldChar w:fldCharType="end"/>
      </w:r>
      <w:r w:rsidRPr="00C203E5">
        <w:t xml:space="preserve"> is expected to be 4.6 per cent at June 2018, and increase to 6.0 per cent by June 2021, and remain at that level in 2021-22 (Chart 4.2). This meets the Government’s </w:t>
      </w:r>
      <w:r>
        <w:t>commitment to keep</w:t>
      </w:r>
      <w:r w:rsidRPr="00C203E5">
        <w:t xml:space="preserve"> net debt as a percentage of GSP below the peak of the previous five year period.</w:t>
      </w:r>
    </w:p>
    <w:p w:rsidR="00F918C3" w:rsidRPr="00C203E5" w:rsidRDefault="00F918C3" w:rsidP="001564E2">
      <w:pPr>
        <w:pStyle w:val="TableHeading"/>
        <w:rPr>
          <w:vertAlign w:val="superscript"/>
        </w:rPr>
      </w:pPr>
      <w:r w:rsidRPr="00C203E5">
        <w:t>Chart 4.2:</w:t>
      </w:r>
      <w:r w:rsidRPr="00C203E5">
        <w:tab/>
        <w:t>General government net debt</w:t>
      </w:r>
      <w:r>
        <w:fldChar w:fldCharType="begin"/>
      </w:r>
      <w:r>
        <w:instrText xml:space="preserve"> XE "</w:instrText>
      </w:r>
      <w:r w:rsidRPr="00624710">
        <w:instrText>Debt:General government net debt</w:instrText>
      </w:r>
      <w:r>
        <w:instrText xml:space="preserve">" </w:instrText>
      </w:r>
      <w:r>
        <w:fldChar w:fldCharType="end"/>
      </w:r>
      <w:r w:rsidRPr="00C203E5">
        <w:t xml:space="preserve"> to GSP </w:t>
      </w:r>
      <w:r w:rsidRPr="00C203E5">
        <w:rPr>
          <w:vertAlign w:val="superscript"/>
        </w:rPr>
        <w:t>(a)</w:t>
      </w:r>
    </w:p>
    <w:p w:rsidR="00F918C3" w:rsidRPr="00C203E5" w:rsidRDefault="00A9166F" w:rsidP="001564E2">
      <w:pPr>
        <w:rPr>
          <w:vertAlign w:val="superscript"/>
        </w:rPr>
      </w:pPr>
      <w:r>
        <w:rPr>
          <w:vertAlign w:val="superscript"/>
        </w:rPr>
        <w:pict>
          <v:shape id="_x0000_i1044" type="#_x0000_t75" style="width:380.75pt;height:262.1pt">
            <v:imagedata r:id="rId49" o:title=""/>
          </v:shape>
        </w:pict>
      </w:r>
    </w:p>
    <w:p w:rsidR="00F918C3" w:rsidRPr="00C203E5" w:rsidRDefault="00F918C3" w:rsidP="00423C3D">
      <w:pPr>
        <w:pStyle w:val="Source"/>
      </w:pPr>
      <w:r w:rsidRPr="00C203E5">
        <w:t>Source: Department of Treasury and Finance</w:t>
      </w:r>
    </w:p>
    <w:p w:rsidR="00F918C3" w:rsidRPr="00C203E5" w:rsidRDefault="00F918C3" w:rsidP="001564E2">
      <w:pPr>
        <w:pStyle w:val="Note"/>
      </w:pPr>
      <w:r w:rsidRPr="00C203E5">
        <w:t xml:space="preserve">Note: </w:t>
      </w:r>
    </w:p>
    <w:p w:rsidR="00F918C3" w:rsidRPr="00C203E5" w:rsidRDefault="00F918C3" w:rsidP="001564E2">
      <w:pPr>
        <w:pStyle w:val="Note"/>
      </w:pPr>
      <w:r w:rsidRPr="00C203E5">
        <w:t>(a)</w:t>
      </w:r>
      <w:r w:rsidRPr="00C203E5">
        <w:tab/>
        <w:t>The decrease in 2016</w:t>
      </w:r>
      <w:r w:rsidRPr="00C203E5">
        <w:noBreakHyphen/>
        <w:t>17 reflects the receipt of proceeds from entering into a medium</w:t>
      </w:r>
      <w:r w:rsidRPr="00C203E5">
        <w:noBreakHyphen/>
        <w:t>term lease over the operations of the Port of Melbourne.</w:t>
      </w:r>
    </w:p>
    <w:p w:rsidR="00F918C3" w:rsidRPr="00C203E5" w:rsidRDefault="00F918C3" w:rsidP="006C0F72"/>
    <w:p w:rsidR="00F918C3" w:rsidRPr="00C203E5" w:rsidRDefault="00F918C3" w:rsidP="00423C3D">
      <w:r w:rsidRPr="00C203E5">
        <w:t>The application of cash resources for the general government sector (Table 4.6) outlines the annual movements in net debt. General government sector cash from operating activities is expected to average $4.4</w:t>
      </w:r>
      <w:r w:rsidR="006371F3">
        <w:t> billion</w:t>
      </w:r>
      <w:r w:rsidRPr="00C203E5">
        <w:t xml:space="preserve"> a year over the next four years. </w:t>
      </w:r>
    </w:p>
    <w:p w:rsidR="00F918C3" w:rsidRPr="00C203E5" w:rsidRDefault="00F918C3">
      <w:pPr>
        <w:keepLines w:val="0"/>
        <w:rPr>
          <w:rFonts w:asciiTheme="majorHAnsi" w:hAnsiTheme="majorHAnsi"/>
          <w:b/>
          <w:sz w:val="20"/>
          <w:szCs w:val="20"/>
        </w:rPr>
      </w:pPr>
      <w:r w:rsidRPr="00C203E5">
        <w:br w:type="page"/>
      </w:r>
    </w:p>
    <w:p w:rsidR="00F918C3" w:rsidRPr="00C203E5" w:rsidRDefault="00F918C3" w:rsidP="00DD07CD">
      <w:pPr>
        <w:pStyle w:val="TableHeading"/>
      </w:pPr>
      <w:r w:rsidRPr="00C203E5">
        <w:t>Table 4.6:</w:t>
      </w:r>
      <w:r w:rsidRPr="00C203E5">
        <w:tab/>
        <w:t xml:space="preserve">Application of cash resources for the general government sector </w:t>
      </w:r>
      <w:r w:rsidRPr="00C203E5">
        <w:rPr>
          <w:vertAlign w:val="superscript"/>
        </w:rPr>
        <w:t>(a)</w:t>
      </w:r>
      <w:r w:rsidRPr="00C203E5">
        <w:tab/>
        <w:t>($</w:t>
      </w:r>
      <w:r w:rsidR="006371F3">
        <w:t> million</w:t>
      </w:r>
      <w:r w:rsidRPr="00C203E5">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F918C3" w:rsidRPr="00C203E5" w:rsidTr="00DD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C203E5" w:rsidRDefault="00F918C3" w:rsidP="00DD07CD">
            <w:pPr>
              <w:keepLines w:val="0"/>
              <w:autoSpaceDE w:val="0"/>
              <w:autoSpaceDN w:val="0"/>
              <w:adjustRightInd w:val="0"/>
              <w:jc w:val="right"/>
              <w:rPr>
                <w:rFonts w:eastAsiaTheme="minorEastAsia" w:cs="Calibri"/>
                <w:iCs/>
                <w:color w:val="FFFFFF"/>
                <w:szCs w:val="17"/>
                <w:lang w:eastAsia="en-AU"/>
              </w:rPr>
            </w:pPr>
            <w:r w:rsidRPr="00C203E5">
              <w:rPr>
                <w:rFonts w:eastAsiaTheme="minorEastAsia" w:cs="Calibri"/>
                <w:iCs/>
                <w:color w:val="FFFFFF"/>
                <w:szCs w:val="17"/>
                <w:lang w:eastAsia="en-AU"/>
              </w:rPr>
              <w:t xml:space="preserve"> </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2016-17</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2017-18</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2018-19</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2019-20</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2020-21</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C203E5">
              <w:rPr>
                <w:rFonts w:eastAsiaTheme="minorEastAsia" w:cs="Calibri"/>
                <w:iCs/>
                <w:color w:val="FFFFFF"/>
                <w:szCs w:val="17"/>
                <w:lang w:eastAsia="en-AU"/>
              </w:rPr>
              <w:t>2021-22</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C203E5" w:rsidRDefault="00F918C3" w:rsidP="00DD07CD">
            <w:pPr>
              <w:keepLines w:val="0"/>
              <w:autoSpaceDE w:val="0"/>
              <w:autoSpaceDN w:val="0"/>
              <w:adjustRightInd w:val="0"/>
              <w:jc w:val="right"/>
              <w:rPr>
                <w:rFonts w:eastAsiaTheme="minorEastAsia" w:cs="Calibri"/>
                <w:i/>
                <w:iCs/>
                <w:color w:val="FFFFFF"/>
                <w:szCs w:val="17"/>
                <w:lang w:eastAsia="en-AU"/>
              </w:rPr>
            </w:pPr>
            <w:r w:rsidRPr="00C203E5">
              <w:rPr>
                <w:rFonts w:eastAsiaTheme="minorEastAsia" w:cs="Calibri"/>
                <w:i/>
                <w:iCs/>
                <w:color w:val="FFFFFF"/>
                <w:szCs w:val="17"/>
                <w:lang w:eastAsia="en-AU"/>
              </w:rPr>
              <w:t xml:space="preserve"> </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actual</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revised</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budget</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FFFFFF"/>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C203E5">
              <w:rPr>
                <w:rFonts w:eastAsiaTheme="minorEastAsia" w:cs="Calibri"/>
                <w:i/>
                <w:iCs/>
                <w:color w:val="FFFFFF"/>
                <w:szCs w:val="17"/>
                <w:lang w:eastAsia="en-AU"/>
              </w:rPr>
              <w:t>estimate</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C203E5" w:rsidRDefault="00F918C3" w:rsidP="00DD07CD">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Net result from transactions</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C203E5">
              <w:rPr>
                <w:rFonts w:eastAsiaTheme="minorEastAsia" w:cs="Calibri"/>
                <w:b/>
                <w:bCs/>
                <w:color w:val="000000"/>
                <w:szCs w:val="17"/>
                <w:lang w:eastAsia="en-AU"/>
              </w:rPr>
              <w:t>2 709</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2</w:t>
            </w:r>
            <w:r w:rsidRPr="00C203E5">
              <w:rPr>
                <w:b/>
              </w:rPr>
              <w:t xml:space="preserve"> 042</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1</w:t>
            </w:r>
            <w:r w:rsidRPr="00C203E5">
              <w:rPr>
                <w:b/>
              </w:rPr>
              <w:t xml:space="preserve"> 380</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1</w:t>
            </w:r>
            <w:r w:rsidRPr="00C203E5">
              <w:rPr>
                <w:b/>
              </w:rPr>
              <w:t xml:space="preserve"> 971</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2</w:t>
            </w:r>
            <w:r w:rsidRPr="00C203E5">
              <w:rPr>
                <w:b/>
              </w:rPr>
              <w:t xml:space="preserve"> 715</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2</w:t>
            </w:r>
            <w:r w:rsidRPr="00C203E5">
              <w:rPr>
                <w:b/>
              </w:rPr>
              <w:t xml:space="preserve"> 891</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Add back: non-cash revenue and expenses (net) </w:t>
            </w:r>
            <w:r w:rsidRPr="00C203E5">
              <w:rPr>
                <w:rFonts w:eastAsiaTheme="minorEastAsia" w:cs="Calibri"/>
                <w:color w:val="000000"/>
                <w:szCs w:val="17"/>
                <w:vertAlign w:val="superscript"/>
                <w:lang w:eastAsia="en-AU"/>
              </w:rPr>
              <w:t>(b)</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C203E5">
              <w:rPr>
                <w:rFonts w:eastAsiaTheme="minorEastAsia" w:cs="Calibri"/>
                <w:color w:val="000000"/>
                <w:szCs w:val="17"/>
                <w:lang w:eastAsia="en-AU"/>
              </w:rPr>
              <w:t>2 816</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2</w:t>
            </w:r>
            <w:r w:rsidRPr="00C203E5">
              <w:t xml:space="preserve"> 045</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4</w:t>
            </w:r>
            <w:r w:rsidRPr="00C203E5">
              <w:t xml:space="preserve"> 171</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588</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062</w:t>
            </w:r>
          </w:p>
        </w:tc>
        <w:tc>
          <w:tcPr>
            <w:tcW w:w="850" w:type="dxa"/>
            <w:tcBorders>
              <w:top w:val="nil"/>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928</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C203E5" w:rsidRDefault="00F918C3" w:rsidP="00DD07CD">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Net cash flows from operating activities</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C203E5">
              <w:rPr>
                <w:rFonts w:eastAsiaTheme="minorEastAsia" w:cs="Calibri"/>
                <w:b/>
                <w:bCs/>
                <w:color w:val="000000"/>
                <w:szCs w:val="17"/>
                <w:lang w:eastAsia="en-AU"/>
              </w:rPr>
              <w:t>5 524</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4</w:t>
            </w:r>
            <w:r w:rsidRPr="00C203E5">
              <w:rPr>
                <w:b/>
              </w:rPr>
              <w:t xml:space="preserve"> 087</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5</w:t>
            </w:r>
            <w:r w:rsidRPr="00C203E5">
              <w:rPr>
                <w:b/>
              </w:rPr>
              <w:t xml:space="preserve"> 551</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3</w:t>
            </w:r>
            <w:r w:rsidRPr="00C203E5">
              <w:rPr>
                <w:b/>
              </w:rPr>
              <w:t xml:space="preserve"> 558</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3</w:t>
            </w:r>
            <w:r w:rsidRPr="00C203E5">
              <w:rPr>
                <w:b/>
              </w:rPr>
              <w:t xml:space="preserve"> 777</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4</w:t>
            </w:r>
            <w:r w:rsidRPr="00C203E5">
              <w:rPr>
                <w:b/>
              </w:rPr>
              <w:t xml:space="preserve"> 818</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 xml:space="preserve">Less: Total net investment in fixed assets </w:t>
            </w:r>
            <w:r w:rsidRPr="00C203E5">
              <w:rPr>
                <w:rFonts w:eastAsiaTheme="minorEastAsia" w:cs="Calibri"/>
                <w:b/>
                <w:bCs/>
                <w:color w:val="000000"/>
                <w:szCs w:val="17"/>
                <w:vertAlign w:val="superscript"/>
                <w:lang w:eastAsia="en-AU"/>
              </w:rPr>
              <w:t>(c)</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C203E5">
              <w:rPr>
                <w:rFonts w:eastAsiaTheme="minorEastAsia" w:cs="Calibri"/>
                <w:b/>
                <w:bCs/>
                <w:color w:val="000000"/>
                <w:szCs w:val="17"/>
                <w:lang w:eastAsia="en-AU"/>
              </w:rPr>
              <w:t>6 857</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4</w:t>
            </w:r>
            <w:r w:rsidRPr="00C203E5">
              <w:rPr>
                <w:b/>
              </w:rPr>
              <w:t xml:space="preserve"> 277</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8</w:t>
            </w:r>
            <w:r w:rsidRPr="00C203E5">
              <w:rPr>
                <w:b/>
              </w:rPr>
              <w:t xml:space="preserve"> 099</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4</w:t>
            </w:r>
            <w:r w:rsidRPr="00C203E5">
              <w:rPr>
                <w:b/>
              </w:rPr>
              <w:t xml:space="preserve"> 463</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3</w:t>
            </w:r>
            <w:r w:rsidRPr="00C203E5">
              <w:rPr>
                <w:b/>
              </w:rPr>
              <w:t xml:space="preserve"> 826</w:t>
            </w:r>
          </w:p>
        </w:tc>
        <w:tc>
          <w:tcPr>
            <w:tcW w:w="850" w:type="dxa"/>
            <w:tcBorders>
              <w:top w:val="single" w:sz="6" w:space="0" w:color="000000"/>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5</w:t>
            </w:r>
            <w:r w:rsidRPr="00C203E5">
              <w:rPr>
                <w:b/>
              </w:rPr>
              <w:t xml:space="preserve"> 362</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rPr>
                <w:rFonts w:eastAsiaTheme="minorEastAsia" w:cs="Calibri"/>
                <w:b/>
                <w:bCs/>
                <w:color w:val="000000"/>
                <w:szCs w:val="17"/>
                <w:lang w:eastAsia="en-AU"/>
              </w:rPr>
            </w:pPr>
            <w:r w:rsidRPr="00C203E5">
              <w:rPr>
                <w:rFonts w:eastAsiaTheme="minorEastAsia" w:cs="Calibri"/>
                <w:b/>
                <w:bCs/>
                <w:color w:val="000000"/>
                <w:szCs w:val="17"/>
                <w:lang w:eastAsia="en-AU"/>
              </w:rPr>
              <w:t>Surplus/(deficit) of cash from operations after funding net investment in fixed assets</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 xml:space="preserve"> (1 333)</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17"/>
                <w:lang w:eastAsia="en-AU"/>
              </w:rPr>
              <w:t xml:space="preserve"> </w:t>
            </w:r>
            <w:r>
              <w:rPr>
                <w:b/>
              </w:rPr>
              <w:t>(</w:t>
            </w:r>
            <w:r w:rsidRPr="00C203E5">
              <w:rPr>
                <w:b/>
              </w:rPr>
              <w:t>190)</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sidRPr="00C203E5">
              <w:rPr>
                <w:rFonts w:eastAsiaTheme="minorEastAsia" w:cs="Calibri"/>
                <w:b/>
                <w:bCs/>
                <w:color w:val="000000"/>
                <w:szCs w:val="17"/>
                <w:lang w:eastAsia="en-AU"/>
              </w:rPr>
              <w:t xml:space="preserve"> </w:t>
            </w:r>
            <w:r w:rsidRPr="00C203E5">
              <w:rPr>
                <w:b/>
              </w:rPr>
              <w:t>(2 548)</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17"/>
                <w:lang w:eastAsia="en-AU"/>
              </w:rPr>
              <w:t xml:space="preserve"> </w:t>
            </w:r>
            <w:r>
              <w:rPr>
                <w:b/>
              </w:rPr>
              <w:t>(</w:t>
            </w:r>
            <w:r w:rsidRPr="00C203E5">
              <w:rPr>
                <w:b/>
              </w:rPr>
              <w:t>904)</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17"/>
                <w:lang w:eastAsia="en-AU"/>
              </w:rPr>
              <w:t xml:space="preserve"> </w:t>
            </w:r>
            <w:r>
              <w:rPr>
                <w:b/>
              </w:rPr>
              <w:t>(</w:t>
            </w:r>
            <w:r w:rsidRPr="00C203E5">
              <w:rPr>
                <w:b/>
              </w:rPr>
              <w:t>49)</w:t>
            </w:r>
          </w:p>
        </w:tc>
        <w:tc>
          <w:tcPr>
            <w:tcW w:w="850" w:type="dxa"/>
            <w:tcBorders>
              <w:top w:val="single" w:sz="6" w:space="0" w:color="000000"/>
              <w:left w:val="nil"/>
              <w:bottom w:val="single" w:sz="6" w:space="0" w:color="000000"/>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b/>
                <w:bCs/>
                <w:color w:val="000000"/>
                <w:szCs w:val="17"/>
                <w:lang w:eastAsia="en-AU"/>
              </w:rPr>
              <w:t xml:space="preserve"> </w:t>
            </w:r>
            <w:r>
              <w:rPr>
                <w:b/>
              </w:rPr>
              <w:t>(</w:t>
            </w:r>
            <w:r w:rsidRPr="00C203E5">
              <w:rPr>
                <w:b/>
              </w:rPr>
              <w:t>543)</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C203E5" w:rsidRDefault="00F918C3" w:rsidP="00DD07CD">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Finance leases </w:t>
            </w:r>
            <w:r w:rsidRPr="00C203E5">
              <w:rPr>
                <w:rFonts w:eastAsiaTheme="minorEastAsia" w:cs="Calibri"/>
                <w:color w:val="000000"/>
                <w:szCs w:val="17"/>
                <w:vertAlign w:val="superscript"/>
                <w:lang w:eastAsia="en-AU"/>
              </w:rPr>
              <w:t>(d)</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544</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w:t>
            </w:r>
            <w:r w:rsidRPr="00C203E5">
              <w:t>648</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w:t>
            </w:r>
            <w:r w:rsidRPr="00C203E5">
              <w:t>451</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034</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w:t>
            </w:r>
            <w:r w:rsidRPr="00C203E5">
              <w:t>526</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w:t>
            </w:r>
            <w:r w:rsidRPr="00C203E5">
              <w:t>448</w:t>
            </w:r>
          </w:p>
        </w:tc>
      </w:tr>
      <w:tr w:rsidR="00F918C3" w:rsidRPr="00C203E5" w:rsidTr="00DD07CD">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C203E5" w:rsidRDefault="00F918C3" w:rsidP="00DD07CD">
            <w:pPr>
              <w:keepLines w:val="0"/>
              <w:autoSpaceDE w:val="0"/>
              <w:autoSpaceDN w:val="0"/>
              <w:adjustRightInd w:val="0"/>
              <w:rPr>
                <w:rFonts w:eastAsiaTheme="minorEastAsia" w:cs="Calibri"/>
                <w:color w:val="000000"/>
                <w:szCs w:val="17"/>
                <w:lang w:eastAsia="en-AU"/>
              </w:rPr>
            </w:pPr>
            <w:r w:rsidRPr="00C203E5">
              <w:rPr>
                <w:rFonts w:eastAsiaTheme="minorEastAsia" w:cs="Calibri"/>
                <w:color w:val="000000"/>
                <w:szCs w:val="17"/>
                <w:lang w:eastAsia="en-AU"/>
              </w:rPr>
              <w:t xml:space="preserve">Other movements </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(8 423)</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3</w:t>
            </w:r>
            <w:r w:rsidRPr="00C203E5">
              <w:t xml:space="preserve"> 025</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714</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746</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1</w:t>
            </w:r>
            <w:r w:rsidRPr="00C203E5">
              <w:t xml:space="preserve"> 228</w:t>
            </w:r>
          </w:p>
        </w:tc>
        <w:tc>
          <w:tcPr>
            <w:tcW w:w="850" w:type="dxa"/>
            <w:tcBorders>
              <w:top w:val="nil"/>
              <w:left w:val="nil"/>
              <w:bottom w:val="nil"/>
              <w:right w:val="nil"/>
            </w:tcBorders>
          </w:tcPr>
          <w:p w:rsidR="00F918C3" w:rsidRPr="00C203E5" w:rsidRDefault="00F918C3" w:rsidP="00DD07CD">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C203E5">
              <w:rPr>
                <w:rFonts w:eastAsiaTheme="minorEastAsia" w:cs="Calibri"/>
                <w:color w:val="000000"/>
                <w:szCs w:val="17"/>
                <w:lang w:eastAsia="en-AU"/>
              </w:rPr>
              <w:t xml:space="preserve"> </w:t>
            </w:r>
            <w:r w:rsidRPr="00C203E5">
              <w:t>548</w:t>
            </w:r>
          </w:p>
        </w:tc>
      </w:tr>
      <w:tr w:rsidR="00F918C3" w:rsidRPr="00C203E5" w:rsidTr="00DD07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rPr>
                <w:rFonts w:eastAsiaTheme="minorEastAsia" w:cs="Calibri"/>
                <w:bCs/>
                <w:color w:val="000000"/>
                <w:szCs w:val="17"/>
                <w:lang w:eastAsia="en-AU"/>
              </w:rPr>
            </w:pPr>
            <w:r w:rsidRPr="00C203E5">
              <w:rPr>
                <w:rFonts w:eastAsiaTheme="minorEastAsia" w:cs="Calibri"/>
                <w:bCs/>
                <w:color w:val="000000"/>
                <w:szCs w:val="17"/>
                <w:lang w:eastAsia="en-AU"/>
              </w:rPr>
              <w:t>Decrease/(increase) in net debt</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C203E5">
              <w:rPr>
                <w:rFonts w:eastAsiaTheme="minorEastAsia" w:cs="Calibri"/>
                <w:bCs/>
                <w:color w:val="000000"/>
                <w:szCs w:val="17"/>
                <w:lang w:eastAsia="en-AU"/>
              </w:rPr>
              <w:t>6 546</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Calibri"/>
                <w:bCs/>
                <w:color w:val="000000"/>
                <w:szCs w:val="17"/>
                <w:lang w:eastAsia="en-AU"/>
              </w:rPr>
              <w:t xml:space="preserve"> </w:t>
            </w:r>
            <w:r w:rsidRPr="00C203E5">
              <w:t>(3 863)</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Calibri"/>
                <w:bCs/>
                <w:color w:val="000000"/>
                <w:szCs w:val="17"/>
                <w:lang w:eastAsia="en-AU"/>
              </w:rPr>
              <w:t xml:space="preserve"> </w:t>
            </w:r>
            <w:r w:rsidRPr="00C203E5">
              <w:t>(4 714)</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Calibri"/>
                <w:bCs/>
                <w:color w:val="000000"/>
                <w:szCs w:val="17"/>
                <w:lang w:eastAsia="en-AU"/>
              </w:rPr>
              <w:t xml:space="preserve"> </w:t>
            </w:r>
            <w:r w:rsidRPr="00C203E5">
              <w:t>(3 684)</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Calibri"/>
                <w:bCs/>
                <w:color w:val="000000"/>
                <w:szCs w:val="17"/>
                <w:lang w:eastAsia="en-AU"/>
              </w:rPr>
              <w:t xml:space="preserve"> </w:t>
            </w:r>
            <w:r w:rsidRPr="00C203E5">
              <w:t>(1 804)</w:t>
            </w:r>
          </w:p>
        </w:tc>
        <w:tc>
          <w:tcPr>
            <w:tcW w:w="850" w:type="dxa"/>
            <w:tcBorders>
              <w:top w:val="single" w:sz="6" w:space="0" w:color="000000"/>
              <w:bottom w:val="single" w:sz="12" w:space="0" w:color="000000"/>
            </w:tcBorders>
          </w:tcPr>
          <w:p w:rsidR="00F918C3" w:rsidRPr="00C203E5" w:rsidRDefault="00F918C3" w:rsidP="00DD07CD">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sidRPr="00C203E5">
              <w:rPr>
                <w:rFonts w:eastAsiaTheme="minorEastAsia" w:cs="Calibri"/>
                <w:bCs/>
                <w:color w:val="000000"/>
                <w:szCs w:val="17"/>
                <w:lang w:eastAsia="en-AU"/>
              </w:rPr>
              <w:t xml:space="preserve"> </w:t>
            </w:r>
            <w:r w:rsidRPr="00C203E5">
              <w:t>(1 539)</w:t>
            </w:r>
          </w:p>
        </w:tc>
      </w:tr>
    </w:tbl>
    <w:p w:rsidR="00F918C3" w:rsidRPr="00C203E5" w:rsidRDefault="00F918C3" w:rsidP="00590F34">
      <w:pPr>
        <w:pStyle w:val="Source"/>
      </w:pPr>
      <w:r w:rsidRPr="00C203E5">
        <w:t>Source: Department of Treasury and Finance</w:t>
      </w:r>
    </w:p>
    <w:p w:rsidR="00F918C3" w:rsidRPr="00C203E5" w:rsidRDefault="00F918C3" w:rsidP="00423C3D">
      <w:pPr>
        <w:pStyle w:val="Note"/>
      </w:pPr>
      <w:r w:rsidRPr="00C203E5">
        <w:t>Notes:</w:t>
      </w:r>
    </w:p>
    <w:p w:rsidR="00F918C3" w:rsidRPr="00C203E5" w:rsidRDefault="00F918C3" w:rsidP="00423C3D">
      <w:pPr>
        <w:pStyle w:val="Note"/>
      </w:pPr>
      <w:r w:rsidRPr="00C203E5">
        <w:t xml:space="preserve">(a) </w:t>
      </w:r>
      <w:r w:rsidRPr="00C203E5">
        <w:tab/>
        <w:t>Figures in this table are subject to rounding to the nearest</w:t>
      </w:r>
      <w:r w:rsidR="006371F3">
        <w:t> million</w:t>
      </w:r>
      <w:r w:rsidRPr="00C203E5">
        <w:t xml:space="preserve"> and may not add up to totals.</w:t>
      </w:r>
    </w:p>
    <w:p w:rsidR="00F918C3" w:rsidRPr="00C203E5" w:rsidRDefault="00F918C3" w:rsidP="00423C3D">
      <w:pPr>
        <w:pStyle w:val="Note"/>
      </w:pPr>
      <w:r w:rsidRPr="00C203E5">
        <w:t xml:space="preserve">(b) </w:t>
      </w:r>
      <w:r w:rsidRPr="00C203E5">
        <w:tab/>
        <w:t xml:space="preserve">Includes depreciation, </w:t>
      </w:r>
      <w:r>
        <w:t xml:space="preserve">prepayments and </w:t>
      </w:r>
      <w:r w:rsidRPr="00C203E5">
        <w:t xml:space="preserve">movements in the unfunded superannuation liability and </w:t>
      </w:r>
      <w:r>
        <w:t>liability for employee benefits, as well as operating cash flows not required to be recognised in the operating statement for the respective year.</w:t>
      </w:r>
    </w:p>
    <w:p w:rsidR="00F918C3" w:rsidRPr="00C203E5" w:rsidRDefault="00F918C3" w:rsidP="00423C3D">
      <w:pPr>
        <w:pStyle w:val="Note"/>
      </w:pPr>
      <w:r w:rsidRPr="00C203E5">
        <w:t xml:space="preserve">(c) </w:t>
      </w:r>
      <w:r w:rsidRPr="00C203E5">
        <w:tab/>
        <w:t>Includes total purchases of plant, property and equipment, and net capital contributions to other sectors of government net of proceeds from asset recycling</w:t>
      </w:r>
      <w:r w:rsidRPr="00C203E5">
        <w:fldChar w:fldCharType="begin"/>
      </w:r>
      <w:r w:rsidRPr="00C203E5">
        <w:instrText xml:space="preserve"> "Asset recycling" </w:instrText>
      </w:r>
      <w:r w:rsidRPr="00C203E5">
        <w:fldChar w:fldCharType="end"/>
      </w:r>
      <w:r w:rsidRPr="00C203E5">
        <w:t>.</w:t>
      </w:r>
    </w:p>
    <w:p w:rsidR="00F918C3" w:rsidRPr="00C203E5" w:rsidRDefault="00F918C3" w:rsidP="00423C3D">
      <w:pPr>
        <w:pStyle w:val="Note"/>
      </w:pPr>
      <w:r w:rsidRPr="00C203E5">
        <w:t>(d)</w:t>
      </w:r>
      <w:r w:rsidRPr="00C203E5">
        <w:tab/>
        <w:t>The finance lease acquisition</w:t>
      </w:r>
      <w:r>
        <w:t>s relate</w:t>
      </w:r>
      <w:r w:rsidRPr="00C203E5">
        <w:t xml:space="preserve"> to the Bendigo Hospital - </w:t>
      </w:r>
      <w:r>
        <w:t>Stage 1 and 2</w:t>
      </w:r>
      <w:r w:rsidRPr="00C203E5">
        <w:t>, the New Schools PPP</w:t>
      </w:r>
      <w:r>
        <w:fldChar w:fldCharType="begin"/>
      </w:r>
      <w:r>
        <w:instrText xml:space="preserve"> XE "</w:instrText>
      </w:r>
      <w:r w:rsidRPr="00D965D2">
        <w:instrText>Public private partnerships</w:instrText>
      </w:r>
      <w:r>
        <w:instrText xml:space="preserve">" </w:instrText>
      </w:r>
      <w:r>
        <w:fldChar w:fldCharType="end"/>
      </w:r>
      <w:r w:rsidRPr="00C203E5">
        <w:t xml:space="preserve"> - Tranche 1 </w:t>
      </w:r>
      <w:r>
        <w:t>and 2, the metropolitan Melbourne buses contract, the</w:t>
      </w:r>
      <w:r w:rsidRPr="00C203E5">
        <w:t xml:space="preserve"> Ravenhall Prison Project, </w:t>
      </w:r>
      <w:r>
        <w:t>the High Capacity Metro</w:t>
      </w:r>
      <w:r w:rsidRPr="00C203E5">
        <w:t xml:space="preserve"> Trains (HCMT) Project, the </w:t>
      </w:r>
      <w:r>
        <w:t>Western Roads Upgrade</w:t>
      </w:r>
      <w:r>
        <w:fldChar w:fldCharType="begin"/>
      </w:r>
      <w:r>
        <w:instrText xml:space="preserve"> XE "</w:instrText>
      </w:r>
      <w:r w:rsidRPr="00D02DCA">
        <w:instrText>Western Roads Upgrade</w:instrText>
      </w:r>
      <w:r>
        <w:instrText xml:space="preserve">" </w:instrText>
      </w:r>
      <w:r>
        <w:fldChar w:fldCharType="end"/>
      </w:r>
      <w:r>
        <w:t>,</w:t>
      </w:r>
      <w:r w:rsidRPr="00C203E5">
        <w:t xml:space="preserve"> the Melbourne Convention and Exhibition Centre </w:t>
      </w:r>
      <w:r>
        <w:t>– Stage </w:t>
      </w:r>
      <w:r w:rsidRPr="00C203E5">
        <w:t>2 development</w:t>
      </w:r>
      <w:r>
        <w:t>, the</w:t>
      </w:r>
      <w:r w:rsidRPr="00C203E5">
        <w:t xml:space="preserve"> </w:t>
      </w:r>
      <w:r>
        <w:t>Casey Hospital E</w:t>
      </w:r>
      <w:r w:rsidRPr="00C203E5">
        <w:t>xpansion</w:t>
      </w:r>
      <w:r>
        <w:t>, the Northern Roads Upgrade and the</w:t>
      </w:r>
      <w:r w:rsidRPr="00C203E5">
        <w:t xml:space="preserve"> South Eastern Roads Upgrade.</w:t>
      </w:r>
    </w:p>
    <w:p w:rsidR="00F918C3" w:rsidRPr="00C203E5" w:rsidRDefault="00F918C3" w:rsidP="00423C3D">
      <w:pPr>
        <w:pStyle w:val="Note"/>
      </w:pPr>
    </w:p>
    <w:p w:rsidR="00F918C3" w:rsidRPr="00C203E5" w:rsidRDefault="00F918C3" w:rsidP="00423C3D">
      <w:pPr>
        <w:pStyle w:val="Heading20"/>
        <w:rPr>
          <w:rFonts w:eastAsiaTheme="minorHAnsi"/>
        </w:rPr>
      </w:pPr>
      <w:r w:rsidRPr="00C203E5">
        <w:rPr>
          <w:rFonts w:eastAsiaTheme="minorHAnsi"/>
        </w:rPr>
        <w:t>Unfunded superannuation liability</w:t>
      </w:r>
    </w:p>
    <w:p w:rsidR="00F918C3" w:rsidRPr="00C203E5" w:rsidRDefault="00F918C3" w:rsidP="00423C3D">
      <w:r w:rsidRPr="00C203E5">
        <w:t>The Government is on track to fully fund the State’s unfunded superannuation liability</w:t>
      </w:r>
      <w:r>
        <w:fldChar w:fldCharType="begin"/>
      </w:r>
      <w:r>
        <w:instrText xml:space="preserve"> XE "</w:instrText>
      </w:r>
      <w:r w:rsidRPr="00D02DCA">
        <w:instrText>Superannuation:</w:instrText>
      </w:r>
      <w:r w:rsidR="008C27C4" w:rsidRPr="00D02DCA">
        <w:instrText>Liability</w:instrText>
      </w:r>
      <w:r>
        <w:instrText xml:space="preserve">" </w:instrText>
      </w:r>
      <w:r>
        <w:fldChar w:fldCharType="end"/>
      </w:r>
      <w:r w:rsidRPr="00C203E5">
        <w:t xml:space="preserve"> by 2035. Note 1.6.3 of Budget Paper No. 5, Chapter 1 </w:t>
      </w:r>
      <w:r w:rsidRPr="00C203E5">
        <w:rPr>
          <w:i/>
        </w:rPr>
        <w:t>Estimated Financial Statements for the General Government Sector</w:t>
      </w:r>
      <w:r w:rsidRPr="00C203E5">
        <w:t xml:space="preserve"> shows information on the reported superannuation liability</w:t>
      </w:r>
      <w:r w:rsidRPr="00C203E5">
        <w:rPr>
          <w:i/>
        </w:rPr>
        <w:t>.</w:t>
      </w:r>
      <w:r w:rsidRPr="00C203E5">
        <w:t xml:space="preserve"> </w:t>
      </w:r>
    </w:p>
    <w:p w:rsidR="00B42920" w:rsidRDefault="00B42920">
      <w:pPr>
        <w:keepLines w:val="0"/>
        <w:rPr>
          <w:rFonts w:asciiTheme="majorHAnsi" w:hAnsiTheme="majorHAnsi" w:cstheme="majorBidi"/>
          <w:b/>
          <w:bCs/>
          <w:caps/>
          <w:spacing w:val="-2"/>
          <w:sz w:val="26"/>
          <w:szCs w:val="28"/>
        </w:rPr>
      </w:pPr>
      <w:bookmarkStart w:id="62" w:name="_Toc449123068"/>
      <w:bookmarkStart w:id="63" w:name="_Toc481160574"/>
      <w:bookmarkStart w:id="64" w:name="_Toc481246482"/>
      <w:bookmarkStart w:id="65" w:name="_Toc512629768"/>
      <w:bookmarkStart w:id="66" w:name="BP2Ch4FiscalRisks"/>
      <w:r>
        <w:br w:type="page"/>
      </w:r>
    </w:p>
    <w:p w:rsidR="00F918C3" w:rsidRPr="00C203E5" w:rsidRDefault="00F918C3" w:rsidP="00423C3D">
      <w:pPr>
        <w:pStyle w:val="Heading10"/>
        <w:rPr>
          <w:rFonts w:eastAsiaTheme="minorHAnsi"/>
        </w:rPr>
      </w:pPr>
      <w:r w:rsidRPr="00C203E5">
        <w:rPr>
          <w:rFonts w:eastAsiaTheme="minorHAnsi"/>
        </w:rPr>
        <w:t>Fiscal risks</w:t>
      </w:r>
      <w:bookmarkEnd w:id="62"/>
      <w:bookmarkEnd w:id="63"/>
      <w:bookmarkEnd w:id="64"/>
      <w:bookmarkEnd w:id="65"/>
    </w:p>
    <w:p w:rsidR="00F918C3" w:rsidRPr="00C203E5" w:rsidRDefault="00F918C3" w:rsidP="00423C3D">
      <w:r w:rsidRPr="00C203E5">
        <w:t xml:space="preserve">This section discusses a number of risks which, if realised, are likely to impact on the State’s financial position and budget outcomes. </w:t>
      </w:r>
    </w:p>
    <w:p w:rsidR="00F918C3" w:rsidRPr="00C203E5" w:rsidRDefault="00F918C3" w:rsidP="00423C3D">
      <w:r w:rsidRPr="00C203E5">
        <w:t>Details of specific contingent assets and liabilities, defined as possible assets or liabilities that arise from past events, whose existence will be confirmed only by the occurrence or non</w:t>
      </w:r>
      <w:r w:rsidRPr="00C203E5">
        <w:noBreakHyphen/>
        <w:t xml:space="preserve">occurrence of one or more uncertain future events not wholly within the control of the entity, are contained within Budget Paper No. 5, Chapter 6 </w:t>
      </w:r>
      <w:r w:rsidRPr="00C203E5">
        <w:rPr>
          <w:i/>
        </w:rPr>
        <w:t>Contingent Assets and Contingent Liabilities.</w:t>
      </w:r>
    </w:p>
    <w:p w:rsidR="00F918C3" w:rsidRPr="00C203E5" w:rsidRDefault="00F918C3" w:rsidP="00B0582B">
      <w:pPr>
        <w:pStyle w:val="Heading20"/>
        <w:rPr>
          <w:rFonts w:eastAsiaTheme="minorHAnsi"/>
        </w:rPr>
      </w:pPr>
      <w:r w:rsidRPr="00C203E5">
        <w:rPr>
          <w:rFonts w:eastAsiaTheme="minorHAnsi"/>
        </w:rPr>
        <w:t>General fiscal risks</w:t>
      </w:r>
    </w:p>
    <w:p w:rsidR="00F918C3" w:rsidRPr="00C203E5" w:rsidRDefault="00F918C3" w:rsidP="00B0582B">
      <w:pPr>
        <w:pStyle w:val="Heading30"/>
      </w:pPr>
      <w:r w:rsidRPr="00C203E5">
        <w:rPr>
          <w:rFonts w:eastAsiaTheme="minorHAnsi"/>
        </w:rPr>
        <w:t>State taxes</w:t>
      </w:r>
    </w:p>
    <w:p w:rsidR="00F918C3" w:rsidRPr="00C203E5" w:rsidRDefault="00F918C3" w:rsidP="002A175F">
      <w:r w:rsidRPr="00C203E5">
        <w:t xml:space="preserve">State tax forecasts are primarily modelled on the relationships between taxation revenue and projected economic variables. As a result, the main source of uncertainty to the taxation estimates are unforeseen changes in the economic outlook. </w:t>
      </w:r>
      <w:r>
        <w:fldChar w:fldCharType="begin"/>
      </w:r>
      <w:r>
        <w:instrText xml:space="preserve"> XE "</w:instrText>
      </w:r>
      <w:r w:rsidRPr="00D02DCA">
        <w:instrText>General fiscal risks</w:instrText>
      </w:r>
      <w:r>
        <w:instrText xml:space="preserve">" </w:instrText>
      </w:r>
      <w:r>
        <w:fldChar w:fldCharType="end"/>
      </w:r>
    </w:p>
    <w:p w:rsidR="00F918C3" w:rsidRPr="00C203E5" w:rsidRDefault="00F918C3" w:rsidP="00220473">
      <w:r w:rsidRPr="00C203E5">
        <w:t>Revenue from property based taxes, such as land tax and land transfer duty, are subject to unique risks and historically have been volatile. Property markets can exhibit large cycles typically related to changes in official i</w:t>
      </w:r>
      <w:r>
        <w:t xml:space="preserve">nterest rates and/or changes in </w:t>
      </w:r>
      <w:r w:rsidRPr="00C203E5">
        <w:t xml:space="preserve">sentiment. Forecasts for the </w:t>
      </w:r>
      <w:r w:rsidRPr="00C203E5">
        <w:rPr>
          <w:i/>
        </w:rPr>
        <w:t>2018</w:t>
      </w:r>
      <w:r w:rsidRPr="00C203E5">
        <w:rPr>
          <w:i/>
        </w:rPr>
        <w:noBreakHyphen/>
        <w:t xml:space="preserve">19 Budget </w:t>
      </w:r>
      <w:r w:rsidRPr="00C203E5">
        <w:t>anticipate a stable economic backdrop with an orderly moderation in the housing market in Victoria after a period of strong growth in prices. If property market sentiment were to deteriorate or interest rates rose more quickly than currently expected, or population growth remains at historically elevated levels, revenue from property based taxes would vary from forecast.</w:t>
      </w:r>
    </w:p>
    <w:p w:rsidR="00F918C3" w:rsidRPr="00C203E5" w:rsidRDefault="00F918C3" w:rsidP="00220473">
      <w:r w:rsidRPr="00C203E5">
        <w:t xml:space="preserve">Further detail about the fiscal implications of variations in economic parameters from forecasts are outlined in Appendix A </w:t>
      </w:r>
      <w:r w:rsidRPr="00C203E5">
        <w:rPr>
          <w:i/>
        </w:rPr>
        <w:t>Sensitivity Analysis</w:t>
      </w:r>
      <w:r w:rsidRPr="00C203E5">
        <w:rPr>
          <w:rFonts w:ascii="Helv" w:hAnsi="Helv" w:cs="Helv"/>
          <w:color w:val="808080"/>
        </w:rPr>
        <w:t>.</w:t>
      </w:r>
    </w:p>
    <w:p w:rsidR="00F918C3" w:rsidRPr="00C203E5" w:rsidRDefault="00F918C3" w:rsidP="00423C3D">
      <w:pPr>
        <w:pStyle w:val="Heading30"/>
        <w:rPr>
          <w:rFonts w:eastAsiaTheme="minorHAnsi"/>
        </w:rPr>
      </w:pPr>
      <w:r w:rsidRPr="00C203E5">
        <w:rPr>
          <w:rFonts w:eastAsiaTheme="minorHAnsi"/>
        </w:rPr>
        <w:t>Employee expenses</w:t>
      </w:r>
    </w:p>
    <w:p w:rsidR="00F918C3" w:rsidRPr="00C203E5" w:rsidRDefault="00F918C3" w:rsidP="00220473">
      <w:r w:rsidRPr="00C203E5">
        <w:t xml:space="preserve">Employee expenses are the State’s largest expense. Two important determinants of employee expenses are wages growth and the number of employees. </w:t>
      </w:r>
    </w:p>
    <w:p w:rsidR="00F918C3" w:rsidRPr="00C203E5" w:rsidRDefault="00F918C3" w:rsidP="00220473">
      <w:r w:rsidRPr="00C203E5">
        <w:t xml:space="preserve">One of the ways the Government manages employee expenses is through implementing a wages policy to deliver financially sustainable wage outcomes that recognise and reward the services public sector employees provide, while improving services to Victorians. </w:t>
      </w:r>
    </w:p>
    <w:p w:rsidR="00F918C3" w:rsidRPr="00C203E5" w:rsidRDefault="00F918C3" w:rsidP="00220473">
      <w:r w:rsidRPr="00C203E5">
        <w:t>Other factors contributing to projected employee expenses include the composition and profile of the workforce as well as rostering arrangements.</w:t>
      </w:r>
    </w:p>
    <w:p w:rsidR="00F918C3" w:rsidRPr="00C203E5" w:rsidRDefault="00F918C3" w:rsidP="00423C3D">
      <w:pPr>
        <w:pStyle w:val="Heading30"/>
        <w:rPr>
          <w:rFonts w:eastAsiaTheme="minorHAnsi"/>
        </w:rPr>
      </w:pPr>
      <w:r w:rsidRPr="00C203E5">
        <w:rPr>
          <w:rFonts w:eastAsiaTheme="minorHAnsi"/>
        </w:rPr>
        <w:t>Demand growth</w:t>
      </w:r>
    </w:p>
    <w:p w:rsidR="00F918C3" w:rsidRPr="00C203E5" w:rsidRDefault="00F918C3" w:rsidP="00423C3D">
      <w:r w:rsidRPr="00C203E5">
        <w:t xml:space="preserve">Another key uncertainty is growth in demand for government services exceeding or being below current projections. This can occur, for example, as a result of higher than forecast population growth or expenditure in response to unforeseen events such as natural disasters, including bushfires and floods. </w:t>
      </w:r>
    </w:p>
    <w:p w:rsidR="00F918C3" w:rsidRPr="00C203E5" w:rsidRDefault="00F918C3" w:rsidP="00423C3D">
      <w:r w:rsidRPr="00C203E5">
        <w:t>The estimates incorporate contingency provisions to mitigate the impact of expenditure risks, which may be realised during the next four years. The contingency provisions are sized to allow for the likely growth in Victoria’s population and consequent derived increased demand for government services.</w:t>
      </w:r>
    </w:p>
    <w:p w:rsidR="00F918C3" w:rsidRPr="00C203E5" w:rsidRDefault="00F918C3" w:rsidP="00423C3D">
      <w:r w:rsidRPr="00C203E5">
        <w:t xml:space="preserve">Note 1.3.5 and Note 1.3.6 of Budget Paper No. 5 Chapter 1 </w:t>
      </w:r>
      <w:r w:rsidRPr="00C203E5">
        <w:rPr>
          <w:i/>
        </w:rPr>
        <w:t xml:space="preserve">Estimated Financial Statements for the General Government Sector </w:t>
      </w:r>
      <w:r w:rsidRPr="00C203E5">
        <w:t>discloses general government output and asset contingencies not allocated to departments</w:t>
      </w:r>
      <w:r w:rsidRPr="00C203E5">
        <w:rPr>
          <w:i/>
        </w:rPr>
        <w:t>.</w:t>
      </w:r>
    </w:p>
    <w:p w:rsidR="00F918C3" w:rsidRPr="00C203E5" w:rsidRDefault="00F918C3" w:rsidP="00AC01E8">
      <w:pPr>
        <w:pStyle w:val="Heading30"/>
      </w:pPr>
      <w:r w:rsidRPr="00C203E5">
        <w:rPr>
          <w:rFonts w:eastAsiaTheme="minorHAnsi"/>
        </w:rPr>
        <w:t>Specific fiscal risks</w:t>
      </w:r>
    </w:p>
    <w:p w:rsidR="00F918C3" w:rsidRPr="00C203E5" w:rsidRDefault="00F918C3" w:rsidP="00AC01E8">
      <w:pPr>
        <w:pStyle w:val="Heading4"/>
        <w:spacing w:before="160"/>
        <w:rPr>
          <w:rFonts w:eastAsiaTheme="minorHAnsi"/>
        </w:rPr>
      </w:pPr>
      <w:r w:rsidRPr="00C203E5">
        <w:rPr>
          <w:rFonts w:eastAsiaTheme="minorHAnsi"/>
        </w:rPr>
        <w:t>Commonwealth</w:t>
      </w:r>
      <w:r w:rsidR="008C27C4">
        <w:rPr>
          <w:rFonts w:eastAsiaTheme="minorHAnsi"/>
        </w:rPr>
        <w:fldChar w:fldCharType="begin"/>
      </w:r>
      <w:r w:rsidR="008C27C4">
        <w:instrText xml:space="preserve"> XE "</w:instrText>
      </w:r>
      <w:r w:rsidR="008C27C4" w:rsidRPr="00EF1E91">
        <w:instrText>Commonwealth</w:instrText>
      </w:r>
      <w:r w:rsidR="008C27C4">
        <w:instrText xml:space="preserve">" </w:instrText>
      </w:r>
      <w:r w:rsidR="008C27C4">
        <w:rPr>
          <w:rFonts w:eastAsiaTheme="minorHAnsi"/>
        </w:rPr>
        <w:fldChar w:fldCharType="end"/>
      </w:r>
      <w:r w:rsidRPr="00C203E5">
        <w:rPr>
          <w:rFonts w:eastAsiaTheme="minorHAnsi"/>
        </w:rPr>
        <w:t xml:space="preserve"> funding for housing and homelessness</w:t>
      </w:r>
    </w:p>
    <w:p w:rsidR="00F918C3" w:rsidRPr="00C203E5" w:rsidRDefault="00F918C3" w:rsidP="00AC01E8">
      <w:r w:rsidRPr="00C203E5">
        <w:t>In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’s</w:t>
      </w:r>
      <w:r w:rsidRPr="00C203E5">
        <w:rPr>
          <w:i/>
        </w:rPr>
        <w:t xml:space="preserve"> 2017</w:t>
      </w:r>
      <w:r w:rsidRPr="00C203E5">
        <w:rPr>
          <w:i/>
        </w:rPr>
        <w:noBreakHyphen/>
        <w:t>18 Budget</w:t>
      </w:r>
      <w:r w:rsidRPr="00C203E5">
        <w:t>, the Commonwealth announced changes to funding arrangements for housing and homelessness. Funding provided under the National Affordable Housing Agreement and National Partnership Agreement on Homelessness would be combined and provided under a new National Housing and Homelessness Agreement (NHHA) from 1 July 2018.</w:t>
      </w:r>
    </w:p>
    <w:p w:rsidR="00F918C3" w:rsidRPr="00C203E5" w:rsidRDefault="00F918C3" w:rsidP="00AC01E8">
      <w:r w:rsidRPr="00C203E5">
        <w:t>In March 2018,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Parliament amended the </w:t>
      </w:r>
      <w:r w:rsidRPr="00C203E5">
        <w:rPr>
          <w:i/>
        </w:rPr>
        <w:t xml:space="preserve">Federal Financial Relations Act 2009 </w:t>
      </w:r>
      <w:r w:rsidRPr="00C203E5">
        <w:t>to require that states and territories meet a number of conditions to be eligible to receive Commonwealth funding for the NHHA. These conditions include being party to a primary multilateral agreement and supplementary bilateral agreement, having housing and homelessness strategies that include specific content, matching Commonwealth homelessness funding and providing data and information to the Commonwealth.</w:t>
      </w:r>
    </w:p>
    <w:p w:rsidR="00F918C3" w:rsidRPr="00C203E5" w:rsidRDefault="00F918C3" w:rsidP="00AC01E8">
      <w:r w:rsidRPr="00C203E5">
        <w:t>Victoria continues to negotiate with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and other states and territories on the primary and supplementary agreements. The provision of Commonwealth funding for 2018</w:t>
      </w:r>
      <w:r w:rsidRPr="00C203E5">
        <w:noBreakHyphen/>
        <w:t xml:space="preserve">19 is subject to the outcome of these negotiations. The </w:t>
      </w:r>
      <w:r w:rsidRPr="00C203E5">
        <w:rPr>
          <w:i/>
        </w:rPr>
        <w:t>2018-19 Budget</w:t>
      </w:r>
      <w:r w:rsidRPr="00C203E5">
        <w:t xml:space="preserve"> provides funding in 2018-19 for Victoria to match the Commonwealth’s contribution to homelessness services.</w:t>
      </w:r>
    </w:p>
    <w:p w:rsidR="00F918C3" w:rsidRPr="00C203E5" w:rsidRDefault="00F918C3" w:rsidP="005C340B">
      <w:pPr>
        <w:pStyle w:val="Heading4"/>
        <w:spacing w:before="160"/>
        <w:rPr>
          <w:rFonts w:eastAsiaTheme="minorHAnsi"/>
        </w:rPr>
      </w:pPr>
      <w:r w:rsidRPr="00C203E5">
        <w:rPr>
          <w:rFonts w:eastAsiaTheme="minorHAnsi"/>
        </w:rPr>
        <w:t>National Disability Insurance Scheme</w:t>
      </w:r>
    </w:p>
    <w:p w:rsidR="00F918C3" w:rsidRPr="00C203E5" w:rsidRDefault="00F918C3" w:rsidP="005C340B">
      <w:r w:rsidRPr="00C203E5">
        <w:t>Victoria commenced transition to the NDIS on 1 July 2016 and is working towards reaching full roll–out across the state by July 2019. Once fully implemented, Victoria’s investment in the NDIS will be an estimated $2.5</w:t>
      </w:r>
      <w:r w:rsidR="006371F3">
        <w:t> billion</w:t>
      </w:r>
      <w:r w:rsidRPr="00C203E5">
        <w:t xml:space="preserve"> a year, with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estimated to provide $2.6</w:t>
      </w:r>
      <w:r w:rsidR="006371F3">
        <w:t> billion</w:t>
      </w:r>
      <w:r w:rsidRPr="00C203E5">
        <w:t xml:space="preserve"> a year for Victorians in the scheme. The Victorian Government will continue to work with the Commonwealth to monitor and manage financial and operational risks within the scheme. </w:t>
      </w:r>
    </w:p>
    <w:p w:rsidR="00F918C3" w:rsidRPr="00C203E5" w:rsidRDefault="00F918C3" w:rsidP="006C0F72">
      <w:pPr>
        <w:pStyle w:val="Heading4"/>
      </w:pPr>
      <w:r w:rsidRPr="00C203E5">
        <w:t>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schools funding</w:t>
      </w:r>
    </w:p>
    <w:p w:rsidR="00F918C3" w:rsidRPr="00C203E5" w:rsidRDefault="00F918C3" w:rsidP="00432417">
      <w:r w:rsidRPr="00C203E5">
        <w:t>In June 2017,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Government passed amendments to the </w:t>
      </w:r>
      <w:r w:rsidRPr="00C203E5">
        <w:rPr>
          <w:i/>
        </w:rPr>
        <w:t>Australian Education Act 2013</w:t>
      </w:r>
      <w:r w:rsidRPr="00C203E5">
        <w:t xml:space="preserve"> to implement new national school funding arrangements for 2018 onwards. The Victorian Government has signed a one</w:t>
      </w:r>
      <w:r w:rsidRPr="00C203E5">
        <w:noBreakHyphen/>
        <w:t xml:space="preserve">year interim agreement with the Commonwealth to ensure funding is not at risk for schools for 2018. </w:t>
      </w:r>
    </w:p>
    <w:p w:rsidR="00F918C3" w:rsidRPr="00C203E5" w:rsidRDefault="00F918C3" w:rsidP="00432417">
      <w:r w:rsidRPr="00C203E5">
        <w:t>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contributions to school education are yet to be determined for the 2019 school year onwards. The quantum and conditions of funding are dependent on formal negotiations between the Commonwealth, the states and territories, and the non</w:t>
      </w:r>
      <w:r w:rsidRPr="00C203E5">
        <w:noBreakHyphen/>
        <w:t>government schools sector.</w:t>
      </w:r>
    </w:p>
    <w:p w:rsidR="00F918C3" w:rsidRPr="00C203E5" w:rsidRDefault="00F918C3" w:rsidP="005C340B">
      <w:pPr>
        <w:pStyle w:val="Heading4"/>
        <w:spacing w:before="160"/>
        <w:rPr>
          <w:rFonts w:eastAsiaTheme="minorHAnsi"/>
        </w:rPr>
      </w:pPr>
      <w:r w:rsidRPr="00C203E5">
        <w:rPr>
          <w:rFonts w:eastAsiaTheme="minorHAnsi"/>
        </w:rPr>
        <w:t>Universal Access to Early Childhood Education</w:t>
      </w:r>
    </w:p>
    <w:p w:rsidR="00F918C3" w:rsidRPr="00C203E5" w:rsidRDefault="00F918C3" w:rsidP="009A5614">
      <w:r w:rsidRPr="00C203E5">
        <w:t>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’s financial contribution to assist the states and territories in providing 15 hours per week of preschool support per student is supplied under the National Partnership Agreement on Universal Access to Early Childhood Education. Funding under this agreement will cease in 2019 and ongoing Commonwealth funding arrangements are uncertain.</w:t>
      </w:r>
    </w:p>
    <w:p w:rsidR="00F918C3" w:rsidRPr="00C203E5" w:rsidRDefault="00F918C3" w:rsidP="005C340B">
      <w:pPr>
        <w:pStyle w:val="Heading4"/>
        <w:spacing w:before="160"/>
        <w:rPr>
          <w:rFonts w:eastAsiaTheme="minorHAnsi"/>
        </w:rPr>
      </w:pPr>
      <w:r w:rsidRPr="00C203E5">
        <w:rPr>
          <w:rFonts w:eastAsiaTheme="minorHAnsi"/>
        </w:rPr>
        <w:t xml:space="preserve">National Health Reform </w:t>
      </w:r>
    </w:p>
    <w:p w:rsidR="00F918C3" w:rsidRPr="00C203E5" w:rsidRDefault="00F918C3" w:rsidP="00B74935">
      <w:r w:rsidRPr="00C203E5">
        <w:t>Under the National Health Reform Agreement (NHRA),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growth funding is derived from a complex model based on the number of procedures performed (activity) and an efficient price determined by an independent administrator.</w:t>
      </w:r>
    </w:p>
    <w:p w:rsidR="00F918C3" w:rsidRPr="00C203E5" w:rsidRDefault="00F918C3" w:rsidP="00961E70">
      <w:r w:rsidRPr="00C203E5">
        <w:t>These arrangements were scheduled to cease from 1 July 2017, however, in April 2016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agreed to continue the NHRA from 1 July 2017 until 30 June 2020. Conditions attached to the Agreement may increase fiscal exposure for the State and include:</w:t>
      </w:r>
    </w:p>
    <w:p w:rsidR="00F918C3" w:rsidRPr="00C203E5" w:rsidRDefault="00F918C3" w:rsidP="005E7A0A">
      <w:pPr>
        <w:pStyle w:val="ListBullet"/>
        <w:numPr>
          <w:ilvl w:val="0"/>
          <w:numId w:val="26"/>
        </w:numPr>
      </w:pPr>
      <w:r w:rsidRPr="00C203E5">
        <w:t>a national cap on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annual expenditure growth of 6.5 per cent (above which the State will be required to fund all hospital activity);</w:t>
      </w:r>
    </w:p>
    <w:p w:rsidR="00F918C3" w:rsidRPr="00C203E5" w:rsidRDefault="00F918C3" w:rsidP="005E7A0A">
      <w:pPr>
        <w:pStyle w:val="ListBullet"/>
        <w:numPr>
          <w:ilvl w:val="0"/>
          <w:numId w:val="26"/>
        </w:numPr>
      </w:pPr>
      <w:r w:rsidRPr="00C203E5">
        <w:t>reduced funding to the State for avoidable hospital admissions or unsafe care; and</w:t>
      </w:r>
    </w:p>
    <w:p w:rsidR="00F918C3" w:rsidRPr="00C203E5" w:rsidRDefault="00F918C3" w:rsidP="005E7A0A">
      <w:pPr>
        <w:pStyle w:val="ListBullet"/>
        <w:numPr>
          <w:ilvl w:val="0"/>
          <w:numId w:val="26"/>
        </w:numPr>
      </w:pPr>
      <w:r w:rsidRPr="00C203E5">
        <w:t>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withholding funds until hospital activity data is provided.</w:t>
      </w:r>
    </w:p>
    <w:p w:rsidR="00F918C3" w:rsidRPr="00C203E5" w:rsidRDefault="00F918C3" w:rsidP="00B74935">
      <w:r w:rsidRPr="00C203E5">
        <w:t>A Heads of Agreement for a new agreement was proposed by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at the Council of Australian Governments (COAG) on 9 February 2018, and negotiations are ongoing.</w:t>
      </w:r>
    </w:p>
    <w:p w:rsidR="00F918C3" w:rsidRPr="00C203E5" w:rsidRDefault="00F918C3" w:rsidP="00D206FE">
      <w:pPr>
        <w:pStyle w:val="Heading4"/>
        <w:spacing w:before="160"/>
        <w:rPr>
          <w:rFonts w:eastAsiaTheme="minorHAnsi"/>
        </w:rPr>
      </w:pPr>
      <w:r w:rsidRPr="00C203E5">
        <w:rPr>
          <w:rFonts w:eastAsiaTheme="minorHAnsi"/>
        </w:rPr>
        <w:t>Victoria’s GST revenue</w:t>
      </w:r>
    </w:p>
    <w:p w:rsidR="00F918C3" w:rsidRPr="00C203E5" w:rsidRDefault="00F918C3" w:rsidP="007350E8">
      <w:r w:rsidRPr="00C203E5">
        <w:t>The distribution of GST grants between states and territories is determined by the size of the national GST pool and each jurisdiction’s population share weighted by its GST relativity. Revenue sharing relativities are determined by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Treasurer, as informed by the recommendations of the Commonwealth Grants Commission. </w:t>
      </w:r>
      <w:r>
        <w:fldChar w:fldCharType="begin"/>
      </w:r>
      <w:r>
        <w:instrText xml:space="preserve"> XE "</w:instrText>
      </w:r>
      <w:r w:rsidRPr="00D02DCA">
        <w:instrText>Goods and services tax:Revenue</w:instrText>
      </w:r>
      <w:r>
        <w:instrText xml:space="preserve">" </w:instrText>
      </w:r>
      <w:r>
        <w:fldChar w:fldCharType="end"/>
      </w:r>
    </w:p>
    <w:p w:rsidR="00F918C3" w:rsidRPr="00C203E5" w:rsidRDefault="00F918C3" w:rsidP="007350E8">
      <w:r w:rsidRPr="00C203E5">
        <w:t>The Productivity Commission is currently inquiring into Australia’s system of horizontal fiscal equalisation with the final report now expected to be handed to the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Government by 15 May 2018. The Commonwealth’s response to the inquiry may have implications for how GST revenue</w:t>
      </w:r>
      <w:r>
        <w:fldChar w:fldCharType="begin"/>
      </w:r>
      <w:r>
        <w:instrText xml:space="preserve"> XE "</w:instrText>
      </w:r>
      <w:r w:rsidRPr="00D02DCA">
        <w:instrText>Goods and services tax:Revenue</w:instrText>
      </w:r>
      <w:r>
        <w:instrText xml:space="preserve">" </w:instrText>
      </w:r>
      <w:r>
        <w:fldChar w:fldCharType="end"/>
      </w:r>
      <w:r w:rsidRPr="00C203E5">
        <w:t xml:space="preserve"> is distributed to the states and territories. For example, under one approach proposed by the Productivity Commission, it is estimated that Victoria’s GST payments would have reduced by $972</w:t>
      </w:r>
      <w:r w:rsidR="006371F3">
        <w:t> million</w:t>
      </w:r>
      <w:r w:rsidRPr="00C203E5">
        <w:t xml:space="preserve"> in 2017</w:t>
      </w:r>
      <w:r w:rsidRPr="00C203E5">
        <w:noBreakHyphen/>
        <w:t>18, with an ongoing impact in future years.</w:t>
      </w:r>
    </w:p>
    <w:p w:rsidR="00B42920" w:rsidRDefault="00B42920">
      <w:pPr>
        <w:keepLines w:val="0"/>
      </w:pPr>
      <w:r>
        <w:br w:type="page"/>
      </w:r>
    </w:p>
    <w:p w:rsidR="00F918C3" w:rsidRPr="00C203E5" w:rsidRDefault="00F918C3" w:rsidP="007350E8">
      <w:r w:rsidRPr="00C203E5">
        <w:t>If consumer prices and wages growth do not pick up as forecast, or if growth in dwelling investment is slower than expected, growth in the GST pool would be lower. Movements in the household savings ratio are also a key source of uncertainty for consumer spending and the GST pool outlook.</w:t>
      </w:r>
    </w:p>
    <w:p w:rsidR="00F918C3" w:rsidRDefault="00F918C3" w:rsidP="007350E8">
      <w:r w:rsidRPr="00C203E5">
        <w:t>If Victoria’s net overseas or interstate migration is higher than forecast, Victoria’s share of GST revenue</w:t>
      </w:r>
      <w:r>
        <w:fldChar w:fldCharType="begin"/>
      </w:r>
      <w:r>
        <w:instrText xml:space="preserve"> XE "</w:instrText>
      </w:r>
      <w:r w:rsidRPr="00D02DCA">
        <w:instrText>Goods and services tax:Revenue</w:instrText>
      </w:r>
      <w:r>
        <w:instrText xml:space="preserve">" </w:instrText>
      </w:r>
      <w:r>
        <w:fldChar w:fldCharType="end"/>
      </w:r>
      <w:r w:rsidRPr="00C203E5">
        <w:t xml:space="preserve"> could increase. Conversely, should other states have higher than expected net overseas or interstate migration this would negatively affect Victoria’s GST revenue. Victoria’s share of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rsidRPr="00C203E5">
        <w:t xml:space="preserve"> grants</w:t>
      </w:r>
      <w:r>
        <w:fldChar w:fldCharType="begin"/>
      </w:r>
      <w:r>
        <w:instrText xml:space="preserve"> XE "</w:instrText>
      </w:r>
      <w:r w:rsidRPr="00D02DCA">
        <w:instrText>Grants:Commonwealth</w:instrText>
      </w:r>
      <w:r>
        <w:instrText xml:space="preserve">" </w:instrText>
      </w:r>
      <w:r>
        <w:fldChar w:fldCharType="end"/>
      </w:r>
      <w:r w:rsidRPr="00C203E5">
        <w:t xml:space="preserve"> payments can affect its GST revenue. Unforeseen movements in the property market also impact Victoria’s share of the national GST pool. Variation in commodity prices relative to current forecasts, particularly in iron ore and coal, also poses uncertainties for Victoria’s GST revenue.</w:t>
      </w:r>
      <w:r>
        <w:fldChar w:fldCharType="begin"/>
      </w:r>
      <w:r>
        <w:instrText xml:space="preserve"> XE "R</w:instrText>
      </w:r>
      <w:r w:rsidRPr="000D0440">
        <w:instrText>isks</w:instrText>
      </w:r>
      <w:r>
        <w:instrText>:</w:instrText>
      </w:r>
      <w:r w:rsidRPr="000D0440">
        <w:instrText xml:space="preserve">Fiscal </w:instrText>
      </w:r>
      <w:r>
        <w:instrText xml:space="preserve">" \r "BP2Ch4FiscalRisks" </w:instrText>
      </w:r>
      <w:r>
        <w:fldChar w:fldCharType="end"/>
      </w:r>
      <w:r>
        <w:t xml:space="preserve"> </w:t>
      </w:r>
    </w:p>
    <w:p w:rsidR="006371F3" w:rsidRDefault="006371F3">
      <w:pPr>
        <w:keepLines w:val="0"/>
      </w:pPr>
    </w:p>
    <w:p w:rsidR="006371F3" w:rsidRPr="006B2923" w:rsidRDefault="006371F3" w:rsidP="007350E8"/>
    <w:bookmarkEnd w:id="66"/>
    <w:p w:rsidR="00F918C3" w:rsidRPr="005C340B" w:rsidRDefault="00F918C3" w:rsidP="00B74935"/>
    <w:p w:rsidR="00F918C3" w:rsidRDefault="00F918C3" w:rsidP="00B942A3">
      <w:pPr>
        <w:sectPr w:rsidR="00F918C3" w:rsidSect="00B942A3">
          <w:footerReference w:type="even" r:id="rId50"/>
          <w:footerReference w:type="default" r:id="rId51"/>
          <w:type w:val="oddPage"/>
          <w:pgSz w:w="9979" w:h="14175" w:code="34"/>
          <w:pgMar w:top="1138" w:right="1138" w:bottom="1138" w:left="1138" w:header="619" w:footer="562" w:gutter="0"/>
          <w:cols w:sep="1" w:space="567"/>
          <w:docGrid w:linePitch="360"/>
        </w:sectPr>
      </w:pPr>
    </w:p>
    <w:p w:rsidR="00F918C3" w:rsidRPr="00F23988" w:rsidRDefault="00F918C3" w:rsidP="00BF6EDD">
      <w:pPr>
        <w:pStyle w:val="ChapterHeading0"/>
      </w:pPr>
      <w:bookmarkStart w:id="67" w:name="_Toc512629769"/>
      <w:r w:rsidRPr="00F23988">
        <w:t>Chapter 5 – Position and outlook of the broader public sector</w:t>
      </w:r>
      <w:bookmarkEnd w:id="67"/>
    </w:p>
    <w:p w:rsidR="00F918C3" w:rsidRPr="00F23988" w:rsidRDefault="00F918C3" w:rsidP="00602121">
      <w:pPr>
        <w:pStyle w:val="HighlightBoxBullet"/>
      </w:pPr>
      <w:bookmarkStart w:id="68" w:name="BP2Ch5OpSurplus"/>
      <w:bookmarkStart w:id="69" w:name="BP2Ch5NFPS"/>
      <w:r w:rsidRPr="00F23988">
        <w:t>The non</w:t>
      </w:r>
      <w:r w:rsidRPr="00F23988">
        <w:noBreakHyphen/>
        <w:t>financial public sector (NFPS) is expected to achieve operating surpluses over the budget and forward estimates. This reflects the strong fiscal outlook in the general government sector.</w:t>
      </w:r>
    </w:p>
    <w:p w:rsidR="00F918C3" w:rsidRPr="00F23988" w:rsidRDefault="00F918C3" w:rsidP="007F0651">
      <w:pPr>
        <w:pStyle w:val="HighlightBoxBullet"/>
      </w:pPr>
      <w:r w:rsidRPr="00F23988">
        <w:t>NFPS net debt</w:t>
      </w:r>
      <w:r>
        <w:fldChar w:fldCharType="begin"/>
      </w:r>
      <w:r>
        <w:instrText xml:space="preserve"> XE "</w:instrText>
      </w:r>
      <w:r w:rsidRPr="00D02DCA">
        <w:instrText>Debt:Net debt</w:instrText>
      </w:r>
      <w:r>
        <w:instrText xml:space="preserve">" </w:instrText>
      </w:r>
      <w:r>
        <w:fldChar w:fldCharType="end"/>
      </w:r>
      <w:r w:rsidRPr="00F23988">
        <w:t xml:space="preserve"> as a proportion of gross state product</w:t>
      </w:r>
      <w:r>
        <w:fldChar w:fldCharType="begin"/>
      </w:r>
      <w:r>
        <w:instrText xml:space="preserve"> XE "</w:instrText>
      </w:r>
      <w:r w:rsidRPr="00D02DCA">
        <w:instrText>Gross state product</w:instrText>
      </w:r>
      <w:r>
        <w:instrText xml:space="preserve">" </w:instrText>
      </w:r>
      <w:r>
        <w:fldChar w:fldCharType="end"/>
      </w:r>
      <w:r w:rsidRPr="00F23988">
        <w:t xml:space="preserve"> (GSP) is estimated to average 9.4 per cent over the budget and forward estimates. The outlook for the State’s financial position is consistent with Victoria’s triple</w:t>
      </w:r>
      <w:r w:rsidRPr="00F23988">
        <w:noBreakHyphen/>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rsidRPr="00F23988">
        <w:t xml:space="preserve">. </w:t>
      </w:r>
    </w:p>
    <w:p w:rsidR="00F918C3" w:rsidRPr="00F23988" w:rsidRDefault="00F918C3" w:rsidP="00602121">
      <w:pPr>
        <w:pStyle w:val="HighlightBoxBullet"/>
      </w:pPr>
      <w:r w:rsidRPr="00F23988">
        <w:t>The net result from transactions of the public non</w:t>
      </w:r>
      <w:r w:rsidRPr="00F23988">
        <w:noBreakHyphen/>
        <w:t>financial corporations</w:t>
      </w:r>
      <w:r>
        <w:fldChar w:fldCharType="begin"/>
      </w:r>
      <w:r>
        <w:instrText xml:space="preserve"> XE "</w:instrText>
      </w:r>
      <w:r w:rsidRPr="00D02DCA">
        <w:instrText>Public non-financial corporations</w:instrText>
      </w:r>
      <w:r>
        <w:instrText xml:space="preserve">" </w:instrText>
      </w:r>
      <w:r>
        <w:fldChar w:fldCharType="end"/>
      </w:r>
      <w:r w:rsidRPr="00F23988">
        <w:t xml:space="preserve"> (PNFC) sector is anticipated to be an average deficit of $533</w:t>
      </w:r>
      <w:r w:rsidR="006371F3">
        <w:t> million</w:t>
      </w:r>
      <w:r w:rsidRPr="00F23988">
        <w:t xml:space="preserve"> a year over the budget and forward estimates, while the average operating cash flow surplus is expected to be $1.6</w:t>
      </w:r>
      <w:r w:rsidR="006371F3">
        <w:t> billion</w:t>
      </w:r>
      <w:r w:rsidRPr="00F23988">
        <w:t xml:space="preserve"> ov</w:t>
      </w:r>
      <w:r>
        <w:t xml:space="preserve">er this </w:t>
      </w:r>
      <w:r w:rsidRPr="00F23988">
        <w:t>period.</w:t>
      </w:r>
    </w:p>
    <w:p w:rsidR="00F918C3" w:rsidRPr="00F23988" w:rsidRDefault="00F918C3" w:rsidP="00602121">
      <w:pPr>
        <w:pStyle w:val="HighlightBoxBullet"/>
      </w:pPr>
      <w:r w:rsidRPr="00F23988">
        <w:t>The net result of the public financial corporations</w:t>
      </w:r>
      <w:r>
        <w:fldChar w:fldCharType="begin"/>
      </w:r>
      <w:r>
        <w:instrText xml:space="preserve"> XE "</w:instrText>
      </w:r>
      <w:r w:rsidRPr="00D02DCA">
        <w:instrText>Public financial corporations</w:instrText>
      </w:r>
      <w:r>
        <w:instrText xml:space="preserve">" </w:instrText>
      </w:r>
      <w:r>
        <w:fldChar w:fldCharType="end"/>
      </w:r>
      <w:r w:rsidRPr="00F23988">
        <w:t xml:space="preserve"> (PFC) sector is forecast to improve over the budget and forward estimates from a deficit of $328</w:t>
      </w:r>
      <w:r w:rsidR="006371F3">
        <w:t> million</w:t>
      </w:r>
      <w:r w:rsidRPr="00F23988">
        <w:t xml:space="preserve"> in 2018</w:t>
      </w:r>
      <w:r w:rsidRPr="00F23988">
        <w:noBreakHyphen/>
        <w:t>19 to a deficit of $148</w:t>
      </w:r>
      <w:r w:rsidR="006371F3">
        <w:t> million</w:t>
      </w:r>
      <w:r w:rsidRPr="00F23988">
        <w:t xml:space="preserve"> by 2021</w:t>
      </w:r>
      <w:r w:rsidRPr="00F23988">
        <w:noBreakHyphen/>
        <w:t>22. The average operating cash flow surplus of the PFC sector over this period is $864</w:t>
      </w:r>
      <w:r w:rsidR="006371F3">
        <w:t> million</w:t>
      </w:r>
      <w:r w:rsidRPr="00F23988">
        <w:t>.</w:t>
      </w:r>
    </w:p>
    <w:p w:rsidR="00F918C3" w:rsidRPr="00F23988" w:rsidRDefault="00F918C3" w:rsidP="007969C7"/>
    <w:p w:rsidR="00F918C3" w:rsidRPr="00F23988" w:rsidRDefault="00F918C3" w:rsidP="007969C7">
      <w:r w:rsidRPr="00F23988">
        <w:t>This chapter overviews the activities of the broader public sector, comprising:</w:t>
      </w:r>
    </w:p>
    <w:p w:rsidR="00F918C3" w:rsidRPr="00F23988" w:rsidRDefault="00F918C3" w:rsidP="00301A2B">
      <w:pPr>
        <w:pStyle w:val="ListBullet"/>
      </w:pPr>
      <w:r w:rsidRPr="00F23988">
        <w:t xml:space="preserve">the NFPS, which consolidates the general government sector and the PNFC sector. The general government sector is discussed in Chapter 4 </w:t>
      </w:r>
      <w:r w:rsidRPr="00F23988">
        <w:rPr>
          <w:i/>
        </w:rPr>
        <w:t>Budget Position and Outlook</w:t>
      </w:r>
      <w:r w:rsidRPr="00F23988">
        <w:t>. The PNFC sector comprises a wide range of entities that provide services primarily funded from user charges and fees. The main services provided by PNFCs include water, housing, and transport services; and</w:t>
      </w:r>
    </w:p>
    <w:p w:rsidR="00F918C3" w:rsidRPr="00F23988" w:rsidRDefault="00F918C3" w:rsidP="005E7A0A">
      <w:pPr>
        <w:pStyle w:val="ListBullet"/>
        <w:numPr>
          <w:ilvl w:val="0"/>
          <w:numId w:val="27"/>
        </w:numPr>
        <w:ind w:left="284" w:hanging="284"/>
      </w:pPr>
      <w:bookmarkStart w:id="70" w:name="BP2Ch5StateofVic"/>
      <w:r w:rsidRPr="00F23988">
        <w:t>the State of Victoria, which consolidates the NFPS and the PFC sectors. PFCs can be categorised into two broad types: those that provide services to the general public and businesses (such as WorkSafe Victoria</w:t>
      </w:r>
      <w:r>
        <w:t>,</w:t>
      </w:r>
      <w:r w:rsidRPr="00F23988">
        <w:t xml:space="preserve"> the Transport Accident Commission</w:t>
      </w:r>
      <w:r>
        <w:t xml:space="preserve"> and </w:t>
      </w:r>
      <w:r w:rsidRPr="00F23988">
        <w:t>State Trustees Limited), and those that provide financial services, predominantly to other government entities (such as the Victorian Funds Management Corporation, Treasury Corporation of Victoria</w:t>
      </w:r>
      <w:r>
        <w:t xml:space="preserve"> and</w:t>
      </w:r>
      <w:r w:rsidRPr="00F23988">
        <w:t xml:space="preserve"> the Victorian Managed Insurance Authority).</w:t>
      </w:r>
    </w:p>
    <w:p w:rsidR="00F918C3" w:rsidRPr="00F23988" w:rsidRDefault="00F918C3">
      <w:pPr>
        <w:keepLines w:val="0"/>
      </w:pPr>
      <w:bookmarkStart w:id="71" w:name="_Toc481160576"/>
      <w:r w:rsidRPr="00F23988">
        <w:br w:type="page"/>
      </w:r>
    </w:p>
    <w:p w:rsidR="00F918C3" w:rsidRPr="00F23988" w:rsidRDefault="00F918C3" w:rsidP="00602833">
      <w:r w:rsidRPr="00F23988">
        <w:t xml:space="preserve">This chapter comments on each of the sectors but includes tables with data for the State of Victoria and the NFPS only. The equivalent information for the PFC and PNFC sectors can be found in Budget Paper No. 5, Chapter 2 </w:t>
      </w:r>
      <w:r w:rsidRPr="00F23988">
        <w:rPr>
          <w:i/>
        </w:rPr>
        <w:t>Supplementary Uniform Presentation Framework Tables</w:t>
      </w:r>
      <w:r w:rsidRPr="00F23988">
        <w:t>.</w:t>
      </w:r>
      <w:r>
        <w:t xml:space="preserve"> </w:t>
      </w:r>
    </w:p>
    <w:bookmarkEnd w:id="70"/>
    <w:p w:rsidR="00F918C3" w:rsidRPr="00F23988" w:rsidRDefault="00F918C3">
      <w:pPr>
        <w:keepLines w:val="0"/>
      </w:pPr>
      <w:r w:rsidRPr="00F23988">
        <w:t xml:space="preserve">The following chart shows the relationship between the various sectors of the State and indicates the relevant tables that disclose the data on these sectors within this budget paper </w:t>
      </w:r>
      <w:r>
        <w:t>and Budget Paper No. 5.</w:t>
      </w:r>
    </w:p>
    <w:p w:rsidR="00F918C3" w:rsidRPr="00F23988" w:rsidRDefault="00F918C3">
      <w:pPr>
        <w:keepLines w:val="0"/>
      </w:pPr>
      <w:r w:rsidRPr="00C64B72">
        <w:rPr>
          <w:noProof/>
          <w:lang w:eastAsia="en-AU"/>
        </w:rPr>
        <mc:AlternateContent>
          <mc:Choice Requires="wpc">
            <w:drawing>
              <wp:inline distT="0" distB="0" distL="0" distR="0" wp14:anchorId="0A6E02F9" wp14:editId="3974CC3F">
                <wp:extent cx="4961984" cy="2883877"/>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2315351" y="0"/>
                            <a:ext cx="1286306" cy="610995"/>
                          </a:xfrm>
                          <a:prstGeom prst="rect">
                            <a:avLst/>
                          </a:prstGeom>
                          <a:solidFill>
                            <a:schemeClr val="bg2"/>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State of Victoria</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5.5 and 5.6</w:t>
                              </w:r>
                            </w:p>
                          </w:txbxContent>
                        </wps:txbx>
                        <wps:bodyPr rtlCol="0" anchor="ctr"/>
                      </wps:wsp>
                      <wps:wsp>
                        <wps:cNvPr id="5" name="Rectangle 5"/>
                        <wps:cNvSpPr/>
                        <wps:spPr>
                          <a:xfrm>
                            <a:off x="3378006" y="996886"/>
                            <a:ext cx="1446934" cy="707469"/>
                          </a:xfrm>
                          <a:prstGeom prst="rect">
                            <a:avLst/>
                          </a:prstGeom>
                          <a:solidFill>
                            <a:schemeClr val="bg2"/>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Public financial corporations (PFC)</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BP5, Chapter 2</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2.11 to 2.15</w:t>
                              </w:r>
                            </w:p>
                          </w:txbxContent>
                        </wps:txbx>
                        <wps:bodyPr rtlCol="0" anchor="ctr"/>
                      </wps:wsp>
                      <wps:wsp>
                        <wps:cNvPr id="6" name="Rectangle 6"/>
                        <wps:cNvSpPr/>
                        <wps:spPr>
                          <a:xfrm>
                            <a:off x="0" y="2145460"/>
                            <a:ext cx="1446934" cy="707468"/>
                          </a:xfrm>
                          <a:prstGeom prst="rect">
                            <a:avLst/>
                          </a:prstGeom>
                          <a:solidFill>
                            <a:schemeClr val="bg2"/>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General government sector</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4.1 to 4.6</w:t>
                              </w:r>
                            </w:p>
                          </w:txbxContent>
                        </wps:txbx>
                        <wps:bodyPr rtlCol="0" anchor="ctr"/>
                      </wps:wsp>
                      <wps:wsp>
                        <wps:cNvPr id="7" name="Rectangle 7"/>
                        <wps:cNvSpPr/>
                        <wps:spPr>
                          <a:xfrm>
                            <a:off x="2251036" y="2145460"/>
                            <a:ext cx="1446933" cy="707468"/>
                          </a:xfrm>
                          <a:prstGeom prst="rect">
                            <a:avLst/>
                          </a:prstGeom>
                          <a:solidFill>
                            <a:schemeClr val="bg2"/>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Public non</w:t>
                              </w:r>
                              <w:r w:rsidRPr="00C64B72">
                                <w:rPr>
                                  <w:rFonts w:asciiTheme="majorHAnsi" w:hAnsiTheme="majorHAnsi" w:cstheme="minorBidi"/>
                                  <w:b/>
                                  <w:bCs/>
                                  <w:color w:val="000000" w:themeColor="text1"/>
                                  <w:kern w:val="24"/>
                                  <w:sz w:val="20"/>
                                  <w:szCs w:val="20"/>
                                </w:rPr>
                                <w:noBreakHyphen/>
                                <w:t>financial corporations (PNFC)</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BP5, Chapter 2</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2.1 to 2.5</w:t>
                              </w:r>
                            </w:p>
                          </w:txbxContent>
                        </wps:txbx>
                        <wps:bodyPr rtlCol="0" anchor="ctr"/>
                      </wps:wsp>
                      <wps:wsp>
                        <wps:cNvPr id="8" name="Straight Connector 12"/>
                        <wps:cNvCnPr>
                          <a:stCxn id="9" idx="2"/>
                          <a:endCxn id="7" idx="0"/>
                        </wps:cNvCnPr>
                        <wps:spPr>
                          <a:xfrm rot="16200000" flipH="1">
                            <a:off x="2184399" y="1355355"/>
                            <a:ext cx="441105" cy="1139102"/>
                          </a:xfrm>
                          <a:prstGeom prst="bentConnector3">
                            <a:avLst>
                              <a:gd name="adj1" fmla="val 50000"/>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 name="Rectangle 9"/>
                        <wps:cNvSpPr/>
                        <wps:spPr>
                          <a:xfrm>
                            <a:off x="1111934" y="996886"/>
                            <a:ext cx="1446933" cy="707469"/>
                          </a:xfrm>
                          <a:prstGeom prst="rect">
                            <a:avLst/>
                          </a:prstGeom>
                          <a:solidFill>
                            <a:schemeClr val="bg2"/>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Non</w:t>
                              </w:r>
                              <w:r w:rsidRPr="00C64B72">
                                <w:rPr>
                                  <w:rFonts w:asciiTheme="majorHAnsi" w:hAnsiTheme="majorHAnsi" w:cstheme="minorBidi"/>
                                  <w:b/>
                                  <w:bCs/>
                                  <w:color w:val="000000" w:themeColor="text1"/>
                                  <w:kern w:val="24"/>
                                  <w:sz w:val="20"/>
                                  <w:szCs w:val="20"/>
                                </w:rPr>
                                <w:noBreakHyphen/>
                                <w:t>financial public sector (NFPS)</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5.1 to 5.4</w:t>
                              </w:r>
                            </w:p>
                          </w:txbxContent>
                        </wps:txbx>
                        <wps:bodyPr rtlCol="0" anchor="ctr"/>
                      </wps:wsp>
                      <wps:wsp>
                        <wps:cNvPr id="10" name="Straight Connector 12"/>
                        <wps:cNvCnPr>
                          <a:stCxn id="4" idx="2"/>
                          <a:endCxn id="9" idx="0"/>
                        </wps:cNvCnPr>
                        <wps:spPr>
                          <a:xfrm rot="5400000">
                            <a:off x="2204008" y="242389"/>
                            <a:ext cx="385891" cy="1123104"/>
                          </a:xfrm>
                          <a:prstGeom prst="bentConnector3">
                            <a:avLst>
                              <a:gd name="adj1" fmla="val 50000"/>
                            </a:avLst>
                          </a:prstGeom>
                          <a:noFill/>
                          <a:ln w="12700">
                            <a:solidFill>
                              <a:schemeClr val="bg1">
                                <a:lumMod val="50000"/>
                              </a:schemeClr>
                            </a:solidFill>
                            <a:headEnd type="stealth" w="lg" len="lg"/>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1" name="Straight Connector 12"/>
                        <wps:cNvCnPr>
                          <a:stCxn id="4" idx="2"/>
                          <a:endCxn id="5" idx="0"/>
                        </wps:cNvCnPr>
                        <wps:spPr>
                          <a:xfrm rot="16200000" flipH="1">
                            <a:off x="3337043" y="232456"/>
                            <a:ext cx="385891" cy="1142969"/>
                          </a:xfrm>
                          <a:prstGeom prst="bentConnector3">
                            <a:avLst>
                              <a:gd name="adj1" fmla="val 50000"/>
                            </a:avLst>
                          </a:prstGeom>
                          <a:noFill/>
                          <a:ln w="12700">
                            <a:solidFill>
                              <a:schemeClr val="bg1">
                                <a:lumMod val="50000"/>
                              </a:schemeClr>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12" name="Straight Connector 12"/>
                        <wps:cNvCnPr>
                          <a:stCxn id="9" idx="2"/>
                          <a:endCxn id="6" idx="0"/>
                        </wps:cNvCnPr>
                        <wps:spPr>
                          <a:xfrm rot="5400000">
                            <a:off x="1058882" y="1368940"/>
                            <a:ext cx="441105" cy="1111934"/>
                          </a:xfrm>
                          <a:prstGeom prst="bentConnector3">
                            <a:avLst>
                              <a:gd name="adj1" fmla="val 50000"/>
                            </a:avLst>
                          </a:prstGeom>
                          <a:noFill/>
                          <a:ln w="12700">
                            <a:solidFill>
                              <a:schemeClr val="bg1">
                                <a:lumMod val="50000"/>
                              </a:schemeClr>
                            </a:solidFill>
                            <a:headEnd type="stealth" w="lg" len="lg"/>
                            <a:tailEnd type="none" w="med" len="lg"/>
                          </a:ln>
                        </wps:spPr>
                        <wps:style>
                          <a:lnRef idx="2">
                            <a:schemeClr val="accent1">
                              <a:shade val="50000"/>
                            </a:schemeClr>
                          </a:lnRef>
                          <a:fillRef idx="1">
                            <a:schemeClr val="accent1"/>
                          </a:fillRef>
                          <a:effectRef idx="0">
                            <a:schemeClr val="accent1"/>
                          </a:effectRef>
                          <a:fontRef idx="minor">
                            <a:schemeClr val="lt1"/>
                          </a:fontRef>
                        </wps:style>
                        <wps:bodyPr/>
                      </wps:wsp>
                    </wpc:wpc>
                  </a:graphicData>
                </a:graphic>
              </wp:inline>
            </w:drawing>
          </mc:Choice>
          <mc:Fallback>
            <w:pict>
              <v:group id="Canvas 13" o:spid="_x0000_s1026" editas="canvas" style="width:390.7pt;height:227.1pt;mso-position-horizontal-relative:char;mso-position-vertical-relative:line" coordsize="49618,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FUsAQAAHAgAAAOAAAAZHJzL2Uyb0RvYy54bWzsWtty2zYQfe9M/wHD91oELxKpsZwHpWkf&#10;2iYTtx8AkaDEDghwAESXv+9iQepmOVYcp9E40oMMiuACWOzB2bP07Zt1I8iSa1MrOQnoTRgQLgtV&#10;1nI+Cf75+90vWUCMZbJkQkk+CTbcBG/ufv7pdtWOeaQWSpRcEzAizXjVToKFte14MDDFgjfM3KiW&#10;S7hZKd0wC5d6Pig1W4H1RgyiMBwOVkqXrVYFNwZ+fetvBndov6p4Yd9XleGWiEkAc7P4rfF75r4H&#10;d7dsPNesXdRFNw32jFk0rJYw6NbUW2YZ+aTrB6aautDKqMreFKoZqKqqC45rgNXQ8Gg1UyaXzOBi&#10;CvBOP0FovaDd2Rx8ACbHK9gMjm3YCtNuN8V83WD3C9ZyXIMZF38tP2hSl5MgCYhkDQTER9giJueC&#10;k8RtxqrFXvftB91dGWg6z64r3bi/4DOyngRRTNM4pQHZbLeRry0p4BaNsmEcDgNSwL0hDfM8daYH&#10;OxutNvY3rhriGpNAwxxw99jyD2N9176LG9IoUZfvaiHwwoUmnwpNlgyCajaPOuMHvYQkKzeTURii&#10;5YObGN37Jij2EZ+aP1XpzaYhfHrD/Yi4hj1LsCIh4UfnNO8mbNmN4G6mQn7kFXjbectPojfkx2BF&#10;waX1Y5sFK/lTQ6NBZ7kCX2xtdwZO2/bO7Pq7RzmCcvtw553PPbx9AkdW0m4fbmqp9KmVCVhVN7Lv&#10;3zvJu8Z5ya5na+jimjNVbiAstRVT5Y8JJouFglOisBrtuF4ACd/9m2MjfYgNDGA3C0DQ09iI41EG&#10;ZyNiI8+HWTZ0qwDf9wBJkmEeAwQdQEbhCK46d/Ug66P/CpAfGiB4VCOULhEnEODHHIKBfjZOICEA&#10;AEQ0SZNhlwo8DpHsChF3hhxx1w/PIQgRTAEuESKjhxAZuTg+GyJRlNIw9lTyGaDEe1xyBcqplOQK&#10;FJf2x33wXVrOBTLVc8m91ayeLyyZKilBFyhN6BbekH1NpZcjxk7XEsGfB32O7ZMsWfZ3AH2YfftE&#10;vsOcN+Au9pUN0QqECB2CpnWJP6lE3f4OP2Ao9ZKHZkmcw3BAWjROQf5gWrjL65KE0hCyR5fWURrn&#10;NOy1ySN53Qzy/+06YxwLJZA76Odl5xFW/gsyq2oECGOQPGRfmnS9QYj0GaN7VConltAbVx3kNRY4&#10;A5x0gTrIA9FNz4Xk/ydyIIyPkzcUIWczE4UPihgI9sdFzj4xXUXOlZjw3D2sAuAhvi0+XRoxUSCD&#10;5zITKPyu+nPMTD1nnc1MaeKJyR3vPR1FIfwIxOk0VBLFGeJrx0ZxlmY5MIdnI6jXhejkx8twr4SN&#10;2HjBWfmrLIndtFDhNJYzYReBKwiKeUAEh0o5NHBPLKvFrquEGjn2a3jZdXQtTx7XUt+p4+uMUt/3&#10;ojgKwf/y0IX87iWTyhiKhWECNOlQHEdJelQrPERxEuVP1QpfKYqtrvE1xWl4svEVyPuJ7rep2X83&#10;IEfPB3LPtKjEgBx36hCKKl8G5BMcDHIvyzKYnlN88TDLk6M65qEk9Bmzp5PXLQlfloQ9W19ftz3/&#10;ddsJ6ILghJfObYHKuHsF796b71+jLN39o8DdfwAAAP//AwBQSwMEFAAGAAgAAAAhAKN1qLHdAAAA&#10;BQEAAA8AAABkcnMvZG93bnJldi54bWxMj8FOwzAQRO9I/IO1SNyo0yilbRqnQqAcOHBoA+K6iZck&#10;NF5Hsdumf4/hUi4rjWY08zbbTqYXJxpdZ1nBfBaBIK6t7rhR8F4WDysQziNr7C2Tggs52Oa3Nxmm&#10;2p55R6e9b0QoYZeigtb7IZXS1S0ZdDM7EAfvy44GfZBjI/WI51BuehlH0aM02HFYaHGg55bqw/5o&#10;FBTlriz6Rfz2+fFSvFZ46Nbfy4tS93fT0waEp8lfw/CLH9AhD0yVPbJ2olcQHvF/N3jL1TwBUSlI&#10;FkkMMs/kf/r8BwAA//8DAFBLAQItABQABgAIAAAAIQC2gziS/gAAAOEBAAATAAAAAAAAAAAAAAAA&#10;AAAAAABbQ29udGVudF9UeXBlc10ueG1sUEsBAi0AFAAGAAgAAAAhADj9If/WAAAAlAEAAAsAAAAA&#10;AAAAAAAAAAAALwEAAF9yZWxzLy5yZWxzUEsBAi0AFAAGAAgAAAAhAHYwEVSwBAAAcCAAAA4AAAAA&#10;AAAAAAAAAAAALgIAAGRycy9lMm9Eb2MueG1sUEsBAi0AFAAGAAgAAAAhAKN1qLHdAAAABQEAAA8A&#10;AAAAAAAAAAAAAAAACgcAAGRycy9kb3ducmV2LnhtbFBLBQYAAAAABAAEAPMAAAAUCAAAAAA=&#10;">
                <v:shape id="_x0000_s1027" type="#_x0000_t75" style="position:absolute;width:49618;height:28835;visibility:visible;mso-wrap-style:square">
                  <v:fill o:detectmouseclick="t"/>
                  <v:path o:connecttype="none"/>
                </v:shape>
                <v:rect id="Rectangle 4" o:spid="_x0000_s1028" style="position:absolute;left:23153;width:12863;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Y8QA&#10;AADaAAAADwAAAGRycy9kb3ducmV2LnhtbESPQWvCQBSE74L/YXlCb7qxWKmpq9TSQi8iJqW9vmaf&#10;STD7NuxuTPrvu4LgcZiZb5j1djCNuJDztWUF81kCgriwuuZSwVf+MX0G4QOyxsYyKfgjD9vNeLTG&#10;VNuej3TJQikihH2KCqoQ2lRKX1Rk0M9sSxy9k3UGQ5SulNphH+GmkY9JspQGa44LFbb0VlFxzjqj&#10;4Ld7N2H1ne+e2vJnsdrvTn2HB6UeJsPrC4hAQ7iHb+1PrWAB1yvxB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gWPEAAAA2gAAAA8AAAAAAAAAAAAAAAAAmAIAAGRycy9k&#10;b3ducmV2LnhtbFBLBQYAAAAABAAEAPUAAACJAwAAAAA=&#10;" fillcolor="#ebebeb [3214]" strokecolor="#7f7f7f [1612]" strokeweight="1pt">
                  <v:textbo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State of Victoria</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5.5 and 5.6</w:t>
                        </w:r>
                      </w:p>
                    </w:txbxContent>
                  </v:textbox>
                </v:rect>
                <v:rect id="Rectangle 5" o:spid="_x0000_s1029" style="position:absolute;left:33780;top:9968;width:1446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k+MQA&#10;AADaAAAADwAAAGRycy9kb3ducmV2LnhtbESPQWvCQBSE7wX/w/IEb3WjaNHUVVQs9FKKibTX1+wz&#10;CWbfht2NSf99t1DocZiZb5jNbjCNuJPztWUFs2kCgriwuuZSwSV/eVyB8AFZY2OZFHyTh9129LDB&#10;VNuez3TPQikihH2KCqoQ2lRKX1Rk0E9tSxy9q3UGQ5SulNphH+GmkfMkeZIGa44LFbZ0rKi4ZZ1R&#10;8NWdTFh/5IdlW34u1m+Ha9/hu1KT8bB/BhFoCP/hv/arVrCE3yvx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JPjEAAAA2gAAAA8AAAAAAAAAAAAAAAAAmAIAAGRycy9k&#10;b3ducmV2LnhtbFBLBQYAAAAABAAEAPUAAACJAwAAAAA=&#10;" fillcolor="#ebebeb [3214]" strokecolor="#7f7f7f [1612]" strokeweight="1pt">
                  <v:textbo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Public financial corporations (PFC)</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BP5, Chapter 2</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2.11 to 2.15</w:t>
                        </w:r>
                      </w:p>
                    </w:txbxContent>
                  </v:textbox>
                </v:rect>
                <v:rect id="Rectangle 6" o:spid="_x0000_s1030" style="position:absolute;top:21454;width:1446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6j8QA&#10;AADaAAAADwAAAGRycy9kb3ducmV2LnhtbESPzWrDMBCE74W8g9hAbrWckIbYjWySkEIvpeSH9rq1&#10;NraJtTKWHLtvXxUKPQ4z8w2zyUfTiDt1rrasYB7FIIgLq2suFVzOL49rEM4ja2wsk4JvcpBnk4cN&#10;ptoOfKT7yZciQNilqKDyvk2ldEVFBl1kW+LgXW1n0AfZlVJ3OAS4aeQijlfSYM1hocKW9hUVt1Nv&#10;FHz1B+OTj/PuqS0/l8nb7jr0+K7UbDpun0F4Gv1/+K/9qhWs4PdKu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uo/EAAAA2gAAAA8AAAAAAAAAAAAAAAAAmAIAAGRycy9k&#10;b3ducmV2LnhtbFBLBQYAAAAABAAEAPUAAACJAwAAAAA=&#10;" fillcolor="#ebebeb [3214]" strokecolor="#7f7f7f [1612]" strokeweight="1pt">
                  <v:textbo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General government sector</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4.1 to 4.6</w:t>
                        </w:r>
                      </w:p>
                    </w:txbxContent>
                  </v:textbox>
                </v:rect>
                <v:rect id="Rectangle 7" o:spid="_x0000_s1031" style="position:absolute;left:22510;top:21454;width:1446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fFMQA&#10;AADaAAAADwAAAGRycy9kb3ducmV2LnhtbESPQWvCQBSE74X+h+UJvelGqbVJs4qWCl5EjKW9vmaf&#10;SWj2bchuTPz3bkHocZiZb5h0NZhaXKh1lWUF00kEgji3uuJCwedpO34F4TyyxtoyKbiSg9Xy8SHF&#10;RNuej3TJfCEChF2CCkrvm0RKl5dk0E1sQxy8s20N+iDbQuoW+wA3tZxF0Ys0WHFYKLGh95Ly36wz&#10;Cn66D+Pjr9Nm3hTfz/F+c+47PCj1NBrWbyA8Df4/fG/vtIIF/F0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HxTEAAAA2gAAAA8AAAAAAAAAAAAAAAAAmAIAAGRycy9k&#10;b3ducmV2LnhtbFBLBQYAAAAABAAEAPUAAACJAwAAAAA=&#10;" fillcolor="#ebebeb [3214]" strokecolor="#7f7f7f [1612]" strokeweight="1pt">
                  <v:textbo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Public non</w:t>
                        </w:r>
                        <w:r w:rsidRPr="00C64B72">
                          <w:rPr>
                            <w:rFonts w:asciiTheme="majorHAnsi" w:hAnsiTheme="majorHAnsi" w:cstheme="minorBidi"/>
                            <w:b/>
                            <w:bCs/>
                            <w:color w:val="000000" w:themeColor="text1"/>
                            <w:kern w:val="24"/>
                            <w:sz w:val="20"/>
                            <w:szCs w:val="20"/>
                          </w:rPr>
                          <w:noBreakHyphen/>
                          <w:t>financial corporations (PNFC)</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BP5, Chapter 2</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2.1 to 2.5</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2" o:spid="_x0000_s1032" type="#_x0000_t34" style="position:absolute;left:21844;top:13553;width:4411;height:113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9+8AAAADaAAAADwAAAGRycy9kb3ducmV2LnhtbERPTWvCQBC9F/wPywje6iZSQk1dpQQs&#10;xYNg4qHHITsmsdnZmN0m8d+7B6HHx/ve7CbTioF611hWEC8jEMSl1Q1XCs7F/vUdhPPIGlvLpOBO&#10;Dnbb2csGU21HPtGQ+0qEEHYpKqi971IpXVmTQbe0HXHgLrY36APsK6l7HEO4aeUqihJpsOHQUGNH&#10;WU3lb/5nFCQcF+P16+eGw3HPxaG6r9+GTKnFfPr8AOFp8v/ip/tbKwhbw5VwA+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i/fvAAAAA2gAAAA8AAAAAAAAAAAAAAAAA&#10;oQIAAGRycy9kb3ducmV2LnhtbFBLBQYAAAAABAAEAPkAAACOAwAAAAA=&#10;" strokecolor="#7f7f7f [1612]" strokeweight="1pt"/>
                <v:rect id="Rectangle 9" o:spid="_x0000_s1033" style="position:absolute;left:11119;top:9968;width:14469;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cMA&#10;AADaAAAADwAAAGRycy9kb3ducmV2LnhtbESPT2vCQBTE7wW/w/IKvemmRUuTuoopFrxIqYpen9ln&#10;Epp9G7KbP357VxB6HGbmN8x8OZhKdNS40rKC10kEgjizuuRcwWH/Pf4A4TyyxsoyKbiSg+Vi9DTH&#10;RNuef6nb+VwECLsEFRTe14mULivIoJvYmjh4F9sY9EE2udQN9gFuKvkWRe/SYMlhocCavgrK/nat&#10;UXBu18bHx306q/PTNN6ml77FH6VenofVJwhPg/8PP9obrSCG+5V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u/cMAAADaAAAADwAAAAAAAAAAAAAAAACYAgAAZHJzL2Rv&#10;d25yZXYueG1sUEsFBgAAAAAEAAQA9QAAAIgDAAAAAA==&#10;" fillcolor="#ebebeb [3214]" strokecolor="#7f7f7f [1612]" strokeweight="1pt">
                  <v:textbox>
                    <w:txbxContent>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b/>
                            <w:bCs/>
                            <w:color w:val="000000" w:themeColor="text1"/>
                            <w:kern w:val="24"/>
                            <w:sz w:val="20"/>
                            <w:szCs w:val="20"/>
                          </w:rPr>
                          <w:t>Non</w:t>
                        </w:r>
                        <w:r w:rsidRPr="00C64B72">
                          <w:rPr>
                            <w:rFonts w:asciiTheme="majorHAnsi" w:hAnsiTheme="majorHAnsi" w:cstheme="minorBidi"/>
                            <w:b/>
                            <w:bCs/>
                            <w:color w:val="000000" w:themeColor="text1"/>
                            <w:kern w:val="24"/>
                            <w:sz w:val="20"/>
                            <w:szCs w:val="20"/>
                          </w:rPr>
                          <w:noBreakHyphen/>
                          <w:t>financial public sector (NFPS)</w:t>
                        </w:r>
                      </w:p>
                      <w:p w:rsidR="00F918C3" w:rsidRPr="00C64B72" w:rsidRDefault="00F918C3" w:rsidP="00524AF1">
                        <w:pPr>
                          <w:pStyle w:val="NormalWeb"/>
                          <w:spacing w:before="0"/>
                          <w:jc w:val="center"/>
                          <w:rPr>
                            <w:rFonts w:asciiTheme="majorHAnsi" w:hAnsiTheme="majorHAnsi"/>
                            <w:color w:val="000000" w:themeColor="text1"/>
                            <w:sz w:val="20"/>
                            <w:szCs w:val="20"/>
                          </w:rPr>
                        </w:pPr>
                        <w:r w:rsidRPr="00C64B72">
                          <w:rPr>
                            <w:rFonts w:asciiTheme="majorHAnsi" w:hAnsiTheme="majorHAnsi" w:cstheme="minorBidi"/>
                            <w:color w:val="000000" w:themeColor="text1"/>
                            <w:kern w:val="24"/>
                            <w:sz w:val="20"/>
                            <w:szCs w:val="20"/>
                          </w:rPr>
                          <w:t>Tables 5.1 to 5.4</w:t>
                        </w:r>
                      </w:p>
                    </w:txbxContent>
                  </v:textbox>
                </v:rect>
                <v:shape id="Straight Connector 12" o:spid="_x0000_s1034" type="#_x0000_t34" style="position:absolute;left:22040;top:2423;width:3859;height:112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9nsMAAADbAAAADwAAAGRycy9kb3ducmV2LnhtbESPQU/DMAyF70j8h8hI3FjKxCZUllYI&#10;CW1XyiTYzWq8tiNxShLW8u/xAWk3W+/5vc+bevZOnSmmIbCB+0UBirgNduDOwP799e4RVMrIFl1g&#10;MvBLCerq+mqDpQ0Tv9G5yZ2SEE4lGuhzHkutU9uTx7QII7FoxxA9Zlljp23EScK908uiWGuPA0tD&#10;jyO99NR+NT/egI2rj0/b7LYPhz0dpsm70/fKGXN7Mz8/gco054v5/3pnBV/o5RcZQ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V/Z7DAAAA2wAAAA8AAAAAAAAAAAAA&#10;AAAAoQIAAGRycy9kb3ducmV2LnhtbFBLBQYAAAAABAAEAPkAAACRAwAAAAA=&#10;" strokecolor="#7f7f7f [1612]" strokeweight="1pt">
                  <v:stroke startarrow="classic" startarrowwidth="wide" startarrowlength="long"/>
                </v:shape>
                <v:shape id="Straight Connector 12" o:spid="_x0000_s1035" type="#_x0000_t34" style="position:absolute;left:33370;top:2324;width:3859;height:114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66L8AAADbAAAADwAAAGRycy9kb3ducmV2LnhtbERPy6rCMBDdX/AfwghuLprq4iLVKCoI&#10;4s7Hxt3QjE21mZQmttWvNxcEd3M4z5kvO1uKhmpfOFYwHiUgiDOnC84VnE/b4RSED8gaS8ek4Eke&#10;lovezxxT7Vo+UHMMuYgh7FNUYEKoUil9ZsiiH7mKOHJXV1sMEda51DW2MdyWcpIkf9JiwbHBYEUb&#10;Q9n9+LAKWnPpbsnh1Vi3bh6nvJjsfzdWqUG/W81ABOrCV/xx73ScP4b/X+I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N66L8AAADbAAAADwAAAAAAAAAAAAAAAACh&#10;AgAAZHJzL2Rvd25yZXYueG1sUEsFBgAAAAAEAAQA+QAAAI0DAAAAAA==&#10;" strokecolor="#7f7f7f [1612]" strokeweight="1pt">
                  <v:stroke startarrow="block"/>
                </v:shape>
                <v:shape id="Straight Connector 12" o:spid="_x0000_s1036" type="#_x0000_t34" style="position:absolute;left:10588;top:13689;width:4411;height:111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ewMIAAADbAAAADwAAAGRycy9kb3ducmV2LnhtbERPTWvCQBC9F/wPywi91Y0GSonZSCkq&#10;PbU2LYK3ITsmwexs3N3G9N93BcHbPN7n5KvRdGIg51vLCuazBARxZXXLtYKf783TCwgfkDV2lknB&#10;H3lYFZOHHDNtL/xFQxlqEUPYZ6igCaHPpPRVQwb9zPbEkTtaZzBE6GqpHV5iuOnkIkmepcGWY0OD&#10;Pb01VJ3KX6PAr8ePcnf+dDtL9X477NNDek6VepyOr0sQgcZwF9/c7zrOX8D1l3iA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yewMIAAADbAAAADwAAAAAAAAAAAAAA&#10;AAChAgAAZHJzL2Rvd25yZXYueG1sUEsFBgAAAAAEAAQA+QAAAJADAAAAAA==&#10;" strokecolor="#7f7f7f [1612]" strokeweight="1pt">
                  <v:stroke startarrow="classic" startarrowwidth="wide" startarrowlength="long" endarrowlength="long"/>
                </v:shape>
                <w10:anchorlock/>
              </v:group>
            </w:pict>
          </mc:Fallback>
        </mc:AlternateContent>
      </w:r>
    </w:p>
    <w:p w:rsidR="00F918C3" w:rsidRPr="00F23988" w:rsidRDefault="00F918C3">
      <w:pPr>
        <w:keepLines w:val="0"/>
      </w:pPr>
    </w:p>
    <w:p w:rsidR="00F918C3" w:rsidRPr="00F23988" w:rsidRDefault="00F918C3">
      <w:pPr>
        <w:keepLines w:val="0"/>
      </w:pPr>
    </w:p>
    <w:p w:rsidR="00F918C3" w:rsidRPr="00F23988" w:rsidRDefault="00F918C3" w:rsidP="00602121">
      <w:pPr>
        <w:pStyle w:val="Heading10"/>
      </w:pPr>
      <w:bookmarkStart w:id="72" w:name="_Toc512629770"/>
      <w:r w:rsidRPr="00F23988">
        <w:t>Non</w:t>
      </w:r>
      <w:r w:rsidRPr="00F23988">
        <w:noBreakHyphen/>
        <w:t>financial public sector</w:t>
      </w:r>
      <w:bookmarkEnd w:id="71"/>
      <w:bookmarkEnd w:id="72"/>
    </w:p>
    <w:p w:rsidR="00F918C3" w:rsidRPr="00F23988" w:rsidRDefault="00F918C3" w:rsidP="00544994">
      <w:pPr>
        <w:ind w:right="-86"/>
      </w:pPr>
      <w:r w:rsidRPr="00F23988">
        <w:t>The net result from transactions of the NFPS in 2018</w:t>
      </w:r>
      <w:r w:rsidRPr="00F23988">
        <w:noBreakHyphen/>
        <w:t>19 is forecast to be a surplus of $706</w:t>
      </w:r>
      <w:r w:rsidR="006371F3">
        <w:t> million</w:t>
      </w:r>
      <w:r w:rsidRPr="00F23988">
        <w:t xml:space="preserve"> before increasing to $2.1</w:t>
      </w:r>
      <w:r w:rsidR="006371F3">
        <w:t> billion</w:t>
      </w:r>
      <w:r w:rsidRPr="00F23988">
        <w:t xml:space="preserve"> in 2021</w:t>
      </w:r>
      <w:r w:rsidRPr="00F23988">
        <w:noBreakHyphen/>
        <w:t>22 (Table 5.1). This increase is largely due to the financial position of the general government sector, with a projected operating surplus that increases from $1.4</w:t>
      </w:r>
      <w:r w:rsidR="006371F3">
        <w:t> billion</w:t>
      </w:r>
      <w:r w:rsidRPr="00F23988">
        <w:t xml:space="preserve"> in 2018</w:t>
      </w:r>
      <w:r w:rsidRPr="00F23988">
        <w:noBreakHyphen/>
        <w:t>19 to $2.9</w:t>
      </w:r>
      <w:r w:rsidR="006371F3">
        <w:t> billion</w:t>
      </w:r>
      <w:r w:rsidRPr="00F23988">
        <w:t xml:space="preserve"> in 2021</w:t>
      </w:r>
      <w:r w:rsidRPr="00F23988">
        <w:noBreakHyphen/>
        <w:t>22.</w:t>
      </w:r>
      <w:r>
        <w:t xml:space="preserve"> </w:t>
      </w:r>
      <w:r>
        <w:fldChar w:fldCharType="begin"/>
      </w:r>
      <w:r>
        <w:instrText xml:space="preserve"> XE "</w:instrText>
      </w:r>
      <w:r w:rsidRPr="001F14F4">
        <w:instrText>Operating surplus</w:instrText>
      </w:r>
      <w:r>
        <w:instrText xml:space="preserve">" \r "BP2Ch5OpSurplus" </w:instrText>
      </w:r>
      <w:r>
        <w:fldChar w:fldCharType="end"/>
      </w:r>
      <w:r w:rsidRPr="00F23988">
        <w:t xml:space="preserve"> </w:t>
      </w:r>
      <w:bookmarkEnd w:id="68"/>
    </w:p>
    <w:p w:rsidR="00F918C3" w:rsidRPr="00F23988" w:rsidRDefault="00F918C3">
      <w:pPr>
        <w:keepLines w:val="0"/>
        <w:rPr>
          <w:rFonts w:asciiTheme="majorHAnsi" w:hAnsiTheme="majorHAnsi"/>
          <w:b/>
          <w:sz w:val="20"/>
          <w:szCs w:val="20"/>
        </w:rPr>
      </w:pPr>
      <w:r w:rsidRPr="00F23988">
        <w:br w:type="page"/>
      </w:r>
    </w:p>
    <w:p w:rsidR="00F918C3" w:rsidRPr="00F23988" w:rsidRDefault="00F918C3" w:rsidP="004E475B">
      <w:pPr>
        <w:pStyle w:val="TableHeading"/>
        <w:rPr>
          <w:bCs/>
          <w:lang w:val="en-US"/>
        </w:rPr>
      </w:pPr>
      <w:r w:rsidRPr="00F23988">
        <w:t xml:space="preserve">Table 5.1: </w:t>
      </w:r>
      <w:r w:rsidRPr="00F23988">
        <w:tab/>
      </w:r>
      <w:r w:rsidRPr="00F23988">
        <w:rPr>
          <w:szCs w:val="22"/>
        </w:rPr>
        <w:t>Summary operating statement for the non</w:t>
      </w:r>
      <w:r w:rsidRPr="00F23988">
        <w:rPr>
          <w:szCs w:val="22"/>
        </w:rPr>
        <w:noBreakHyphen/>
        <w:t xml:space="preserve">financial public sector </w:t>
      </w:r>
      <w:r w:rsidRPr="00F23988">
        <w:rPr>
          <w:szCs w:val="22"/>
          <w:vertAlign w:val="superscript"/>
        </w:rPr>
        <w:t>(a)</w:t>
      </w:r>
      <w:r w:rsidRPr="00F23988">
        <w:rPr>
          <w:szCs w:val="22"/>
          <w:vertAlign w:val="superscript"/>
        </w:rPr>
        <w:tab/>
      </w:r>
      <w:r w:rsidRPr="00F23988">
        <w:t>($</w:t>
      </w:r>
      <w:r w:rsidR="006371F3">
        <w:t> million</w:t>
      </w:r>
      <w:r w:rsidRPr="00F2398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spacing w:after="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Revenue</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Taxation 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21 908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22 087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23 653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24 798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25 765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27 156</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 xml:space="preserve">Dividends, income tax equivalent and interest </w:t>
            </w:r>
            <w:r w:rsidRPr="00F23988">
              <w:rPr>
                <w:rFonts w:eastAsiaTheme="minorEastAsia" w:cs="Calibri"/>
                <w:color w:val="000000"/>
                <w:szCs w:val="19"/>
                <w:vertAlign w:val="superscript"/>
                <w:lang w:eastAsia="en-AU"/>
              </w:rPr>
              <w:t>(b)</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652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494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947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607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621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599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Sales of goods and services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10 880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11 096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11 428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12 245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12 951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12 938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Grants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27 525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30 338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33 454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33 103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33 998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34 774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Other current revenue</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3 388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3 247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3 220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3 231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3 299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3 375</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Total 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64 352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67 262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72 702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73 984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76 633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78 841</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i/>
                <w:iCs/>
                <w:color w:val="000000"/>
                <w:szCs w:val="19"/>
                <w:lang w:eastAsia="en-AU"/>
              </w:rPr>
            </w:pPr>
            <w:r w:rsidRPr="00F23988">
              <w:rPr>
                <w:rFonts w:eastAsiaTheme="minorEastAsia" w:cs="Calibri"/>
                <w:i/>
                <w:iCs/>
                <w:color w:val="000000"/>
                <w:szCs w:val="19"/>
                <w:lang w:eastAsia="en-AU"/>
              </w:rPr>
              <w:t>% change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Employee 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22 643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24 183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26 779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27 603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28 580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29 599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 xml:space="preserve">Superannuation </w:t>
            </w:r>
            <w:r w:rsidRPr="00F23988">
              <w:rPr>
                <w:rFonts w:eastAsiaTheme="minorEastAsia" w:cs="Calibri"/>
                <w:color w:val="000000"/>
                <w:szCs w:val="19"/>
                <w:vertAlign w:val="superscript"/>
                <w:lang w:eastAsia="en-AU"/>
              </w:rPr>
              <w:t>(c)</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3 142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3 373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3 466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3 497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3 532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3 618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 xml:space="preserve">Depreciation </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4 824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5 012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5 208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5 464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5 911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6 155</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Interest expense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2 479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2 481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2 604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2 701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2 816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2 877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Grant expense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7 611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7 113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9 406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10 413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10 197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10 518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rPr>
                <w:rFonts w:eastAsiaTheme="minorEastAsia" w:cs="Calibri"/>
                <w:color w:val="000000"/>
                <w:szCs w:val="19"/>
                <w:lang w:eastAsia="en-AU"/>
              </w:rPr>
            </w:pPr>
            <w:r w:rsidRPr="00F23988">
              <w:rPr>
                <w:rFonts w:eastAsiaTheme="minorEastAsia" w:cs="Calibri"/>
                <w:color w:val="000000"/>
                <w:szCs w:val="19"/>
                <w:lang w:eastAsia="en-AU"/>
              </w:rPr>
              <w:t>Other operating expenses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21 507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23 693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24 532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22 852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23 616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24 010</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Total 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62 207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65 854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71 995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72 531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74 652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76 777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rPr>
                <w:rFonts w:eastAsiaTheme="minorEastAsia" w:cs="Calibri"/>
                <w:i/>
                <w:iCs/>
                <w:color w:val="000000"/>
                <w:szCs w:val="19"/>
                <w:lang w:eastAsia="en-AU"/>
              </w:rPr>
            </w:pPr>
            <w:r w:rsidRPr="00F23988">
              <w:rPr>
                <w:rFonts w:eastAsiaTheme="minorEastAsia" w:cs="Calibri"/>
                <w:i/>
                <w:iCs/>
                <w:color w:val="000000"/>
                <w:szCs w:val="19"/>
                <w:lang w:eastAsia="en-AU"/>
              </w:rPr>
              <w:t>% change</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0.7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Net result from transactions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2 146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1 407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706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1 453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1 982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2 064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rPr>
                <w:rFonts w:eastAsiaTheme="minorEastAsia" w:cs="Calibri"/>
                <w:b/>
                <w:bCs/>
                <w:color w:val="000000"/>
                <w:szCs w:val="19"/>
                <w:lang w:eastAsia="en-AU"/>
              </w:rPr>
            </w:pPr>
            <w:r w:rsidRPr="00F23988">
              <w:rPr>
                <w:rFonts w:eastAsiaTheme="minorEastAsia" w:cs="Calibri"/>
                <w:b/>
                <w:bCs/>
                <w:color w:val="000000"/>
                <w:szCs w:val="19"/>
                <w:lang w:eastAsia="en-AU"/>
              </w:rPr>
              <w:t>Total other economic flows included in net result</w:t>
            </w:r>
          </w:p>
        </w:tc>
        <w:tc>
          <w:tcPr>
            <w:tcW w:w="850" w:type="dxa"/>
            <w:tcBorders>
              <w:top w:val="single" w:sz="6" w:space="0" w:color="auto"/>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(399)</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(232)</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(280)</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(96)</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(571)</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(268)</w:t>
            </w:r>
          </w:p>
        </w:tc>
      </w:tr>
      <w:tr w:rsidR="00F918C3" w:rsidRPr="00F23988" w:rsidTr="004E47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rPr>
                <w:rFonts w:eastAsiaTheme="minorEastAsia" w:cs="Calibri"/>
                <w:bCs/>
                <w:color w:val="000000"/>
                <w:szCs w:val="19"/>
                <w:lang w:eastAsia="en-AU"/>
              </w:rPr>
            </w:pPr>
            <w:r w:rsidRPr="00F23988">
              <w:rPr>
                <w:rFonts w:eastAsiaTheme="minorEastAsia" w:cs="Calibri"/>
                <w:bCs/>
                <w:color w:val="000000"/>
                <w:szCs w:val="19"/>
                <w:lang w:eastAsia="en-AU"/>
              </w:rPr>
              <w:t>Net result</w:t>
            </w:r>
          </w:p>
        </w:tc>
        <w:tc>
          <w:tcPr>
            <w:tcW w:w="850" w:type="dxa"/>
            <w:tcBorders>
              <w:top w:val="single" w:sz="6" w:space="0" w:color="auto"/>
              <w:bottom w:val="single" w:sz="12" w:space="0" w:color="auto"/>
            </w:tcBorders>
            <w:shd w:val="solid" w:color="FFFFFF" w:fill="auto"/>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1 747</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1 175</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426</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1 357</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1 411</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1 796</w:t>
            </w:r>
          </w:p>
        </w:tc>
      </w:tr>
    </w:tbl>
    <w:p w:rsidR="00F918C3" w:rsidRPr="00F23988" w:rsidRDefault="00F918C3" w:rsidP="004E475B">
      <w:pPr>
        <w:pStyle w:val="Source"/>
      </w:pPr>
      <w:r w:rsidRPr="00F23988">
        <w:t>Source: Department of Treasury and Finance</w:t>
      </w:r>
    </w:p>
    <w:p w:rsidR="00F918C3" w:rsidRPr="00F23988" w:rsidRDefault="00F918C3" w:rsidP="00602121">
      <w:pPr>
        <w:pStyle w:val="Note"/>
      </w:pPr>
      <w:r w:rsidRPr="00F23988">
        <w:t>Notes:</w:t>
      </w:r>
    </w:p>
    <w:p w:rsidR="00F918C3" w:rsidRPr="00F23988" w:rsidRDefault="00F918C3" w:rsidP="00602121">
      <w:pPr>
        <w:pStyle w:val="Note"/>
      </w:pPr>
      <w:r w:rsidRPr="00F23988">
        <w:t xml:space="preserve">(a) </w:t>
      </w:r>
      <w:r w:rsidRPr="00F23988">
        <w:tab/>
        <w:t xml:space="preserve">This is a summary operating statement. The comprehensive operating statement is presented in Budget Paper No. 5 </w:t>
      </w:r>
      <w:r w:rsidRPr="00F23988">
        <w:rPr>
          <w:i w:val="0"/>
        </w:rPr>
        <w:t>Statement of Finances</w:t>
      </w:r>
      <w:r w:rsidRPr="00F23988">
        <w:t>. Figures in this table are subject to rounding and may not add up to the totals.</w:t>
      </w:r>
    </w:p>
    <w:p w:rsidR="00F918C3" w:rsidRPr="00F23988" w:rsidRDefault="00F918C3" w:rsidP="00602121">
      <w:pPr>
        <w:pStyle w:val="Note"/>
      </w:pPr>
      <w:r w:rsidRPr="00F23988">
        <w:t>(b)</w:t>
      </w:r>
      <w:r w:rsidRPr="00F23988">
        <w:tab/>
        <w:t>Comprises dividends, income tax and rate equivalent revenue and interest.</w:t>
      </w:r>
    </w:p>
    <w:p w:rsidR="00F918C3" w:rsidRPr="00F23988" w:rsidRDefault="00F918C3" w:rsidP="00602121">
      <w:pPr>
        <w:pStyle w:val="Note"/>
      </w:pPr>
      <w:r w:rsidRPr="00F23988">
        <w:t>(c)</w:t>
      </w:r>
      <w:r w:rsidRPr="00F23988">
        <w:tab/>
        <w:t>Comprises superannuation</w:t>
      </w:r>
      <w:r>
        <w:fldChar w:fldCharType="begin"/>
      </w:r>
      <w:r>
        <w:instrText xml:space="preserve"> XE "</w:instrText>
      </w:r>
      <w:r w:rsidRPr="00D02DCA">
        <w:instrText>Superannuation</w:instrText>
      </w:r>
      <w:r>
        <w:instrText xml:space="preserve">" </w:instrText>
      </w:r>
      <w:r>
        <w:fldChar w:fldCharType="end"/>
      </w:r>
      <w:r w:rsidRPr="00F23988">
        <w:t xml:space="preserve"> interest expense and other superannuation expense</w:t>
      </w:r>
      <w:r>
        <w:t>s</w:t>
      </w:r>
      <w:r>
        <w:fldChar w:fldCharType="begin"/>
      </w:r>
      <w:r>
        <w:instrText xml:space="preserve"> XE "</w:instrText>
      </w:r>
      <w:r w:rsidRPr="00D02DCA">
        <w:instrText>Superannuation:Expense</w:instrText>
      </w:r>
      <w:r>
        <w:instrText xml:space="preserve">" </w:instrText>
      </w:r>
      <w:r>
        <w:fldChar w:fldCharType="end"/>
      </w:r>
      <w:r w:rsidRPr="00F23988">
        <w:t>.</w:t>
      </w:r>
    </w:p>
    <w:p w:rsidR="00F918C3" w:rsidRPr="00F23988" w:rsidRDefault="00F918C3" w:rsidP="00602121">
      <w:pPr>
        <w:pStyle w:val="Note"/>
      </w:pPr>
    </w:p>
    <w:p w:rsidR="00F918C3" w:rsidRPr="00F23988" w:rsidRDefault="00F918C3" w:rsidP="007969C7">
      <w:r w:rsidRPr="00F23988">
        <w:t>The PNFC sector net result from transactions is projected to record an average annual deficit of $533</w:t>
      </w:r>
      <w:r w:rsidR="006371F3">
        <w:t> million</w:t>
      </w:r>
      <w:r w:rsidRPr="00F23988">
        <w:t xml:space="preserve"> over the budget and forward estimates. A number of PNFCs, including the metropolitan water corporations, are projected to record surpluses in the net result from transactions. The average net result from transactions of the metropolitan water sector over this period is a surplus of $261</w:t>
      </w:r>
      <w:r w:rsidR="006371F3">
        <w:t> million</w:t>
      </w:r>
      <w:r w:rsidRPr="00F23988">
        <w:t xml:space="preserve">. The overall deficit in the PNFC sector is mainly due to the depreciation expense on the large asset bases of VicTrack and the Director of Housing. </w:t>
      </w:r>
    </w:p>
    <w:p w:rsidR="00F918C3" w:rsidRPr="00F23988" w:rsidRDefault="00F918C3" w:rsidP="00544994">
      <w:pPr>
        <w:ind w:right="-86"/>
      </w:pPr>
      <w:r w:rsidRPr="00F23988">
        <w:t>However, VicTrack and the Director of Housing generate net operating cash flow surpluses averaging $146</w:t>
      </w:r>
      <w:r w:rsidR="006371F3">
        <w:t> million</w:t>
      </w:r>
      <w:r w:rsidRPr="00F23988">
        <w:t xml:space="preserve"> a year over the budget and forward estimates. Strong cash flow surpluses indicate VicTrack and the Director of Housing remain in a financially sustainable position. The PNFC sector overall is projected to record an average operating cash flow surplus of $1.6</w:t>
      </w:r>
      <w:r w:rsidR="006371F3">
        <w:t> billion</w:t>
      </w:r>
      <w:r w:rsidRPr="00F23988">
        <w:t xml:space="preserve"> over this period.</w:t>
      </w:r>
    </w:p>
    <w:p w:rsidR="00F918C3" w:rsidRPr="00F23988" w:rsidRDefault="00F918C3" w:rsidP="0085146A">
      <w:pPr>
        <w:pStyle w:val="Heading20"/>
      </w:pPr>
      <w:bookmarkStart w:id="73" w:name="_Toc481160577"/>
      <w:r w:rsidRPr="00F23988">
        <w:t>Application of cash resources</w:t>
      </w:r>
      <w:bookmarkEnd w:id="73"/>
    </w:p>
    <w:p w:rsidR="00F918C3" w:rsidRPr="00F23988" w:rsidRDefault="00F918C3" w:rsidP="00BF6EDD">
      <w:pPr>
        <w:ind w:right="-227"/>
      </w:pPr>
      <w:r w:rsidRPr="00F23988">
        <w:t>Table 5.2 shows the NFPS is projected to generate net cash flows from operating activities averaging $5.9</w:t>
      </w:r>
      <w:r w:rsidR="006371F3">
        <w:t> billion</w:t>
      </w:r>
      <w:r w:rsidRPr="00F23988">
        <w:t xml:space="preserve"> a year over the budget and forward estimates, on average funding 66 per cent of the projected net investment in fixed assets. Net cash flows from operating activities were higher in 2016</w:t>
      </w:r>
      <w:r w:rsidRPr="00F23988">
        <w:noBreakHyphen/>
        <w:t>17 due to the receipt of cash proceeds from the medium</w:t>
      </w:r>
      <w:r w:rsidRPr="00F23988">
        <w:noBreakHyphen/>
        <w:t xml:space="preserve">term lease of the operations of the Port of Melbourne. </w:t>
      </w:r>
    </w:p>
    <w:p w:rsidR="00F918C3" w:rsidRPr="00F23988" w:rsidRDefault="00F918C3" w:rsidP="004E475B">
      <w:pPr>
        <w:pStyle w:val="TableHeading"/>
        <w:spacing w:before="200"/>
        <w:rPr>
          <w:bCs/>
          <w:lang w:val="en-US"/>
        </w:rPr>
      </w:pPr>
      <w:r w:rsidRPr="00F23988">
        <w:t>Table 5.2:</w:t>
      </w:r>
      <w:r w:rsidRPr="00F23988">
        <w:tab/>
        <w:t>Application of cash resources for the non</w:t>
      </w:r>
      <w:r w:rsidRPr="00F23988">
        <w:noBreakHyphen/>
        <w:t>financial public sector</w:t>
      </w:r>
      <w:r w:rsidRPr="00F23988">
        <w:rPr>
          <w:vertAlign w:val="superscript"/>
        </w:rPr>
        <w:t xml:space="preserve"> (a) </w:t>
      </w:r>
      <w:r w:rsidRPr="00F23988">
        <w:rPr>
          <w:vertAlign w:val="superscript"/>
        </w:rPr>
        <w:tab/>
      </w:r>
      <w:r w:rsidRPr="00F23988">
        <w:t>($</w:t>
      </w:r>
      <w:r w:rsidR="006371F3">
        <w:t> million</w:t>
      </w:r>
      <w:r w:rsidRPr="00F2398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175"/>
        <w:gridCol w:w="675"/>
        <w:gridCol w:w="850"/>
        <w:gridCol w:w="850"/>
        <w:gridCol w:w="850"/>
        <w:gridCol w:w="850"/>
        <w:gridCol w:w="850"/>
      </w:tblGrid>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gridSpan w:val="2"/>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gridSpan w:val="2"/>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Net result from transactions</w:t>
            </w:r>
          </w:p>
        </w:tc>
        <w:tc>
          <w:tcPr>
            <w:tcW w:w="850" w:type="dxa"/>
            <w:gridSpan w:val="2"/>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2 146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1 407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706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1 453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1 982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2 064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Add back: non</w:t>
            </w:r>
            <w:r w:rsidRPr="00F23988">
              <w:rPr>
                <w:rFonts w:eastAsiaTheme="minorEastAsia" w:cs="Calibri"/>
                <w:color w:val="000000"/>
                <w:szCs w:val="19"/>
                <w:lang w:eastAsia="en-AU"/>
              </w:rPr>
              <w:noBreakHyphen/>
              <w:t xml:space="preserve">cash income and expenses (net) </w:t>
            </w:r>
            <w:r w:rsidRPr="00F23988">
              <w:rPr>
                <w:rFonts w:eastAsiaTheme="minorEastAsia" w:cs="Calibri"/>
                <w:color w:val="000000"/>
                <w:szCs w:val="19"/>
                <w:vertAlign w:val="superscript"/>
                <w:lang w:eastAsia="en-AU"/>
              </w:rPr>
              <w:t>(b)</w:t>
            </w:r>
          </w:p>
        </w:tc>
        <w:tc>
          <w:tcPr>
            <w:tcW w:w="850" w:type="dxa"/>
            <w:gridSpan w:val="2"/>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13 588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4 032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6 178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3 626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3 333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4 234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Net cash flows from operating activities</w:t>
            </w:r>
          </w:p>
        </w:tc>
        <w:tc>
          <w:tcPr>
            <w:tcW w:w="850" w:type="dxa"/>
            <w:gridSpan w:val="2"/>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15 734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5 440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6 885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5 080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5 314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6 298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Less:</w:t>
            </w:r>
          </w:p>
        </w:tc>
        <w:tc>
          <w:tcPr>
            <w:tcW w:w="850" w:type="dxa"/>
            <w:gridSpan w:val="2"/>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840" w:type="dxa"/>
            <w:gridSpan w:val="2"/>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 xml:space="preserve">Total net investment in fixed assets </w:t>
            </w:r>
            <w:r w:rsidRPr="00F23988">
              <w:rPr>
                <w:rFonts w:eastAsiaTheme="minorEastAsia" w:cs="Calibri"/>
                <w:b/>
                <w:bCs/>
                <w:color w:val="000000"/>
                <w:szCs w:val="19"/>
                <w:vertAlign w:val="superscript"/>
                <w:lang w:eastAsia="en-AU"/>
              </w:rPr>
              <w:t>(c)</w:t>
            </w:r>
          </w:p>
        </w:tc>
        <w:tc>
          <w:tcPr>
            <w:tcW w:w="675"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8 628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9 645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12 673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8 449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6 930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7 879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Surplus/(deficit) of cash from operations after funding net investments in fixed assets</w:t>
            </w:r>
          </w:p>
        </w:tc>
        <w:tc>
          <w:tcPr>
            <w:tcW w:w="850" w:type="dxa"/>
            <w:gridSpan w:val="2"/>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7 106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(4 206)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(5 789)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(3 369)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(1 616)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(1 581)</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Finance leases </w:t>
            </w:r>
            <w:r w:rsidRPr="00F23988">
              <w:rPr>
                <w:rFonts w:eastAsiaTheme="minorEastAsia" w:cs="Calibri"/>
                <w:color w:val="000000"/>
                <w:szCs w:val="19"/>
                <w:vertAlign w:val="superscript"/>
                <w:lang w:eastAsia="en-AU"/>
              </w:rPr>
              <w:t>(d)</w:t>
            </w:r>
          </w:p>
        </w:tc>
        <w:tc>
          <w:tcPr>
            <w:tcW w:w="850" w:type="dxa"/>
            <w:gridSpan w:val="2"/>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544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648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451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1 034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526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448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Other movements</w:t>
            </w:r>
          </w:p>
        </w:tc>
        <w:tc>
          <w:tcPr>
            <w:tcW w:w="850" w:type="dxa"/>
            <w:gridSpan w:val="2"/>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(112)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(157)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159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(71)</w:t>
            </w:r>
          </w:p>
        </w:tc>
      </w:tr>
      <w:tr w:rsidR="00F918C3" w:rsidRPr="00F23988" w:rsidTr="004E47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F918C3" w:rsidRPr="00F23988" w:rsidRDefault="00F918C3" w:rsidP="00F16DB1">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Decrease/(increase) in net debt</w:t>
            </w:r>
          </w:p>
        </w:tc>
        <w:tc>
          <w:tcPr>
            <w:tcW w:w="850" w:type="dxa"/>
            <w:gridSpan w:val="2"/>
            <w:tcBorders>
              <w:top w:val="nil"/>
              <w:bottom w:val="single" w:sz="12" w:space="0" w:color="auto"/>
            </w:tcBorders>
            <w:shd w:val="solid" w:color="FFFFFF" w:fill="auto"/>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6 729</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(4 742)</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(6 083)</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(4 562)</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(2 130)</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(1 959)</w:t>
            </w:r>
          </w:p>
        </w:tc>
      </w:tr>
    </w:tbl>
    <w:p w:rsidR="00F918C3" w:rsidRPr="00F23988" w:rsidRDefault="00F918C3" w:rsidP="004E475B">
      <w:pPr>
        <w:pStyle w:val="Source"/>
      </w:pPr>
      <w:r w:rsidRPr="00F23988">
        <w:t>Source: Department of Treasury and Finance</w:t>
      </w:r>
    </w:p>
    <w:p w:rsidR="00F918C3" w:rsidRPr="00F23988" w:rsidRDefault="00F918C3" w:rsidP="007969C7">
      <w:pPr>
        <w:pStyle w:val="Note"/>
      </w:pPr>
      <w:r w:rsidRPr="00F23988">
        <w:t>Notes:</w:t>
      </w:r>
    </w:p>
    <w:p w:rsidR="00F918C3" w:rsidRPr="00F23988" w:rsidRDefault="00F918C3" w:rsidP="007969C7">
      <w:pPr>
        <w:pStyle w:val="Note"/>
      </w:pPr>
      <w:r w:rsidRPr="00F23988">
        <w:t>(a)</w:t>
      </w:r>
      <w:r w:rsidRPr="00F23988">
        <w:tab/>
        <w:t>Figures in this table are subject to rounding and may not add up to the totals.</w:t>
      </w:r>
    </w:p>
    <w:p w:rsidR="00F918C3" w:rsidRPr="00F23988" w:rsidRDefault="00F918C3" w:rsidP="007969C7">
      <w:pPr>
        <w:pStyle w:val="Note"/>
      </w:pPr>
      <w:r w:rsidRPr="00F23988">
        <w:t>(b)</w:t>
      </w:r>
      <w:r w:rsidRPr="00F23988">
        <w:tab/>
        <w:t>Includes depreciation</w:t>
      </w:r>
      <w:r>
        <w:t xml:space="preserve">, prepayments </w:t>
      </w:r>
      <w:r w:rsidRPr="00F23988">
        <w:t xml:space="preserve"> and movements in the unfunded superannuation liability</w:t>
      </w:r>
      <w:r>
        <w:fldChar w:fldCharType="begin"/>
      </w:r>
      <w:r>
        <w:instrText xml:space="preserve"> XE "</w:instrText>
      </w:r>
      <w:r w:rsidRPr="00D02DCA">
        <w:instrText>Superannuation:</w:instrText>
      </w:r>
      <w:r w:rsidR="008C27C4">
        <w:instrText>L</w:instrText>
      </w:r>
      <w:r w:rsidRPr="00D02DCA">
        <w:instrText>iability</w:instrText>
      </w:r>
      <w:r>
        <w:instrText xml:space="preserve">" </w:instrText>
      </w:r>
      <w:r>
        <w:fldChar w:fldCharType="end"/>
      </w:r>
      <w:r w:rsidRPr="00F23988">
        <w:t xml:space="preserve"> and </w:t>
      </w:r>
      <w:r>
        <w:t xml:space="preserve">liability for employee benefits, </w:t>
      </w:r>
      <w:r w:rsidRPr="00AC5AE3">
        <w:t>as well as operating cash flows not required to be recognised in the operating statement for the respective year.</w:t>
      </w:r>
    </w:p>
    <w:p w:rsidR="00F918C3" w:rsidRPr="00F23988" w:rsidRDefault="00F918C3" w:rsidP="007969C7">
      <w:pPr>
        <w:pStyle w:val="Note"/>
      </w:pPr>
      <w:r w:rsidRPr="00F23988">
        <w:t>(c)</w:t>
      </w:r>
      <w:r w:rsidRPr="00F23988">
        <w:tab/>
        <w:t>Includes total purchases of plant, property and equipment, and capital contributions to other sectors of government net of proceeds from asset sales.</w:t>
      </w:r>
    </w:p>
    <w:p w:rsidR="00F918C3" w:rsidRPr="00F23988" w:rsidRDefault="00F918C3" w:rsidP="00AC5340">
      <w:pPr>
        <w:pStyle w:val="Note"/>
        <w:rPr>
          <w:iCs/>
        </w:rPr>
      </w:pPr>
      <w:r w:rsidRPr="00F23988">
        <w:t>(d)</w:t>
      </w:r>
      <w:r w:rsidRPr="00F23988">
        <w:tab/>
      </w:r>
      <w:r w:rsidRPr="00B327E6">
        <w:rPr>
          <w:iCs/>
        </w:rPr>
        <w:t xml:space="preserve">The finance lease acquisitions relate to the Bendigo Hospital - Stage 1 </w:t>
      </w:r>
      <w:r>
        <w:rPr>
          <w:iCs/>
        </w:rPr>
        <w:t>and</w:t>
      </w:r>
      <w:r w:rsidRPr="00B327E6">
        <w:rPr>
          <w:iCs/>
        </w:rPr>
        <w:t xml:space="preserve"> 2, the New Schools PPP</w:t>
      </w:r>
      <w:r>
        <w:rPr>
          <w:iCs/>
        </w:rPr>
        <w:fldChar w:fldCharType="begin"/>
      </w:r>
      <w:r>
        <w:instrText xml:space="preserve"> XE "</w:instrText>
      </w:r>
      <w:r w:rsidRPr="00D965D2">
        <w:instrText>Public private partnerships</w:instrText>
      </w:r>
      <w:r>
        <w:instrText xml:space="preserve">" </w:instrText>
      </w:r>
      <w:r>
        <w:rPr>
          <w:iCs/>
        </w:rPr>
        <w:fldChar w:fldCharType="end"/>
      </w:r>
      <w:r w:rsidRPr="00B327E6">
        <w:rPr>
          <w:iCs/>
        </w:rPr>
        <w:t xml:space="preserve"> - Tranche 1 </w:t>
      </w:r>
      <w:r>
        <w:rPr>
          <w:iCs/>
        </w:rPr>
        <w:t>and</w:t>
      </w:r>
      <w:r w:rsidRPr="00B327E6">
        <w:rPr>
          <w:iCs/>
        </w:rPr>
        <w:t xml:space="preserve"> 2, the </w:t>
      </w:r>
      <w:r>
        <w:rPr>
          <w:iCs/>
        </w:rPr>
        <w:t>M</w:t>
      </w:r>
      <w:r w:rsidRPr="00B327E6">
        <w:rPr>
          <w:iCs/>
        </w:rPr>
        <w:t xml:space="preserve">etropolitan Melbourne </w:t>
      </w:r>
      <w:r>
        <w:rPr>
          <w:iCs/>
        </w:rPr>
        <w:t>B</w:t>
      </w:r>
      <w:r w:rsidRPr="00B327E6">
        <w:rPr>
          <w:iCs/>
        </w:rPr>
        <w:t>uses contract, the Ravenhall Prison Project, the High Capacity Metro Trains (HCMT) Project, the Western Roads Upgrade</w:t>
      </w:r>
      <w:r>
        <w:rPr>
          <w:iCs/>
        </w:rPr>
        <w:fldChar w:fldCharType="begin"/>
      </w:r>
      <w:r>
        <w:rPr>
          <w:iCs/>
        </w:rPr>
        <w:instrText xml:space="preserve"> XE "</w:instrText>
      </w:r>
      <w:r w:rsidRPr="00D02DCA">
        <w:instrText>Western Roads Upgrade</w:instrText>
      </w:r>
      <w:r>
        <w:instrText>"</w:instrText>
      </w:r>
      <w:r>
        <w:rPr>
          <w:iCs/>
        </w:rPr>
        <w:instrText xml:space="preserve"> </w:instrText>
      </w:r>
      <w:r>
        <w:rPr>
          <w:iCs/>
        </w:rPr>
        <w:fldChar w:fldCharType="end"/>
      </w:r>
      <w:r w:rsidRPr="00B327E6">
        <w:rPr>
          <w:iCs/>
        </w:rPr>
        <w:t xml:space="preserve">, the Melbourne Convention and Exhibition Centre - Stage 2 development, the Casey Hospital </w:t>
      </w:r>
      <w:r>
        <w:rPr>
          <w:iCs/>
        </w:rPr>
        <w:t>E</w:t>
      </w:r>
      <w:r w:rsidRPr="00B327E6">
        <w:rPr>
          <w:iCs/>
        </w:rPr>
        <w:t>xpansion, the Northern Roads Upgrade and the South Eastern Roads Upgrade.</w:t>
      </w:r>
    </w:p>
    <w:p w:rsidR="00F918C3" w:rsidRPr="00F23988" w:rsidRDefault="00F918C3" w:rsidP="004B432E">
      <w:pPr>
        <w:pStyle w:val="Heading20"/>
        <w:spacing w:before="180"/>
      </w:pPr>
      <w:bookmarkStart w:id="74" w:name="_Toc481160578"/>
      <w:r w:rsidRPr="00F23988">
        <w:t>Infrastructure</w:t>
      </w:r>
      <w:bookmarkEnd w:id="74"/>
    </w:p>
    <w:p w:rsidR="00F918C3" w:rsidRPr="00F23988" w:rsidRDefault="00F918C3" w:rsidP="00BF6EDD">
      <w:pPr>
        <w:spacing w:before="60"/>
      </w:pPr>
      <w:r w:rsidRPr="00F23988">
        <w:t>Table 5.2 also provides estimates of net investment in non</w:t>
      </w:r>
      <w:r w:rsidRPr="00F23988">
        <w:noBreakHyphen/>
        <w:t>financial assets, which is infrastructure expenditure net of proceeds from asset sales. The total net investments in non</w:t>
      </w:r>
      <w:r w:rsidRPr="00F23988">
        <w:noBreakHyphen/>
        <w:t>financial assets by the NFPS will average $9.5</w:t>
      </w:r>
      <w:r w:rsidR="006371F3">
        <w:t> billion</w:t>
      </w:r>
      <w:r w:rsidRPr="00F23988">
        <w:t xml:space="preserve"> over the budget and forward estimates.</w:t>
      </w:r>
    </w:p>
    <w:p w:rsidR="00F918C3" w:rsidRPr="00F23988" w:rsidRDefault="00F918C3" w:rsidP="004B432E">
      <w:r w:rsidRPr="00F23988">
        <w:t>The main PNFC sector infrastructure projects under development are:</w:t>
      </w:r>
    </w:p>
    <w:p w:rsidR="00F918C3" w:rsidRPr="00F23988" w:rsidRDefault="00F918C3" w:rsidP="004D6A8A">
      <w:pPr>
        <w:pStyle w:val="ListBullet"/>
      </w:pPr>
      <w:r w:rsidRPr="00F23988">
        <w:t>investment in transport infrastructure to meet patronage growth and improve network performance. This includes investment in the regional and metropolitan rail networks. Key regional rail investments include the Regional Rail Revival</w:t>
      </w:r>
      <w:r>
        <w:fldChar w:fldCharType="begin"/>
      </w:r>
      <w:r>
        <w:instrText xml:space="preserve"> XE "</w:instrText>
      </w:r>
      <w:r w:rsidRPr="00DB2E02">
        <w:instrText>Regional Rail Revival</w:instrText>
      </w:r>
      <w:r>
        <w:instrText xml:space="preserve">" </w:instrText>
      </w:r>
      <w:r>
        <w:fldChar w:fldCharType="end"/>
      </w:r>
      <w:r w:rsidRPr="00F23988">
        <w:t xml:space="preserve"> program and additional VLocity carriages</w:t>
      </w:r>
      <w:r>
        <w:fldChar w:fldCharType="begin"/>
      </w:r>
      <w:r>
        <w:instrText xml:space="preserve"> XE "</w:instrText>
      </w:r>
      <w:r w:rsidRPr="00D02DCA">
        <w:instrText>VLocity carriages</w:instrText>
      </w:r>
      <w:r>
        <w:instrText xml:space="preserve">" </w:instrText>
      </w:r>
      <w:r>
        <w:fldChar w:fldCharType="end"/>
      </w:r>
      <w:r w:rsidRPr="00F23988">
        <w:t>. Metropolitan rail investments include the Cranbourne</w:t>
      </w:r>
      <w:r w:rsidRPr="00F23988">
        <w:noBreakHyphen/>
        <w:t>Pakenham and Sunbury line upgrades, the Mernda Rail Extension Project and a range of other metropolitan rail infrastructure improvement projects; and</w:t>
      </w:r>
    </w:p>
    <w:p w:rsidR="00F918C3" w:rsidRPr="00F23988" w:rsidRDefault="00F918C3" w:rsidP="00BF6EDD">
      <w:pPr>
        <w:pStyle w:val="ListBullet"/>
        <w:spacing w:before="20"/>
      </w:pPr>
      <w:bookmarkStart w:id="75" w:name="_Toc449123071"/>
      <w:r w:rsidRPr="00F23988">
        <w:t>various water</w:t>
      </w:r>
      <w:r w:rsidRPr="00F23988">
        <w:noBreakHyphen/>
        <w:t>related infrastructure projects, such as the Western Treatment Plant Capacity Augmentation, Boneo Water Recycling Plant Upgrade, flood mitigation works, the Goulburn</w:t>
      </w:r>
      <w:r w:rsidRPr="00F23988">
        <w:noBreakHyphen/>
        <w:t>Murray Water Connections Project, and the modernisation of various irrigation systems by Southern Rural Water.</w:t>
      </w:r>
    </w:p>
    <w:p w:rsidR="00F918C3" w:rsidRPr="00F23988" w:rsidRDefault="00F918C3">
      <w:pPr>
        <w:keepLines w:val="0"/>
        <w:rPr>
          <w:rFonts w:asciiTheme="majorHAnsi" w:eastAsiaTheme="majorEastAsia" w:hAnsiTheme="majorHAnsi" w:cstheme="majorBidi"/>
          <w:b/>
          <w:spacing w:val="-2"/>
          <w:sz w:val="26"/>
          <w:szCs w:val="26"/>
        </w:rPr>
      </w:pPr>
      <w:r w:rsidRPr="00F23988">
        <w:rPr>
          <w:rFonts w:asciiTheme="majorHAnsi" w:eastAsiaTheme="majorEastAsia" w:hAnsiTheme="majorHAnsi" w:cstheme="majorBidi"/>
          <w:b/>
          <w:spacing w:val="-2"/>
          <w:sz w:val="26"/>
          <w:szCs w:val="26"/>
        </w:rPr>
        <w:br w:type="page"/>
      </w:r>
    </w:p>
    <w:p w:rsidR="00F918C3" w:rsidRPr="00F23988" w:rsidRDefault="00F918C3" w:rsidP="00602121">
      <w:pPr>
        <w:keepNext/>
        <w:numPr>
          <w:ilvl w:val="1"/>
          <w:numId w:val="0"/>
        </w:numPr>
        <w:tabs>
          <w:tab w:val="right" w:pos="9582"/>
        </w:tabs>
        <w:spacing w:before="240"/>
        <w:outlineLvl w:val="1"/>
        <w:rPr>
          <w:rFonts w:asciiTheme="majorHAnsi" w:eastAsiaTheme="majorEastAsia" w:hAnsiTheme="majorHAnsi" w:cstheme="majorBidi"/>
          <w:b/>
          <w:spacing w:val="-2"/>
          <w:sz w:val="26"/>
          <w:szCs w:val="26"/>
        </w:rPr>
      </w:pPr>
      <w:r w:rsidRPr="00F23988">
        <w:rPr>
          <w:rFonts w:asciiTheme="majorHAnsi" w:eastAsiaTheme="majorEastAsia" w:hAnsiTheme="majorHAnsi" w:cstheme="majorBidi"/>
          <w:b/>
          <w:spacing w:val="-2"/>
          <w:sz w:val="26"/>
          <w:szCs w:val="26"/>
        </w:rPr>
        <w:t>Non</w:t>
      </w:r>
      <w:r w:rsidRPr="00F23988">
        <w:rPr>
          <w:rFonts w:asciiTheme="majorHAnsi" w:eastAsiaTheme="majorEastAsia" w:hAnsiTheme="majorHAnsi" w:cstheme="majorBidi"/>
          <w:b/>
          <w:spacing w:val="-2"/>
          <w:sz w:val="26"/>
          <w:szCs w:val="26"/>
        </w:rPr>
        <w:noBreakHyphen/>
        <w:t>financial public sector net debt</w:t>
      </w:r>
      <w:r>
        <w:rPr>
          <w:rFonts w:asciiTheme="majorHAnsi" w:eastAsiaTheme="majorEastAsia" w:hAnsiTheme="majorHAnsi" w:cstheme="majorBidi"/>
          <w:b/>
          <w:spacing w:val="-2"/>
          <w:sz w:val="26"/>
          <w:szCs w:val="26"/>
        </w:rPr>
        <w:t xml:space="preserve"> </w:t>
      </w:r>
      <w:r w:rsidRPr="00F23988">
        <w:rPr>
          <w:rFonts w:asciiTheme="majorHAnsi" w:eastAsiaTheme="majorEastAsia" w:hAnsiTheme="majorHAnsi" w:cstheme="majorBidi"/>
          <w:b/>
          <w:spacing w:val="-2"/>
          <w:sz w:val="26"/>
          <w:szCs w:val="26"/>
        </w:rPr>
        <w:t>and net financial liabilities</w:t>
      </w:r>
      <w:bookmarkEnd w:id="75"/>
    </w:p>
    <w:p w:rsidR="00F918C3" w:rsidRPr="00F23988" w:rsidRDefault="00F918C3" w:rsidP="00602121">
      <w:r w:rsidRPr="00F23988">
        <w:t>Table 5.3 details the NFPS net debt and superannuation</w:t>
      </w:r>
      <w:r>
        <w:fldChar w:fldCharType="begin"/>
      </w:r>
      <w:r>
        <w:instrText xml:space="preserve"> XE "</w:instrText>
      </w:r>
      <w:r w:rsidRPr="00D02DCA">
        <w:instrText>Superannuation</w:instrText>
      </w:r>
      <w:r>
        <w:instrText xml:space="preserve">" </w:instrText>
      </w:r>
      <w:r>
        <w:fldChar w:fldCharType="end"/>
      </w:r>
      <w:r w:rsidRPr="00F23988">
        <w:t xml:space="preserve"> liabilities. It shows net debt is expected to increase from $34.6</w:t>
      </w:r>
      <w:r w:rsidR="006371F3">
        <w:t> billion</w:t>
      </w:r>
      <w:r w:rsidRPr="00F23988">
        <w:t xml:space="preserve"> at 30 June 2018 to $49.3</w:t>
      </w:r>
      <w:r w:rsidR="006371F3">
        <w:t> billion</w:t>
      </w:r>
      <w:r w:rsidRPr="00F23988">
        <w:t xml:space="preserve"> by 30 June 2022. NFPS net debt as a proportion of GSP</w:t>
      </w:r>
      <w:r>
        <w:fldChar w:fldCharType="begin"/>
      </w:r>
      <w:r>
        <w:instrText xml:space="preserve"> XE "</w:instrText>
      </w:r>
      <w:r w:rsidRPr="00D02DCA">
        <w:instrText>Gross state product</w:instrText>
      </w:r>
      <w:r>
        <w:instrText xml:space="preserve">" </w:instrText>
      </w:r>
      <w:r>
        <w:fldChar w:fldCharType="end"/>
      </w:r>
      <w:r w:rsidRPr="00F23988">
        <w:t xml:space="preserve"> averages 9.4 per cent over the budget and forward estimates.</w:t>
      </w:r>
    </w:p>
    <w:p w:rsidR="00F918C3" w:rsidRPr="00F23988" w:rsidRDefault="00F918C3" w:rsidP="003478AA">
      <w:r w:rsidRPr="00F23988">
        <w:t>The Government monitors the level of net debt for the general government and PNFC sectors and the projected level of net debt is consistent with the State’s triple</w:t>
      </w:r>
      <w:r w:rsidRPr="00F23988">
        <w:noBreakHyphen/>
        <w:t>A credit rating</w:t>
      </w:r>
      <w:r>
        <w:fldChar w:fldCharType="begin"/>
      </w:r>
      <w:r>
        <w:instrText xml:space="preserve"> XE "</w:instrText>
      </w:r>
      <w:r w:rsidRPr="00AB1212">
        <w:instrText>Triple</w:instrText>
      </w:r>
      <w:r w:rsidRPr="00AB1212">
        <w:noBreakHyphen/>
        <w:instrText>A credit rating</w:instrText>
      </w:r>
      <w:r>
        <w:instrText xml:space="preserve">" </w:instrText>
      </w:r>
      <w:r>
        <w:fldChar w:fldCharType="end"/>
      </w:r>
      <w:r w:rsidRPr="00F23988">
        <w:t xml:space="preserve">. </w:t>
      </w:r>
    </w:p>
    <w:p w:rsidR="00F918C3" w:rsidRPr="00F23988" w:rsidRDefault="00F918C3" w:rsidP="00602121">
      <w:r w:rsidRPr="00F23988">
        <w:t>Superannuation liabilities are projected to fall, resulting in a decline in the net financial liabilities</w:t>
      </w:r>
      <w:r>
        <w:fldChar w:fldCharType="begin"/>
      </w:r>
      <w:r>
        <w:instrText xml:space="preserve"> XE "</w:instrText>
      </w:r>
      <w:r w:rsidRPr="00D02DCA">
        <w:instrText>Net financial liabilities</w:instrText>
      </w:r>
      <w:r>
        <w:instrText xml:space="preserve">" </w:instrText>
      </w:r>
      <w:r>
        <w:fldChar w:fldCharType="end"/>
      </w:r>
      <w:r w:rsidRPr="00F23988">
        <w:t xml:space="preserve"> to GSP</w:t>
      </w:r>
      <w:r>
        <w:fldChar w:fldCharType="begin"/>
      </w:r>
      <w:r>
        <w:instrText xml:space="preserve"> XE "</w:instrText>
      </w:r>
      <w:r w:rsidRPr="00D02DCA">
        <w:instrText>Gross state product</w:instrText>
      </w:r>
      <w:r>
        <w:instrText xml:space="preserve">" </w:instrText>
      </w:r>
      <w:r>
        <w:fldChar w:fldCharType="end"/>
      </w:r>
      <w:r w:rsidRPr="00F23988">
        <w:t xml:space="preserve"> ratio from 18.4 per cent in 2018</w:t>
      </w:r>
      <w:r w:rsidRPr="00F23988">
        <w:noBreakHyphen/>
        <w:t>19 to 16.5 per cent in 2021</w:t>
      </w:r>
      <w:r w:rsidRPr="00F23988">
        <w:noBreakHyphen/>
        <w:t>22. This fall is mainly driven by the budget contributions that are made annually as part of the Government’s commitment to fully fund the superannuation liability</w:t>
      </w:r>
      <w:r>
        <w:fldChar w:fldCharType="begin"/>
      </w:r>
      <w:r>
        <w:instrText xml:space="preserve"> XE "</w:instrText>
      </w:r>
      <w:r w:rsidRPr="00D02DCA">
        <w:instrText>Superannuation:Liability</w:instrText>
      </w:r>
      <w:r>
        <w:instrText xml:space="preserve">" </w:instrText>
      </w:r>
      <w:r>
        <w:fldChar w:fldCharType="end"/>
      </w:r>
      <w:r w:rsidRPr="00F23988">
        <w:t xml:space="preserve"> by 2035. </w:t>
      </w:r>
    </w:p>
    <w:p w:rsidR="00F918C3" w:rsidRPr="00F23988" w:rsidRDefault="00F918C3" w:rsidP="004E475B">
      <w:pPr>
        <w:pStyle w:val="TableHeading"/>
        <w:rPr>
          <w:bCs/>
          <w:lang w:val="en-US"/>
        </w:rPr>
      </w:pPr>
      <w:r w:rsidRPr="00F23988">
        <w:t xml:space="preserve">Table 5.3: </w:t>
      </w:r>
      <w:r w:rsidRPr="00F23988">
        <w:tab/>
        <w:t>Non</w:t>
      </w:r>
      <w:r w:rsidRPr="00F23988">
        <w:noBreakHyphen/>
        <w:t xml:space="preserve">financial public sector net debt and financial liabilities </w:t>
      </w:r>
      <w:r w:rsidRPr="00F23988">
        <w:rPr>
          <w:vertAlign w:val="superscript"/>
        </w:rPr>
        <w:t>(a)</w:t>
      </w:r>
      <w:r w:rsidRPr="00F23988">
        <w:rPr>
          <w:vertAlign w:val="superscript"/>
        </w:rPr>
        <w:tab/>
      </w:r>
      <w:r w:rsidRPr="00F23988">
        <w:t>($</w:t>
      </w:r>
      <w:r w:rsidR="006371F3">
        <w:t> billion</w:t>
      </w:r>
      <w:r w:rsidRPr="00F23988">
        <w:t>)</w:t>
      </w:r>
    </w:p>
    <w:tbl>
      <w:tblPr>
        <w:tblStyle w:val="DTFTable"/>
        <w:tblW w:w="7771" w:type="dxa"/>
        <w:tblInd w:w="45" w:type="dxa"/>
        <w:tblLayout w:type="fixed"/>
        <w:tblCellMar>
          <w:left w:w="45" w:type="dxa"/>
          <w:right w:w="45" w:type="dxa"/>
        </w:tblCellMar>
        <w:tblLook w:val="06A0" w:firstRow="1" w:lastRow="0" w:firstColumn="1" w:lastColumn="0" w:noHBand="1" w:noVBand="1"/>
      </w:tblPr>
      <w:tblGrid>
        <w:gridCol w:w="2665"/>
        <w:gridCol w:w="850"/>
        <w:gridCol w:w="850"/>
        <w:gridCol w:w="850"/>
        <w:gridCol w:w="850"/>
        <w:gridCol w:w="850"/>
        <w:gridCol w:w="856"/>
      </w:tblGrid>
      <w:tr w:rsidR="00F918C3" w:rsidRPr="00F23988" w:rsidTr="00EC65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6"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EC65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6"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Assets</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Cash and deposits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6.7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5.4</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5.4</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Advances paid</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0.3</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0.3</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Investments, loans and placements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4.8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5.8</w:t>
            </w:r>
          </w:p>
        </w:tc>
        <w:tc>
          <w:tcPr>
            <w:tcW w:w="856"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6.0</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11.8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10.9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10.9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11.3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11.5</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11.7</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Liabilities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Deposits held and advances received</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1.0</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0.9</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Borrowings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40.6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44.3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50.7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55.5</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57.9</w:t>
            </w:r>
          </w:p>
        </w:tc>
        <w:tc>
          <w:tcPr>
            <w:tcW w:w="856"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60.1</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45.5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51.6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56.5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58.8</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61.0</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 xml:space="preserve">Net debt </w:t>
            </w:r>
            <w:r w:rsidRPr="00006130">
              <w:rPr>
                <w:rFonts w:eastAsiaTheme="minorEastAsia" w:cs="Calibri"/>
                <w:bCs/>
                <w:color w:val="000000"/>
                <w:szCs w:val="19"/>
                <w:vertAlign w:val="superscript"/>
                <w:lang w:eastAsia="en-AU"/>
              </w:rPr>
              <w:t>(b)</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29.8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34.6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40.7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45.2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47.4</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49.3</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F16DB1">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Superannuation liability</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24.9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24.3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23.2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22.1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21.0</w:t>
            </w:r>
          </w:p>
        </w:tc>
        <w:tc>
          <w:tcPr>
            <w:tcW w:w="856"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20.0</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Net debt plus superannuation liabilities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54.8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58.9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63.9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67.4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68.4</w:t>
            </w:r>
          </w:p>
        </w:tc>
        <w:tc>
          <w:tcPr>
            <w:tcW w:w="856"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69.3</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Other liabilities (net) </w:t>
            </w:r>
            <w:r w:rsidRPr="00F23988">
              <w:rPr>
                <w:rFonts w:eastAsiaTheme="minorEastAsia" w:cs="Calibri"/>
                <w:color w:val="000000"/>
                <w:szCs w:val="19"/>
                <w:vertAlign w:val="superscript"/>
                <w:lang w:eastAsia="en-AU"/>
              </w:rPr>
              <w:t>(c)</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15.0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16.8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18.6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18.4</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18.0</w:t>
            </w:r>
          </w:p>
        </w:tc>
        <w:tc>
          <w:tcPr>
            <w:tcW w:w="856"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23988">
              <w:rPr>
                <w:rFonts w:eastAsiaTheme="minorEastAsia" w:cs="Calibri"/>
                <w:color w:val="000000"/>
                <w:szCs w:val="20"/>
                <w:lang w:eastAsia="en-AU"/>
              </w:rPr>
              <w:t>17.0</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F918C3" w:rsidRPr="00F23988" w:rsidRDefault="00F918C3" w:rsidP="00F16DB1">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 xml:space="preserve">Net financial liabilities </w:t>
            </w:r>
            <w:r w:rsidRPr="00006130">
              <w:rPr>
                <w:rFonts w:eastAsiaTheme="minorEastAsia" w:cs="Calibri"/>
                <w:bCs/>
                <w:color w:val="000000"/>
                <w:szCs w:val="19"/>
                <w:vertAlign w:val="superscript"/>
                <w:lang w:eastAsia="en-AU"/>
              </w:rPr>
              <w:t>(d)</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69.8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75.7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82.5</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85.8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86.4</w:t>
            </w:r>
          </w:p>
        </w:tc>
        <w:tc>
          <w:tcPr>
            <w:tcW w:w="856"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23988">
              <w:rPr>
                <w:rFonts w:eastAsiaTheme="minorEastAsia" w:cs="Calibri"/>
                <w:b/>
                <w:bCs/>
                <w:color w:val="000000"/>
                <w:szCs w:val="20"/>
                <w:lang w:eastAsia="en-AU"/>
              </w:rPr>
              <w:t>86.3</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7771" w:type="dxa"/>
            <w:gridSpan w:val="7"/>
            <w:tcBorders>
              <w:top w:val="nil"/>
              <w:left w:val="nil"/>
              <w:bottom w:val="nil"/>
              <w:right w:val="nil"/>
            </w:tcBorders>
          </w:tcPr>
          <w:p w:rsidR="00F918C3" w:rsidRPr="00F23988" w:rsidRDefault="00F918C3" w:rsidP="004E475B">
            <w:pPr>
              <w:pStyle w:val="TableUnits"/>
              <w:rPr>
                <w:lang w:eastAsia="en-AU"/>
              </w:rPr>
            </w:pPr>
            <w:r w:rsidRPr="00F23988">
              <w:rPr>
                <w:lang w:eastAsia="en-AU"/>
              </w:rPr>
              <w:t>(per cent)</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 xml:space="preserve">Net debt to GSP </w:t>
            </w:r>
            <w:r w:rsidRPr="00F23988">
              <w:rPr>
                <w:rFonts w:eastAsiaTheme="minorEastAsia" w:cs="Calibri"/>
                <w:bCs/>
                <w:color w:val="000000"/>
                <w:szCs w:val="19"/>
                <w:vertAlign w:val="superscript"/>
                <w:lang w:eastAsia="en-AU"/>
              </w:rPr>
              <w:t>(e)</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8.1</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9.1</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9.6</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9.5</w:t>
            </w:r>
          </w:p>
        </w:tc>
        <w:tc>
          <w:tcPr>
            <w:tcW w:w="856"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9.4</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 xml:space="preserve">Net debt plus superannuation liability to GSP </w:t>
            </w:r>
            <w:r w:rsidRPr="00F23988">
              <w:rPr>
                <w:rFonts w:eastAsiaTheme="minorEastAsia" w:cs="Calibri"/>
                <w:bCs/>
                <w:color w:val="000000"/>
                <w:szCs w:val="19"/>
                <w:vertAlign w:val="superscript"/>
                <w:lang w:eastAsia="en-AU"/>
              </w:rPr>
              <w:t>(e)</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13.5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13.8</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14.3</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14.3</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13.8</w:t>
            </w:r>
          </w:p>
        </w:tc>
        <w:tc>
          <w:tcPr>
            <w:tcW w:w="856"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13.3</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 xml:space="preserve">Net financial liabilities to GSP </w:t>
            </w:r>
            <w:r w:rsidRPr="00F23988">
              <w:rPr>
                <w:rFonts w:eastAsiaTheme="minorEastAsia" w:cs="Calibri"/>
                <w:bCs/>
                <w:color w:val="000000"/>
                <w:szCs w:val="19"/>
                <w:vertAlign w:val="superscript"/>
                <w:lang w:eastAsia="en-AU"/>
              </w:rPr>
              <w:t>(e)</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17.2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17.7</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18.4</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18.2</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17.4</w:t>
            </w:r>
          </w:p>
        </w:tc>
        <w:tc>
          <w:tcPr>
            <w:tcW w:w="856"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16.5</w:t>
            </w:r>
          </w:p>
        </w:tc>
      </w:tr>
      <w:tr w:rsidR="00F918C3" w:rsidRPr="00F23988" w:rsidTr="00EC659A">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F918C3" w:rsidRPr="00F23988" w:rsidRDefault="00F918C3" w:rsidP="00F16DB1">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 xml:space="preserve">Net debt plus superannuation liability to revenue </w:t>
            </w:r>
            <w:r w:rsidRPr="00F23988">
              <w:rPr>
                <w:rFonts w:eastAsiaTheme="minorEastAsia" w:cs="Calibri"/>
                <w:bCs/>
                <w:color w:val="000000"/>
                <w:szCs w:val="19"/>
                <w:vertAlign w:val="superscript"/>
                <w:lang w:eastAsia="en-AU"/>
              </w:rPr>
              <w:t>(f)</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85.1</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87.5</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87.9</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91.1</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89.2</w:t>
            </w:r>
          </w:p>
        </w:tc>
        <w:tc>
          <w:tcPr>
            <w:tcW w:w="856" w:type="dxa"/>
            <w:tcBorders>
              <w:top w:val="nil"/>
              <w:bottom w:val="single" w:sz="12" w:space="0" w:color="auto"/>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19"/>
                <w:lang w:eastAsia="en-AU"/>
              </w:rPr>
            </w:pPr>
            <w:r w:rsidRPr="00F23988">
              <w:rPr>
                <w:rFonts w:eastAsiaTheme="minorEastAsia" w:cs="Calibri"/>
                <w:color w:val="000000"/>
                <w:szCs w:val="19"/>
                <w:lang w:eastAsia="en-AU"/>
              </w:rPr>
              <w:t>87.9</w:t>
            </w:r>
          </w:p>
        </w:tc>
      </w:tr>
    </w:tbl>
    <w:p w:rsidR="00F918C3" w:rsidRPr="00F23988" w:rsidRDefault="00F918C3" w:rsidP="004E475B">
      <w:pPr>
        <w:pStyle w:val="Source"/>
      </w:pPr>
      <w:r w:rsidRPr="00F23988">
        <w:t>Source: Department of Treasury and Finance</w:t>
      </w:r>
    </w:p>
    <w:p w:rsidR="00F918C3" w:rsidRPr="00F23988" w:rsidRDefault="00F918C3" w:rsidP="007969C7">
      <w:pPr>
        <w:pStyle w:val="Note"/>
      </w:pPr>
      <w:r w:rsidRPr="00F23988">
        <w:t>Notes:</w:t>
      </w:r>
    </w:p>
    <w:p w:rsidR="00F918C3" w:rsidRPr="00F23988" w:rsidRDefault="00F918C3" w:rsidP="007969C7">
      <w:pPr>
        <w:pStyle w:val="Note"/>
      </w:pPr>
      <w:r w:rsidRPr="00F23988">
        <w:t>(a)</w:t>
      </w:r>
      <w:r w:rsidRPr="00F23988">
        <w:tab/>
        <w:t>Figures in this table are subject to rounding and may not add up to the totals.</w:t>
      </w:r>
    </w:p>
    <w:p w:rsidR="00F918C3" w:rsidRPr="00F23988" w:rsidRDefault="00F918C3" w:rsidP="007969C7">
      <w:pPr>
        <w:pStyle w:val="Note"/>
      </w:pPr>
      <w:r w:rsidRPr="00F23988">
        <w:t>(b)</w:t>
      </w:r>
      <w:r w:rsidRPr="00F23988">
        <w:tab/>
        <w:t xml:space="preserve">Net debt is the sum of borrowings, deposits held and advances received less the sum of cash and deposits, advances paid, and investments, loans and placements. </w:t>
      </w:r>
    </w:p>
    <w:p w:rsidR="00F918C3" w:rsidRPr="00F23988" w:rsidRDefault="00F918C3" w:rsidP="007969C7">
      <w:pPr>
        <w:pStyle w:val="Note"/>
      </w:pPr>
      <w:r w:rsidRPr="00F23988">
        <w:t>(c)</w:t>
      </w:r>
      <w:r w:rsidRPr="00F23988">
        <w:tab/>
        <w:t>Other liabilities include other employee entitlements and provisions and other non</w:t>
      </w:r>
      <w:r w:rsidRPr="00F23988">
        <w:noBreakHyphen/>
        <w:t>equity liabilities, less other non</w:t>
      </w:r>
      <w:r w:rsidRPr="00F23988">
        <w:noBreakHyphen/>
        <w:t>equity financial assets.</w:t>
      </w:r>
    </w:p>
    <w:p w:rsidR="00F918C3" w:rsidRPr="00F23988" w:rsidRDefault="00F918C3" w:rsidP="007969C7">
      <w:pPr>
        <w:pStyle w:val="Note"/>
      </w:pPr>
      <w:r w:rsidRPr="00F23988">
        <w:t>(d)</w:t>
      </w:r>
      <w:r w:rsidRPr="00F23988">
        <w:tab/>
        <w:t>Net financial liabilities</w:t>
      </w:r>
      <w:r>
        <w:fldChar w:fldCharType="begin"/>
      </w:r>
      <w:r>
        <w:instrText xml:space="preserve"> XE "</w:instrText>
      </w:r>
      <w:r w:rsidRPr="00D02DCA">
        <w:instrText>Net financial liabilities</w:instrText>
      </w:r>
      <w:r>
        <w:instrText xml:space="preserve">" </w:instrText>
      </w:r>
      <w:r>
        <w:fldChar w:fldCharType="end"/>
      </w:r>
      <w:r w:rsidRPr="00F23988">
        <w:t xml:space="preserve"> is total liabilities less financial assets (excluding investments in other sector entities).</w:t>
      </w:r>
    </w:p>
    <w:p w:rsidR="00F918C3" w:rsidRPr="00F23988" w:rsidRDefault="00F918C3" w:rsidP="007969C7">
      <w:pPr>
        <w:pStyle w:val="Note"/>
      </w:pPr>
      <w:r w:rsidRPr="00F23988">
        <w:t>(e)</w:t>
      </w:r>
      <w:r w:rsidRPr="00F23988">
        <w:tab/>
        <w:t>The ratios to GSP</w:t>
      </w:r>
      <w:r>
        <w:fldChar w:fldCharType="begin"/>
      </w:r>
      <w:r>
        <w:instrText xml:space="preserve"> XE "</w:instrText>
      </w:r>
      <w:r w:rsidRPr="00D02DCA">
        <w:instrText>Gross state product</w:instrText>
      </w:r>
      <w:r>
        <w:instrText xml:space="preserve">" </w:instrText>
      </w:r>
      <w:r>
        <w:fldChar w:fldCharType="end"/>
      </w:r>
      <w:r w:rsidRPr="00F23988">
        <w:t xml:space="preserve"> may vary from publications year to year due to revisions to the Australian Bureau of Statistics (ABS) GSP data.</w:t>
      </w:r>
    </w:p>
    <w:p w:rsidR="00F918C3" w:rsidRPr="00F23988" w:rsidRDefault="00F918C3" w:rsidP="007969C7">
      <w:pPr>
        <w:pStyle w:val="Note"/>
      </w:pPr>
      <w:r w:rsidRPr="00F23988">
        <w:t>(f)</w:t>
      </w:r>
      <w:r w:rsidRPr="00F23988">
        <w:tab/>
        <w:t>The sum of NFPS net debt (excluding advances paid) plus the superannuation liability</w:t>
      </w:r>
      <w:r>
        <w:fldChar w:fldCharType="begin"/>
      </w:r>
      <w:r>
        <w:instrText xml:space="preserve"> XE "</w:instrText>
      </w:r>
      <w:r w:rsidRPr="00D02DCA">
        <w:instrText>Superannuation:Liability</w:instrText>
      </w:r>
      <w:r>
        <w:instrText xml:space="preserve">" </w:instrText>
      </w:r>
      <w:r>
        <w:fldChar w:fldCharType="end"/>
      </w:r>
      <w:r w:rsidRPr="00F23988">
        <w:t xml:space="preserve"> as a proportion of NFPS total operating revenue.</w:t>
      </w:r>
    </w:p>
    <w:p w:rsidR="00F918C3" w:rsidRPr="00F23988" w:rsidRDefault="00F918C3">
      <w:pPr>
        <w:keepLines w:val="0"/>
      </w:pPr>
      <w:r w:rsidRPr="00F23988">
        <w:br w:type="page"/>
      </w:r>
    </w:p>
    <w:p w:rsidR="00F918C3" w:rsidRPr="00F23988" w:rsidRDefault="00F918C3" w:rsidP="00FE01BB">
      <w:pPr>
        <w:keepLines w:val="0"/>
      </w:pPr>
      <w:r w:rsidRPr="00F23988">
        <w:t xml:space="preserve">Table 5.4 projects several indicators of financial sustainability for the NFPS over the budget and forward estimates. </w:t>
      </w:r>
    </w:p>
    <w:p w:rsidR="00F918C3" w:rsidRPr="00F23988" w:rsidRDefault="00F918C3" w:rsidP="00544994">
      <w:pPr>
        <w:ind w:right="-86"/>
      </w:pPr>
      <w:r w:rsidRPr="00F23988">
        <w:t>The operating cash flow surplus to revenue ratio is an indication of the level of cash generated from operations that can be used to fund infrastructure. The ratio was significantly higher than the long</w:t>
      </w:r>
      <w:r w:rsidRPr="00F23988">
        <w:noBreakHyphen/>
        <w:t>term average in 2016</w:t>
      </w:r>
      <w:r w:rsidRPr="00F23988">
        <w:noBreakHyphen/>
        <w:t>17 due to the receipt of cash proceeds from the medium</w:t>
      </w:r>
      <w:r w:rsidRPr="00F23988">
        <w:noBreakHyphen/>
        <w:t xml:space="preserve">term lease of the operations of the Port of Melbourne. </w:t>
      </w:r>
    </w:p>
    <w:p w:rsidR="00F918C3" w:rsidRPr="00F23988" w:rsidRDefault="00F918C3" w:rsidP="00602121">
      <w:pPr>
        <w:ind w:right="-170"/>
      </w:pPr>
      <w:r w:rsidRPr="00F23988">
        <w:t>The overall debt burden is evidenced by the ratio of gross debt to revenue, which is estimated to be 71 per cent in 2018</w:t>
      </w:r>
      <w:r w:rsidRPr="00F23988">
        <w:noBreakHyphen/>
        <w:t>19. The ratio of NFPS interest expense to revenue ratio is a measure of the State’s debt service burden. This ratio is expected to average 3.6 per cent a year over the budget and forward estimates. This ratio is at a historical low level, having fallen from above 5 per cent in 2013</w:t>
      </w:r>
      <w:r w:rsidRPr="00F23988">
        <w:noBreakHyphen/>
        <w:t>14. Future borrowings are assumed to be raised at interest rates implied by the Treasury Corporation of Victoria’s yield curve.</w:t>
      </w:r>
    </w:p>
    <w:p w:rsidR="00F918C3" w:rsidRPr="00F23988" w:rsidRDefault="00F918C3" w:rsidP="004E475B">
      <w:pPr>
        <w:pStyle w:val="TableHeading"/>
        <w:rPr>
          <w:bCs/>
          <w:lang w:val="en-US"/>
        </w:rPr>
      </w:pPr>
      <w:r w:rsidRPr="00F23988">
        <w:t xml:space="preserve">Table 5.4: </w:t>
      </w:r>
      <w:r w:rsidRPr="00F23988">
        <w:tab/>
        <w:t>Indicators of financial sustainability for the non</w:t>
      </w:r>
      <w:r w:rsidRPr="00F23988">
        <w:noBreakHyphen/>
        <w:t>financial</w:t>
      </w:r>
      <w:r>
        <w:t xml:space="preserve"> </w:t>
      </w:r>
      <w:r>
        <w:br/>
      </w:r>
      <w:r w:rsidRPr="00F23988">
        <w:t>public sector</w:t>
      </w:r>
      <w:r w:rsidRPr="00F23988">
        <w:tab/>
        <w:t>(per cent)</w:t>
      </w:r>
    </w:p>
    <w:tbl>
      <w:tblPr>
        <w:tblStyle w:val="DTFTable"/>
        <w:tblW w:w="7765" w:type="dxa"/>
        <w:tblInd w:w="45" w:type="dxa"/>
        <w:tblLayout w:type="fixed"/>
        <w:tblCellMar>
          <w:left w:w="45" w:type="dxa"/>
          <w:right w:w="45" w:type="dxa"/>
        </w:tblCellMar>
        <w:tblLook w:val="06A0" w:firstRow="1" w:lastRow="0" w:firstColumn="1" w:lastColumn="0" w:noHBand="1" w:noVBand="1"/>
      </w:tblPr>
      <w:tblGrid>
        <w:gridCol w:w="2665"/>
        <w:gridCol w:w="850"/>
        <w:gridCol w:w="850"/>
        <w:gridCol w:w="850"/>
        <w:gridCol w:w="850"/>
        <w:gridCol w:w="850"/>
        <w:gridCol w:w="850"/>
      </w:tblGrid>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single" w:sz="6" w:space="0" w:color="auto"/>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Operating cash flow surplus to 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8.0</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Gross debt to revenue </w:t>
            </w:r>
            <w:r w:rsidRPr="00F23988">
              <w:rPr>
                <w:rFonts w:eastAsiaTheme="minorEastAsia" w:cs="Calibri"/>
                <w:color w:val="000000"/>
                <w:szCs w:val="19"/>
                <w:vertAlign w:val="superscript"/>
                <w:lang w:eastAsia="en-AU"/>
              </w:rPr>
              <w:t>(a)</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64.7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67.7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71.0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76.4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76.8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77.4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12"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Interest expense to revenue</w:t>
            </w:r>
          </w:p>
        </w:tc>
        <w:tc>
          <w:tcPr>
            <w:tcW w:w="850" w:type="dxa"/>
            <w:tcBorders>
              <w:top w:val="nil"/>
              <w:left w:val="nil"/>
              <w:bottom w:val="single" w:sz="12"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3.9</w:t>
            </w:r>
          </w:p>
        </w:tc>
        <w:tc>
          <w:tcPr>
            <w:tcW w:w="850" w:type="dxa"/>
            <w:tcBorders>
              <w:top w:val="nil"/>
              <w:left w:val="nil"/>
              <w:bottom w:val="single" w:sz="12"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3.7</w:t>
            </w:r>
          </w:p>
        </w:tc>
        <w:tc>
          <w:tcPr>
            <w:tcW w:w="850" w:type="dxa"/>
            <w:tcBorders>
              <w:top w:val="nil"/>
              <w:left w:val="nil"/>
              <w:bottom w:val="single" w:sz="12"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3.6</w:t>
            </w:r>
          </w:p>
        </w:tc>
        <w:tc>
          <w:tcPr>
            <w:tcW w:w="850" w:type="dxa"/>
            <w:tcBorders>
              <w:top w:val="nil"/>
              <w:left w:val="nil"/>
              <w:bottom w:val="single" w:sz="12"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3.7</w:t>
            </w:r>
          </w:p>
        </w:tc>
        <w:tc>
          <w:tcPr>
            <w:tcW w:w="850" w:type="dxa"/>
            <w:tcBorders>
              <w:top w:val="nil"/>
              <w:left w:val="nil"/>
              <w:bottom w:val="single" w:sz="12"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3.7</w:t>
            </w:r>
          </w:p>
        </w:tc>
        <w:tc>
          <w:tcPr>
            <w:tcW w:w="850" w:type="dxa"/>
            <w:tcBorders>
              <w:top w:val="nil"/>
              <w:left w:val="nil"/>
              <w:bottom w:val="single" w:sz="12"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3.6</w:t>
            </w:r>
          </w:p>
        </w:tc>
      </w:tr>
    </w:tbl>
    <w:p w:rsidR="00F918C3" w:rsidRPr="00F23988" w:rsidRDefault="00F918C3" w:rsidP="004E475B">
      <w:pPr>
        <w:pStyle w:val="Source"/>
      </w:pPr>
      <w:r w:rsidRPr="00F23988">
        <w:t>Source: Department of Treasury and Finance</w:t>
      </w:r>
    </w:p>
    <w:p w:rsidR="00F918C3" w:rsidRPr="00F23988" w:rsidRDefault="00F918C3" w:rsidP="007969C7">
      <w:pPr>
        <w:pStyle w:val="Note"/>
      </w:pPr>
      <w:r w:rsidRPr="00F23988">
        <w:t>Note:</w:t>
      </w:r>
    </w:p>
    <w:p w:rsidR="00F918C3" w:rsidRPr="00F23988" w:rsidRDefault="00F918C3" w:rsidP="007969C7">
      <w:pPr>
        <w:pStyle w:val="Note"/>
      </w:pPr>
      <w:r w:rsidRPr="00F23988">
        <w:t>(a)</w:t>
      </w:r>
      <w:r w:rsidRPr="00F23988">
        <w:tab/>
        <w:t>Gross debt includes borrowings and deposits held and advances received.</w:t>
      </w:r>
      <w:r>
        <w:t xml:space="preserve"> </w:t>
      </w:r>
      <w:r>
        <w:fldChar w:fldCharType="begin"/>
      </w:r>
      <w:r>
        <w:instrText xml:space="preserve"> XE "Non-</w:instrText>
      </w:r>
      <w:r w:rsidRPr="00AE6A6D">
        <w:instrText>financial public sector</w:instrText>
      </w:r>
      <w:r>
        <w:instrText xml:space="preserve">" \r "BP2Ch5NFPS" </w:instrText>
      </w:r>
      <w:r>
        <w:fldChar w:fldCharType="end"/>
      </w:r>
      <w:r>
        <w:t xml:space="preserve"> </w:t>
      </w:r>
    </w:p>
    <w:bookmarkEnd w:id="69"/>
    <w:p w:rsidR="00F918C3" w:rsidRPr="00F23988" w:rsidRDefault="00F918C3" w:rsidP="007969C7">
      <w:pPr>
        <w:pStyle w:val="Note"/>
      </w:pPr>
    </w:p>
    <w:p w:rsidR="00F918C3" w:rsidRPr="00F23988" w:rsidRDefault="00F918C3" w:rsidP="00602121">
      <w:pPr>
        <w:keepNext/>
        <w:tabs>
          <w:tab w:val="left" w:pos="1134"/>
          <w:tab w:val="right" w:pos="7710"/>
        </w:tabs>
        <w:spacing w:before="240" w:after="60"/>
        <w:ind w:left="1134" w:hanging="1134"/>
        <w:rPr>
          <w:rFonts w:asciiTheme="majorHAnsi" w:eastAsiaTheme="majorEastAsia" w:hAnsiTheme="majorHAnsi" w:cstheme="majorBidi"/>
          <w:b/>
          <w:bCs/>
          <w:caps/>
          <w:spacing w:val="-2"/>
          <w:sz w:val="26"/>
          <w:szCs w:val="28"/>
        </w:rPr>
      </w:pPr>
      <w:bookmarkStart w:id="76" w:name="BP2OpResultSoV"/>
      <w:r w:rsidRPr="00F23988">
        <w:rPr>
          <w:rFonts w:asciiTheme="majorHAnsi" w:eastAsiaTheme="majorEastAsia" w:hAnsiTheme="majorHAnsi" w:cstheme="majorBidi"/>
          <w:b/>
          <w:bCs/>
          <w:caps/>
          <w:spacing w:val="-2"/>
          <w:sz w:val="26"/>
          <w:szCs w:val="28"/>
        </w:rPr>
        <w:t>State of Victoria</w:t>
      </w:r>
    </w:p>
    <w:p w:rsidR="00F918C3" w:rsidRPr="00F23988" w:rsidRDefault="00F918C3" w:rsidP="00602121">
      <w:r w:rsidRPr="00F23988">
        <w:t>Table 5.5 shows the operating result</w:t>
      </w:r>
      <w:r>
        <w:t>s</w:t>
      </w:r>
      <w:r w:rsidRPr="00F23988">
        <w:t xml:space="preserve"> for the State. The net result from transactions is projected to improve from a deficit of $1.6</w:t>
      </w:r>
      <w:r w:rsidR="006371F3">
        <w:t> billion</w:t>
      </w:r>
      <w:r w:rsidRPr="00F23988">
        <w:t xml:space="preserve"> in 2018</w:t>
      </w:r>
      <w:r w:rsidRPr="00F23988">
        <w:noBreakHyphen/>
        <w:t>19 to a surplus of $343</w:t>
      </w:r>
      <w:r w:rsidR="006371F3">
        <w:t> million</w:t>
      </w:r>
      <w:r w:rsidRPr="00F23988">
        <w:t xml:space="preserve"> in 2021</w:t>
      </w:r>
      <w:r w:rsidRPr="00F23988">
        <w:noBreakHyphen/>
        <w:t>22. This is before other economic flows, which are projected to average $1.1</w:t>
      </w:r>
      <w:r w:rsidR="006371F3">
        <w:t> billion</w:t>
      </w:r>
      <w:r w:rsidRPr="00F23988">
        <w:t xml:space="preserve"> a year over the budget and forward estimates. The other economic flows include projected capital gains on the investments of the State’s insurance agencies that are used to service the agencies’ liabilities. When these other economic flows are included, the State net result improves to an average surplus of $802</w:t>
      </w:r>
      <w:r w:rsidR="006371F3">
        <w:t> million</w:t>
      </w:r>
      <w:r w:rsidRPr="00F23988">
        <w:t xml:space="preserve"> over the budget and forward estimates, increasing from a deficit of $491</w:t>
      </w:r>
      <w:r w:rsidR="006371F3">
        <w:t> million</w:t>
      </w:r>
      <w:r w:rsidRPr="00F23988">
        <w:t xml:space="preserve"> in 2018</w:t>
      </w:r>
      <w:r w:rsidRPr="00F23988">
        <w:noBreakHyphen/>
        <w:t>19 to a surplus of $1.6</w:t>
      </w:r>
      <w:r w:rsidR="006371F3">
        <w:t> billion</w:t>
      </w:r>
      <w:r w:rsidRPr="00F23988">
        <w:t xml:space="preserve"> in 2021</w:t>
      </w:r>
      <w:r w:rsidRPr="00F23988">
        <w:noBreakHyphen/>
        <w:t>22.</w:t>
      </w:r>
      <w:r>
        <w:t xml:space="preserve"> </w:t>
      </w:r>
    </w:p>
    <w:p w:rsidR="00F918C3" w:rsidRPr="00F23988" w:rsidRDefault="00F918C3">
      <w:pPr>
        <w:keepLines w:val="0"/>
        <w:rPr>
          <w:rFonts w:asciiTheme="majorHAnsi" w:hAnsiTheme="majorHAnsi"/>
          <w:b/>
          <w:sz w:val="20"/>
          <w:szCs w:val="20"/>
        </w:rPr>
      </w:pPr>
      <w:r w:rsidRPr="00F23988">
        <w:br w:type="page"/>
      </w:r>
    </w:p>
    <w:p w:rsidR="00F918C3" w:rsidRPr="00F23988" w:rsidRDefault="00F918C3" w:rsidP="004E475B">
      <w:pPr>
        <w:pStyle w:val="TableHeading"/>
        <w:rPr>
          <w:bCs/>
          <w:lang w:val="en-US"/>
        </w:rPr>
      </w:pPr>
      <w:r w:rsidRPr="00F23988">
        <w:t>Table 5.5:</w:t>
      </w:r>
      <w:r w:rsidRPr="00F23988">
        <w:tab/>
        <w:t xml:space="preserve">Operating results – State of Victoria </w:t>
      </w:r>
      <w:r w:rsidRPr="00F23988">
        <w:rPr>
          <w:vertAlign w:val="superscript"/>
        </w:rPr>
        <w:t>(a)</w:t>
      </w:r>
      <w:r w:rsidRPr="00F23988">
        <w:rPr>
          <w:vertAlign w:val="superscript"/>
        </w:rPr>
        <w:tab/>
      </w:r>
      <w:r w:rsidRPr="00F23988">
        <w:t>($</w:t>
      </w:r>
      <w:r w:rsidR="006371F3">
        <w:t> million</w:t>
      </w:r>
      <w:r w:rsidRPr="00F2398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jc w:val="right"/>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Taxation 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21 892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22 071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23 636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24 781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25 747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27 138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Dividends, income tax equivalent and interest </w:t>
            </w:r>
            <w:r w:rsidRPr="00F23988">
              <w:rPr>
                <w:rFonts w:eastAsiaTheme="minorEastAsia" w:cs="Calibri"/>
                <w:color w:val="000000"/>
                <w:szCs w:val="19"/>
                <w:vertAlign w:val="superscript"/>
                <w:lang w:eastAsia="en-AU"/>
              </w:rPr>
              <w:t>(b)</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1 625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2 007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1 986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2 072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2 496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2 537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Sales of goods and services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14 539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14 815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15 296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16 285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17 177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17 358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Grants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27 350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29 763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32 735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32 294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33 391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34 103</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Other current revenue</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3 406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3 271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3 246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3 259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3 328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3 404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 revenue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68 812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71 928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76 899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78 690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82 138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84 539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i/>
                <w:iCs/>
                <w:color w:val="000000"/>
                <w:szCs w:val="19"/>
                <w:lang w:eastAsia="en-AU"/>
              </w:rPr>
            </w:pPr>
            <w:r w:rsidRPr="00F23988">
              <w:rPr>
                <w:rFonts w:eastAsiaTheme="minorEastAsia" w:cs="Calibri"/>
                <w:i/>
                <w:iCs/>
                <w:color w:val="000000"/>
                <w:szCs w:val="19"/>
                <w:lang w:eastAsia="en-AU"/>
              </w:rPr>
              <w:t>% change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Employee 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22 617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24 176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26 752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27 555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28 529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29 548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Superannuation </w:t>
            </w:r>
            <w:r w:rsidRPr="00F23988">
              <w:rPr>
                <w:rFonts w:eastAsiaTheme="minorEastAsia" w:cs="Calibri"/>
                <w:color w:val="000000"/>
                <w:szCs w:val="19"/>
                <w:vertAlign w:val="superscript"/>
                <w:lang w:eastAsia="en-AU"/>
              </w:rPr>
              <w:t>(c)</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3 168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3 400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3 492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3 524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3 559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3 645</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Depreciation </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4 869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5 059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5 253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5 520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5 975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6 229</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Interest expense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2 729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2 518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2 622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2 705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2 821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2 880</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Grant expense</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7 624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7 129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9 423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10 431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10 216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10 537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Other operating expenses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27 053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29 980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30 921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29 543</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30 560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31 357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 expenses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68 058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72 262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78 464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79 278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81 659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84 197</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i/>
                <w:iCs/>
                <w:color w:val="000000"/>
                <w:szCs w:val="19"/>
                <w:lang w:eastAsia="en-AU"/>
              </w:rPr>
            </w:pPr>
            <w:r w:rsidRPr="00F23988">
              <w:rPr>
                <w:rFonts w:eastAsiaTheme="minorEastAsia" w:cs="Calibri"/>
                <w:i/>
                <w:iCs/>
                <w:color w:val="000000"/>
                <w:szCs w:val="19"/>
                <w:lang w:eastAsia="en-AU"/>
              </w:rPr>
              <w:t>% change</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7.9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6.2</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8.6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3.1</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Net result from transactions</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754</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(334)</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(1 565)</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(587)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480</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343</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 other economic flows included in net result</w:t>
            </w:r>
          </w:p>
        </w:tc>
        <w:tc>
          <w:tcPr>
            <w:tcW w:w="850" w:type="dxa"/>
            <w:tcBorders>
              <w:top w:val="single" w:sz="6" w:space="0" w:color="auto"/>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5 816</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2 187</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1 074</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1 297</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923</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1 245</w:t>
            </w:r>
          </w:p>
        </w:tc>
      </w:tr>
      <w:tr w:rsidR="00F918C3" w:rsidRPr="00F23988" w:rsidTr="004E47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bottom w:val="single" w:sz="12" w:space="0" w:color="auto"/>
            </w:tcBorders>
          </w:tcPr>
          <w:p w:rsidR="00F918C3" w:rsidRPr="00F23988" w:rsidRDefault="00F918C3" w:rsidP="004E475B">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Net result</w:t>
            </w:r>
          </w:p>
        </w:tc>
        <w:tc>
          <w:tcPr>
            <w:tcW w:w="850" w:type="dxa"/>
            <w:tcBorders>
              <w:top w:val="single" w:sz="6" w:space="0" w:color="auto"/>
              <w:bottom w:val="single" w:sz="12" w:space="0" w:color="auto"/>
            </w:tcBorders>
            <w:shd w:val="solid" w:color="FFFFFF" w:fill="auto"/>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6 570</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1 853</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(491)</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710</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1 403</w:t>
            </w:r>
          </w:p>
        </w:tc>
        <w:tc>
          <w:tcPr>
            <w:tcW w:w="850" w:type="dxa"/>
            <w:tcBorders>
              <w:top w:val="single" w:sz="6" w:space="0" w:color="auto"/>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1 588</w:t>
            </w:r>
          </w:p>
        </w:tc>
      </w:tr>
    </w:tbl>
    <w:p w:rsidR="00F918C3" w:rsidRPr="00F23988" w:rsidRDefault="00F918C3" w:rsidP="004E475B">
      <w:pPr>
        <w:pStyle w:val="Source"/>
      </w:pPr>
      <w:r w:rsidRPr="00F23988">
        <w:t>Source: Department of Treasury and Finance</w:t>
      </w:r>
    </w:p>
    <w:p w:rsidR="00F918C3" w:rsidRPr="00F23988" w:rsidRDefault="00F918C3" w:rsidP="007969C7">
      <w:pPr>
        <w:pStyle w:val="Note"/>
      </w:pPr>
      <w:r w:rsidRPr="00F23988">
        <w:t>Notes:</w:t>
      </w:r>
    </w:p>
    <w:p w:rsidR="00F918C3" w:rsidRPr="00F23988" w:rsidRDefault="00F918C3" w:rsidP="007969C7">
      <w:pPr>
        <w:pStyle w:val="Note"/>
      </w:pPr>
      <w:r w:rsidRPr="00F23988">
        <w:t>(a)</w:t>
      </w:r>
      <w:r w:rsidRPr="00F23988">
        <w:tab/>
        <w:t xml:space="preserve">This is a summary operating statement. The comprehensive operating statement is presented in Budget Paper No. 5 </w:t>
      </w:r>
      <w:r w:rsidRPr="00F23988">
        <w:rPr>
          <w:i w:val="0"/>
        </w:rPr>
        <w:t>Statement of Finances</w:t>
      </w:r>
      <w:r w:rsidRPr="00F23988">
        <w:t>. Figures in this table are subject to rounding and may not add up to the totals.</w:t>
      </w:r>
    </w:p>
    <w:p w:rsidR="00F918C3" w:rsidRPr="00F23988" w:rsidRDefault="00F918C3" w:rsidP="007969C7">
      <w:pPr>
        <w:pStyle w:val="Note"/>
      </w:pPr>
      <w:r w:rsidRPr="00F23988">
        <w:t>(b)</w:t>
      </w:r>
      <w:r w:rsidRPr="00F23988">
        <w:tab/>
        <w:t>Comprises dividends, income tax and rate equivalent revenue and interest.</w:t>
      </w:r>
    </w:p>
    <w:p w:rsidR="00F918C3" w:rsidRPr="00F23988" w:rsidRDefault="00F918C3" w:rsidP="007969C7">
      <w:pPr>
        <w:pStyle w:val="Note"/>
      </w:pPr>
      <w:r w:rsidRPr="00F23988">
        <w:t>(c)</w:t>
      </w:r>
      <w:r w:rsidRPr="00F23988">
        <w:tab/>
        <w:t>Comprises superannuation interest expense and other superannuation expense</w:t>
      </w:r>
      <w:r>
        <w:t>s</w:t>
      </w:r>
      <w:r>
        <w:fldChar w:fldCharType="begin"/>
      </w:r>
      <w:r>
        <w:instrText xml:space="preserve"> XE "</w:instrText>
      </w:r>
      <w:r w:rsidRPr="00D02DCA">
        <w:instrText>Superannuation:Expense</w:instrText>
      </w:r>
      <w:r>
        <w:instrText xml:space="preserve">" </w:instrText>
      </w:r>
      <w:r>
        <w:fldChar w:fldCharType="end"/>
      </w:r>
      <w:r w:rsidRPr="00F23988">
        <w:t>.</w:t>
      </w:r>
    </w:p>
    <w:p w:rsidR="00F918C3" w:rsidRPr="00F23988" w:rsidRDefault="00F918C3" w:rsidP="00544994">
      <w:pPr>
        <w:spacing w:before="60"/>
      </w:pPr>
    </w:p>
    <w:p w:rsidR="00F918C3" w:rsidRPr="00F23988" w:rsidRDefault="00F918C3" w:rsidP="00544994">
      <w:bookmarkStart w:id="77" w:name="_Toc449123072"/>
      <w:r w:rsidRPr="00F23988">
        <w:t>The whole of State result is mainly driven by the NFPS sector</w:t>
      </w:r>
      <w:bookmarkEnd w:id="77"/>
      <w:r w:rsidRPr="00F23988">
        <w:t>, but includes the PFC sector, which is forecast to record an average deficit in the net result from transactions of $1.7</w:t>
      </w:r>
      <w:r w:rsidR="006371F3">
        <w:t> billion</w:t>
      </w:r>
      <w:r w:rsidRPr="00F23988">
        <w:t xml:space="preserve"> over the budget and forward estimates. </w:t>
      </w:r>
    </w:p>
    <w:p w:rsidR="00F918C3" w:rsidRPr="00F23988" w:rsidRDefault="00F918C3" w:rsidP="003A75C0">
      <w:r w:rsidRPr="00F23988">
        <w:t>As previously discussed, other economic flows arising largely from projected capital gains on insurance investments are generated within this sector and average $1.5</w:t>
      </w:r>
      <w:r w:rsidR="006371F3">
        <w:t> billion</w:t>
      </w:r>
      <w:r w:rsidRPr="00F23988">
        <w:t xml:space="preserve"> over the budget and forward estimates. When these are factored in, the average net result in the PFC sector improves to a $248</w:t>
      </w:r>
      <w:r w:rsidR="006371F3">
        <w:t> million</w:t>
      </w:r>
      <w:r w:rsidRPr="00F23988">
        <w:t xml:space="preserve"> deficit over the budget and forward estimates.</w:t>
      </w:r>
      <w:r>
        <w:fldChar w:fldCharType="begin"/>
      </w:r>
      <w:r>
        <w:instrText xml:space="preserve"> XE "</w:instrText>
      </w:r>
      <w:r w:rsidRPr="00F918C3">
        <w:instrText>Operating result:</w:instrText>
      </w:r>
      <w:r w:rsidRPr="00851B79">
        <w:instrText>State of Victoria</w:instrText>
      </w:r>
      <w:r>
        <w:instrText xml:space="preserve">" \r "BP2OpResultSoV" </w:instrText>
      </w:r>
      <w:r>
        <w:fldChar w:fldCharType="end"/>
      </w:r>
      <w:r w:rsidRPr="00F23988">
        <w:t xml:space="preserve"> </w:t>
      </w:r>
    </w:p>
    <w:bookmarkEnd w:id="76"/>
    <w:p w:rsidR="00F918C3" w:rsidRPr="00F23988" w:rsidRDefault="00F918C3" w:rsidP="00602121">
      <w:pPr>
        <w:keepNext/>
        <w:numPr>
          <w:ilvl w:val="1"/>
          <w:numId w:val="0"/>
        </w:numPr>
        <w:tabs>
          <w:tab w:val="right" w:pos="9582"/>
        </w:tabs>
        <w:spacing w:before="240"/>
        <w:outlineLvl w:val="1"/>
        <w:rPr>
          <w:rFonts w:asciiTheme="majorHAnsi" w:eastAsiaTheme="majorEastAsia" w:hAnsiTheme="majorHAnsi" w:cstheme="majorBidi"/>
          <w:b/>
          <w:spacing w:val="-2"/>
          <w:sz w:val="26"/>
          <w:szCs w:val="26"/>
        </w:rPr>
      </w:pPr>
      <w:r w:rsidRPr="00F23988">
        <w:rPr>
          <w:rFonts w:asciiTheme="majorHAnsi" w:eastAsiaTheme="majorEastAsia" w:hAnsiTheme="majorHAnsi" w:cstheme="majorBidi"/>
          <w:b/>
          <w:spacing w:val="-2"/>
          <w:sz w:val="26"/>
          <w:szCs w:val="26"/>
        </w:rPr>
        <w:t>State of Victoria – financial position</w:t>
      </w:r>
    </w:p>
    <w:p w:rsidR="00F918C3" w:rsidRPr="00F23988" w:rsidRDefault="00F918C3" w:rsidP="00602121">
      <w:r w:rsidRPr="00F23988">
        <w:t>Table 5.6 shows the State’s financial position is projected to improve over the budget and forward estimates. Financial assets are estimated to increase from $55.0</w:t>
      </w:r>
      <w:r w:rsidR="006371F3">
        <w:t> billion</w:t>
      </w:r>
      <w:r w:rsidRPr="00F23988">
        <w:t xml:space="preserve"> in 2018</w:t>
      </w:r>
      <w:r w:rsidRPr="00F23988">
        <w:noBreakHyphen/>
        <w:t>19 to $58.8</w:t>
      </w:r>
      <w:r w:rsidR="006371F3">
        <w:t> billion</w:t>
      </w:r>
      <w:r w:rsidRPr="00F23988">
        <w:t xml:space="preserve"> by 2021</w:t>
      </w:r>
      <w:r w:rsidRPr="00F23988">
        <w:noBreakHyphen/>
        <w:t>22. Non</w:t>
      </w:r>
      <w:r w:rsidRPr="00F23988">
        <w:noBreakHyphen/>
        <w:t>financial assets, including infrastructure, are estimated to increase from $261.4</w:t>
      </w:r>
      <w:r w:rsidR="006371F3">
        <w:t> billion</w:t>
      </w:r>
      <w:r w:rsidRPr="00F23988">
        <w:t xml:space="preserve"> in 2018</w:t>
      </w:r>
      <w:r w:rsidRPr="00F23988">
        <w:noBreakHyphen/>
        <w:t>19 to $290.4</w:t>
      </w:r>
      <w:r w:rsidR="006371F3">
        <w:t> billion</w:t>
      </w:r>
      <w:r w:rsidRPr="00F23988">
        <w:t xml:space="preserve"> by 2021</w:t>
      </w:r>
      <w:r w:rsidRPr="00F23988">
        <w:noBreakHyphen/>
        <w:t>22. Borrowings are estimated to increase from $55.0</w:t>
      </w:r>
      <w:r w:rsidR="006371F3">
        <w:t> billion</w:t>
      </w:r>
      <w:r w:rsidRPr="00F23988">
        <w:t xml:space="preserve"> in 2018</w:t>
      </w:r>
      <w:r w:rsidRPr="00F23988">
        <w:noBreakHyphen/>
        <w:t>19 to $64.6</w:t>
      </w:r>
      <w:r w:rsidR="006371F3">
        <w:t> billion</w:t>
      </w:r>
      <w:r w:rsidRPr="00F23988">
        <w:t xml:space="preserve"> by 2021</w:t>
      </w:r>
      <w:r w:rsidRPr="00F23988">
        <w:noBreakHyphen/>
        <w:t>22. The State’s net assets are forecast to increase from $177.9</w:t>
      </w:r>
      <w:r w:rsidR="006371F3">
        <w:t> billion</w:t>
      </w:r>
      <w:r w:rsidRPr="00F23988">
        <w:t xml:space="preserve"> in 2018</w:t>
      </w:r>
      <w:r w:rsidRPr="00F23988">
        <w:noBreakHyphen/>
        <w:t>19 to $199.7</w:t>
      </w:r>
      <w:r w:rsidR="006371F3">
        <w:t> billion</w:t>
      </w:r>
      <w:r w:rsidRPr="00F23988">
        <w:t xml:space="preserve"> by 2021</w:t>
      </w:r>
      <w:r w:rsidRPr="00F23988">
        <w:noBreakHyphen/>
        <w:t>22.</w:t>
      </w:r>
    </w:p>
    <w:p w:rsidR="00F918C3" w:rsidRPr="00F23988" w:rsidRDefault="00F918C3" w:rsidP="004E475B">
      <w:pPr>
        <w:pStyle w:val="TableHeading"/>
        <w:rPr>
          <w:bCs/>
          <w:lang w:val="en-US"/>
        </w:rPr>
      </w:pPr>
      <w:r w:rsidRPr="00F23988">
        <w:t xml:space="preserve">Table 5.6: </w:t>
      </w:r>
      <w:r w:rsidRPr="00F23988">
        <w:tab/>
        <w:t xml:space="preserve">Financial position of the State of Victoria </w:t>
      </w:r>
      <w:r w:rsidRPr="00F23988">
        <w:rPr>
          <w:vertAlign w:val="superscript"/>
        </w:rPr>
        <w:t>(a)</w:t>
      </w:r>
      <w:r w:rsidRPr="00F23988">
        <w:rPr>
          <w:vertAlign w:val="superscript"/>
        </w:rPr>
        <w:tab/>
      </w:r>
      <w:r w:rsidRPr="00F23988">
        <w:t>($</w:t>
      </w:r>
      <w:r w:rsidR="006371F3">
        <w:t> billion</w:t>
      </w:r>
      <w:r w:rsidRPr="00F23988">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2665"/>
        <w:gridCol w:w="850"/>
        <w:gridCol w:w="850"/>
        <w:gridCol w:w="850"/>
        <w:gridCol w:w="850"/>
        <w:gridCol w:w="850"/>
        <w:gridCol w:w="850"/>
      </w:tblGrid>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2016</w:t>
            </w:r>
            <w:r w:rsidRPr="00F23988">
              <w:rPr>
                <w:rFonts w:eastAsiaTheme="minorEastAsia" w:cs="Calibri"/>
                <w:iCs/>
                <w:color w:val="FFFFFF"/>
                <w:szCs w:val="19"/>
                <w:lang w:eastAsia="en-AU"/>
              </w:rPr>
              <w:noBreakHyphen/>
              <w:t>17</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2017</w:t>
            </w:r>
            <w:r w:rsidRPr="00F23988">
              <w:rPr>
                <w:rFonts w:eastAsiaTheme="minorEastAsia" w:cs="Calibri"/>
                <w:iCs/>
                <w:color w:val="FFFFFF"/>
                <w:szCs w:val="19"/>
                <w:lang w:eastAsia="en-AU"/>
              </w:rPr>
              <w:noBreakHyphen/>
              <w:t>18</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2018</w:t>
            </w:r>
            <w:r w:rsidRPr="00F23988">
              <w:rPr>
                <w:rFonts w:eastAsiaTheme="minorEastAsia" w:cs="Calibri"/>
                <w:iCs/>
                <w:color w:val="FFFFFF"/>
                <w:szCs w:val="19"/>
                <w:lang w:eastAsia="en-AU"/>
              </w:rPr>
              <w:noBreakHyphen/>
              <w:t>19</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2019</w:t>
            </w:r>
            <w:r w:rsidRPr="00F23988">
              <w:rPr>
                <w:rFonts w:eastAsiaTheme="minorEastAsia" w:cs="Calibri"/>
                <w:iCs/>
                <w:color w:val="FFFFFF"/>
                <w:szCs w:val="19"/>
                <w:lang w:eastAsia="en-AU"/>
              </w:rPr>
              <w:noBreakHyphen/>
              <w:t>20</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2020</w:t>
            </w:r>
            <w:r w:rsidRPr="00F23988">
              <w:rPr>
                <w:rFonts w:eastAsiaTheme="minorEastAsia" w:cs="Calibri"/>
                <w:iCs/>
                <w:color w:val="FFFFFF"/>
                <w:szCs w:val="19"/>
                <w:lang w:eastAsia="en-AU"/>
              </w:rPr>
              <w:noBreakHyphen/>
              <w:t>21</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2021</w:t>
            </w:r>
            <w:r w:rsidRPr="00F23988">
              <w:rPr>
                <w:rFonts w:eastAsiaTheme="minorEastAsia" w:cs="Calibri"/>
                <w:iCs/>
                <w:color w:val="FFFFFF"/>
                <w:szCs w:val="19"/>
                <w:lang w:eastAsia="en-AU"/>
              </w:rPr>
              <w:noBreakHyphen/>
              <w:t>22</w:t>
            </w:r>
          </w:p>
        </w:tc>
      </w:tr>
      <w:tr w:rsidR="00F918C3" w:rsidRPr="00F23988" w:rsidTr="004E47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rPr>
                <w:rFonts w:eastAsiaTheme="minorEastAsia" w:cs="Calibri"/>
                <w:iCs/>
                <w:color w:val="FFFFFF"/>
                <w:szCs w:val="19"/>
                <w:lang w:eastAsia="en-AU"/>
              </w:rPr>
            </w:pPr>
            <w:r w:rsidRPr="00F23988">
              <w:rPr>
                <w:rFonts w:eastAsiaTheme="minorEastAsia" w:cs="Calibri"/>
                <w:iCs/>
                <w:color w:val="FFFFFF"/>
                <w:szCs w:val="19"/>
                <w:lang w:eastAsia="en-AU"/>
              </w:rPr>
              <w:t xml:space="preserve"> </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actual</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revised</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budget</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c>
          <w:tcPr>
            <w:tcW w:w="850" w:type="dxa"/>
            <w:tcBorders>
              <w:top w:val="nil"/>
              <w:left w:val="nil"/>
              <w:bottom w:val="nil"/>
              <w:right w:val="nil"/>
            </w:tcBorders>
            <w:shd w:val="solid" w:color="000000" w:fill="auto"/>
          </w:tcPr>
          <w:p w:rsidR="00F918C3" w:rsidRPr="00F23988" w:rsidRDefault="00F918C3" w:rsidP="004E47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9"/>
                <w:lang w:eastAsia="en-AU"/>
              </w:rPr>
            </w:pPr>
            <w:r w:rsidRPr="00F23988">
              <w:rPr>
                <w:rFonts w:eastAsiaTheme="minorEastAsia" w:cs="Calibri"/>
                <w:iCs/>
                <w:color w:val="FFFFFF"/>
                <w:szCs w:val="19"/>
                <w:lang w:eastAsia="en-AU"/>
              </w:rPr>
              <w:t>estimate</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Assets</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Total financial assets </w:t>
            </w:r>
            <w:r w:rsidRPr="00F23988">
              <w:rPr>
                <w:rFonts w:eastAsiaTheme="minorEastAsia" w:cs="Calibri"/>
                <w:color w:val="000000"/>
                <w:szCs w:val="19"/>
                <w:vertAlign w:val="superscript"/>
                <w:lang w:eastAsia="en-AU"/>
              </w:rPr>
              <w:t>(b)</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59.2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55.0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55.0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55.4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56.6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58.8</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Total non</w:t>
            </w:r>
            <w:r w:rsidRPr="00F23988">
              <w:rPr>
                <w:rFonts w:eastAsiaTheme="minorEastAsia" w:cs="Calibri"/>
                <w:color w:val="000000"/>
                <w:szCs w:val="19"/>
                <w:lang w:eastAsia="en-AU"/>
              </w:rPr>
              <w:noBreakHyphen/>
              <w:t xml:space="preserve">financial assets </w:t>
            </w:r>
            <w:r w:rsidRPr="00F23988">
              <w:rPr>
                <w:rFonts w:eastAsiaTheme="minorEastAsia" w:cs="Calibri"/>
                <w:color w:val="000000"/>
                <w:szCs w:val="19"/>
                <w:vertAlign w:val="superscript"/>
                <w:lang w:eastAsia="en-AU"/>
              </w:rPr>
              <w:t>(c)</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242.6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251.6</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261.4</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276.8</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283.7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290.4</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 assets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301.8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306.5</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316.4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332.2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340.4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349.1</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Liabilities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 xml:space="preserve"> </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F16DB1">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Superannuation</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24.3</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23.2</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22.1</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21.0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20.0</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Borrowings</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48.8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49.7</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55.0</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59.8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62.4</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64.6</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nil"/>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Deposits held and advances received</w:t>
            </w:r>
          </w:p>
        </w:tc>
        <w:tc>
          <w:tcPr>
            <w:tcW w:w="850" w:type="dxa"/>
            <w:tcBorders>
              <w:top w:val="nil"/>
              <w:left w:val="nil"/>
              <w:bottom w:val="nil"/>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1.9</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1.8</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w:t>
            </w:r>
          </w:p>
        </w:tc>
        <w:tc>
          <w:tcPr>
            <w:tcW w:w="850" w:type="dxa"/>
            <w:tcBorders>
              <w:top w:val="nil"/>
              <w:left w:val="nil"/>
              <w:bottom w:val="nil"/>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1.6</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nil"/>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color w:val="000000"/>
                <w:szCs w:val="19"/>
                <w:lang w:eastAsia="en-AU"/>
              </w:rPr>
            </w:pPr>
            <w:r w:rsidRPr="00F23988">
              <w:rPr>
                <w:rFonts w:eastAsiaTheme="minorEastAsia" w:cs="Calibri"/>
                <w:color w:val="000000"/>
                <w:szCs w:val="19"/>
                <w:lang w:eastAsia="en-AU"/>
              </w:rPr>
              <w:t xml:space="preserve">Other liabilities </w:t>
            </w:r>
            <w:r w:rsidRPr="00F23988">
              <w:rPr>
                <w:rFonts w:eastAsiaTheme="minorEastAsia" w:cs="Calibri"/>
                <w:color w:val="000000"/>
                <w:szCs w:val="19"/>
                <w:vertAlign w:val="superscript"/>
                <w:lang w:eastAsia="en-AU"/>
              </w:rPr>
              <w:t>(d)</w:t>
            </w:r>
          </w:p>
        </w:tc>
        <w:tc>
          <w:tcPr>
            <w:tcW w:w="850" w:type="dxa"/>
            <w:tcBorders>
              <w:top w:val="nil"/>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53.9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54.9</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58.7</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60.5</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62.1</w:t>
            </w:r>
          </w:p>
        </w:tc>
        <w:tc>
          <w:tcPr>
            <w:tcW w:w="850" w:type="dxa"/>
            <w:tcBorders>
              <w:top w:val="nil"/>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9"/>
                <w:lang w:eastAsia="en-AU"/>
              </w:rPr>
            </w:pPr>
            <w:r w:rsidRPr="00F23988">
              <w:rPr>
                <w:rFonts w:eastAsiaTheme="minorEastAsia" w:cs="Calibri"/>
                <w:color w:val="000000"/>
                <w:szCs w:val="19"/>
                <w:lang w:eastAsia="en-AU"/>
              </w:rPr>
              <w:t>63.3</w:t>
            </w:r>
          </w:p>
        </w:tc>
      </w:tr>
      <w:tr w:rsidR="00F918C3" w:rsidRPr="00F23988" w:rsidTr="004E475B">
        <w:tc>
          <w:tcPr>
            <w:cnfStyle w:val="001000000000" w:firstRow="0" w:lastRow="0" w:firstColumn="1" w:lastColumn="0" w:oddVBand="0" w:evenVBand="0" w:oddHBand="0" w:evenHBand="0" w:firstRowFirstColumn="0" w:firstRowLastColumn="0" w:lastRowFirstColumn="0" w:lastRowLastColumn="0"/>
            <w:tcW w:w="2665"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rPr>
                <w:rFonts w:eastAsiaTheme="minorEastAsia" w:cs="Calibri"/>
                <w:b/>
                <w:bCs/>
                <w:color w:val="000000"/>
                <w:szCs w:val="19"/>
                <w:lang w:eastAsia="en-AU"/>
              </w:rPr>
            </w:pPr>
            <w:r w:rsidRPr="00F23988">
              <w:rPr>
                <w:rFonts w:eastAsiaTheme="minorEastAsia" w:cs="Calibri"/>
                <w:b/>
                <w:bCs/>
                <w:color w:val="000000"/>
                <w:szCs w:val="19"/>
                <w:lang w:eastAsia="en-AU"/>
              </w:rPr>
              <w:t>Total liabilities</w:t>
            </w:r>
          </w:p>
        </w:tc>
        <w:tc>
          <w:tcPr>
            <w:tcW w:w="850" w:type="dxa"/>
            <w:tcBorders>
              <w:top w:val="single" w:sz="6" w:space="0" w:color="auto"/>
              <w:left w:val="nil"/>
              <w:bottom w:val="single" w:sz="6" w:space="0" w:color="auto"/>
              <w:right w:val="nil"/>
            </w:tcBorders>
            <w:shd w:val="solid" w:color="FFFFFF" w:fill="auto"/>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129.6</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130.7</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138.5</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144.1</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147.1</w:t>
            </w:r>
          </w:p>
        </w:tc>
        <w:tc>
          <w:tcPr>
            <w:tcW w:w="850" w:type="dxa"/>
            <w:tcBorders>
              <w:top w:val="single" w:sz="6" w:space="0" w:color="auto"/>
              <w:left w:val="nil"/>
              <w:bottom w:val="single" w:sz="6" w:space="0" w:color="auto"/>
              <w:right w:val="nil"/>
            </w:tcBorders>
          </w:tcPr>
          <w:p w:rsidR="00F918C3" w:rsidRPr="00F23988" w:rsidRDefault="00F918C3" w:rsidP="004E47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9"/>
                <w:lang w:eastAsia="en-AU"/>
              </w:rPr>
            </w:pPr>
            <w:r w:rsidRPr="00F23988">
              <w:rPr>
                <w:rFonts w:eastAsiaTheme="minorEastAsia" w:cs="Calibri"/>
                <w:b/>
                <w:bCs/>
                <w:color w:val="000000"/>
                <w:szCs w:val="19"/>
                <w:lang w:eastAsia="en-AU"/>
              </w:rPr>
              <w:t>149.5</w:t>
            </w:r>
          </w:p>
        </w:tc>
      </w:tr>
      <w:tr w:rsidR="00F918C3" w:rsidRPr="00F23988" w:rsidTr="004E47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Borders>
              <w:top w:val="nil"/>
              <w:bottom w:val="single" w:sz="12" w:space="0" w:color="auto"/>
            </w:tcBorders>
          </w:tcPr>
          <w:p w:rsidR="00F918C3" w:rsidRPr="00F23988" w:rsidRDefault="00F918C3" w:rsidP="004E475B">
            <w:pPr>
              <w:keepLines w:val="0"/>
              <w:autoSpaceDE w:val="0"/>
              <w:autoSpaceDN w:val="0"/>
              <w:adjustRightInd w:val="0"/>
              <w:rPr>
                <w:rFonts w:eastAsiaTheme="minorEastAsia" w:cs="Calibri"/>
                <w:bCs/>
                <w:color w:val="000000"/>
                <w:szCs w:val="19"/>
                <w:lang w:eastAsia="en-AU"/>
              </w:rPr>
            </w:pPr>
            <w:r w:rsidRPr="00F23988">
              <w:rPr>
                <w:rFonts w:eastAsiaTheme="minorEastAsia" w:cs="Calibri"/>
                <w:bCs/>
                <w:color w:val="000000"/>
                <w:szCs w:val="19"/>
                <w:lang w:eastAsia="en-AU"/>
              </w:rPr>
              <w:t>Net assets</w:t>
            </w:r>
          </w:p>
        </w:tc>
        <w:tc>
          <w:tcPr>
            <w:tcW w:w="850" w:type="dxa"/>
            <w:tcBorders>
              <w:top w:val="nil"/>
              <w:bottom w:val="single" w:sz="12" w:space="0" w:color="auto"/>
            </w:tcBorders>
            <w:shd w:val="solid" w:color="FFFFFF" w:fill="auto"/>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172.2</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175.9</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177.9</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188.1</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193.2</w:t>
            </w:r>
          </w:p>
        </w:tc>
        <w:tc>
          <w:tcPr>
            <w:tcW w:w="850" w:type="dxa"/>
            <w:tcBorders>
              <w:top w:val="nil"/>
              <w:bottom w:val="single" w:sz="12" w:space="0" w:color="auto"/>
            </w:tcBorders>
          </w:tcPr>
          <w:p w:rsidR="00F918C3" w:rsidRPr="00F23988" w:rsidRDefault="00F918C3" w:rsidP="004E47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9"/>
                <w:lang w:eastAsia="en-AU"/>
              </w:rPr>
            </w:pPr>
            <w:r w:rsidRPr="00F23988">
              <w:rPr>
                <w:rFonts w:eastAsiaTheme="minorEastAsia" w:cs="Calibri"/>
                <w:bCs/>
                <w:color w:val="000000"/>
                <w:szCs w:val="19"/>
                <w:lang w:eastAsia="en-AU"/>
              </w:rPr>
              <w:t>199.7</w:t>
            </w:r>
          </w:p>
        </w:tc>
      </w:tr>
    </w:tbl>
    <w:p w:rsidR="00F918C3" w:rsidRPr="00F23988" w:rsidRDefault="00F918C3" w:rsidP="004E475B">
      <w:pPr>
        <w:pStyle w:val="Source"/>
      </w:pPr>
      <w:r w:rsidRPr="00F23988">
        <w:t>Source: Department of Treasury and Finance</w:t>
      </w:r>
    </w:p>
    <w:p w:rsidR="00F918C3" w:rsidRPr="00F23988" w:rsidRDefault="00F918C3" w:rsidP="007969C7">
      <w:pPr>
        <w:pStyle w:val="Note"/>
      </w:pPr>
      <w:r w:rsidRPr="00F23988">
        <w:t>Notes:</w:t>
      </w:r>
    </w:p>
    <w:p w:rsidR="00F918C3" w:rsidRPr="00F23988" w:rsidRDefault="00F918C3" w:rsidP="007969C7">
      <w:pPr>
        <w:pStyle w:val="Note"/>
      </w:pPr>
      <w:r w:rsidRPr="00F23988">
        <w:t>(a)</w:t>
      </w:r>
      <w:r w:rsidRPr="00F23988">
        <w:tab/>
        <w:t>Figures in this table are subject to rounding and may not add up to the totals.</w:t>
      </w:r>
    </w:p>
    <w:p w:rsidR="00F918C3" w:rsidRPr="00F23988" w:rsidRDefault="00F918C3" w:rsidP="007969C7">
      <w:pPr>
        <w:pStyle w:val="Note"/>
      </w:pPr>
      <w:r w:rsidRPr="00F23988">
        <w:t>(b)</w:t>
      </w:r>
      <w:r w:rsidRPr="00F23988">
        <w:tab/>
        <w:t>Financial assets include cash and deposits, advances paid, investments, loans and placements, receivables, and investments accounted for using the equity method.</w:t>
      </w:r>
    </w:p>
    <w:p w:rsidR="00F918C3" w:rsidRPr="00F23988" w:rsidRDefault="00F918C3" w:rsidP="007969C7">
      <w:pPr>
        <w:pStyle w:val="Note"/>
      </w:pPr>
      <w:r w:rsidRPr="00F23988">
        <w:t>(c)</w:t>
      </w:r>
      <w:r w:rsidRPr="00F23988">
        <w:tab/>
        <w:t>Non</w:t>
      </w:r>
      <w:r w:rsidRPr="00F23988">
        <w:noBreakHyphen/>
        <w:t>financial assets include inventories, non</w:t>
      </w:r>
      <w:r w:rsidRPr="00F23988">
        <w:noBreakHyphen/>
        <w:t>financial assets held for sale, land, buildings, infrastructure, plant and equipment, and other non</w:t>
      </w:r>
      <w:r w:rsidRPr="00F23988">
        <w:noBreakHyphen/>
        <w:t>financial assets.</w:t>
      </w:r>
    </w:p>
    <w:p w:rsidR="00F918C3" w:rsidRPr="00602121" w:rsidRDefault="00F918C3" w:rsidP="007969C7">
      <w:pPr>
        <w:pStyle w:val="Note"/>
      </w:pPr>
      <w:r w:rsidRPr="00F23988">
        <w:t>(d)</w:t>
      </w:r>
      <w:r w:rsidRPr="00F23988">
        <w:tab/>
        <w:t>Other liabilities consist of payables, employee benefits and other provisions.</w:t>
      </w:r>
      <w:r w:rsidRPr="00C35134">
        <w:t xml:space="preserve"> </w:t>
      </w:r>
      <w:r>
        <w:fldChar w:fldCharType="begin"/>
      </w:r>
      <w:r>
        <w:instrText xml:space="preserve"> XE "</w:instrText>
      </w:r>
      <w:r w:rsidRPr="00F04845">
        <w:instrText>State of Victoria</w:instrText>
      </w:r>
      <w:r>
        <w:instrText xml:space="preserve">" \r "BP2Ch5StateofVic" </w:instrText>
      </w:r>
      <w:r>
        <w:fldChar w:fldCharType="end"/>
      </w:r>
    </w:p>
    <w:p w:rsidR="00F918C3" w:rsidRDefault="00F918C3" w:rsidP="007969C7"/>
    <w:p w:rsidR="00F918C3" w:rsidRDefault="00F918C3" w:rsidP="003F1ABF">
      <w:pPr>
        <w:keepLines w:val="0"/>
      </w:pPr>
    </w:p>
    <w:p w:rsidR="00F918C3" w:rsidRDefault="00F918C3" w:rsidP="00B942A3">
      <w:pPr>
        <w:sectPr w:rsidR="00F918C3" w:rsidSect="00AC3BBB">
          <w:footerReference w:type="even" r:id="rId52"/>
          <w:footerReference w:type="default" r:id="rId53"/>
          <w:type w:val="oddPage"/>
          <w:pgSz w:w="9979" w:h="14175" w:code="9"/>
          <w:pgMar w:top="850" w:right="1138" w:bottom="850" w:left="1138" w:header="619" w:footer="562" w:gutter="0"/>
          <w:cols w:sep="1" w:space="567"/>
          <w:docGrid w:linePitch="360"/>
        </w:sectPr>
      </w:pPr>
    </w:p>
    <w:p w:rsidR="00F918C3" w:rsidRDefault="00F918C3" w:rsidP="000F3018">
      <w:pPr>
        <w:pStyle w:val="ChapterHeading0"/>
      </w:pPr>
      <w:bookmarkStart w:id="78" w:name="_Toc512629771"/>
      <w:r>
        <w:t>Appendix A – Sensitivity analysis</w:t>
      </w:r>
      <w:bookmarkEnd w:id="78"/>
    </w:p>
    <w:p w:rsidR="00F918C3" w:rsidRDefault="00F918C3" w:rsidP="002B2DAB">
      <w:r w:rsidRPr="002B2DAB">
        <w:t xml:space="preserve">The </w:t>
      </w:r>
      <w:r w:rsidRPr="002B2DAB">
        <w:rPr>
          <w:i/>
        </w:rPr>
        <w:t>2018</w:t>
      </w:r>
      <w:r w:rsidRPr="002B2DAB">
        <w:rPr>
          <w:i/>
        </w:rPr>
        <w:noBreakHyphen/>
        <w:t>19 Budget</w:t>
      </w:r>
      <w:r w:rsidRPr="002B2DAB">
        <w:t xml:space="preserve"> </w:t>
      </w:r>
      <w:r>
        <w:t>relies on</w:t>
      </w:r>
      <w:r w:rsidRPr="002B2DAB">
        <w:t xml:space="preserve"> forecasts and </w:t>
      </w:r>
      <w:r>
        <w:t xml:space="preserve">judgements about the </w:t>
      </w:r>
      <w:r w:rsidRPr="002B2DAB">
        <w:t>economic</w:t>
      </w:r>
      <w:r>
        <w:t>, operating and financial conditions for the Victorian general government sector. Uncertainty in these conditions, for example as a result of international developments and other risks</w:t>
      </w:r>
      <w:r>
        <w:fldChar w:fldCharType="begin"/>
      </w:r>
      <w:r>
        <w:instrText xml:space="preserve"> XE "</w:instrText>
      </w:r>
      <w:r w:rsidRPr="0009705B">
        <w:instrText>Risks</w:instrText>
      </w:r>
      <w:r>
        <w:instrText xml:space="preserve">" </w:instrText>
      </w:r>
      <w:r>
        <w:fldChar w:fldCharType="end"/>
      </w:r>
      <w:r>
        <w:t xml:space="preserve"> to the national economy, may cause the actual results to differ from projections.</w:t>
      </w:r>
    </w:p>
    <w:p w:rsidR="00F918C3" w:rsidRDefault="00F918C3" w:rsidP="0075530A">
      <w:r>
        <w:t>This sensitivity analysis explores the impact of variations in the macroeconomic outlook on key fiscal aggregates of the general government sector using two alternative approaches.</w:t>
      </w:r>
    </w:p>
    <w:p w:rsidR="00F918C3" w:rsidRDefault="00F918C3" w:rsidP="00DF7EFD">
      <w:r>
        <w:t xml:space="preserve">The first quantifies the fiscal impacts of scenarios involving simultaneous variations in economic parameters that represent key risks to the economic outlook described in Chapter 2 </w:t>
      </w:r>
      <w:r w:rsidRPr="00F6625A">
        <w:rPr>
          <w:i/>
        </w:rPr>
        <w:t>Economic Outlook</w:t>
      </w:r>
      <w:r w:rsidRPr="00F6625A">
        <w:t>.</w:t>
      </w:r>
      <w:r>
        <w:t xml:space="preserve"> These scenarios were selected to cover plausible shocks that could affect Victoria over the medium term, and the modelling takes account of linkages between key international, Australian and Victorian economic aggregates.</w:t>
      </w:r>
    </w:p>
    <w:p w:rsidR="00F918C3" w:rsidRDefault="00F918C3" w:rsidP="00DF7EFD">
      <w:r>
        <w:t xml:space="preserve">The modelled outcomes are intended to be used as a guide and care should be exercised in interpreting the results. </w:t>
      </w:r>
      <w:r w:rsidRPr="00DF7EFD">
        <w:t xml:space="preserve">In </w:t>
      </w:r>
      <w:r>
        <w:t>particular</w:t>
      </w:r>
      <w:r w:rsidRPr="00DF7EFD">
        <w:t xml:space="preserve">, economic shocks tend to be idiosyncratic in nature, with the modelled scenarios </w:t>
      </w:r>
      <w:r>
        <w:t>unlikely</w:t>
      </w:r>
      <w:r w:rsidRPr="00DF7EFD">
        <w:t xml:space="preserve"> to completely reflect any future shock that could </w:t>
      </w:r>
      <w:r>
        <w:t>occur</w:t>
      </w:r>
      <w:r w:rsidRPr="00DF7EFD">
        <w:t>. Departures from these scenarios would be expected to result in di</w:t>
      </w:r>
      <w:r>
        <w:t xml:space="preserve">fferent impacts on the budget. </w:t>
      </w:r>
      <w:r w:rsidRPr="00DF7EFD">
        <w:t>Fu</w:t>
      </w:r>
      <w:r>
        <w:t>rthermore, these shocks do not incorporate</w:t>
      </w:r>
      <w:r w:rsidRPr="00DF7EFD">
        <w:t xml:space="preserve"> any policy response</w:t>
      </w:r>
      <w:r>
        <w:t>s</w:t>
      </w:r>
      <w:r w:rsidRPr="00DF7EFD">
        <w:t xml:space="preserve"> to the </w:t>
      </w:r>
      <w:r>
        <w:t xml:space="preserve">shock or the </w:t>
      </w:r>
      <w:r w:rsidRPr="00DF7EFD">
        <w:t>change in outlook</w:t>
      </w:r>
      <w:r>
        <w:t>.</w:t>
      </w:r>
    </w:p>
    <w:p w:rsidR="00F918C3" w:rsidRDefault="00F918C3" w:rsidP="0075530A">
      <w:r>
        <w:t>The second approach considers the fiscal impacts of independent variations in major macroeconomic parameters, holding all parameters other than the indicator of interest constant. This analysis may be useful for assessing the impact on fiscal aggregates of a forecast error in a single economic parameter. In practice, economic variations rarely occur in isolation, and scenario analysis is likely to be more appropriate to illustrate the fiscal impacts of an economic environment materially different from that presented in the budget papers.</w:t>
      </w:r>
    </w:p>
    <w:p w:rsidR="00F918C3" w:rsidRDefault="00F918C3">
      <w:pPr>
        <w:keepLines w:val="0"/>
        <w:rPr>
          <w:rFonts w:asciiTheme="majorHAnsi" w:eastAsiaTheme="majorEastAsia" w:hAnsiTheme="majorHAnsi" w:cstheme="majorBidi"/>
          <w:b/>
          <w:bCs/>
          <w:caps/>
          <w:spacing w:val="-2"/>
          <w:sz w:val="26"/>
          <w:szCs w:val="28"/>
        </w:rPr>
      </w:pPr>
      <w:r>
        <w:br w:type="page"/>
      </w:r>
    </w:p>
    <w:p w:rsidR="00F918C3" w:rsidRPr="00BB71B2" w:rsidRDefault="00F918C3" w:rsidP="000F3018">
      <w:pPr>
        <w:pStyle w:val="Heading10"/>
      </w:pPr>
      <w:bookmarkStart w:id="79" w:name="_Toc512629772"/>
      <w:r w:rsidRPr="00BB71B2">
        <w:t>Fiscal impacts of variations to the economic outlook</w:t>
      </w:r>
      <w:bookmarkEnd w:id="79"/>
    </w:p>
    <w:p w:rsidR="00F918C3" w:rsidRDefault="00F918C3" w:rsidP="00F510F4">
      <w:r>
        <w:t>This part of the sensitivity analysis quantifies some of the key risks</w:t>
      </w:r>
      <w:r>
        <w:fldChar w:fldCharType="begin"/>
      </w:r>
      <w:r>
        <w:instrText xml:space="preserve"> XE "</w:instrText>
      </w:r>
      <w:r w:rsidRPr="0009705B">
        <w:instrText>Risks</w:instrText>
      </w:r>
      <w:r>
        <w:instrText xml:space="preserve">" </w:instrText>
      </w:r>
      <w:r>
        <w:fldChar w:fldCharType="end"/>
      </w:r>
      <w:r>
        <w:t xml:space="preserve"> identified in Chapter 2 </w:t>
      </w:r>
      <w:r w:rsidRPr="00F6625A">
        <w:rPr>
          <w:i/>
        </w:rPr>
        <w:t>Economic Outlook</w:t>
      </w:r>
      <w:r>
        <w:t xml:space="preserve"> and presents how these risks might affect the State’s economic and fiscal aggregates. Two scenarios are considered</w:t>
      </w:r>
      <w:r w:rsidRPr="00516DAA">
        <w:t>: a negative shock to the household sector that affects consumption and dwelling investment</w:t>
      </w:r>
      <w:r>
        <w:fldChar w:fldCharType="begin"/>
      </w:r>
      <w:r>
        <w:instrText xml:space="preserve"> XE "</w:instrText>
      </w:r>
      <w:r w:rsidRPr="003D480B">
        <w:instrText>Dwelling investment</w:instrText>
      </w:r>
      <w:r>
        <w:instrText xml:space="preserve">" </w:instrText>
      </w:r>
      <w:r>
        <w:fldChar w:fldCharType="end"/>
      </w:r>
      <w:r w:rsidRPr="00516DAA">
        <w:t>;</w:t>
      </w:r>
      <w:r>
        <w:t xml:space="preserve"> and a positive shock to Victoria’s labour force participation rate, partially accommodated through an increase in final demand.</w:t>
      </w:r>
      <w:r>
        <w:rPr>
          <w:rStyle w:val="FootnoteReference"/>
        </w:rPr>
        <w:footnoteReference w:id="5"/>
      </w:r>
    </w:p>
    <w:p w:rsidR="00F918C3" w:rsidRPr="00C80C1F" w:rsidRDefault="00F918C3" w:rsidP="00F510F4">
      <w:r w:rsidRPr="00C80C1F">
        <w:t>The economic impacts of both scenarios have been modelled as deviations from a business as usual base case generated from the Victoria University Regional Model</w:t>
      </w:r>
      <w:r w:rsidR="008C27C4">
        <w:fldChar w:fldCharType="begin"/>
      </w:r>
      <w:r w:rsidR="008C27C4">
        <w:instrText xml:space="preserve"> XE "</w:instrText>
      </w:r>
      <w:r w:rsidR="008C27C4" w:rsidRPr="000F77D9">
        <w:instrText>Victoria University Regional Model</w:instrText>
      </w:r>
      <w:r w:rsidR="008C27C4">
        <w:instrText xml:space="preserve">" </w:instrText>
      </w:r>
      <w:r w:rsidR="008C27C4">
        <w:fldChar w:fldCharType="end"/>
      </w:r>
      <w:r w:rsidRPr="00C80C1F">
        <w:t xml:space="preserve"> (VURM).</w:t>
      </w:r>
      <w:r w:rsidRPr="00C80C1F">
        <w:rPr>
          <w:rStyle w:val="FootnoteReference"/>
        </w:rPr>
        <w:footnoteReference w:id="6"/>
      </w:r>
      <w:r w:rsidRPr="00C80C1F">
        <w:t xml:space="preserve"> The changes in economic indicators resulting from the modelled shocks are then mapped into estimated revenue and expenditure impacts using elasticities that describe the historic relationship between fiscal outcomes and major macroeconomic parameters in Table A.5.</w:t>
      </w:r>
      <w:r w:rsidRPr="00C80C1F">
        <w:rPr>
          <w:rStyle w:val="FootnoteReference"/>
        </w:rPr>
        <w:footnoteReference w:id="7"/>
      </w:r>
    </w:p>
    <w:p w:rsidR="00F918C3" w:rsidRDefault="00F918C3" w:rsidP="00F510F4">
      <w:pPr>
        <w:pStyle w:val="Heading20"/>
      </w:pPr>
      <w:bookmarkStart w:id="80" w:name="BP2AppAHouseholdConsumption"/>
      <w:bookmarkStart w:id="81" w:name="BP2AppADwellingInvestment"/>
      <w:r w:rsidRPr="00C80C1F">
        <w:t>Downturn in household consumption and dwelling investment</w:t>
      </w:r>
    </w:p>
    <w:p w:rsidR="00F918C3" w:rsidRDefault="00F918C3" w:rsidP="00F510F4">
      <w:r>
        <w:t xml:space="preserve">The household sector has been an important engine of growth for the Victorian economy, with both household consumption and dwelling investment growing strongly in recent years. However, there are signs of vulnerability. The housing construction cycle is maturing with building approvals looking to have moderated, and the increase in household leverage has left some households vulnerable </w:t>
      </w:r>
      <w:r w:rsidRPr="00720224">
        <w:t>to housing and mortgage stress should their circumstances change or borrowing costs rise.</w:t>
      </w:r>
      <w:r>
        <w:t xml:space="preserve"> This could have broader implications for consumer spending, housing construction activity, the labour market and overall economic growth</w:t>
      </w:r>
      <w:r>
        <w:fldChar w:fldCharType="begin"/>
      </w:r>
      <w:r>
        <w:instrText xml:space="preserve"> XE "</w:instrText>
      </w:r>
      <w:r w:rsidRPr="003D480B">
        <w:instrText>Economic growth</w:instrText>
      </w:r>
      <w:r>
        <w:instrText xml:space="preserve">" </w:instrText>
      </w:r>
      <w:r>
        <w:fldChar w:fldCharType="end"/>
      </w:r>
      <w:r>
        <w:t xml:space="preserve"> prospects.</w:t>
      </w:r>
    </w:p>
    <w:p w:rsidR="00F918C3" w:rsidRDefault="00F918C3" w:rsidP="00D53B9A">
      <w:r>
        <w:t>Shocks to the household sector could arise through a more rapid rise in borrowing costs for mortgage holders, tighter lending standards or other prudential measures. Alternatively, a broader softening of economic conditions</w:t>
      </w:r>
      <w:r>
        <w:fldChar w:fldCharType="begin"/>
      </w:r>
      <w:r>
        <w:instrText xml:space="preserve"> XE "</w:instrText>
      </w:r>
      <w:r w:rsidRPr="007F391C">
        <w:instrText>Economic conditions</w:instrText>
      </w:r>
      <w:r>
        <w:instrText xml:space="preserve">" </w:instrText>
      </w:r>
      <w:r>
        <w:fldChar w:fldCharType="end"/>
      </w:r>
      <w:r>
        <w:t xml:space="preserve"> could cause households to reduce their appetite to take on debt, increase their rate of saving and shrink spending on discretionary items. Households may also reappraise their expectations about future asset price growth, meaning they require a higher rate of return to invest in property and other assets.</w:t>
      </w:r>
    </w:p>
    <w:p w:rsidR="00F918C3" w:rsidRDefault="00F918C3" w:rsidP="00F510F4">
      <w:r>
        <w:t>To model this scenario in VURM</w:t>
      </w:r>
      <w:r w:rsidR="008C27C4">
        <w:fldChar w:fldCharType="begin"/>
      </w:r>
      <w:r w:rsidR="008C27C4">
        <w:instrText xml:space="preserve"> XE "</w:instrText>
      </w:r>
      <w:r w:rsidR="008C27C4" w:rsidRPr="000F77D9">
        <w:instrText>Victoria University Regional Model</w:instrText>
      </w:r>
      <w:r w:rsidR="008C27C4">
        <w:instrText xml:space="preserve">" </w:instrText>
      </w:r>
      <w:r w:rsidR="008C27C4">
        <w:fldChar w:fldCharType="end"/>
      </w:r>
      <w:r>
        <w:t xml:space="preserve">, the shock has been applied to raise the national household saving rate and the threshold rate of return required by households to purchase newly constructed property. </w:t>
      </w:r>
      <w:r w:rsidRPr="00051E87">
        <w:t xml:space="preserve">A national shock has been applied since the triggers for this type of downturn would </w:t>
      </w:r>
      <w:r>
        <w:t xml:space="preserve">likely </w:t>
      </w:r>
      <w:r w:rsidRPr="00051E87">
        <w:t>apply to all states and territories, rather than Victoria in isolation.</w:t>
      </w:r>
      <w:r>
        <w:t xml:space="preserve"> The weakening in national household consumption and dwelling investment has been calibrated as a five percentage point fall in national dwelling investment growth</w:t>
      </w:r>
      <w:r>
        <w:rPr>
          <w:rStyle w:val="FootnoteReference"/>
        </w:rPr>
        <w:footnoteReference w:id="8"/>
      </w:r>
      <w:r>
        <w:t xml:space="preserve"> and a one percentage point decrease in national household consumption growth in the budget year.</w:t>
      </w:r>
      <w:r>
        <w:rPr>
          <w:rStyle w:val="FootnoteReference"/>
        </w:rPr>
        <w:footnoteReference w:id="9"/>
      </w:r>
      <w:r>
        <w:t xml:space="preserve"> Chart A.1 illustrates how Victorian household consumption and dwelling investment evolve under the base case and the scenario.</w:t>
      </w:r>
    </w:p>
    <w:p w:rsidR="00F918C3" w:rsidRDefault="00F918C3" w:rsidP="007544E1">
      <w:pPr>
        <w:pStyle w:val="TableHeading"/>
      </w:pPr>
      <w:r w:rsidRPr="004103B7">
        <w:t>Chart A.1:</w:t>
      </w:r>
      <w:r w:rsidRPr="004103B7">
        <w:tab/>
      </w:r>
      <w:r>
        <w:t>Household consumption and dwelling investment under the base case and scenario</w:t>
      </w:r>
    </w:p>
    <w:p w:rsidR="00F918C3" w:rsidRPr="001062A3" w:rsidRDefault="00A9166F" w:rsidP="001062A3">
      <w:r>
        <w:pict>
          <v:shape id="_x0000_i1045" type="#_x0000_t75" style="width:381.9pt;height:226.95pt">
            <v:imagedata r:id="rId54" o:title=""/>
          </v:shape>
        </w:pict>
      </w:r>
    </w:p>
    <w:p w:rsidR="00F918C3" w:rsidRDefault="00F918C3" w:rsidP="00413FBE">
      <w:pPr>
        <w:pStyle w:val="Source"/>
      </w:pPr>
      <w:r>
        <w:t>Sources: Australian Bureau of Statistics, Centre of Policy Studies, Victoria University, and Department of Treasury and Finance</w:t>
      </w:r>
    </w:p>
    <w:p w:rsidR="00F918C3" w:rsidRPr="00EF2461" w:rsidRDefault="00F918C3" w:rsidP="00EF2461">
      <w:pPr>
        <w:pStyle w:val="Note"/>
      </w:pPr>
    </w:p>
    <w:p w:rsidR="00F918C3" w:rsidRPr="00843B9A" w:rsidRDefault="00F918C3" w:rsidP="00843B9A">
      <w:bookmarkStart w:id="82" w:name="BP2AppAWages"/>
      <w:r w:rsidRPr="007008E0">
        <w:t>Table A.1 summarises the economic effects of this downside scenario on the Victorian economy. Real gross state product (GSP) is around one</w:t>
      </w:r>
      <w:r w:rsidRPr="007008E0">
        <w:noBreakHyphen/>
        <w:t>quarter of a percentage point lower under the scenario in the budget year, with the falls in household consumption and dwelling investment partly offset by a boost to Victoria’s trade balance as a result of a depreciation in the Australian dollar. The weaker currency also raises tradable goods and services prices, adding to higher consumer price index</w:t>
      </w:r>
      <w:r w:rsidRPr="007008E0">
        <w:fldChar w:fldCharType="begin"/>
      </w:r>
      <w:r w:rsidRPr="007008E0">
        <w:instrText xml:space="preserve"> XE "Inflation" </w:instrText>
      </w:r>
      <w:r w:rsidRPr="007008E0">
        <w:fldChar w:fldCharType="end"/>
      </w:r>
      <w:r w:rsidRPr="007008E0">
        <w:t xml:space="preserve"> (CPI) in 2018-19 and 2019-20. Employment falls in line with weaker conditions in the construction, accommodation and food services and retail trade industries (Chart A.2). Subdued demand conditions reduce growth in wages, which lowers production costs and the CPI in 2020-21 and 2021-22 through second-round effects. Consequent reductions in household incomes and asset returns also weigh on growth in real GSP, acting to depress household spending further.</w:t>
      </w:r>
      <w:r>
        <w:t xml:space="preserve"> </w:t>
      </w:r>
    </w:p>
    <w:p w:rsidR="00F918C3" w:rsidRPr="00946B06" w:rsidRDefault="00F918C3" w:rsidP="00E11F34">
      <w:pPr>
        <w:pStyle w:val="TableHeading"/>
      </w:pPr>
      <w:r w:rsidRPr="00212986">
        <w:t>Table A.1:</w:t>
      </w:r>
      <w:r w:rsidRPr="00212986">
        <w:tab/>
        <w:t xml:space="preserve">The effect of a </w:t>
      </w:r>
      <w:r>
        <w:t xml:space="preserve">downturn in household consumption and </w:t>
      </w:r>
      <w:r>
        <w:br/>
        <w:t>dwelling investment</w:t>
      </w:r>
      <w:r w:rsidRPr="00212986">
        <w:t xml:space="preserve"> on major economic parameters</w:t>
      </w:r>
      <w:r w:rsidRPr="00212986">
        <w:rPr>
          <w:vertAlign w:val="superscript"/>
        </w:rPr>
        <w:t>(a)</w:t>
      </w:r>
      <w:r>
        <w:rPr>
          <w:vertAlign w:val="superscript"/>
        </w:rPr>
        <w:tab/>
      </w:r>
      <w:r w:rsidRPr="00F510F4">
        <w:t>(per cent</w:t>
      </w:r>
      <w:r>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F918C3" w:rsidRPr="00FB51BA" w:rsidTr="00FB51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nil"/>
              <w:right w:val="nil"/>
            </w:tcBorders>
            <w:shd w:val="solid" w:color="000000" w:fill="auto"/>
          </w:tcPr>
          <w:p w:rsidR="00F918C3" w:rsidRPr="00FB51BA" w:rsidRDefault="00F918C3" w:rsidP="00FB51BA">
            <w:pPr>
              <w:keepLines w:val="0"/>
              <w:autoSpaceDE w:val="0"/>
              <w:autoSpaceDN w:val="0"/>
              <w:adjustRightInd w:val="0"/>
              <w:rPr>
                <w:rFonts w:eastAsiaTheme="minorEastAsia" w:cs="Calibri"/>
                <w:iCs/>
                <w:color w:val="000000"/>
                <w:szCs w:val="17"/>
                <w:lang w:eastAsia="en-AU"/>
              </w:rPr>
            </w:pPr>
            <w:r w:rsidRPr="00FB51BA">
              <w:rPr>
                <w:rFonts w:eastAsiaTheme="minorEastAsia" w:cs="Calibri"/>
                <w:iCs/>
                <w:color w:val="000000"/>
                <w:szCs w:val="17"/>
                <w:lang w:eastAsia="en-AU"/>
              </w:rPr>
              <w:t xml:space="preserve"> </w:t>
            </w:r>
          </w:p>
        </w:tc>
        <w:tc>
          <w:tcPr>
            <w:tcW w:w="850" w:type="dxa"/>
            <w:tcBorders>
              <w:top w:val="single" w:sz="6" w:space="0" w:color="auto"/>
              <w:left w:val="nil"/>
              <w:bottom w:val="nil"/>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2018-19</w:t>
            </w:r>
          </w:p>
        </w:tc>
        <w:tc>
          <w:tcPr>
            <w:tcW w:w="850" w:type="dxa"/>
            <w:tcBorders>
              <w:top w:val="single" w:sz="6" w:space="0" w:color="auto"/>
              <w:left w:val="nil"/>
              <w:bottom w:val="nil"/>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2019-20</w:t>
            </w:r>
          </w:p>
        </w:tc>
        <w:tc>
          <w:tcPr>
            <w:tcW w:w="850" w:type="dxa"/>
            <w:tcBorders>
              <w:top w:val="single" w:sz="6" w:space="0" w:color="auto"/>
              <w:left w:val="nil"/>
              <w:bottom w:val="nil"/>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2020-21</w:t>
            </w:r>
          </w:p>
        </w:tc>
        <w:tc>
          <w:tcPr>
            <w:tcW w:w="850" w:type="dxa"/>
            <w:tcBorders>
              <w:top w:val="single" w:sz="6" w:space="0" w:color="auto"/>
              <w:left w:val="nil"/>
              <w:bottom w:val="nil"/>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2021-22</w:t>
            </w:r>
          </w:p>
        </w:tc>
      </w:tr>
      <w:tr w:rsidR="00F918C3" w:rsidRPr="00FB51BA" w:rsidTr="00FB51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single" w:sz="6" w:space="0" w:color="auto"/>
              <w:right w:val="nil"/>
            </w:tcBorders>
            <w:shd w:val="solid" w:color="000000" w:fill="auto"/>
          </w:tcPr>
          <w:p w:rsidR="00F918C3" w:rsidRPr="00FB51BA" w:rsidRDefault="00F918C3" w:rsidP="00FB51BA">
            <w:pPr>
              <w:keepLines w:val="0"/>
              <w:autoSpaceDE w:val="0"/>
              <w:autoSpaceDN w:val="0"/>
              <w:adjustRightInd w:val="0"/>
              <w:rPr>
                <w:rFonts w:eastAsiaTheme="minorEastAsia" w:cs="Calibri"/>
                <w:iCs/>
                <w:color w:val="000000"/>
                <w:szCs w:val="17"/>
                <w:lang w:eastAsia="en-AU"/>
              </w:rPr>
            </w:pPr>
            <w:r w:rsidRPr="00FB51BA">
              <w:rPr>
                <w:rFonts w:eastAsiaTheme="minorEastAsia" w:cs="Calibri"/>
                <w:iCs/>
                <w:color w:val="000000"/>
                <w:szCs w:val="17"/>
                <w:lang w:eastAsia="en-AU"/>
              </w:rPr>
              <w:t xml:space="preserve"> </w:t>
            </w:r>
          </w:p>
        </w:tc>
        <w:tc>
          <w:tcPr>
            <w:tcW w:w="850" w:type="dxa"/>
            <w:tcBorders>
              <w:top w:val="nil"/>
              <w:left w:val="nil"/>
              <w:bottom w:val="single" w:sz="6" w:space="0" w:color="auto"/>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estimate</w:t>
            </w:r>
          </w:p>
        </w:tc>
        <w:tc>
          <w:tcPr>
            <w:tcW w:w="850" w:type="dxa"/>
            <w:tcBorders>
              <w:top w:val="nil"/>
              <w:left w:val="nil"/>
              <w:bottom w:val="single" w:sz="6" w:space="0" w:color="auto"/>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estimate</w:t>
            </w:r>
          </w:p>
        </w:tc>
        <w:tc>
          <w:tcPr>
            <w:tcW w:w="850" w:type="dxa"/>
            <w:tcBorders>
              <w:top w:val="nil"/>
              <w:left w:val="nil"/>
              <w:bottom w:val="single" w:sz="6" w:space="0" w:color="auto"/>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estimate</w:t>
            </w:r>
          </w:p>
        </w:tc>
        <w:tc>
          <w:tcPr>
            <w:tcW w:w="850" w:type="dxa"/>
            <w:tcBorders>
              <w:top w:val="nil"/>
              <w:left w:val="nil"/>
              <w:bottom w:val="single" w:sz="6" w:space="0" w:color="auto"/>
              <w:right w:val="nil"/>
            </w:tcBorders>
            <w:shd w:val="solid" w:color="000000" w:fill="auto"/>
          </w:tcPr>
          <w:p w:rsidR="00F918C3" w:rsidRPr="00FB51BA" w:rsidRDefault="00F918C3" w:rsidP="00FB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FB51BA">
              <w:rPr>
                <w:rFonts w:eastAsiaTheme="minorEastAsia" w:cs="Calibri"/>
                <w:iCs/>
                <w:color w:val="FFFFFF"/>
                <w:szCs w:val="17"/>
                <w:lang w:eastAsia="en-AU"/>
              </w:rPr>
              <w:t>estimate</w:t>
            </w:r>
          </w:p>
        </w:tc>
      </w:tr>
      <w:tr w:rsidR="00F918C3" w:rsidRPr="00FB51BA" w:rsidTr="00FB51B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rPr>
                <w:rFonts w:eastAsiaTheme="minorEastAsia" w:cs="Calibri"/>
                <w:color w:val="000000"/>
                <w:szCs w:val="17"/>
                <w:lang w:eastAsia="en-AU"/>
              </w:rPr>
            </w:pPr>
            <w:r w:rsidRPr="00FB51BA">
              <w:rPr>
                <w:rFonts w:eastAsiaTheme="minorEastAsia" w:cs="Calibri"/>
                <w:color w:val="000000"/>
                <w:szCs w:val="17"/>
                <w:lang w:eastAsia="en-AU"/>
              </w:rPr>
              <w:t>Real GSP</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(0.28)</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(0.28)</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(0.29)</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(0.30)</w:t>
            </w:r>
          </w:p>
        </w:tc>
      </w:tr>
      <w:tr w:rsidR="00F918C3" w:rsidRPr="00FB51BA" w:rsidTr="00FB51B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rPr>
                <w:rFonts w:eastAsiaTheme="minorEastAsia" w:cs="Calibri"/>
                <w:color w:val="000000"/>
                <w:szCs w:val="17"/>
                <w:lang w:eastAsia="en-AU"/>
              </w:rPr>
            </w:pPr>
            <w:r w:rsidRPr="00FB51BA">
              <w:rPr>
                <w:rFonts w:eastAsiaTheme="minorEastAsia" w:cs="Calibri"/>
                <w:color w:val="000000"/>
                <w:szCs w:val="17"/>
                <w:lang w:eastAsia="en-AU"/>
              </w:rPr>
              <w:t>Employment</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(0.32)</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(0.22)</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(0.16)</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(0.12)</w:t>
            </w:r>
          </w:p>
        </w:tc>
      </w:tr>
      <w:tr w:rsidR="00F918C3" w:rsidRPr="00FB51BA" w:rsidTr="00FB51BA">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rPr>
                <w:rFonts w:eastAsiaTheme="minorEastAsia" w:cs="Calibri"/>
                <w:color w:val="000000"/>
                <w:szCs w:val="17"/>
                <w:lang w:eastAsia="en-AU"/>
              </w:rPr>
            </w:pPr>
            <w:r w:rsidRPr="00FB51BA">
              <w:rPr>
                <w:rFonts w:eastAsiaTheme="minorEastAsia" w:cs="Calibri"/>
                <w:color w:val="000000"/>
                <w:szCs w:val="17"/>
                <w:lang w:eastAsia="en-AU"/>
              </w:rPr>
              <w:t>Consumer price index</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0.26</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0.11</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(0.01)</w:t>
            </w:r>
          </w:p>
        </w:tc>
        <w:tc>
          <w:tcPr>
            <w:tcW w:w="850" w:type="dxa"/>
            <w:tcBorders>
              <w:top w:val="nil"/>
              <w:left w:val="nil"/>
              <w:bottom w:val="nil"/>
              <w:right w:val="nil"/>
            </w:tcBorders>
            <w:shd w:val="solid" w:color="FFFFFF" w:fill="auto"/>
          </w:tcPr>
          <w:p w:rsidR="00F918C3" w:rsidRPr="00FB51BA" w:rsidRDefault="00F918C3" w:rsidP="00FB51B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FB51BA">
              <w:rPr>
                <w:rFonts w:eastAsiaTheme="minorEastAsia" w:cs="Calibri"/>
                <w:color w:val="000000"/>
                <w:szCs w:val="17"/>
                <w:lang w:eastAsia="en-AU"/>
              </w:rPr>
              <w:t>(0.12)</w:t>
            </w:r>
          </w:p>
        </w:tc>
      </w:tr>
      <w:tr w:rsidR="00F918C3" w:rsidRPr="00FB51BA" w:rsidTr="00FB51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12" w:space="0" w:color="auto"/>
            </w:tcBorders>
            <w:shd w:val="solid" w:color="FFFFFF" w:fill="auto"/>
          </w:tcPr>
          <w:p w:rsidR="00F918C3" w:rsidRPr="007E6D89" w:rsidRDefault="00F918C3" w:rsidP="00FB51BA">
            <w:pPr>
              <w:keepLines w:val="0"/>
              <w:autoSpaceDE w:val="0"/>
              <w:autoSpaceDN w:val="0"/>
              <w:adjustRightInd w:val="0"/>
              <w:rPr>
                <w:rFonts w:eastAsiaTheme="minorEastAsia" w:cs="Calibri"/>
                <w:b w:val="0"/>
                <w:color w:val="000000"/>
                <w:szCs w:val="17"/>
                <w:lang w:eastAsia="en-AU"/>
              </w:rPr>
            </w:pPr>
            <w:r w:rsidRPr="007E6D89">
              <w:rPr>
                <w:rFonts w:eastAsiaTheme="minorEastAsia" w:cs="Calibri"/>
                <w:b w:val="0"/>
                <w:color w:val="000000"/>
                <w:szCs w:val="17"/>
                <w:lang w:eastAsia="en-AU"/>
              </w:rPr>
              <w:t>Wage price index</w:t>
            </w:r>
          </w:p>
        </w:tc>
        <w:tc>
          <w:tcPr>
            <w:tcW w:w="850" w:type="dxa"/>
            <w:tcBorders>
              <w:top w:val="nil"/>
              <w:bottom w:val="single" w:sz="12" w:space="0" w:color="auto"/>
            </w:tcBorders>
            <w:shd w:val="solid" w:color="FFFFFF" w:fill="auto"/>
          </w:tcPr>
          <w:p w:rsidR="00F918C3" w:rsidRPr="007E6D89" w:rsidRDefault="00F918C3" w:rsidP="00FB51B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7E6D89">
              <w:rPr>
                <w:rFonts w:eastAsiaTheme="minorEastAsia" w:cs="Calibri"/>
                <w:b w:val="0"/>
                <w:color w:val="000000"/>
                <w:szCs w:val="17"/>
                <w:lang w:eastAsia="en-AU"/>
              </w:rPr>
              <w:t>(0.02)</w:t>
            </w:r>
          </w:p>
        </w:tc>
        <w:tc>
          <w:tcPr>
            <w:tcW w:w="850" w:type="dxa"/>
            <w:tcBorders>
              <w:top w:val="nil"/>
              <w:bottom w:val="single" w:sz="12" w:space="0" w:color="auto"/>
            </w:tcBorders>
            <w:shd w:val="solid" w:color="FFFFFF" w:fill="auto"/>
          </w:tcPr>
          <w:p w:rsidR="00F918C3" w:rsidRPr="007E6D89" w:rsidRDefault="00F918C3" w:rsidP="00FB51B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7E6D89">
              <w:rPr>
                <w:rFonts w:eastAsiaTheme="minorEastAsia" w:cs="Calibri"/>
                <w:b w:val="0"/>
                <w:color w:val="000000"/>
                <w:szCs w:val="17"/>
                <w:lang w:eastAsia="en-AU"/>
              </w:rPr>
              <w:t>(0.37)</w:t>
            </w:r>
          </w:p>
        </w:tc>
        <w:tc>
          <w:tcPr>
            <w:tcW w:w="850" w:type="dxa"/>
            <w:tcBorders>
              <w:top w:val="nil"/>
              <w:bottom w:val="single" w:sz="12" w:space="0" w:color="auto"/>
            </w:tcBorders>
            <w:shd w:val="solid" w:color="FFFFFF" w:fill="auto"/>
          </w:tcPr>
          <w:p w:rsidR="00F918C3" w:rsidRPr="007E6D89" w:rsidRDefault="00F918C3" w:rsidP="00FB51B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7E6D89">
              <w:rPr>
                <w:rFonts w:eastAsiaTheme="minorEastAsia" w:cs="Calibri"/>
                <w:b w:val="0"/>
                <w:color w:val="000000"/>
                <w:szCs w:val="17"/>
                <w:lang w:eastAsia="en-AU"/>
              </w:rPr>
              <w:t>(0.64)</w:t>
            </w:r>
          </w:p>
        </w:tc>
        <w:tc>
          <w:tcPr>
            <w:tcW w:w="850" w:type="dxa"/>
            <w:tcBorders>
              <w:top w:val="nil"/>
              <w:bottom w:val="single" w:sz="12" w:space="0" w:color="auto"/>
            </w:tcBorders>
            <w:shd w:val="solid" w:color="FFFFFF" w:fill="auto"/>
          </w:tcPr>
          <w:p w:rsidR="00F918C3" w:rsidRPr="007E6D89" w:rsidRDefault="00F918C3" w:rsidP="00FB51B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17"/>
                <w:lang w:eastAsia="en-AU"/>
              </w:rPr>
            </w:pPr>
            <w:r w:rsidRPr="007E6D89">
              <w:rPr>
                <w:rFonts w:eastAsiaTheme="minorEastAsia" w:cs="Calibri"/>
                <w:b w:val="0"/>
                <w:color w:val="000000"/>
                <w:szCs w:val="17"/>
                <w:lang w:eastAsia="en-AU"/>
              </w:rPr>
              <w:t>(0.85)</w:t>
            </w:r>
          </w:p>
        </w:tc>
      </w:tr>
    </w:tbl>
    <w:p w:rsidR="00F918C3" w:rsidRDefault="00F918C3" w:rsidP="00946B06">
      <w:pPr>
        <w:pStyle w:val="Source"/>
      </w:pPr>
      <w:r w:rsidRPr="004103B7">
        <w:t>Source: Centre of Poli</w:t>
      </w:r>
      <w:r>
        <w:t>cy Studies, Victoria University</w:t>
      </w:r>
    </w:p>
    <w:p w:rsidR="00F918C3" w:rsidRDefault="00F918C3" w:rsidP="004D11F2">
      <w:pPr>
        <w:pStyle w:val="Note"/>
      </w:pPr>
      <w:r w:rsidRPr="004103B7">
        <w:t xml:space="preserve">Note: </w:t>
      </w:r>
    </w:p>
    <w:p w:rsidR="00F918C3" w:rsidRDefault="00F918C3" w:rsidP="004D11F2">
      <w:pPr>
        <w:pStyle w:val="Note"/>
      </w:pPr>
      <w:r>
        <w:t>(a)</w:t>
      </w:r>
      <w:r>
        <w:tab/>
      </w:r>
      <w:r w:rsidRPr="004103B7">
        <w:t>Figures reported are the change in the level of each parameter relative to the baseline of no change in the economic outloo</w:t>
      </w:r>
      <w:r>
        <w:t>k, for each year of the budget.</w:t>
      </w:r>
    </w:p>
    <w:p w:rsidR="00F918C3" w:rsidRDefault="00F918C3" w:rsidP="00532AD3">
      <w:pPr>
        <w:pStyle w:val="Note"/>
      </w:pPr>
    </w:p>
    <w:p w:rsidR="00F918C3" w:rsidRDefault="00F918C3" w:rsidP="004103B7">
      <w:pPr>
        <w:pStyle w:val="TableHeading"/>
      </w:pPr>
      <w:r w:rsidRPr="00212986">
        <w:t>Chart A.2:</w:t>
      </w:r>
      <w:r w:rsidRPr="00212986">
        <w:tab/>
        <w:t xml:space="preserve">Weaker conditions in the </w:t>
      </w:r>
      <w:r>
        <w:t xml:space="preserve">Victorian </w:t>
      </w:r>
      <w:r w:rsidRPr="00212986">
        <w:t>construc</w:t>
      </w:r>
      <w:r>
        <w:t>tion and discretionary spending </w:t>
      </w:r>
      <w:r w:rsidRPr="00212986">
        <w:t>sectors</w:t>
      </w:r>
    </w:p>
    <w:p w:rsidR="00F918C3" w:rsidRDefault="00A9166F" w:rsidP="001062A3">
      <w:r>
        <w:pict>
          <v:shape id="_x0000_i1046" type="#_x0000_t75" style="width:380.75pt;height:224.65pt">
            <v:imagedata r:id="rId55" o:title=""/>
          </v:shape>
        </w:pict>
      </w:r>
    </w:p>
    <w:p w:rsidR="00F918C3" w:rsidRDefault="00F918C3" w:rsidP="004103B7">
      <w:pPr>
        <w:pStyle w:val="Source"/>
      </w:pPr>
      <w:r w:rsidRPr="004103B7">
        <w:t>Source: Centre of Policy Studies</w:t>
      </w:r>
      <w:r>
        <w:t>, Victoria University</w:t>
      </w:r>
    </w:p>
    <w:p w:rsidR="00F918C3" w:rsidRPr="00EF2461" w:rsidRDefault="00F918C3" w:rsidP="00EF2461">
      <w:pPr>
        <w:pStyle w:val="Note"/>
      </w:pPr>
    </w:p>
    <w:p w:rsidR="00F918C3" w:rsidRPr="0020183A" w:rsidRDefault="00F918C3" w:rsidP="00187D33">
      <w:r w:rsidRPr="004103B7">
        <w:t xml:space="preserve">Table A.2 summarises the fiscal impacts of </w:t>
      </w:r>
      <w:r>
        <w:t>this scenario</w:t>
      </w:r>
      <w:r w:rsidRPr="004103B7">
        <w:t>. With slower growth in real GSP, employment</w:t>
      </w:r>
      <w:r>
        <w:t xml:space="preserve"> and</w:t>
      </w:r>
      <w:r w:rsidRPr="004103B7">
        <w:t xml:space="preserve"> wages</w:t>
      </w:r>
      <w:r>
        <w:t xml:space="preserve">, </w:t>
      </w:r>
      <w:r w:rsidRPr="004103B7">
        <w:t xml:space="preserve">income from transactions is lower over the budget and forward estimates. This </w:t>
      </w:r>
      <w:r>
        <w:t xml:space="preserve">is </w:t>
      </w:r>
      <w:r w:rsidRPr="004103B7">
        <w:t>reflect</w:t>
      </w:r>
      <w:r>
        <w:t>ed in</w:t>
      </w:r>
      <w:r w:rsidRPr="004103B7">
        <w:t xml:space="preserve"> lower payroll tax</w:t>
      </w:r>
      <w:r>
        <w:fldChar w:fldCharType="begin"/>
      </w:r>
      <w:r>
        <w:instrText xml:space="preserve"> XE "</w:instrText>
      </w:r>
      <w:r w:rsidRPr="00B0026B">
        <w:instrText>Taxation:Payroll</w:instrText>
      </w:r>
      <w:r>
        <w:instrText xml:space="preserve">" </w:instrText>
      </w:r>
      <w:r>
        <w:fldChar w:fldCharType="end"/>
      </w:r>
      <w:r w:rsidRPr="004103B7">
        <w:t xml:space="preserve"> and </w:t>
      </w:r>
      <w:r>
        <w:t xml:space="preserve">reduced </w:t>
      </w:r>
      <w:r w:rsidRPr="004103B7">
        <w:t>GST grants revenue</w:t>
      </w:r>
      <w:r>
        <w:t xml:space="preserve"> as a result of a smaller national GST pool relative to the base case</w:t>
      </w:r>
      <w:r w:rsidRPr="004103B7">
        <w:t>.</w:t>
      </w:r>
      <w:r>
        <w:rPr>
          <w:rStyle w:val="FootnoteReference"/>
        </w:rPr>
        <w:footnoteReference w:id="10"/>
      </w:r>
      <w:r w:rsidRPr="004103B7">
        <w:t xml:space="preserve"> Land transfer duty</w:t>
      </w:r>
      <w:r>
        <w:fldChar w:fldCharType="begin"/>
      </w:r>
      <w:r>
        <w:instrText xml:space="preserve"> XE "Taxation:</w:instrText>
      </w:r>
      <w:r w:rsidRPr="008432E8">
        <w:instrText>Land transfer duty</w:instrText>
      </w:r>
      <w:r>
        <w:instrText xml:space="preserve">" </w:instrText>
      </w:r>
      <w:r>
        <w:fldChar w:fldCharType="end"/>
      </w:r>
      <w:r w:rsidRPr="004103B7">
        <w:t xml:space="preserve"> </w:t>
      </w:r>
      <w:r>
        <w:t>collections are</w:t>
      </w:r>
      <w:r w:rsidRPr="004103B7">
        <w:t xml:space="preserve"> also lower, reflecting softer property prices. </w:t>
      </w:r>
      <w:r w:rsidRPr="0099541A">
        <w:t xml:space="preserve">Growth in expenses </w:t>
      </w:r>
      <w:r>
        <w:t xml:space="preserve">from transactions </w:t>
      </w:r>
      <w:r w:rsidRPr="0099541A">
        <w:t xml:space="preserve">is marginally slower in the scenario relative to the base case, reflecting </w:t>
      </w:r>
      <w:r>
        <w:t xml:space="preserve">lower public sector employment and </w:t>
      </w:r>
      <w:r w:rsidRPr="0099541A">
        <w:t>a gradual pass-through of weaker economy</w:t>
      </w:r>
      <w:r w:rsidRPr="0099541A">
        <w:noBreakHyphen/>
        <w:t>wide wage increases to public sector wage agreements.</w:t>
      </w:r>
      <w:r>
        <w:t xml:space="preserve"> The impact on public sector employee expenses reflects the model’s assumed relationship between private and public sector employment and wages. Public sector employment is assumed to be a fixed share of overall employment, while public sector wage growth is assumed to respond to private sector wage growth. Overall</w:t>
      </w:r>
      <w:r w:rsidRPr="00380E34">
        <w:t>, the impact on employee expenses is insufficient to offset the fall</w:t>
      </w:r>
      <w:r w:rsidRPr="004103B7">
        <w:t xml:space="preserve"> in general government sector revenue</w:t>
      </w:r>
      <w:r>
        <w:t xml:space="preserve"> and is reflected</w:t>
      </w:r>
      <w:r w:rsidRPr="004103B7">
        <w:t xml:space="preserve"> in a decline in th</w:t>
      </w:r>
      <w:r>
        <w:t>e net result and an increase in </w:t>
      </w:r>
      <w:r w:rsidRPr="004103B7">
        <w:t>net debt</w:t>
      </w:r>
      <w:r>
        <w:fldChar w:fldCharType="begin"/>
      </w:r>
      <w:r>
        <w:instrText xml:space="preserve"> XE "</w:instrText>
      </w:r>
      <w:r w:rsidRPr="00F81D16">
        <w:instrText>Debt:Net debt</w:instrText>
      </w:r>
      <w:r>
        <w:instrText xml:space="preserve">" </w:instrText>
      </w:r>
      <w:r>
        <w:fldChar w:fldCharType="end"/>
      </w:r>
      <w:r w:rsidRPr="004103B7">
        <w:t xml:space="preserve"> over the budget and forward estimates</w:t>
      </w:r>
      <w:r w:rsidRPr="0020183A">
        <w:t>.</w:t>
      </w:r>
      <w:r>
        <w:fldChar w:fldCharType="begin"/>
      </w:r>
      <w:r>
        <w:instrText xml:space="preserve"> XE "</w:instrText>
      </w:r>
      <w:r w:rsidRPr="005E5256">
        <w:instrText>Wages</w:instrText>
      </w:r>
      <w:r>
        <w:instrText xml:space="preserve">" \r "BP2AppAWages" </w:instrText>
      </w:r>
      <w:r>
        <w:fldChar w:fldCharType="end"/>
      </w:r>
    </w:p>
    <w:bookmarkEnd w:id="82"/>
    <w:p w:rsidR="00F918C3" w:rsidRPr="003B6233" w:rsidRDefault="00F918C3" w:rsidP="003B6233">
      <w:pPr>
        <w:pStyle w:val="TableHeading"/>
      </w:pPr>
      <w:r w:rsidRPr="00212986">
        <w:t>Table A.2:</w:t>
      </w:r>
      <w:r w:rsidRPr="00212986">
        <w:tab/>
        <w:t xml:space="preserve">Projected fiscal impact of a </w:t>
      </w:r>
      <w:r>
        <w:t xml:space="preserve">downturn in household consumption </w:t>
      </w:r>
      <w:r>
        <w:br/>
        <w:t xml:space="preserve">and dwelling investment </w:t>
      </w:r>
      <w:r>
        <w:tab/>
      </w:r>
      <w:r w:rsidRPr="00212986">
        <w:t>($</w:t>
      </w:r>
      <w:r w:rsidR="006371F3">
        <w:t> million</w:t>
      </w:r>
      <w:r>
        <w:t>)</w:t>
      </w:r>
    </w:p>
    <w:tbl>
      <w:tblPr>
        <w:tblStyle w:val="DTFTable"/>
        <w:tblW w:w="7767" w:type="dxa"/>
        <w:tblInd w:w="45" w:type="dxa"/>
        <w:tblLayout w:type="fixed"/>
        <w:tblCellMar>
          <w:left w:w="45" w:type="dxa"/>
          <w:right w:w="45" w:type="dxa"/>
        </w:tblCellMar>
        <w:tblLook w:val="06E0" w:firstRow="1" w:lastRow="1" w:firstColumn="1" w:lastColumn="0" w:noHBand="1" w:noVBand="1"/>
      </w:tblPr>
      <w:tblGrid>
        <w:gridCol w:w="4367"/>
        <w:gridCol w:w="850"/>
        <w:gridCol w:w="850"/>
        <w:gridCol w:w="850"/>
        <w:gridCol w:w="850"/>
      </w:tblGrid>
      <w:tr w:rsidR="00F918C3" w:rsidRPr="003B6233" w:rsidTr="00A36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7"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rPr>
                <w:rFonts w:eastAsiaTheme="minorEastAsia" w:cs="Calibri"/>
                <w:iCs/>
                <w:color w:val="000000"/>
                <w:szCs w:val="17"/>
                <w:lang w:eastAsia="en-AU"/>
              </w:rPr>
            </w:pPr>
            <w:r w:rsidRPr="003B6233">
              <w:rPr>
                <w:rFonts w:eastAsiaTheme="minorEastAsia" w:cs="Calibri"/>
                <w:iCs/>
                <w:color w:val="000000"/>
                <w:szCs w:val="17"/>
                <w:lang w:eastAsia="en-AU"/>
              </w:rPr>
              <w:t xml:space="preserve"> </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2018-19</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2019-20</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2020-21</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2021-22</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rPr>
                <w:rFonts w:eastAsiaTheme="minorEastAsia" w:cs="Calibri"/>
                <w:i/>
                <w:iCs/>
                <w:color w:val="000000"/>
                <w:szCs w:val="17"/>
                <w:lang w:eastAsia="en-AU"/>
              </w:rPr>
            </w:pPr>
            <w:r w:rsidRPr="003B6233">
              <w:rPr>
                <w:rFonts w:eastAsiaTheme="minorEastAsia" w:cs="Calibri"/>
                <w:i/>
                <w:iCs/>
                <w:color w:val="000000"/>
                <w:szCs w:val="17"/>
                <w:lang w:eastAsia="en-AU"/>
              </w:rPr>
              <w:t xml:space="preserve"> </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 xml:space="preserve"> 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single" w:sz="6" w:space="0" w:color="auto"/>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Income from transactions</w:t>
            </w:r>
          </w:p>
        </w:tc>
        <w:tc>
          <w:tcPr>
            <w:tcW w:w="850" w:type="dxa"/>
            <w:tcBorders>
              <w:top w:val="single" w:sz="6" w:space="0" w:color="auto"/>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(291.2)</w:t>
            </w:r>
          </w:p>
        </w:tc>
        <w:tc>
          <w:tcPr>
            <w:tcW w:w="850" w:type="dxa"/>
            <w:tcBorders>
              <w:top w:val="single" w:sz="6" w:space="0" w:color="auto"/>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(326.6)</w:t>
            </w:r>
          </w:p>
        </w:tc>
        <w:tc>
          <w:tcPr>
            <w:tcW w:w="850" w:type="dxa"/>
            <w:tcBorders>
              <w:top w:val="single" w:sz="6" w:space="0" w:color="auto"/>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(355.5)</w:t>
            </w:r>
          </w:p>
        </w:tc>
        <w:tc>
          <w:tcPr>
            <w:tcW w:w="850" w:type="dxa"/>
            <w:tcBorders>
              <w:top w:val="single" w:sz="6" w:space="0" w:color="auto"/>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(361.1)</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Expenses from transactions</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(18.9)</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(55.7)</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(159.6)</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(248.7)</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single" w:sz="6" w:space="0" w:color="auto"/>
              <w:left w:val="nil"/>
              <w:bottom w:val="single" w:sz="6" w:space="0" w:color="auto"/>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result from transactions</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(272.3)</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(270.8)</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(195.9)</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(112.5)</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Other economic flows</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(4.4)</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(5.4)</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(3.8)</w:t>
            </w:r>
          </w:p>
        </w:tc>
        <w:tc>
          <w:tcPr>
            <w:tcW w:w="850" w:type="dxa"/>
            <w:tcBorders>
              <w:top w:val="nil"/>
              <w:left w:val="nil"/>
              <w:bottom w:val="nil"/>
              <w:right w:val="nil"/>
            </w:tcBorders>
          </w:tcPr>
          <w:p w:rsidR="00F918C3" w:rsidRPr="00367E1B" w:rsidRDefault="00F918C3" w:rsidP="00B94966">
            <w:pPr>
              <w:cnfStyle w:val="000000000000" w:firstRow="0" w:lastRow="0" w:firstColumn="0" w:lastColumn="0" w:oddVBand="0" w:evenVBand="0" w:oddHBand="0" w:evenHBand="0" w:firstRowFirstColumn="0" w:firstRowLastColumn="0" w:lastRowFirstColumn="0" w:lastRowLastColumn="0"/>
            </w:pPr>
            <w:r w:rsidRPr="00367E1B">
              <w:t>(3.7)</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single" w:sz="6" w:space="0" w:color="auto"/>
              <w:left w:val="nil"/>
              <w:bottom w:val="single" w:sz="6" w:space="0" w:color="auto"/>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result</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(276.7)</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(276.3)</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(199.7)</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(116.2)</w:t>
            </w:r>
          </w:p>
        </w:tc>
      </w:tr>
      <w:tr w:rsidR="00F918C3" w:rsidRPr="003B6233" w:rsidTr="00A36E62">
        <w:tc>
          <w:tcPr>
            <w:cnfStyle w:val="001000000000" w:firstRow="0" w:lastRow="0" w:firstColumn="1" w:lastColumn="0" w:oddVBand="0" w:evenVBand="0" w:oddHBand="0" w:evenHBand="0" w:firstRowFirstColumn="0" w:firstRowLastColumn="0" w:lastRowFirstColumn="0" w:lastRowLastColumn="0"/>
            <w:tcW w:w="4367"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debt (cumulative)</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276.7</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545.8</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738.1</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846.7</w:t>
            </w:r>
          </w:p>
        </w:tc>
      </w:tr>
      <w:tr w:rsidR="00F918C3" w:rsidRPr="003B6233" w:rsidTr="00A36E6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7" w:type="dxa"/>
            <w:tcBorders>
              <w:top w:val="nil"/>
              <w:bottom w:val="single" w:sz="12" w:space="0" w:color="auto"/>
            </w:tcBorders>
          </w:tcPr>
          <w:p w:rsidR="00F918C3" w:rsidRPr="003B6233" w:rsidRDefault="00F918C3" w:rsidP="003B6233">
            <w:pPr>
              <w:keepLines w:val="0"/>
              <w:autoSpaceDE w:val="0"/>
              <w:autoSpaceDN w:val="0"/>
              <w:adjustRightInd w:val="0"/>
              <w:rPr>
                <w:rFonts w:eastAsiaTheme="minorEastAsia" w:cs="Calibri"/>
                <w:bCs/>
                <w:color w:val="000000"/>
                <w:szCs w:val="17"/>
                <w:lang w:eastAsia="en-AU"/>
              </w:rPr>
            </w:pPr>
            <w:r w:rsidRPr="003B6233">
              <w:rPr>
                <w:rFonts w:eastAsiaTheme="minorEastAsia" w:cs="Calibri"/>
                <w:bCs/>
                <w:color w:val="000000"/>
                <w:szCs w:val="17"/>
                <w:lang w:eastAsia="en-AU"/>
              </w:rPr>
              <w:t>Net debt to GSP ratio (percentage point difference)</w:t>
            </w:r>
          </w:p>
        </w:tc>
        <w:tc>
          <w:tcPr>
            <w:tcW w:w="850" w:type="dxa"/>
            <w:tcBorders>
              <w:top w:val="nil"/>
              <w:bottom w:val="single" w:sz="12" w:space="0" w:color="auto"/>
            </w:tcBorders>
          </w:tcPr>
          <w:p w:rsidR="00F918C3" w:rsidRPr="00367E1B" w:rsidRDefault="00F918C3" w:rsidP="00B94966">
            <w:pPr>
              <w:cnfStyle w:val="010000000000" w:firstRow="0" w:lastRow="1" w:firstColumn="0" w:lastColumn="0" w:oddVBand="0" w:evenVBand="0" w:oddHBand="0" w:evenHBand="0" w:firstRowFirstColumn="0" w:firstRowLastColumn="0" w:lastRowFirstColumn="0" w:lastRowLastColumn="0"/>
            </w:pPr>
            <w:r w:rsidRPr="00367E1B">
              <w:t>0.08</w:t>
            </w:r>
          </w:p>
        </w:tc>
        <w:tc>
          <w:tcPr>
            <w:tcW w:w="850" w:type="dxa"/>
            <w:tcBorders>
              <w:top w:val="nil"/>
              <w:bottom w:val="single" w:sz="12" w:space="0" w:color="auto"/>
            </w:tcBorders>
          </w:tcPr>
          <w:p w:rsidR="00F918C3" w:rsidRPr="00367E1B" w:rsidRDefault="00F918C3" w:rsidP="00B94966">
            <w:pPr>
              <w:cnfStyle w:val="010000000000" w:firstRow="0" w:lastRow="1" w:firstColumn="0" w:lastColumn="0" w:oddVBand="0" w:evenVBand="0" w:oddHBand="0" w:evenHBand="0" w:firstRowFirstColumn="0" w:firstRowLastColumn="0" w:lastRowFirstColumn="0" w:lastRowLastColumn="0"/>
            </w:pPr>
            <w:r w:rsidRPr="00367E1B">
              <w:t>0.13</w:t>
            </w:r>
          </w:p>
        </w:tc>
        <w:tc>
          <w:tcPr>
            <w:tcW w:w="850" w:type="dxa"/>
            <w:tcBorders>
              <w:top w:val="nil"/>
              <w:bottom w:val="single" w:sz="12" w:space="0" w:color="auto"/>
            </w:tcBorders>
          </w:tcPr>
          <w:p w:rsidR="00F918C3" w:rsidRPr="00367E1B" w:rsidRDefault="00F918C3" w:rsidP="00B94966">
            <w:pPr>
              <w:cnfStyle w:val="010000000000" w:firstRow="0" w:lastRow="1" w:firstColumn="0" w:lastColumn="0" w:oddVBand="0" w:evenVBand="0" w:oddHBand="0" w:evenHBand="0" w:firstRowFirstColumn="0" w:firstRowLastColumn="0" w:lastRowFirstColumn="0" w:lastRowLastColumn="0"/>
            </w:pPr>
            <w:r w:rsidRPr="00367E1B">
              <w:t>0.17</w:t>
            </w:r>
          </w:p>
        </w:tc>
        <w:tc>
          <w:tcPr>
            <w:tcW w:w="850" w:type="dxa"/>
            <w:tcBorders>
              <w:top w:val="nil"/>
              <w:bottom w:val="single" w:sz="12" w:space="0" w:color="auto"/>
            </w:tcBorders>
          </w:tcPr>
          <w:p w:rsidR="00F918C3" w:rsidRDefault="00F918C3" w:rsidP="00B94966">
            <w:pPr>
              <w:cnfStyle w:val="010000000000" w:firstRow="0" w:lastRow="1" w:firstColumn="0" w:lastColumn="0" w:oddVBand="0" w:evenVBand="0" w:oddHBand="0" w:evenHBand="0" w:firstRowFirstColumn="0" w:firstRowLastColumn="0" w:lastRowFirstColumn="0" w:lastRowLastColumn="0"/>
            </w:pPr>
            <w:r w:rsidRPr="00367E1B">
              <w:t>0.18</w:t>
            </w:r>
          </w:p>
        </w:tc>
      </w:tr>
    </w:tbl>
    <w:p w:rsidR="00F918C3" w:rsidRPr="00294404" w:rsidRDefault="00F918C3" w:rsidP="00946B06">
      <w:pPr>
        <w:pStyle w:val="Source"/>
      </w:pPr>
      <w:r w:rsidRPr="00294404">
        <w:t>Source: Department of Treasury and Finance</w:t>
      </w:r>
      <w:r>
        <w:t xml:space="preserve"> </w:t>
      </w:r>
      <w:r>
        <w:fldChar w:fldCharType="begin"/>
      </w:r>
      <w:r>
        <w:instrText xml:space="preserve"> XE "</w:instrText>
      </w:r>
      <w:r w:rsidRPr="00BE721C">
        <w:instrText>Household consumption</w:instrText>
      </w:r>
      <w:r>
        <w:instrText xml:space="preserve">" \r "BP2AppAHouseholdConsumption" </w:instrText>
      </w:r>
      <w:r>
        <w:fldChar w:fldCharType="end"/>
      </w:r>
      <w:r>
        <w:fldChar w:fldCharType="begin"/>
      </w:r>
      <w:r>
        <w:instrText xml:space="preserve"> XE "</w:instrText>
      </w:r>
      <w:r w:rsidRPr="009513D0">
        <w:instrText>Dwelling investment</w:instrText>
      </w:r>
      <w:r>
        <w:instrText xml:space="preserve">" \r "BP2AppADwellingInvestment" </w:instrText>
      </w:r>
      <w:r>
        <w:fldChar w:fldCharType="end"/>
      </w:r>
    </w:p>
    <w:p w:rsidR="00F918C3" w:rsidRDefault="00F918C3" w:rsidP="00EF2461">
      <w:pPr>
        <w:pStyle w:val="Heading20"/>
        <w:spacing w:before="180"/>
      </w:pPr>
      <w:bookmarkStart w:id="83" w:name="BP2AppALabourForceParticipation"/>
      <w:bookmarkEnd w:id="80"/>
      <w:bookmarkEnd w:id="81"/>
      <w:r>
        <w:t>Sustained high labour force participation in Victoria</w:t>
      </w:r>
    </w:p>
    <w:p w:rsidR="00F918C3" w:rsidRDefault="00F918C3" w:rsidP="004103B7">
      <w:r w:rsidRPr="004103B7">
        <w:t>Victoria</w:t>
      </w:r>
      <w:r>
        <w:t>’</w:t>
      </w:r>
      <w:r w:rsidRPr="004103B7">
        <w:t>s labour force participation rate has outperformed expectations in recent years</w:t>
      </w:r>
      <w:r>
        <w:t xml:space="preserve">. As noted in Chapter 3 </w:t>
      </w:r>
      <w:r w:rsidRPr="00F6625A">
        <w:rPr>
          <w:i/>
        </w:rPr>
        <w:t>Investing in Victorian Jobs and Skills</w:t>
      </w:r>
      <w:r w:rsidRPr="00F6625A">
        <w:t>,</w:t>
      </w:r>
      <w:r w:rsidRPr="004103B7">
        <w:t xml:space="preserve"> </w:t>
      </w:r>
      <w:r>
        <w:t xml:space="preserve">high labour force participation </w:t>
      </w:r>
      <w:r w:rsidRPr="004103B7">
        <w:t xml:space="preserve">has supported the strongest period of job creation since the </w:t>
      </w:r>
      <w:r>
        <w:t>early 1990</w:t>
      </w:r>
      <w:r w:rsidRPr="004103B7">
        <w:t>s</w:t>
      </w:r>
      <w:r>
        <w:t xml:space="preserve">. Longer-term </w:t>
      </w:r>
      <w:r w:rsidRPr="004103B7">
        <w:t xml:space="preserve">structural </w:t>
      </w:r>
      <w:r>
        <w:t>trends</w:t>
      </w:r>
      <w:r w:rsidRPr="004103B7">
        <w:t xml:space="preserve">, such as </w:t>
      </w:r>
      <w:r w:rsidRPr="007008E0">
        <w:t>rising workforce participation by both females and those aged 50 years and over that reflect cultural</w:t>
      </w:r>
      <w:r w:rsidR="008C27C4">
        <w:fldChar w:fldCharType="begin"/>
      </w:r>
      <w:r w:rsidR="008C27C4">
        <w:instrText xml:space="preserve"> XE "</w:instrText>
      </w:r>
      <w:r w:rsidR="008C27C4" w:rsidRPr="00F5406C">
        <w:instrText>Culture</w:instrText>
      </w:r>
      <w:r w:rsidR="008C27C4">
        <w:instrText xml:space="preserve">" </w:instrText>
      </w:r>
      <w:r w:rsidR="008C27C4">
        <w:fldChar w:fldCharType="end"/>
      </w:r>
      <w:r w:rsidRPr="007008E0">
        <w:t>, economic, and social changes in Australia have contributed significantly to the pick up in the participation rate over the past four years (Chart A.3).</w:t>
      </w:r>
      <w:r w:rsidRPr="007008E0">
        <w:rPr>
          <w:color w:val="FFFFFF" w:themeColor="background1"/>
        </w:rPr>
        <w:t xml:space="preserve"> </w:t>
      </w:r>
      <w:r w:rsidRPr="007008E0">
        <w:t>This has more than counteracted</w:t>
      </w:r>
      <w:r>
        <w:t xml:space="preserve"> the role that demographic change through an ageing population has played in attenuating Victoria’s participation rate.</w:t>
      </w:r>
    </w:p>
    <w:p w:rsidR="00F918C3" w:rsidRDefault="00F918C3" w:rsidP="00EF2461">
      <w:pPr>
        <w:pStyle w:val="TableHeading"/>
        <w:spacing w:before="180"/>
      </w:pPr>
      <w:r w:rsidRPr="007008E0">
        <w:t>Chart A.3:</w:t>
      </w:r>
      <w:r w:rsidRPr="007008E0">
        <w:tab/>
        <w:t>Contributions to changes in Victoria’s labour force participation rate, three months to June 2014 to three months to February 2018</w:t>
      </w:r>
    </w:p>
    <w:p w:rsidR="00F918C3" w:rsidRDefault="00A9166F" w:rsidP="001C543B">
      <w:r>
        <w:rPr>
          <w:noProof/>
          <w:lang w:eastAsia="en-AU"/>
        </w:rPr>
        <w:pict>
          <v:shape id="_x0000_i1047" type="#_x0000_t75" style="width:383.05pt;height:228.1pt">
            <v:imagedata r:id="rId56" o:title=""/>
          </v:shape>
        </w:pict>
      </w:r>
    </w:p>
    <w:p w:rsidR="00F918C3" w:rsidRDefault="00F918C3" w:rsidP="007C6619">
      <w:pPr>
        <w:pStyle w:val="Source"/>
      </w:pPr>
      <w:r w:rsidRPr="004103B7">
        <w:t>Source</w:t>
      </w:r>
      <w:r>
        <w:t>s</w:t>
      </w:r>
      <w:r w:rsidRPr="004103B7">
        <w:t>: Australian Bureau of Statistics</w:t>
      </w:r>
      <w:r>
        <w:t>; Department of Treasury and Finance</w:t>
      </w:r>
    </w:p>
    <w:p w:rsidR="00F918C3" w:rsidRPr="007C6619" w:rsidRDefault="00F918C3" w:rsidP="007C6619">
      <w:pPr>
        <w:pStyle w:val="Note"/>
      </w:pPr>
      <w:r w:rsidRPr="007C6619">
        <w:t xml:space="preserve">Note: </w:t>
      </w:r>
    </w:p>
    <w:p w:rsidR="00F918C3" w:rsidRDefault="00F918C3" w:rsidP="007C6619">
      <w:pPr>
        <w:pStyle w:val="Note"/>
      </w:pPr>
      <w:r w:rsidRPr="007C6619">
        <w:t>(a)</w:t>
      </w:r>
      <w:r w:rsidRPr="007C6619">
        <w:tab/>
        <w:t xml:space="preserve">Demographic change affects the size and composition of the potential workforce. </w:t>
      </w:r>
      <w:r w:rsidRPr="00936D6E">
        <w:t>Population ageing results in a higher proportion of the civilian population (aged 15 years and over) being in older age cohorts, which have relatively lower participation rates.</w:t>
      </w:r>
    </w:p>
    <w:p w:rsidR="00F918C3" w:rsidRPr="007C6619" w:rsidRDefault="00F918C3" w:rsidP="007C6619">
      <w:pPr>
        <w:pStyle w:val="Note"/>
      </w:pPr>
    </w:p>
    <w:p w:rsidR="00F918C3" w:rsidRDefault="00F918C3" w:rsidP="004103B7">
      <w:r>
        <w:t xml:space="preserve">The forecasts in Chapter 2 </w:t>
      </w:r>
      <w:r w:rsidRPr="004103B7">
        <w:rPr>
          <w:i/>
        </w:rPr>
        <w:t xml:space="preserve">Economic </w:t>
      </w:r>
      <w:r>
        <w:rPr>
          <w:i/>
        </w:rPr>
        <w:t>Outlook</w:t>
      </w:r>
      <w:r>
        <w:t xml:space="preserve"> assume the labour force participation rate </w:t>
      </w:r>
      <w:r w:rsidRPr="00501366">
        <w:t xml:space="preserve">peaks at </w:t>
      </w:r>
      <w:r>
        <w:t>65.9 </w:t>
      </w:r>
      <w:r w:rsidRPr="00501366">
        <w:t>per cent</w:t>
      </w:r>
      <w:r>
        <w:t xml:space="preserve"> in year</w:t>
      </w:r>
      <w:r>
        <w:noBreakHyphen/>
        <w:t>average terms in 2017</w:t>
      </w:r>
      <w:r>
        <w:noBreakHyphen/>
        <w:t>18 and then moderates over the budget and forward estimates (Chart A.4). However, it is possible that the various factors that have underpinned the rise in participation across all age cohorts in recent years persist.</w:t>
      </w:r>
    </w:p>
    <w:p w:rsidR="00F918C3" w:rsidRDefault="00F918C3" w:rsidP="004103B7">
      <w:r>
        <w:t>This upside scenario assumes that the labour force participation rate remains at around 65.9 per cent in the budget year before tapering over the forward estimates. This amounts to the aggregate participation being around 0.25 percentage points higher in the budget year and 0.5 percentage points higher than the base case for each of the following three years.</w:t>
      </w:r>
    </w:p>
    <w:p w:rsidR="00F918C3" w:rsidRPr="00DC03B6" w:rsidRDefault="00F918C3" w:rsidP="00DC03B6">
      <w:pPr>
        <w:keepNext/>
        <w:tabs>
          <w:tab w:val="left" w:pos="1134"/>
          <w:tab w:val="right" w:pos="7710"/>
        </w:tabs>
        <w:spacing w:before="180" w:after="60"/>
        <w:ind w:left="1134" w:hanging="1134"/>
        <w:rPr>
          <w:rFonts w:ascii="Calibri" w:eastAsia="Garamond" w:hAnsi="Calibri" w:cs="Times New Roman"/>
          <w:b/>
          <w:sz w:val="20"/>
          <w:szCs w:val="20"/>
        </w:rPr>
      </w:pPr>
      <w:r w:rsidRPr="00DC03B6">
        <w:rPr>
          <w:rFonts w:ascii="Calibri" w:eastAsia="Garamond" w:hAnsi="Calibri" w:cs="Times New Roman"/>
          <w:b/>
          <w:sz w:val="20"/>
          <w:szCs w:val="20"/>
        </w:rPr>
        <w:t>Chart A.4:</w:t>
      </w:r>
      <w:r w:rsidRPr="00DC03B6">
        <w:rPr>
          <w:rFonts w:ascii="Calibri" w:eastAsia="Garamond" w:hAnsi="Calibri" w:cs="Times New Roman"/>
          <w:b/>
          <w:sz w:val="20"/>
          <w:szCs w:val="20"/>
        </w:rPr>
        <w:tab/>
        <w:t>Victoria</w:t>
      </w:r>
      <w:r>
        <w:rPr>
          <w:rFonts w:ascii="Calibri" w:eastAsia="Garamond" w:hAnsi="Calibri" w:cs="Times New Roman"/>
          <w:b/>
          <w:sz w:val="20"/>
          <w:szCs w:val="20"/>
        </w:rPr>
        <w:t>’</w:t>
      </w:r>
      <w:r w:rsidRPr="00DC03B6">
        <w:rPr>
          <w:rFonts w:ascii="Calibri" w:eastAsia="Garamond" w:hAnsi="Calibri" w:cs="Times New Roman"/>
          <w:b/>
          <w:sz w:val="20"/>
          <w:szCs w:val="20"/>
        </w:rPr>
        <w:t>s labour force participation rate under the base case and scenario</w:t>
      </w:r>
    </w:p>
    <w:p w:rsidR="00F918C3" w:rsidRDefault="00A9166F" w:rsidP="00DC03B6">
      <w:pPr>
        <w:rPr>
          <w:noProof/>
          <w:lang w:eastAsia="en-AU"/>
        </w:rPr>
      </w:pPr>
      <w:r>
        <w:rPr>
          <w:noProof/>
          <w:lang w:eastAsia="en-AU"/>
        </w:rPr>
        <w:pict>
          <v:shape id="_x0000_i1048" type="#_x0000_t75" style="width:382.45pt;height:226.35pt">
            <v:imagedata r:id="rId57" o:title=""/>
          </v:shape>
        </w:pict>
      </w:r>
    </w:p>
    <w:p w:rsidR="00F918C3" w:rsidRDefault="00F918C3" w:rsidP="007C6619">
      <w:pPr>
        <w:pStyle w:val="Source"/>
      </w:pPr>
      <w:r w:rsidRPr="004103B7">
        <w:t>Source</w:t>
      </w:r>
      <w:r>
        <w:t>s</w:t>
      </w:r>
      <w:r w:rsidRPr="004103B7">
        <w:t>: Australian Bureau of Statistics</w:t>
      </w:r>
      <w:r>
        <w:t>; Department of Treasury and Finance</w:t>
      </w:r>
    </w:p>
    <w:p w:rsidR="00F918C3" w:rsidRPr="007C6619" w:rsidRDefault="00F918C3" w:rsidP="007C6619">
      <w:pPr>
        <w:pStyle w:val="Note"/>
      </w:pPr>
    </w:p>
    <w:p w:rsidR="00F918C3" w:rsidRPr="007008E0" w:rsidRDefault="00F918C3" w:rsidP="004103B7">
      <w:r>
        <w:t>The most recent upswing in the participation rate suggests such an increase would not happen exogenously; that is, more Victorians would not supply their labour without reasonable prospects of gaining work. For this reason, the shock has been implemented in VURM</w:t>
      </w:r>
      <w:r w:rsidR="008C27C4">
        <w:fldChar w:fldCharType="begin"/>
      </w:r>
      <w:r w:rsidR="008C27C4">
        <w:instrText xml:space="preserve"> XE "</w:instrText>
      </w:r>
      <w:r w:rsidR="008C27C4" w:rsidRPr="000F77D9">
        <w:instrText>Victoria University Regional Model</w:instrText>
      </w:r>
      <w:r w:rsidR="008C27C4">
        <w:instrText xml:space="preserve">" </w:instrText>
      </w:r>
      <w:r w:rsidR="008C27C4">
        <w:fldChar w:fldCharType="end"/>
      </w:r>
      <w:r>
        <w:t xml:space="preserve"> so that the rise in the participation rate has been accompanied by an increase in final demand from household consumption.</w:t>
      </w:r>
      <w:r>
        <w:rPr>
          <w:rStyle w:val="FootnoteReference"/>
        </w:rPr>
        <w:footnoteReference w:id="11"/>
      </w:r>
      <w:r>
        <w:t xml:space="preserve"> This results in the Victorian economy being able to accommodate much of the additional labour supply, leaving the unemployment </w:t>
      </w:r>
      <w:r w:rsidRPr="007008E0">
        <w:t>rate</w:t>
      </w:r>
      <w:r w:rsidRPr="007008E0">
        <w:fldChar w:fldCharType="begin"/>
      </w:r>
      <w:r w:rsidRPr="007008E0">
        <w:instrText xml:space="preserve"> XE "Unemployment rate" </w:instrText>
      </w:r>
      <w:r w:rsidRPr="007008E0">
        <w:fldChar w:fldCharType="end"/>
      </w:r>
      <w:r w:rsidRPr="007008E0">
        <w:t xml:space="preserve"> little changed relative to the base case.</w:t>
      </w:r>
    </w:p>
    <w:p w:rsidR="00F918C3" w:rsidRDefault="00F918C3" w:rsidP="004103B7">
      <w:r w:rsidRPr="007008E0">
        <w:t>The effects of this scenario on major economic parameters are reported in Table A.3. Strong employment growth</w:t>
      </w:r>
      <w:r>
        <w:fldChar w:fldCharType="begin"/>
      </w:r>
      <w:r>
        <w:instrText xml:space="preserve"> XE "</w:instrText>
      </w:r>
      <w:r w:rsidRPr="00D02DCA">
        <w:instrText>Employment</w:instrText>
      </w:r>
      <w:r>
        <w:instrText xml:space="preserve"> g</w:instrText>
      </w:r>
      <w:r w:rsidRPr="00D02DCA">
        <w:instrText>rowth</w:instrText>
      </w:r>
      <w:r>
        <w:instrText xml:space="preserve">" </w:instrText>
      </w:r>
      <w:r>
        <w:fldChar w:fldCharType="end"/>
      </w:r>
      <w:r w:rsidRPr="007008E0">
        <w:t xml:space="preserve"> and household demand provides a short</w:t>
      </w:r>
      <w:r w:rsidRPr="007008E0">
        <w:noBreakHyphen/>
        <w:t>term impetus to consumer price inflation in 2018-19 and 2019-20. Over time, the larger labour force exerts downward pressure on wages</w:t>
      </w:r>
      <w:r w:rsidRPr="007008E0">
        <w:fldChar w:fldCharType="begin"/>
      </w:r>
      <w:r w:rsidRPr="007008E0">
        <w:instrText xml:space="preserve"> XE "Wages" </w:instrText>
      </w:r>
      <w:r w:rsidRPr="007008E0">
        <w:fldChar w:fldCharType="end"/>
      </w:r>
      <w:r w:rsidRPr="007008E0">
        <w:t xml:space="preserve"> and production costs, spilling over into lower inflation by the end of the forward estimates relative to current forecasts. The boost to final demand and more contained wages</w:t>
      </w:r>
      <w:r w:rsidRPr="007008E0">
        <w:fldChar w:fldCharType="begin"/>
      </w:r>
      <w:r w:rsidRPr="007008E0">
        <w:instrText xml:space="preserve"> XE "Wages" </w:instrText>
      </w:r>
      <w:r w:rsidRPr="007008E0">
        <w:fldChar w:fldCharType="end"/>
      </w:r>
      <w:r w:rsidRPr="007008E0">
        <w:t xml:space="preserve"> growth stimulates employment and improves the productivity</w:t>
      </w:r>
      <w:r w:rsidRPr="007008E0">
        <w:fldChar w:fldCharType="begin"/>
      </w:r>
      <w:r w:rsidRPr="007008E0">
        <w:instrText xml:space="preserve"> XE "Productivity" </w:instrText>
      </w:r>
      <w:r w:rsidRPr="007008E0">
        <w:fldChar w:fldCharType="end"/>
      </w:r>
      <w:r>
        <w:t xml:space="preserve"> of capital, resulting in higher investment and output (Chart A.5).</w:t>
      </w:r>
    </w:p>
    <w:p w:rsidR="00F918C3" w:rsidRDefault="00F918C3" w:rsidP="008213A8">
      <w:pPr>
        <w:pStyle w:val="Heading10"/>
      </w:pPr>
      <w:r>
        <w:br w:type="page"/>
      </w:r>
    </w:p>
    <w:p w:rsidR="00F918C3" w:rsidRPr="00946B06" w:rsidRDefault="00F918C3" w:rsidP="007C6619">
      <w:pPr>
        <w:pStyle w:val="TableHeading"/>
      </w:pPr>
      <w:r w:rsidRPr="00212986">
        <w:t>Table A.3:</w:t>
      </w:r>
      <w:r w:rsidRPr="00212986">
        <w:tab/>
        <w:t>The effect of higher participation on major economic parameters</w:t>
      </w:r>
      <w:r w:rsidRPr="00212986">
        <w:rPr>
          <w:vertAlign w:val="superscript"/>
        </w:rPr>
        <w:t>(a)</w:t>
      </w:r>
      <w:r>
        <w:rPr>
          <w:vertAlign w:val="superscript"/>
        </w:rPr>
        <w:tab/>
      </w:r>
      <w:r w:rsidRPr="00212986">
        <w:t>(per cent</w:t>
      </w:r>
      <w:r>
        <w:t>)</w:t>
      </w:r>
    </w:p>
    <w:tbl>
      <w:tblPr>
        <w:tblStyle w:val="DTFTable"/>
        <w:tblW w:w="7767" w:type="dxa"/>
        <w:tblInd w:w="45" w:type="dxa"/>
        <w:tblLayout w:type="fixed"/>
        <w:tblCellMar>
          <w:left w:w="45" w:type="dxa"/>
          <w:right w:w="45" w:type="dxa"/>
        </w:tblCellMar>
        <w:tblLook w:val="06A0" w:firstRow="1" w:lastRow="0" w:firstColumn="1" w:lastColumn="0" w:noHBand="1" w:noVBand="1"/>
      </w:tblPr>
      <w:tblGrid>
        <w:gridCol w:w="4367"/>
        <w:gridCol w:w="850"/>
        <w:gridCol w:w="850"/>
        <w:gridCol w:w="850"/>
        <w:gridCol w:w="850"/>
      </w:tblGrid>
      <w:tr w:rsidR="00F918C3" w:rsidRPr="00946B06" w:rsidTr="00946B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nil"/>
              <w:right w:val="nil"/>
            </w:tcBorders>
            <w:shd w:val="solid" w:color="000000" w:fill="auto"/>
          </w:tcPr>
          <w:p w:rsidR="00F918C3" w:rsidRPr="00946B06" w:rsidRDefault="00F918C3" w:rsidP="00946B06">
            <w:pPr>
              <w:keepLines w:val="0"/>
              <w:autoSpaceDE w:val="0"/>
              <w:autoSpaceDN w:val="0"/>
              <w:adjustRightInd w:val="0"/>
              <w:rPr>
                <w:rFonts w:eastAsiaTheme="minorEastAsia" w:cs="Calibri"/>
                <w:iCs/>
                <w:color w:val="000000"/>
                <w:szCs w:val="17"/>
                <w:lang w:eastAsia="en-AU"/>
              </w:rPr>
            </w:pPr>
            <w:r w:rsidRPr="00946B06">
              <w:rPr>
                <w:rFonts w:eastAsiaTheme="minorEastAsia" w:cs="Calibri"/>
                <w:iCs/>
                <w:color w:val="000000"/>
                <w:szCs w:val="17"/>
                <w:lang w:eastAsia="en-AU"/>
              </w:rPr>
              <w:t xml:space="preserve"> </w:t>
            </w:r>
          </w:p>
        </w:tc>
        <w:tc>
          <w:tcPr>
            <w:tcW w:w="850" w:type="dxa"/>
            <w:tcBorders>
              <w:top w:val="single" w:sz="6" w:space="0" w:color="auto"/>
              <w:left w:val="nil"/>
              <w:bottom w:val="nil"/>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2018-19</w:t>
            </w:r>
          </w:p>
        </w:tc>
        <w:tc>
          <w:tcPr>
            <w:tcW w:w="850" w:type="dxa"/>
            <w:tcBorders>
              <w:top w:val="single" w:sz="6" w:space="0" w:color="auto"/>
              <w:left w:val="nil"/>
              <w:bottom w:val="nil"/>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2019-20</w:t>
            </w:r>
          </w:p>
        </w:tc>
        <w:tc>
          <w:tcPr>
            <w:tcW w:w="850" w:type="dxa"/>
            <w:tcBorders>
              <w:top w:val="single" w:sz="6" w:space="0" w:color="auto"/>
              <w:left w:val="nil"/>
              <w:bottom w:val="nil"/>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2020-21</w:t>
            </w:r>
          </w:p>
        </w:tc>
        <w:tc>
          <w:tcPr>
            <w:tcW w:w="850" w:type="dxa"/>
            <w:tcBorders>
              <w:top w:val="single" w:sz="6" w:space="0" w:color="auto"/>
              <w:left w:val="nil"/>
              <w:bottom w:val="nil"/>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2021-22</w:t>
            </w:r>
          </w:p>
        </w:tc>
      </w:tr>
      <w:tr w:rsidR="00F918C3" w:rsidRPr="00946B06" w:rsidTr="00946B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single" w:sz="6" w:space="0" w:color="auto"/>
              <w:right w:val="nil"/>
            </w:tcBorders>
            <w:shd w:val="solid" w:color="000000" w:fill="auto"/>
          </w:tcPr>
          <w:p w:rsidR="00F918C3" w:rsidRPr="00946B06" w:rsidRDefault="00F918C3" w:rsidP="00946B06">
            <w:pPr>
              <w:keepLines w:val="0"/>
              <w:autoSpaceDE w:val="0"/>
              <w:autoSpaceDN w:val="0"/>
              <w:adjustRightInd w:val="0"/>
              <w:rPr>
                <w:rFonts w:eastAsiaTheme="minorEastAsia" w:cs="Calibri"/>
                <w:iCs/>
                <w:color w:val="000000"/>
                <w:szCs w:val="17"/>
                <w:lang w:eastAsia="en-AU"/>
              </w:rPr>
            </w:pPr>
            <w:r w:rsidRPr="00946B06">
              <w:rPr>
                <w:rFonts w:eastAsiaTheme="minorEastAsia" w:cs="Calibri"/>
                <w:iCs/>
                <w:color w:val="000000"/>
                <w:szCs w:val="17"/>
                <w:lang w:eastAsia="en-AU"/>
              </w:rPr>
              <w:t xml:space="preserve"> </w:t>
            </w:r>
          </w:p>
        </w:tc>
        <w:tc>
          <w:tcPr>
            <w:tcW w:w="850" w:type="dxa"/>
            <w:tcBorders>
              <w:top w:val="nil"/>
              <w:left w:val="nil"/>
              <w:bottom w:val="single" w:sz="6" w:space="0" w:color="auto"/>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estimate</w:t>
            </w:r>
          </w:p>
        </w:tc>
        <w:tc>
          <w:tcPr>
            <w:tcW w:w="850" w:type="dxa"/>
            <w:tcBorders>
              <w:top w:val="nil"/>
              <w:left w:val="nil"/>
              <w:bottom w:val="single" w:sz="6" w:space="0" w:color="auto"/>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estimate</w:t>
            </w:r>
          </w:p>
        </w:tc>
        <w:tc>
          <w:tcPr>
            <w:tcW w:w="850" w:type="dxa"/>
            <w:tcBorders>
              <w:top w:val="nil"/>
              <w:left w:val="nil"/>
              <w:bottom w:val="single" w:sz="6" w:space="0" w:color="auto"/>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estimate</w:t>
            </w:r>
          </w:p>
        </w:tc>
        <w:tc>
          <w:tcPr>
            <w:tcW w:w="850" w:type="dxa"/>
            <w:tcBorders>
              <w:top w:val="nil"/>
              <w:left w:val="nil"/>
              <w:bottom w:val="single" w:sz="6" w:space="0" w:color="auto"/>
              <w:right w:val="nil"/>
            </w:tcBorders>
            <w:shd w:val="solid" w:color="000000" w:fill="auto"/>
          </w:tcPr>
          <w:p w:rsidR="00F918C3" w:rsidRPr="00946B06" w:rsidRDefault="00F918C3" w:rsidP="00946B0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946B06">
              <w:rPr>
                <w:rFonts w:eastAsiaTheme="minorEastAsia" w:cs="Calibri"/>
                <w:iCs/>
                <w:color w:val="FFFFFF"/>
                <w:szCs w:val="17"/>
                <w:lang w:eastAsia="en-AU"/>
              </w:rPr>
              <w:t xml:space="preserve">   estimate</w:t>
            </w:r>
          </w:p>
        </w:tc>
      </w:tr>
      <w:tr w:rsidR="00F918C3" w:rsidRPr="00946B06" w:rsidTr="00946B06">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946B06" w:rsidRDefault="00F918C3" w:rsidP="00946B06">
            <w:pPr>
              <w:keepLines w:val="0"/>
              <w:autoSpaceDE w:val="0"/>
              <w:autoSpaceDN w:val="0"/>
              <w:adjustRightInd w:val="0"/>
              <w:rPr>
                <w:rFonts w:eastAsiaTheme="minorEastAsia" w:cs="Calibri"/>
                <w:color w:val="000000"/>
                <w:szCs w:val="17"/>
                <w:lang w:eastAsia="en-AU"/>
              </w:rPr>
            </w:pPr>
            <w:r w:rsidRPr="00946B06">
              <w:rPr>
                <w:rFonts w:eastAsiaTheme="minorEastAsia" w:cs="Calibri"/>
                <w:color w:val="000000"/>
                <w:szCs w:val="17"/>
                <w:lang w:eastAsia="en-AU"/>
              </w:rPr>
              <w:t>Real GSP</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0.16</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0.37</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0.47</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0.54</w:t>
            </w:r>
          </w:p>
        </w:tc>
      </w:tr>
      <w:tr w:rsidR="00F918C3" w:rsidRPr="00946B06" w:rsidTr="00946B06">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946B06" w:rsidRDefault="00F918C3" w:rsidP="00946B06">
            <w:pPr>
              <w:keepLines w:val="0"/>
              <w:autoSpaceDE w:val="0"/>
              <w:autoSpaceDN w:val="0"/>
              <w:adjustRightInd w:val="0"/>
              <w:rPr>
                <w:rFonts w:eastAsiaTheme="minorEastAsia" w:cs="Calibri"/>
                <w:color w:val="000000"/>
                <w:szCs w:val="17"/>
                <w:lang w:eastAsia="en-AU"/>
              </w:rPr>
            </w:pPr>
            <w:r w:rsidRPr="00946B06">
              <w:rPr>
                <w:rFonts w:eastAsiaTheme="minorEastAsia" w:cs="Calibri"/>
                <w:color w:val="000000"/>
                <w:szCs w:val="17"/>
                <w:lang w:eastAsia="en-AU"/>
              </w:rPr>
              <w:t>Employment</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0.22</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0.51</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0.63</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0.70</w:t>
            </w:r>
          </w:p>
        </w:tc>
      </w:tr>
      <w:tr w:rsidR="00F918C3" w:rsidRPr="00946B06" w:rsidTr="00946B06">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946B06" w:rsidRDefault="00F918C3" w:rsidP="00946B06">
            <w:pPr>
              <w:keepLines w:val="0"/>
              <w:autoSpaceDE w:val="0"/>
              <w:autoSpaceDN w:val="0"/>
              <w:adjustRightInd w:val="0"/>
              <w:rPr>
                <w:rFonts w:eastAsiaTheme="minorEastAsia" w:cs="Calibri"/>
                <w:color w:val="000000"/>
                <w:szCs w:val="17"/>
                <w:lang w:eastAsia="en-AU"/>
              </w:rPr>
            </w:pPr>
            <w:r w:rsidRPr="00946B06">
              <w:rPr>
                <w:rFonts w:eastAsiaTheme="minorEastAsia" w:cs="Calibri"/>
                <w:color w:val="000000"/>
                <w:szCs w:val="17"/>
                <w:lang w:eastAsia="en-AU"/>
              </w:rPr>
              <w:t>Consumer price index</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0.11</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0.13</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(0.01)</w:t>
            </w:r>
          </w:p>
        </w:tc>
        <w:tc>
          <w:tcPr>
            <w:tcW w:w="850" w:type="dxa"/>
            <w:tcBorders>
              <w:top w:val="nil"/>
              <w:left w:val="nil"/>
              <w:bottom w:val="nil"/>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(0.09)</w:t>
            </w:r>
          </w:p>
        </w:tc>
      </w:tr>
      <w:tr w:rsidR="00F918C3" w:rsidRPr="00946B06" w:rsidTr="00946B06">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single" w:sz="12" w:space="0" w:color="auto"/>
              <w:right w:val="nil"/>
            </w:tcBorders>
          </w:tcPr>
          <w:p w:rsidR="00F918C3" w:rsidRPr="00946B06" w:rsidRDefault="00F918C3" w:rsidP="00946B06">
            <w:pPr>
              <w:keepLines w:val="0"/>
              <w:autoSpaceDE w:val="0"/>
              <w:autoSpaceDN w:val="0"/>
              <w:adjustRightInd w:val="0"/>
              <w:rPr>
                <w:rFonts w:eastAsiaTheme="minorEastAsia" w:cs="Calibri"/>
                <w:color w:val="000000"/>
                <w:szCs w:val="17"/>
                <w:lang w:eastAsia="en-AU"/>
              </w:rPr>
            </w:pPr>
            <w:r w:rsidRPr="00946B06">
              <w:rPr>
                <w:rFonts w:eastAsiaTheme="minorEastAsia" w:cs="Calibri"/>
                <w:color w:val="000000"/>
                <w:szCs w:val="17"/>
                <w:lang w:eastAsia="en-AU"/>
              </w:rPr>
              <w:t>Wage price index</w:t>
            </w:r>
          </w:p>
        </w:tc>
        <w:tc>
          <w:tcPr>
            <w:tcW w:w="850" w:type="dxa"/>
            <w:tcBorders>
              <w:top w:val="nil"/>
              <w:left w:val="nil"/>
              <w:bottom w:val="single" w:sz="12" w:space="0" w:color="auto"/>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(0.04)</w:t>
            </w:r>
          </w:p>
        </w:tc>
        <w:tc>
          <w:tcPr>
            <w:tcW w:w="850" w:type="dxa"/>
            <w:tcBorders>
              <w:top w:val="nil"/>
              <w:left w:val="nil"/>
              <w:bottom w:val="single" w:sz="12" w:space="0" w:color="auto"/>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(0.25)</w:t>
            </w:r>
          </w:p>
        </w:tc>
        <w:tc>
          <w:tcPr>
            <w:tcW w:w="850" w:type="dxa"/>
            <w:tcBorders>
              <w:top w:val="nil"/>
              <w:left w:val="nil"/>
              <w:bottom w:val="single" w:sz="12" w:space="0" w:color="auto"/>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(0.50)</w:t>
            </w:r>
          </w:p>
        </w:tc>
        <w:tc>
          <w:tcPr>
            <w:tcW w:w="850" w:type="dxa"/>
            <w:tcBorders>
              <w:top w:val="nil"/>
              <w:left w:val="nil"/>
              <w:bottom w:val="single" w:sz="12" w:space="0" w:color="auto"/>
              <w:right w:val="nil"/>
            </w:tcBorders>
          </w:tcPr>
          <w:p w:rsidR="00F918C3" w:rsidRPr="00946B06" w:rsidRDefault="00F918C3" w:rsidP="00946B0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946B06">
              <w:rPr>
                <w:rFonts w:eastAsiaTheme="minorEastAsia" w:cs="Calibri"/>
                <w:color w:val="000000"/>
                <w:szCs w:val="17"/>
                <w:lang w:eastAsia="en-AU"/>
              </w:rPr>
              <w:t>(0.65)</w:t>
            </w:r>
          </w:p>
        </w:tc>
      </w:tr>
    </w:tbl>
    <w:p w:rsidR="00F918C3" w:rsidRDefault="00F918C3" w:rsidP="00946B06">
      <w:pPr>
        <w:pStyle w:val="Source"/>
      </w:pPr>
      <w:r w:rsidRPr="004103B7">
        <w:t>Source: Centre of Poli</w:t>
      </w:r>
      <w:r>
        <w:t>cy Studies, Victoria University</w:t>
      </w:r>
    </w:p>
    <w:p w:rsidR="00F918C3" w:rsidRDefault="00F918C3" w:rsidP="00294404">
      <w:pPr>
        <w:pStyle w:val="Note"/>
      </w:pPr>
      <w:r w:rsidRPr="004103B7">
        <w:t xml:space="preserve">Note: </w:t>
      </w:r>
    </w:p>
    <w:p w:rsidR="00F918C3" w:rsidRDefault="00F918C3" w:rsidP="00294404">
      <w:pPr>
        <w:pStyle w:val="Note"/>
      </w:pPr>
      <w:r>
        <w:t>(a)</w:t>
      </w:r>
      <w:r>
        <w:tab/>
      </w:r>
      <w:r w:rsidRPr="004103B7">
        <w:t>Figures reported are the change in the level of each parameter relative to the baseline of no change in the economic outloo</w:t>
      </w:r>
      <w:r>
        <w:t>k, for each year of the budget.</w:t>
      </w:r>
    </w:p>
    <w:p w:rsidR="00F918C3" w:rsidRDefault="00F918C3" w:rsidP="00FB51BA"/>
    <w:p w:rsidR="00F918C3" w:rsidRDefault="00F918C3" w:rsidP="00D339A4">
      <w:pPr>
        <w:keepNext/>
        <w:tabs>
          <w:tab w:val="left" w:pos="1134"/>
          <w:tab w:val="right" w:pos="7710"/>
        </w:tabs>
        <w:spacing w:before="180" w:after="60"/>
        <w:ind w:left="1134" w:hanging="1134"/>
        <w:rPr>
          <w:rFonts w:ascii="Calibri" w:eastAsia="Garamond" w:hAnsi="Calibri" w:cs="Times New Roman"/>
          <w:b/>
          <w:sz w:val="20"/>
          <w:szCs w:val="20"/>
        </w:rPr>
      </w:pPr>
      <w:r w:rsidRPr="00212986">
        <w:rPr>
          <w:rFonts w:ascii="Calibri" w:eastAsia="Garamond" w:hAnsi="Calibri" w:cs="Times New Roman"/>
          <w:b/>
          <w:sz w:val="20"/>
          <w:szCs w:val="20"/>
        </w:rPr>
        <w:t>Chart A.5:</w:t>
      </w:r>
      <w:r w:rsidRPr="00212986">
        <w:rPr>
          <w:rFonts w:ascii="Calibri" w:eastAsia="Garamond" w:hAnsi="Calibri" w:cs="Times New Roman"/>
          <w:b/>
          <w:sz w:val="20"/>
          <w:szCs w:val="20"/>
        </w:rPr>
        <w:tab/>
        <w:t>The effects on growth and employment of high labour force participation</w:t>
      </w:r>
    </w:p>
    <w:p w:rsidR="00F918C3" w:rsidRPr="00212986" w:rsidRDefault="00A9166F" w:rsidP="008E2663">
      <w:r>
        <w:pict>
          <v:shape id="_x0000_i1049" type="#_x0000_t75" style="width:382.45pt;height:228.1pt">
            <v:imagedata r:id="rId58" o:title=""/>
          </v:shape>
        </w:pict>
      </w:r>
    </w:p>
    <w:p w:rsidR="00F918C3" w:rsidRDefault="00F918C3" w:rsidP="00D339A4">
      <w:pPr>
        <w:spacing w:before="20" w:after="60"/>
        <w:rPr>
          <w:rFonts w:ascii="Calibri" w:eastAsia="Garamond" w:hAnsi="Calibri" w:cs="Times New Roman"/>
          <w:i/>
          <w:spacing w:val="-2"/>
          <w:sz w:val="14"/>
        </w:rPr>
      </w:pPr>
      <w:r w:rsidRPr="004D5BF1">
        <w:rPr>
          <w:rFonts w:ascii="Calibri" w:eastAsia="Garamond" w:hAnsi="Calibri" w:cs="Times New Roman"/>
          <w:i/>
          <w:spacing w:val="-2"/>
          <w:sz w:val="14"/>
        </w:rPr>
        <w:t>Sources: Australian Bureau of Statistics; Centre of Policy Studies; Department of Treasury and Finance</w:t>
      </w:r>
    </w:p>
    <w:p w:rsidR="00F918C3" w:rsidRPr="00C97E2B" w:rsidRDefault="00F918C3" w:rsidP="00D339A4">
      <w:pPr>
        <w:spacing w:before="20" w:after="60"/>
        <w:rPr>
          <w:rFonts w:ascii="Calibri" w:eastAsia="Garamond" w:hAnsi="Calibri" w:cs="Times New Roman"/>
          <w:i/>
          <w:spacing w:val="-2"/>
          <w:sz w:val="14"/>
        </w:rPr>
      </w:pPr>
    </w:p>
    <w:p w:rsidR="00F918C3" w:rsidRDefault="00F918C3" w:rsidP="00972577">
      <w:r w:rsidRPr="0044131A">
        <w:t xml:space="preserve">Under this scenario, general government sector revenue is higher, as shown in Table A.4. The boost to </w:t>
      </w:r>
      <w:r>
        <w:t xml:space="preserve">Victorian </w:t>
      </w:r>
      <w:r w:rsidRPr="0044131A">
        <w:t xml:space="preserve">household consumption </w:t>
      </w:r>
      <w:r>
        <w:t xml:space="preserve">raises the </w:t>
      </w:r>
      <w:r w:rsidRPr="0044131A">
        <w:t xml:space="preserve">GST </w:t>
      </w:r>
      <w:r>
        <w:t>pool</w:t>
      </w:r>
      <w:r w:rsidRPr="0044131A">
        <w:t>,</w:t>
      </w:r>
      <w:r>
        <w:rPr>
          <w:rStyle w:val="FootnoteReference"/>
        </w:rPr>
        <w:footnoteReference w:id="12"/>
      </w:r>
      <w:r w:rsidRPr="0044131A">
        <w:t xml:space="preserve"> while higher household disposable income leads to more property-based taxes being collected by the State Government.</w:t>
      </w:r>
      <w:r>
        <w:t xml:space="preserve"> In contrast, p</w:t>
      </w:r>
      <w:r w:rsidRPr="0044131A">
        <w:t>ayroll tax</w:t>
      </w:r>
      <w:r>
        <w:fldChar w:fldCharType="begin"/>
      </w:r>
      <w:r>
        <w:instrText xml:space="preserve"> XE "</w:instrText>
      </w:r>
      <w:r w:rsidRPr="00B0026B">
        <w:instrText>Taxation:Payroll</w:instrText>
      </w:r>
      <w:r>
        <w:instrText xml:space="preserve">" </w:instrText>
      </w:r>
      <w:r>
        <w:fldChar w:fldCharType="end"/>
      </w:r>
      <w:r w:rsidRPr="0044131A">
        <w:t xml:space="preserve"> collections are </w:t>
      </w:r>
      <w:r>
        <w:t>only marginally higher in the scenario</w:t>
      </w:r>
      <w:r w:rsidRPr="0044131A">
        <w:t xml:space="preserve">, as the </w:t>
      </w:r>
      <w:r>
        <w:t>effect of the higher level of</w:t>
      </w:r>
      <w:r w:rsidRPr="0044131A">
        <w:t xml:space="preserve"> employment </w:t>
      </w:r>
      <w:r>
        <w:t>and</w:t>
      </w:r>
      <w:r w:rsidRPr="0044131A">
        <w:t xml:space="preserve"> more modest wage growth </w:t>
      </w:r>
      <w:r>
        <w:t>almost negate each other</w:t>
      </w:r>
      <w:r w:rsidRPr="0044131A">
        <w:t>.</w:t>
      </w:r>
    </w:p>
    <w:p w:rsidR="00F918C3" w:rsidRDefault="00F918C3">
      <w:pPr>
        <w:keepLines w:val="0"/>
        <w:rPr>
          <w:rFonts w:asciiTheme="majorHAnsi" w:hAnsiTheme="majorHAnsi"/>
          <w:b/>
          <w:sz w:val="20"/>
          <w:szCs w:val="20"/>
        </w:rPr>
      </w:pPr>
      <w:r>
        <w:br w:type="page"/>
      </w:r>
    </w:p>
    <w:p w:rsidR="00F918C3" w:rsidRPr="003B6233" w:rsidRDefault="00F918C3" w:rsidP="007C6619">
      <w:pPr>
        <w:pStyle w:val="TableHeading"/>
      </w:pPr>
      <w:r w:rsidRPr="00193B36">
        <w:t>Table A.4:</w:t>
      </w:r>
      <w:r w:rsidRPr="00193B36">
        <w:tab/>
        <w:t>Projected fiscal impact of higher labour force participation</w:t>
      </w:r>
      <w:r>
        <w:tab/>
      </w:r>
      <w:r w:rsidRPr="004103B7">
        <w:t>($</w:t>
      </w:r>
      <w:r w:rsidR="006371F3">
        <w:t> million</w:t>
      </w:r>
      <w:r>
        <w:t>)</w:t>
      </w:r>
    </w:p>
    <w:tbl>
      <w:tblPr>
        <w:tblStyle w:val="DTFTable"/>
        <w:tblW w:w="7765" w:type="dxa"/>
        <w:tblInd w:w="45" w:type="dxa"/>
        <w:tblLayout w:type="fixed"/>
        <w:tblCellMar>
          <w:left w:w="45" w:type="dxa"/>
          <w:right w:w="45" w:type="dxa"/>
        </w:tblCellMar>
        <w:tblLook w:val="06E0" w:firstRow="1" w:lastRow="1" w:firstColumn="1" w:lastColumn="0" w:noHBand="1" w:noVBand="1"/>
      </w:tblPr>
      <w:tblGrid>
        <w:gridCol w:w="4365"/>
        <w:gridCol w:w="850"/>
        <w:gridCol w:w="850"/>
        <w:gridCol w:w="850"/>
        <w:gridCol w:w="850"/>
      </w:tblGrid>
      <w:tr w:rsidR="00F918C3" w:rsidRPr="003B6233" w:rsidTr="003B6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rPr>
                <w:rFonts w:eastAsiaTheme="minorEastAsia" w:cs="Calibri"/>
                <w:iCs/>
                <w:color w:val="000000"/>
                <w:szCs w:val="17"/>
                <w:lang w:eastAsia="en-AU"/>
              </w:rPr>
            </w:pPr>
            <w:r w:rsidRPr="003B6233">
              <w:rPr>
                <w:rFonts w:eastAsiaTheme="minorEastAsia" w:cs="Calibri"/>
                <w:iCs/>
                <w:color w:val="000000"/>
                <w:szCs w:val="17"/>
                <w:lang w:eastAsia="en-AU"/>
              </w:rPr>
              <w:t xml:space="preserve"> </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2018-19</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2019-20</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2020-21</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3B6233">
              <w:rPr>
                <w:rFonts w:eastAsiaTheme="minorEastAsia" w:cs="Calibri"/>
                <w:iCs/>
                <w:color w:val="FFFFFF"/>
                <w:szCs w:val="17"/>
                <w:lang w:eastAsia="en-AU"/>
              </w:rPr>
              <w:t>2021-22</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rPr>
                <w:rFonts w:eastAsiaTheme="minorEastAsia" w:cs="Calibri"/>
                <w:i/>
                <w:iCs/>
                <w:color w:val="000000"/>
                <w:szCs w:val="17"/>
                <w:lang w:eastAsia="en-AU"/>
              </w:rPr>
            </w:pPr>
            <w:r w:rsidRPr="003B6233">
              <w:rPr>
                <w:rFonts w:eastAsiaTheme="minorEastAsia" w:cs="Calibri"/>
                <w:i/>
                <w:iCs/>
                <w:color w:val="000000"/>
                <w:szCs w:val="17"/>
                <w:lang w:eastAsia="en-AU"/>
              </w:rPr>
              <w:t xml:space="preserve"> </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 xml:space="preserve"> estimate</w:t>
            </w:r>
          </w:p>
        </w:tc>
        <w:tc>
          <w:tcPr>
            <w:tcW w:w="850" w:type="dxa"/>
            <w:tcBorders>
              <w:top w:val="nil"/>
              <w:left w:val="nil"/>
              <w:bottom w:val="nil"/>
              <w:right w:val="nil"/>
            </w:tcBorders>
            <w:shd w:val="solid" w:color="000000" w:fill="auto"/>
          </w:tcPr>
          <w:p w:rsidR="00F918C3" w:rsidRPr="003B6233" w:rsidRDefault="00F918C3" w:rsidP="003B623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7"/>
                <w:lang w:eastAsia="en-AU"/>
              </w:rPr>
            </w:pPr>
            <w:r w:rsidRPr="003B6233">
              <w:rPr>
                <w:rFonts w:eastAsiaTheme="minorEastAsia" w:cs="Calibri"/>
                <w:i/>
                <w:iCs/>
                <w:color w:val="FFFFFF"/>
                <w:szCs w:val="17"/>
                <w:lang w:eastAsia="en-AU"/>
              </w:rPr>
              <w:t>estimate</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Income from transactions</w:t>
            </w:r>
          </w:p>
        </w:tc>
        <w:tc>
          <w:tcPr>
            <w:tcW w:w="850" w:type="dxa"/>
            <w:tcBorders>
              <w:top w:val="single" w:sz="6" w:space="0" w:color="auto"/>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210.1</w:t>
            </w:r>
          </w:p>
        </w:tc>
        <w:tc>
          <w:tcPr>
            <w:tcW w:w="850" w:type="dxa"/>
            <w:tcBorders>
              <w:top w:val="single" w:sz="6" w:space="0" w:color="auto"/>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338.8</w:t>
            </w:r>
          </w:p>
        </w:tc>
        <w:tc>
          <w:tcPr>
            <w:tcW w:w="850" w:type="dxa"/>
            <w:tcBorders>
              <w:top w:val="single" w:sz="6" w:space="0" w:color="auto"/>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297.1</w:t>
            </w:r>
          </w:p>
        </w:tc>
        <w:tc>
          <w:tcPr>
            <w:tcW w:w="850" w:type="dxa"/>
            <w:tcBorders>
              <w:top w:val="single" w:sz="6" w:space="0" w:color="auto"/>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286.9</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Expenses from transactions</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76.2</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121.3</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35.7</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(24.6)</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single" w:sz="6" w:space="0" w:color="auto"/>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result from transactions</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133.9</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217.6</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261.4</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311.5</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color w:val="000000"/>
                <w:szCs w:val="17"/>
                <w:lang w:eastAsia="en-AU"/>
              </w:rPr>
            </w:pPr>
            <w:r w:rsidRPr="003B6233">
              <w:rPr>
                <w:rFonts w:eastAsiaTheme="minorEastAsia" w:cs="Calibri"/>
                <w:color w:val="000000"/>
                <w:szCs w:val="17"/>
                <w:lang w:eastAsia="en-AU"/>
              </w:rPr>
              <w:t>Other economic flows</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2.2</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5.6</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3.7</w:t>
            </w:r>
          </w:p>
        </w:tc>
        <w:tc>
          <w:tcPr>
            <w:tcW w:w="850" w:type="dxa"/>
            <w:tcBorders>
              <w:top w:val="nil"/>
              <w:left w:val="nil"/>
              <w:bottom w:val="nil"/>
              <w:right w:val="nil"/>
            </w:tcBorders>
          </w:tcPr>
          <w:p w:rsidR="00F918C3" w:rsidRPr="00E83C7E" w:rsidRDefault="00F918C3" w:rsidP="00B94966">
            <w:pPr>
              <w:cnfStyle w:val="000000000000" w:firstRow="0" w:lastRow="0" w:firstColumn="0" w:lastColumn="0" w:oddVBand="0" w:evenVBand="0" w:oddHBand="0" w:evenHBand="0" w:firstRowFirstColumn="0" w:firstRowLastColumn="0" w:lastRowFirstColumn="0" w:lastRowLastColumn="0"/>
            </w:pPr>
            <w:r w:rsidRPr="00E83C7E">
              <w:t>3.7</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left w:val="nil"/>
              <w:bottom w:val="single" w:sz="6" w:space="0" w:color="auto"/>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result</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136.1</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223.2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265.1</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315.2</w:t>
            </w:r>
          </w:p>
        </w:tc>
      </w:tr>
      <w:tr w:rsidR="00F918C3" w:rsidRPr="003B6233" w:rsidTr="003B6233">
        <w:tc>
          <w:tcPr>
            <w:cnfStyle w:val="001000000000" w:firstRow="0" w:lastRow="0" w:firstColumn="1" w:lastColumn="0" w:oddVBand="0" w:evenVBand="0" w:oddHBand="0" w:evenHBand="0" w:firstRowFirstColumn="0" w:firstRowLastColumn="0" w:lastRowFirstColumn="0" w:lastRowLastColumn="0"/>
            <w:tcW w:w="4365" w:type="dxa"/>
            <w:tcBorders>
              <w:top w:val="nil"/>
              <w:left w:val="nil"/>
              <w:bottom w:val="nil"/>
              <w:right w:val="nil"/>
            </w:tcBorders>
          </w:tcPr>
          <w:p w:rsidR="00F918C3" w:rsidRPr="003B6233" w:rsidRDefault="00F918C3" w:rsidP="003B6233">
            <w:pPr>
              <w:keepLines w:val="0"/>
              <w:autoSpaceDE w:val="0"/>
              <w:autoSpaceDN w:val="0"/>
              <w:adjustRightInd w:val="0"/>
              <w:rPr>
                <w:rFonts w:eastAsiaTheme="minorEastAsia" w:cs="Calibri"/>
                <w:b/>
                <w:bCs/>
                <w:color w:val="000000"/>
                <w:szCs w:val="17"/>
                <w:lang w:eastAsia="en-AU"/>
              </w:rPr>
            </w:pPr>
            <w:r w:rsidRPr="003B6233">
              <w:rPr>
                <w:rFonts w:eastAsiaTheme="minorEastAsia" w:cs="Calibri"/>
                <w:b/>
                <w:bCs/>
                <w:color w:val="000000"/>
                <w:szCs w:val="17"/>
                <w:lang w:eastAsia="en-AU"/>
              </w:rPr>
              <w:t>Net debt (cumulative)</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(136.1)</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(361.6)</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(628.9)</w:t>
            </w:r>
          </w:p>
        </w:tc>
        <w:tc>
          <w:tcPr>
            <w:tcW w:w="850" w:type="dxa"/>
            <w:tcBorders>
              <w:top w:val="nil"/>
              <w:left w:val="nil"/>
              <w:bottom w:val="nil"/>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(946.4)</w:t>
            </w:r>
          </w:p>
        </w:tc>
      </w:tr>
      <w:tr w:rsidR="00F918C3" w:rsidRPr="003B6233" w:rsidTr="003B62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Borders>
              <w:top w:val="nil"/>
              <w:bottom w:val="single" w:sz="12" w:space="0" w:color="auto"/>
            </w:tcBorders>
          </w:tcPr>
          <w:p w:rsidR="00F918C3" w:rsidRPr="003B6233" w:rsidRDefault="00F918C3" w:rsidP="003B6233">
            <w:pPr>
              <w:keepLines w:val="0"/>
              <w:autoSpaceDE w:val="0"/>
              <w:autoSpaceDN w:val="0"/>
              <w:adjustRightInd w:val="0"/>
              <w:rPr>
                <w:rFonts w:eastAsiaTheme="minorEastAsia" w:cs="Calibri"/>
                <w:bCs/>
                <w:color w:val="000000"/>
                <w:szCs w:val="17"/>
                <w:lang w:eastAsia="en-AU"/>
              </w:rPr>
            </w:pPr>
            <w:r w:rsidRPr="003B6233">
              <w:rPr>
                <w:rFonts w:eastAsiaTheme="minorEastAsia" w:cs="Calibri"/>
                <w:bCs/>
                <w:color w:val="000000"/>
                <w:szCs w:val="17"/>
                <w:lang w:eastAsia="en-AU"/>
              </w:rPr>
              <w:t>Net debt to GSP ratio (percentage point difference)</w:t>
            </w:r>
          </w:p>
        </w:tc>
        <w:tc>
          <w:tcPr>
            <w:tcW w:w="850" w:type="dxa"/>
            <w:tcBorders>
              <w:top w:val="nil"/>
              <w:bottom w:val="single" w:sz="12" w:space="0" w:color="auto"/>
            </w:tcBorders>
          </w:tcPr>
          <w:p w:rsidR="00F918C3" w:rsidRPr="00E83C7E" w:rsidRDefault="00F918C3" w:rsidP="00B94966">
            <w:pPr>
              <w:cnfStyle w:val="010000000000" w:firstRow="0" w:lastRow="1" w:firstColumn="0" w:lastColumn="0" w:oddVBand="0" w:evenVBand="0" w:oddHBand="0" w:evenHBand="0" w:firstRowFirstColumn="0" w:firstRowLastColumn="0" w:lastRowFirstColumn="0" w:lastRowLastColumn="0"/>
            </w:pPr>
            <w:r w:rsidRPr="00E83C7E">
              <w:t>(0.04)</w:t>
            </w:r>
          </w:p>
        </w:tc>
        <w:tc>
          <w:tcPr>
            <w:tcW w:w="850" w:type="dxa"/>
            <w:tcBorders>
              <w:top w:val="nil"/>
              <w:bottom w:val="single" w:sz="12" w:space="0" w:color="auto"/>
            </w:tcBorders>
          </w:tcPr>
          <w:p w:rsidR="00F918C3" w:rsidRPr="00E83C7E" w:rsidRDefault="00F918C3" w:rsidP="00B94966">
            <w:pPr>
              <w:cnfStyle w:val="010000000000" w:firstRow="0" w:lastRow="1" w:firstColumn="0" w:lastColumn="0" w:oddVBand="0" w:evenVBand="0" w:oddHBand="0" w:evenHBand="0" w:firstRowFirstColumn="0" w:firstRowLastColumn="0" w:lastRowFirstColumn="0" w:lastRowLastColumn="0"/>
            </w:pPr>
            <w:r w:rsidRPr="00E83C7E">
              <w:t>(0.10)</w:t>
            </w:r>
          </w:p>
        </w:tc>
        <w:tc>
          <w:tcPr>
            <w:tcW w:w="850" w:type="dxa"/>
            <w:tcBorders>
              <w:top w:val="nil"/>
              <w:bottom w:val="single" w:sz="12" w:space="0" w:color="auto"/>
            </w:tcBorders>
          </w:tcPr>
          <w:p w:rsidR="00F918C3" w:rsidRPr="00E83C7E" w:rsidRDefault="00F918C3" w:rsidP="00B94966">
            <w:pPr>
              <w:cnfStyle w:val="010000000000" w:firstRow="0" w:lastRow="1" w:firstColumn="0" w:lastColumn="0" w:oddVBand="0" w:evenVBand="0" w:oddHBand="0" w:evenHBand="0" w:firstRowFirstColumn="0" w:firstRowLastColumn="0" w:lastRowFirstColumn="0" w:lastRowLastColumn="0"/>
            </w:pPr>
            <w:r w:rsidRPr="00E83C7E">
              <w:t>(0.15)</w:t>
            </w:r>
          </w:p>
        </w:tc>
        <w:tc>
          <w:tcPr>
            <w:tcW w:w="850" w:type="dxa"/>
            <w:tcBorders>
              <w:top w:val="nil"/>
              <w:bottom w:val="single" w:sz="12" w:space="0" w:color="auto"/>
            </w:tcBorders>
          </w:tcPr>
          <w:p w:rsidR="00F918C3" w:rsidRDefault="00F918C3" w:rsidP="00B94966">
            <w:pPr>
              <w:cnfStyle w:val="010000000000" w:firstRow="0" w:lastRow="1" w:firstColumn="0" w:lastColumn="0" w:oddVBand="0" w:evenVBand="0" w:oddHBand="0" w:evenHBand="0" w:firstRowFirstColumn="0" w:firstRowLastColumn="0" w:lastRowFirstColumn="0" w:lastRowLastColumn="0"/>
            </w:pPr>
            <w:r w:rsidRPr="00E83C7E">
              <w:t>(0.21)</w:t>
            </w:r>
          </w:p>
        </w:tc>
      </w:tr>
    </w:tbl>
    <w:p w:rsidR="00F918C3" w:rsidRDefault="00F918C3" w:rsidP="00FE16CA">
      <w:pPr>
        <w:pStyle w:val="Source"/>
      </w:pPr>
      <w:r w:rsidRPr="004103B7">
        <w:t>Source: Department of Treasury and Finance</w:t>
      </w:r>
    </w:p>
    <w:p w:rsidR="00F918C3" w:rsidRDefault="00F918C3" w:rsidP="00DE5C56">
      <w:r>
        <w:t>Government expenses are marginally higher under the scenario, reflecting higher public sector employment. However, these effects largely unwind by the last year of the forward estimates, reflecting the pass</w:t>
      </w:r>
      <w:r>
        <w:noBreakHyphen/>
        <w:t>through of more modest economy</w:t>
      </w:r>
      <w:r>
        <w:noBreakHyphen/>
        <w:t>wide wages</w:t>
      </w:r>
      <w:r>
        <w:fldChar w:fldCharType="begin"/>
      </w:r>
      <w:r>
        <w:instrText xml:space="preserve"> XE "</w:instrText>
      </w:r>
      <w:r w:rsidRPr="00E3034A">
        <w:instrText>Wages</w:instrText>
      </w:r>
      <w:r>
        <w:instrText xml:space="preserve">" </w:instrText>
      </w:r>
      <w:r>
        <w:fldChar w:fldCharType="end"/>
      </w:r>
      <w:r>
        <w:t xml:space="preserve"> growth. These impacts reflect the assumed relationship between private and public sector employment and wages</w:t>
      </w:r>
      <w:r>
        <w:fldChar w:fldCharType="begin"/>
      </w:r>
      <w:r>
        <w:instrText xml:space="preserve"> XE "</w:instrText>
      </w:r>
      <w:r w:rsidRPr="00E3034A">
        <w:instrText>Wages</w:instrText>
      </w:r>
      <w:r>
        <w:instrText xml:space="preserve">" </w:instrText>
      </w:r>
      <w:r>
        <w:fldChar w:fldCharType="end"/>
      </w:r>
      <w:r>
        <w:t xml:space="preserve"> in the model, as discussed in the lower household consumption and dwelling investment</w:t>
      </w:r>
      <w:r>
        <w:fldChar w:fldCharType="begin"/>
      </w:r>
      <w:r>
        <w:instrText xml:space="preserve"> XE "</w:instrText>
      </w:r>
      <w:r w:rsidRPr="003D480B">
        <w:instrText>Dwelling investment</w:instrText>
      </w:r>
      <w:r>
        <w:instrText xml:space="preserve">" </w:instrText>
      </w:r>
      <w:r>
        <w:fldChar w:fldCharType="end"/>
      </w:r>
      <w:r>
        <w:t xml:space="preserve"> scenario. </w:t>
      </w:r>
      <w:r w:rsidRPr="00175A3E">
        <w:t xml:space="preserve">Overall, the increase in revenue more than offsets the immediate rise in expenses, boosting the net result </w:t>
      </w:r>
      <w:r>
        <w:t xml:space="preserve">across all four years of the budget and forward estimates </w:t>
      </w:r>
      <w:r w:rsidRPr="00175A3E">
        <w:t>and leading to a fall in the stock of net debt</w:t>
      </w:r>
      <w:r>
        <w:fldChar w:fldCharType="begin"/>
      </w:r>
      <w:r>
        <w:instrText xml:space="preserve"> XE "</w:instrText>
      </w:r>
      <w:r w:rsidRPr="00F81D16">
        <w:instrText>Debt:Net debt</w:instrText>
      </w:r>
      <w:r>
        <w:instrText xml:space="preserve">" </w:instrText>
      </w:r>
      <w:r>
        <w:fldChar w:fldCharType="end"/>
      </w:r>
      <w:r w:rsidRPr="00175A3E">
        <w:t>.</w:t>
      </w:r>
      <w:r>
        <w:fldChar w:fldCharType="begin"/>
      </w:r>
      <w:r>
        <w:instrText xml:space="preserve"> XE "</w:instrText>
      </w:r>
      <w:r w:rsidRPr="00BE721C">
        <w:instrText>Labour force participation</w:instrText>
      </w:r>
      <w:r>
        <w:instrText xml:space="preserve">" \r "BP2AppALabourForceParticipation" </w:instrText>
      </w:r>
      <w:r>
        <w:fldChar w:fldCharType="end"/>
      </w:r>
    </w:p>
    <w:p w:rsidR="00F918C3" w:rsidRPr="00BB71B2" w:rsidRDefault="00F918C3" w:rsidP="000F3018">
      <w:pPr>
        <w:pStyle w:val="Heading10"/>
      </w:pPr>
      <w:bookmarkStart w:id="84" w:name="_Toc512629773"/>
      <w:bookmarkEnd w:id="83"/>
      <w:r w:rsidRPr="00BB71B2">
        <w:t>Sensitivity to independent variations in major economic parameters</w:t>
      </w:r>
      <w:bookmarkEnd w:id="84"/>
    </w:p>
    <w:p w:rsidR="00F918C3" w:rsidRDefault="00F918C3" w:rsidP="004103B7">
      <w:r w:rsidRPr="00972577">
        <w:t>Table A.5 presents the sensitivity of financial aggregates where the levels of key economic parameters are one per cent (or</w:t>
      </w:r>
      <w:r>
        <w:t>, for interest rates,</w:t>
      </w:r>
      <w:r w:rsidRPr="00972577">
        <w:t xml:space="preserve"> one percentage point) above the forecast for each year of the budget and forward estimates, holding all else constant. The impacts shown are broadly symmetric; that is, the estimated fiscal impacts would apply approximately equally in the opposite direction where there is a decrease</w:t>
      </w:r>
      <w:r>
        <w:t xml:space="preserve"> in the parameter</w:t>
      </w:r>
      <w:r w:rsidRPr="00972577">
        <w:t>. Differences may arise to the extent that the impact on income tax equivalent income may not be symmetric because that line item is subject to a floor of zero</w:t>
      </w:r>
      <w:r>
        <w:t>, and the impact on dividends may be affected by some entities facing caps on the share of profits that can be returned to the general government sector</w:t>
      </w:r>
      <w:r w:rsidRPr="00972577">
        <w:t>.</w:t>
      </w:r>
    </w:p>
    <w:p w:rsidR="00F918C3" w:rsidRDefault="00F918C3" w:rsidP="00B720EB">
      <w:pPr>
        <w:pStyle w:val="TableHeading"/>
      </w:pPr>
      <w:r>
        <w:br w:type="page"/>
      </w:r>
    </w:p>
    <w:p w:rsidR="00F918C3" w:rsidRPr="003D4BA0" w:rsidRDefault="00F918C3" w:rsidP="007C6619">
      <w:pPr>
        <w:pStyle w:val="TableHeading"/>
      </w:pPr>
      <w:bookmarkStart w:id="85" w:name="BP2AppAAvgWeeklyEarnings"/>
      <w:r w:rsidRPr="00B720EB">
        <w:t>Table A.5:</w:t>
      </w:r>
      <w:r w:rsidRPr="00B720EB">
        <w:tab/>
        <w:t xml:space="preserve">Sensitivity of key fiscal aggregates to selected indicators being </w:t>
      </w:r>
      <w:r>
        <w:br/>
      </w:r>
      <w:r w:rsidRPr="00B720EB">
        <w:t>1 per cent higher than expected from 2018-19</w:t>
      </w:r>
      <w:r w:rsidRPr="00B720EB">
        <w:rPr>
          <w:vertAlign w:val="superscript"/>
        </w:rPr>
        <w:t xml:space="preserve"> (a)(b)(c)(d)</w:t>
      </w:r>
      <w:r>
        <w:rPr>
          <w:vertAlign w:val="superscript"/>
        </w:rPr>
        <w:tab/>
      </w:r>
      <w:r w:rsidRPr="00B720EB">
        <w:t>($</w:t>
      </w:r>
      <w:r w:rsidR="006371F3">
        <w:t> million</w:t>
      </w:r>
      <w:r>
        <w:t>)</w:t>
      </w:r>
    </w:p>
    <w:tbl>
      <w:tblPr>
        <w:tblStyle w:val="DTFTable"/>
        <w:tblW w:w="7760" w:type="dxa"/>
        <w:tblInd w:w="45" w:type="dxa"/>
        <w:tblLayout w:type="fixed"/>
        <w:tblCellMar>
          <w:left w:w="45" w:type="dxa"/>
          <w:right w:w="45" w:type="dxa"/>
        </w:tblCellMar>
        <w:tblLook w:val="06E0" w:firstRow="1" w:lastRow="1" w:firstColumn="1" w:lastColumn="0" w:noHBand="1" w:noVBand="1"/>
      </w:tblPr>
      <w:tblGrid>
        <w:gridCol w:w="4362"/>
        <w:gridCol w:w="849"/>
        <w:gridCol w:w="849"/>
        <w:gridCol w:w="850"/>
        <w:gridCol w:w="850"/>
      </w:tblGrid>
      <w:tr w:rsidR="00F918C3" w:rsidRPr="007C6619" w:rsidTr="007C66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nil"/>
              <w:right w:val="nil"/>
            </w:tcBorders>
            <w:shd w:val="solid" w:color="000000" w:fill="auto"/>
          </w:tcPr>
          <w:p w:rsidR="00F918C3" w:rsidRPr="007C6619" w:rsidRDefault="00F918C3" w:rsidP="007C6619">
            <w:pPr>
              <w:keepLines w:val="0"/>
              <w:autoSpaceDE w:val="0"/>
              <w:autoSpaceDN w:val="0"/>
              <w:adjustRightInd w:val="0"/>
              <w:ind w:left="0" w:firstLine="0"/>
            </w:pPr>
            <w:r w:rsidRPr="007C6619">
              <w:rPr>
                <w:rFonts w:eastAsiaTheme="minorEastAsia" w:cs="Calibri"/>
                <w:iCs/>
                <w:color w:val="FFFFFF"/>
                <w:szCs w:val="17"/>
                <w:lang w:eastAsia="en-AU"/>
              </w:rPr>
              <w:t xml:space="preserve"> </w:t>
            </w:r>
          </w:p>
        </w:tc>
        <w:tc>
          <w:tcPr>
            <w:tcW w:w="849" w:type="dxa"/>
            <w:tcBorders>
              <w:top w:val="single" w:sz="6" w:space="0" w:color="auto"/>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2018-19</w:t>
            </w:r>
          </w:p>
        </w:tc>
        <w:tc>
          <w:tcPr>
            <w:tcW w:w="849" w:type="dxa"/>
            <w:tcBorders>
              <w:top w:val="single" w:sz="6" w:space="0" w:color="auto"/>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2019-20</w:t>
            </w:r>
          </w:p>
        </w:tc>
        <w:tc>
          <w:tcPr>
            <w:tcW w:w="850" w:type="dxa"/>
            <w:tcBorders>
              <w:top w:val="single" w:sz="6" w:space="0" w:color="auto"/>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2020-21</w:t>
            </w:r>
          </w:p>
        </w:tc>
        <w:tc>
          <w:tcPr>
            <w:tcW w:w="850" w:type="dxa"/>
            <w:tcBorders>
              <w:top w:val="single" w:sz="6" w:space="0" w:color="auto"/>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2021-22</w:t>
            </w:r>
          </w:p>
        </w:tc>
      </w:tr>
      <w:tr w:rsidR="00F918C3" w:rsidRPr="007C6619" w:rsidTr="007C66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shd w:val="solid" w:color="000000" w:fill="auto"/>
          </w:tcPr>
          <w:p w:rsidR="00F918C3" w:rsidRPr="007C6619" w:rsidRDefault="00F918C3" w:rsidP="007C6619">
            <w:pPr>
              <w:keepLines w:val="0"/>
              <w:autoSpaceDE w:val="0"/>
              <w:autoSpaceDN w:val="0"/>
              <w:adjustRightInd w:val="0"/>
              <w:rPr>
                <w:rFonts w:eastAsiaTheme="minorEastAsia" w:cs="Calibri"/>
                <w:color w:val="FFFFFF"/>
                <w:szCs w:val="17"/>
                <w:lang w:eastAsia="en-AU"/>
              </w:rPr>
            </w:pPr>
            <w:r w:rsidRPr="007C6619">
              <w:rPr>
                <w:rFonts w:eastAsiaTheme="minorEastAsia" w:cs="Calibri"/>
                <w:color w:val="FFFFFF"/>
                <w:szCs w:val="17"/>
                <w:lang w:eastAsia="en-AU"/>
              </w:rPr>
              <w:t xml:space="preserve"> </w:t>
            </w:r>
          </w:p>
        </w:tc>
        <w:tc>
          <w:tcPr>
            <w:tcW w:w="849" w:type="dxa"/>
            <w:tcBorders>
              <w:top w:val="nil"/>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estimate</w:t>
            </w:r>
          </w:p>
        </w:tc>
        <w:tc>
          <w:tcPr>
            <w:tcW w:w="849" w:type="dxa"/>
            <w:tcBorders>
              <w:top w:val="nil"/>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estimate</w:t>
            </w:r>
          </w:p>
        </w:tc>
        <w:tc>
          <w:tcPr>
            <w:tcW w:w="850" w:type="dxa"/>
            <w:tcBorders>
              <w:top w:val="nil"/>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estimate</w:t>
            </w:r>
          </w:p>
        </w:tc>
        <w:tc>
          <w:tcPr>
            <w:tcW w:w="850" w:type="dxa"/>
            <w:tcBorders>
              <w:top w:val="nil"/>
              <w:left w:val="nil"/>
              <w:bottom w:val="nil"/>
              <w:right w:val="nil"/>
            </w:tcBorders>
            <w:shd w:val="solid" w:color="000000" w:fill="auto"/>
          </w:tcPr>
          <w:p w:rsidR="00F918C3" w:rsidRPr="007C6619" w:rsidRDefault="00F918C3" w:rsidP="007C661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7C6619">
              <w:rPr>
                <w:rFonts w:eastAsiaTheme="minorEastAsia" w:cs="Calibri"/>
                <w:iCs/>
                <w:color w:val="FFFFFF"/>
                <w:szCs w:val="17"/>
                <w:lang w:eastAsia="en-AU"/>
              </w:rPr>
              <w:t>estimate</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GSP</w:t>
            </w:r>
          </w:p>
        </w:tc>
        <w:tc>
          <w:tcPr>
            <w:tcW w:w="849"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7C6619">
              <w:rPr>
                <w:rFonts w:eastAsiaTheme="minorEastAsia" w:cs="Calibri"/>
                <w:color w:val="000000"/>
                <w:szCs w:val="17"/>
                <w:lang w:eastAsia="en-AU"/>
              </w:rPr>
              <w:t xml:space="preserve"> </w:t>
            </w:r>
          </w:p>
        </w:tc>
        <w:tc>
          <w:tcPr>
            <w:tcW w:w="849"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7C6619">
              <w:rPr>
                <w:rFonts w:eastAsiaTheme="minorEastAsia" w:cs="Calibri"/>
                <w:color w:val="000000"/>
                <w:szCs w:val="17"/>
                <w:lang w:eastAsia="en-AU"/>
              </w:rPr>
              <w:t xml:space="preserve"> </w:t>
            </w:r>
          </w:p>
        </w:tc>
        <w:tc>
          <w:tcPr>
            <w:tcW w:w="850"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7C6619">
              <w:rPr>
                <w:rFonts w:eastAsiaTheme="minorEastAsia" w:cs="Calibri"/>
                <w:color w:val="000000"/>
                <w:szCs w:val="17"/>
                <w:lang w:eastAsia="en-AU"/>
              </w:rPr>
              <w:t xml:space="preserve"> </w:t>
            </w:r>
          </w:p>
        </w:tc>
        <w:tc>
          <w:tcPr>
            <w:tcW w:w="850"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7C6619">
              <w:rPr>
                <w:rFonts w:eastAsiaTheme="minorEastAsia" w:cs="Calibri"/>
                <w:color w:val="000000"/>
                <w:szCs w:val="17"/>
                <w:lang w:eastAsia="en-AU"/>
              </w:rPr>
              <w:t xml:space="preserve"> </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115</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118</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123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125</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(9)</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(14)</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114</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122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132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139</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(114)</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(236)</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(368)</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(507)</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lang w:eastAsia="en-AU"/>
              </w:rPr>
            </w:pPr>
            <w:r w:rsidRPr="007C6619">
              <w:rPr>
                <w:rFonts w:eastAsiaTheme="minorEastAsia" w:cs="Calibri"/>
                <w:b/>
                <w:bCs/>
                <w:color w:val="000000"/>
                <w:szCs w:val="17"/>
                <w:lang w:eastAsia="en-AU"/>
              </w:rPr>
              <w:t>Employment</w:t>
            </w:r>
            <w:r w:rsidRPr="007C6619">
              <w:rPr>
                <w:rFonts w:eastAsiaTheme="minorEastAsia" w:cs="Calibri"/>
                <w:b/>
                <w:bCs/>
                <w:color w:val="000000"/>
                <w:lang w:eastAsia="en-AU"/>
              </w:rPr>
              <w:t xml:space="preserve"> </w:t>
            </w:r>
            <w:r w:rsidRPr="007C6619">
              <w:rPr>
                <w:rFonts w:eastAsiaTheme="minorEastAsia" w:cs="Calibri"/>
                <w:b/>
                <w:bCs/>
                <w:color w:val="000000"/>
                <w:vertAlign w:val="superscript"/>
                <w:lang w:eastAsia="en-AU"/>
              </w:rPr>
              <w:t>(e)</w:t>
            </w:r>
            <w:r w:rsidRPr="007C6619">
              <w:rPr>
                <w:rFonts w:eastAsiaTheme="minorEastAsia" w:cs="Calibri"/>
                <w:b/>
                <w:bCs/>
                <w:color w:val="000000"/>
                <w:lang w:eastAsia="en-AU"/>
              </w:rPr>
              <w:t xml:space="preserve"> </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78</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83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87</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93</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260</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275</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293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311</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(181)</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(192)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(205)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(218)</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181</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373</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579</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796</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lang w:eastAsia="en-AU"/>
              </w:rPr>
            </w:pPr>
            <w:r w:rsidRPr="007C6619">
              <w:rPr>
                <w:rFonts w:eastAsiaTheme="minorEastAsia" w:cs="Calibri"/>
                <w:b/>
                <w:bCs/>
                <w:color w:val="000000"/>
                <w:szCs w:val="17"/>
                <w:lang w:eastAsia="en-AU"/>
              </w:rPr>
              <w:t xml:space="preserve">Consumer prices </w:t>
            </w:r>
            <w:r w:rsidRPr="007C6619">
              <w:rPr>
                <w:rFonts w:eastAsiaTheme="minorEastAsia" w:cs="Calibri"/>
                <w:b/>
                <w:bCs/>
                <w:color w:val="000000"/>
                <w:vertAlign w:val="superscript"/>
                <w:lang w:eastAsia="en-AU"/>
              </w:rPr>
              <w:t>(f)</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240</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180</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262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319</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217</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209</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210</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213</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23</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(29)</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106</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(23)</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(64)</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(178)</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Average weekly earnings</w:t>
            </w:r>
            <w:r>
              <w:rPr>
                <w:rFonts w:eastAsiaTheme="minorEastAsia" w:cs="Calibri"/>
                <w:b/>
                <w:bCs/>
                <w:color w:val="000000"/>
                <w:szCs w:val="17"/>
                <w:lang w:eastAsia="en-AU"/>
              </w:rPr>
              <w:t xml:space="preserve"> </w:t>
            </w:r>
            <w:r w:rsidRPr="007C6619">
              <w:rPr>
                <w:rFonts w:eastAsiaTheme="minorEastAsia" w:cs="Calibri"/>
                <w:b/>
                <w:bCs/>
                <w:color w:val="000000"/>
                <w:vertAlign w:val="superscript"/>
                <w:lang w:eastAsia="en-AU"/>
              </w:rPr>
              <w:t>(g)</w:t>
            </w:r>
            <w:r w:rsidRPr="007C6619">
              <w:rPr>
                <w:rFonts w:eastAsiaTheme="minorEastAsia" w:cs="Calibri"/>
                <w:b/>
                <w:bCs/>
                <w:color w:val="000000"/>
                <w:szCs w:val="17"/>
                <w:lang w:eastAsia="en-AU"/>
              </w:rPr>
              <w:t xml:space="preserve"> </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49</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(27)</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35</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45</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(31)</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31</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(45)</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(20)</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(19)</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E6637">
            <w:pPr>
              <w:keepLines w:val="0"/>
              <w:autoSpaceDE w:val="0"/>
              <w:autoSpaceDN w:val="0"/>
              <w:adjustRightInd w:val="0"/>
              <w:rPr>
                <w:rFonts w:eastAsiaTheme="minorEastAsia" w:cs="Calibri"/>
                <w:b/>
                <w:bCs/>
                <w:color w:val="000000"/>
                <w:lang w:eastAsia="en-AU"/>
              </w:rPr>
            </w:pPr>
            <w:r w:rsidRPr="007C6619">
              <w:rPr>
                <w:rFonts w:eastAsiaTheme="minorEastAsia" w:cs="Calibri"/>
                <w:b/>
                <w:bCs/>
                <w:color w:val="000000"/>
                <w:szCs w:val="17"/>
                <w:lang w:eastAsia="en-AU"/>
              </w:rPr>
              <w:t>Total employee expenses</w:t>
            </w:r>
            <w:r>
              <w:rPr>
                <w:rFonts w:eastAsiaTheme="minorEastAsia" w:cs="Calibri"/>
                <w:b/>
                <w:bCs/>
                <w:color w:val="000000"/>
                <w:szCs w:val="17"/>
                <w:lang w:eastAsia="en-AU"/>
              </w:rPr>
              <w:t xml:space="preserve"> </w:t>
            </w:r>
            <w:r w:rsidRPr="007C6619">
              <w:rPr>
                <w:rFonts w:eastAsiaTheme="minorEastAsia" w:cs="Calibri"/>
                <w:b/>
                <w:bCs/>
                <w:color w:val="000000"/>
                <w:vertAlign w:val="superscript"/>
                <w:lang w:eastAsia="en-AU"/>
              </w:rPr>
              <w:t>(</w:t>
            </w:r>
            <w:r>
              <w:rPr>
                <w:rFonts w:eastAsiaTheme="minorEastAsia" w:cs="Calibri"/>
                <w:b/>
                <w:bCs/>
                <w:color w:val="000000"/>
                <w:vertAlign w:val="superscript"/>
                <w:lang w:eastAsia="en-AU"/>
              </w:rPr>
              <w:t>h</w:t>
            </w:r>
            <w:r w:rsidRPr="007C6619">
              <w:rPr>
                <w:rFonts w:eastAsiaTheme="minorEastAsia" w:cs="Calibri"/>
                <w:b/>
                <w:bCs/>
                <w:color w:val="000000"/>
                <w:vertAlign w:val="superscript"/>
                <w:lang w:eastAsia="en-AU"/>
              </w:rPr>
              <w:t>)</w:t>
            </w:r>
            <w:r w:rsidRPr="007C6619">
              <w:rPr>
                <w:rFonts w:eastAsiaTheme="minorEastAsia" w:cs="Calibri"/>
                <w:b/>
                <w:bCs/>
                <w:color w:val="000000"/>
                <w:szCs w:val="17"/>
                <w:lang w:eastAsia="en-AU"/>
              </w:rPr>
              <w:t xml:space="preserve">  </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w:t>
            </w:r>
          </w:p>
        </w:tc>
        <w:tc>
          <w:tcPr>
            <w:tcW w:w="849"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24</w:t>
            </w:r>
          </w:p>
        </w:tc>
        <w:tc>
          <w:tcPr>
            <w:tcW w:w="850"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83</w:t>
            </w:r>
          </w:p>
        </w:tc>
        <w:tc>
          <w:tcPr>
            <w:tcW w:w="850"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92</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261</w:t>
            </w:r>
          </w:p>
        </w:tc>
        <w:tc>
          <w:tcPr>
            <w:tcW w:w="849"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313</w:t>
            </w:r>
          </w:p>
        </w:tc>
        <w:tc>
          <w:tcPr>
            <w:tcW w:w="850"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333</w:t>
            </w:r>
          </w:p>
        </w:tc>
        <w:tc>
          <w:tcPr>
            <w:tcW w:w="850" w:type="dxa"/>
            <w:tcBorders>
              <w:top w:val="nil"/>
              <w:left w:val="nil"/>
              <w:bottom w:val="nil"/>
              <w:right w:val="nil"/>
            </w:tcBorders>
          </w:tcPr>
          <w:p w:rsidR="00F918C3" w:rsidRPr="00DC27A0" w:rsidRDefault="00F918C3" w:rsidP="00B94966">
            <w:pPr>
              <w:cnfStyle w:val="000000000000" w:firstRow="0" w:lastRow="0" w:firstColumn="0" w:lastColumn="0" w:oddVBand="0" w:evenVBand="0" w:oddHBand="0" w:evenHBand="0" w:firstRowFirstColumn="0" w:firstRowLastColumn="0" w:lastRowFirstColumn="0" w:lastRowLastColumn="0"/>
            </w:pPr>
            <w:r w:rsidRPr="00DC27A0">
              <w:t>354</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(261)</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(289)</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(250)</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(261)</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261</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535</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770</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w:t>
            </w:r>
            <w:r>
              <w:rPr>
                <w:b/>
              </w:rPr>
              <w:t xml:space="preserve"> </w:t>
            </w:r>
            <w:r w:rsidRPr="00A36E62">
              <w:rPr>
                <w:b/>
              </w:rPr>
              <w:t>015</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 xml:space="preserve">Domestic share prices </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9</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t>..</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12</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(16)</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 xml:space="preserve">Overseas share prices </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7</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4</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24</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t>..</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(3)</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9</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27</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(10)</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(15)</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(39)</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Property prices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97</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99</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104</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107</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(2)</w:t>
            </w:r>
          </w:p>
        </w:tc>
        <w:tc>
          <w:tcPr>
            <w:tcW w:w="849"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(7)</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(11)</w:t>
            </w:r>
          </w:p>
        </w:tc>
        <w:tc>
          <w:tcPr>
            <w:tcW w:w="850" w:type="dxa"/>
            <w:tcBorders>
              <w:top w:val="nil"/>
              <w:left w:val="nil"/>
              <w:bottom w:val="nil"/>
              <w:right w:val="nil"/>
            </w:tcBorders>
          </w:tcPr>
          <w:p w:rsidR="00F918C3" w:rsidRPr="008270F2" w:rsidRDefault="00F918C3" w:rsidP="00B94966">
            <w:pPr>
              <w:cnfStyle w:val="000000000000" w:firstRow="0" w:lastRow="0" w:firstColumn="0" w:lastColumn="0" w:oddVBand="0" w:evenVBand="0" w:oddHBand="0" w:evenHBand="0" w:firstRowFirstColumn="0" w:firstRowLastColumn="0" w:lastRowFirstColumn="0" w:lastRowLastColumn="0"/>
            </w:pPr>
            <w:r w:rsidRPr="008270F2">
              <w:t>(16)</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99</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105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115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123</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(102)</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(211)</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(328)</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(455)</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pageBreakBefore/>
              <w:autoSpaceDE w:val="0"/>
              <w:autoSpaceDN w:val="0"/>
              <w:adjustRightInd w:val="0"/>
              <w:ind w:left="173" w:hanging="173"/>
              <w:rPr>
                <w:rFonts w:eastAsiaTheme="minorEastAsia" w:cs="Calibri"/>
                <w:b/>
                <w:bCs/>
                <w:color w:val="000000"/>
                <w:szCs w:val="17"/>
                <w:lang w:eastAsia="en-AU"/>
              </w:rPr>
            </w:pPr>
            <w:r w:rsidRPr="007C6619">
              <w:rPr>
                <w:rFonts w:eastAsiaTheme="minorEastAsia" w:cs="Calibri"/>
                <w:b/>
                <w:bCs/>
                <w:color w:val="000000"/>
                <w:szCs w:val="17"/>
                <w:lang w:eastAsia="en-AU"/>
              </w:rPr>
              <w:t>Property volumes</w:t>
            </w:r>
          </w:p>
        </w:tc>
        <w:tc>
          <w:tcPr>
            <w:tcW w:w="849"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
        </w:tc>
        <w:tc>
          <w:tcPr>
            <w:tcW w:w="849"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
        </w:tc>
        <w:tc>
          <w:tcPr>
            <w:tcW w:w="850"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
        </w:tc>
        <w:tc>
          <w:tcPr>
            <w:tcW w:w="850" w:type="dxa"/>
            <w:tcBorders>
              <w:top w:val="nil"/>
              <w:left w:val="nil"/>
              <w:bottom w:val="nil"/>
              <w:right w:val="nil"/>
            </w:tcBorders>
          </w:tcPr>
          <w:p w:rsidR="00F918C3" w:rsidRPr="007C6619" w:rsidRDefault="00F918C3" w:rsidP="007C6619">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66</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68</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70</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73</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(4)</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(7)</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(11)</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68</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72</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78</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84</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12"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debt</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(68)</w:t>
            </w:r>
          </w:p>
        </w:tc>
        <w:tc>
          <w:tcPr>
            <w:tcW w:w="849"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(140)</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(218)</w:t>
            </w:r>
          </w:p>
        </w:tc>
        <w:tc>
          <w:tcPr>
            <w:tcW w:w="850" w:type="dxa"/>
            <w:tcBorders>
              <w:top w:val="single" w:sz="6" w:space="0" w:color="auto"/>
              <w:left w:val="nil"/>
              <w:bottom w:val="single" w:sz="12"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(301)</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ind w:left="173" w:hanging="173"/>
              <w:rPr>
                <w:rFonts w:eastAsiaTheme="minorEastAsia" w:cs="Calibri"/>
                <w:b/>
                <w:bCs/>
                <w:color w:val="000000"/>
                <w:lang w:eastAsia="en-AU"/>
              </w:rPr>
            </w:pPr>
            <w:r w:rsidRPr="007C6619">
              <w:rPr>
                <w:rFonts w:eastAsiaTheme="minorEastAsia" w:cs="Calibri"/>
                <w:b/>
                <w:bCs/>
                <w:color w:val="000000"/>
                <w:szCs w:val="17"/>
                <w:lang w:eastAsia="en-AU"/>
              </w:rPr>
              <w:t>Interest rates</w:t>
            </w:r>
            <w:r w:rsidRPr="007C6619">
              <w:rPr>
                <w:rFonts w:eastAsiaTheme="minorEastAsia" w:cs="Calibri"/>
                <w:b/>
                <w:bCs/>
                <w:color w:val="000000"/>
                <w:lang w:eastAsia="en-AU"/>
              </w:rPr>
              <w:t xml:space="preserve"> </w:t>
            </w:r>
            <w:r>
              <w:rPr>
                <w:rFonts w:eastAsiaTheme="minorEastAsia" w:cs="Calibri"/>
                <w:b/>
                <w:bCs/>
                <w:color w:val="000000"/>
                <w:vertAlign w:val="superscript"/>
                <w:lang w:eastAsia="en-AU"/>
              </w:rPr>
              <w:t>(i</w:t>
            </w:r>
            <w:r w:rsidRPr="007C6619">
              <w:rPr>
                <w:rFonts w:eastAsiaTheme="minorEastAsia" w:cs="Calibri"/>
                <w:b/>
                <w:bCs/>
                <w:color w:val="000000"/>
                <w:vertAlign w:val="superscript"/>
                <w:lang w:eastAsia="en-AU"/>
              </w:rPr>
              <w:t>)</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Income from transactions</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612</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116</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168</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315</w:t>
            </w:r>
          </w:p>
        </w:tc>
      </w:tr>
      <w:tr w:rsidR="00F918C3" w:rsidRPr="007C6619" w:rsidTr="007C6619">
        <w:tc>
          <w:tcPr>
            <w:cnfStyle w:val="001000000000" w:firstRow="0" w:lastRow="0" w:firstColumn="1" w:lastColumn="0" w:oddVBand="0" w:evenVBand="0" w:oddHBand="0" w:evenHBand="0" w:firstRowFirstColumn="0" w:firstRowLastColumn="0" w:lastRowFirstColumn="0" w:lastRowLastColumn="0"/>
            <w:tcW w:w="4362" w:type="dxa"/>
            <w:tcBorders>
              <w:top w:val="nil"/>
              <w:left w:val="nil"/>
              <w:bottom w:val="nil"/>
              <w:right w:val="nil"/>
            </w:tcBorders>
          </w:tcPr>
          <w:p w:rsidR="00F918C3" w:rsidRPr="007C6619" w:rsidRDefault="00F918C3" w:rsidP="007C6619">
            <w:pPr>
              <w:keepLines w:val="0"/>
              <w:autoSpaceDE w:val="0"/>
              <w:autoSpaceDN w:val="0"/>
              <w:adjustRightInd w:val="0"/>
              <w:rPr>
                <w:rFonts w:eastAsiaTheme="minorEastAsia" w:cs="Calibri"/>
                <w:color w:val="000000"/>
                <w:szCs w:val="17"/>
                <w:lang w:eastAsia="en-AU"/>
              </w:rPr>
            </w:pPr>
            <w:r w:rsidRPr="007C6619">
              <w:rPr>
                <w:rFonts w:eastAsiaTheme="minorEastAsia" w:cs="Calibri"/>
                <w:color w:val="000000"/>
                <w:szCs w:val="17"/>
                <w:lang w:eastAsia="en-AU"/>
              </w:rPr>
              <w:t>Expenses from transactions</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(2)</w:t>
            </w:r>
          </w:p>
        </w:tc>
        <w:tc>
          <w:tcPr>
            <w:tcW w:w="849"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149</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143</w:t>
            </w:r>
          </w:p>
        </w:tc>
        <w:tc>
          <w:tcPr>
            <w:tcW w:w="850" w:type="dxa"/>
            <w:tcBorders>
              <w:top w:val="nil"/>
              <w:left w:val="nil"/>
              <w:bottom w:val="nil"/>
              <w:right w:val="nil"/>
            </w:tcBorders>
          </w:tcPr>
          <w:p w:rsidR="00F918C3" w:rsidRPr="00DC6F5B" w:rsidRDefault="00F918C3" w:rsidP="00B94966">
            <w:pPr>
              <w:cnfStyle w:val="000000000000" w:firstRow="0" w:lastRow="0" w:firstColumn="0" w:lastColumn="0" w:oddVBand="0" w:evenVBand="0" w:oddHBand="0" w:evenHBand="0" w:firstRowFirstColumn="0" w:firstRowLastColumn="0" w:lastRowFirstColumn="0" w:lastRowLastColumn="0"/>
            </w:pPr>
            <w:r w:rsidRPr="00DC6F5B">
              <w:t>120</w:t>
            </w:r>
          </w:p>
        </w:tc>
      </w:tr>
      <w:tr w:rsidR="00F918C3" w:rsidRPr="00A36E62" w:rsidTr="007C6619">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left w:val="nil"/>
              <w:bottom w:val="single" w:sz="6" w:space="0" w:color="auto"/>
              <w:right w:val="nil"/>
            </w:tcBorders>
          </w:tcPr>
          <w:p w:rsidR="00F918C3" w:rsidRPr="007C6619" w:rsidRDefault="00F918C3" w:rsidP="007C6619">
            <w:pPr>
              <w:keepLines w:val="0"/>
              <w:autoSpaceDE w:val="0"/>
              <w:autoSpaceDN w:val="0"/>
              <w:adjustRightInd w:val="0"/>
              <w:rPr>
                <w:rFonts w:eastAsiaTheme="minorEastAsia" w:cs="Calibri"/>
                <w:b/>
                <w:bCs/>
                <w:color w:val="000000"/>
                <w:szCs w:val="17"/>
                <w:lang w:eastAsia="en-AU"/>
              </w:rPr>
            </w:pPr>
            <w:r w:rsidRPr="007C6619">
              <w:rPr>
                <w:rFonts w:eastAsiaTheme="minorEastAsia" w:cs="Calibri"/>
                <w:b/>
                <w:bCs/>
                <w:color w:val="000000"/>
                <w:szCs w:val="17"/>
                <w:lang w:eastAsia="en-AU"/>
              </w:rPr>
              <w:t>Net result from transactions</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614</w:t>
            </w:r>
          </w:p>
        </w:tc>
        <w:tc>
          <w:tcPr>
            <w:tcW w:w="849"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(33)</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25</w:t>
            </w:r>
          </w:p>
        </w:tc>
        <w:tc>
          <w:tcPr>
            <w:tcW w:w="850" w:type="dxa"/>
            <w:tcBorders>
              <w:top w:val="single" w:sz="6" w:space="0" w:color="auto"/>
              <w:left w:val="nil"/>
              <w:bottom w:val="single" w:sz="6" w:space="0" w:color="auto"/>
              <w:right w:val="nil"/>
            </w:tcBorders>
          </w:tcPr>
          <w:p w:rsidR="00F918C3" w:rsidRPr="00A36E62" w:rsidRDefault="00F918C3" w:rsidP="00B94966">
            <w:pPr>
              <w:cnfStyle w:val="000000000000" w:firstRow="0" w:lastRow="0" w:firstColumn="0" w:lastColumn="0" w:oddVBand="0" w:evenVBand="0" w:oddHBand="0" w:evenHBand="0" w:firstRowFirstColumn="0" w:firstRowLastColumn="0" w:lastRowFirstColumn="0" w:lastRowLastColumn="0"/>
              <w:rPr>
                <w:b/>
              </w:rPr>
            </w:pPr>
            <w:r w:rsidRPr="00A36E62">
              <w:rPr>
                <w:b/>
              </w:rPr>
              <w:t>195</w:t>
            </w:r>
          </w:p>
        </w:tc>
      </w:tr>
      <w:tr w:rsidR="00F918C3" w:rsidRPr="00A36E62" w:rsidTr="007C661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2" w:type="dxa"/>
            <w:tcBorders>
              <w:top w:val="single" w:sz="6" w:space="0" w:color="auto"/>
              <w:bottom w:val="single" w:sz="12" w:space="0" w:color="auto"/>
            </w:tcBorders>
          </w:tcPr>
          <w:p w:rsidR="00F918C3" w:rsidRPr="007C6619" w:rsidRDefault="00F918C3" w:rsidP="007C6619">
            <w:pPr>
              <w:keepLines w:val="0"/>
              <w:autoSpaceDE w:val="0"/>
              <w:autoSpaceDN w:val="0"/>
              <w:adjustRightInd w:val="0"/>
              <w:rPr>
                <w:rFonts w:eastAsiaTheme="minorEastAsia" w:cs="Calibri"/>
                <w:bCs/>
                <w:color w:val="000000"/>
                <w:szCs w:val="17"/>
                <w:lang w:eastAsia="en-AU"/>
              </w:rPr>
            </w:pPr>
            <w:r w:rsidRPr="007C6619">
              <w:rPr>
                <w:rFonts w:eastAsiaTheme="minorEastAsia" w:cs="Calibri"/>
                <w:bCs/>
                <w:color w:val="000000"/>
                <w:szCs w:val="17"/>
                <w:lang w:eastAsia="en-AU"/>
              </w:rPr>
              <w:t>Net debt</w:t>
            </w:r>
          </w:p>
        </w:tc>
        <w:tc>
          <w:tcPr>
            <w:tcW w:w="849" w:type="dxa"/>
            <w:tcBorders>
              <w:top w:val="single" w:sz="6" w:space="0" w:color="auto"/>
              <w:bottom w:val="single" w:sz="12" w:space="0" w:color="auto"/>
            </w:tcBorders>
          </w:tcPr>
          <w:p w:rsidR="00F918C3" w:rsidRPr="00A36E62" w:rsidRDefault="00F918C3" w:rsidP="00B94966">
            <w:pPr>
              <w:cnfStyle w:val="010000000000" w:firstRow="0" w:lastRow="1" w:firstColumn="0" w:lastColumn="0" w:oddVBand="0" w:evenVBand="0" w:oddHBand="0" w:evenHBand="0" w:firstRowFirstColumn="0" w:firstRowLastColumn="0" w:lastRowFirstColumn="0" w:lastRowLastColumn="0"/>
            </w:pPr>
            <w:r w:rsidRPr="00A36E62">
              <w:t>(614)</w:t>
            </w:r>
          </w:p>
        </w:tc>
        <w:tc>
          <w:tcPr>
            <w:tcW w:w="849" w:type="dxa"/>
            <w:tcBorders>
              <w:top w:val="single" w:sz="6" w:space="0" w:color="auto"/>
              <w:bottom w:val="single" w:sz="12" w:space="0" w:color="auto"/>
            </w:tcBorders>
          </w:tcPr>
          <w:p w:rsidR="00F918C3" w:rsidRPr="00A36E62" w:rsidRDefault="00F918C3" w:rsidP="00B94966">
            <w:pPr>
              <w:cnfStyle w:val="010000000000" w:firstRow="0" w:lastRow="1" w:firstColumn="0" w:lastColumn="0" w:oddVBand="0" w:evenVBand="0" w:oddHBand="0" w:evenHBand="0" w:firstRowFirstColumn="0" w:firstRowLastColumn="0" w:lastRowFirstColumn="0" w:lastRowLastColumn="0"/>
            </w:pPr>
            <w:r w:rsidRPr="00A36E62">
              <w:t>(747)</w:t>
            </w:r>
          </w:p>
        </w:tc>
        <w:tc>
          <w:tcPr>
            <w:tcW w:w="850" w:type="dxa"/>
            <w:tcBorders>
              <w:top w:val="single" w:sz="6" w:space="0" w:color="auto"/>
              <w:bottom w:val="single" w:sz="12" w:space="0" w:color="auto"/>
            </w:tcBorders>
          </w:tcPr>
          <w:p w:rsidR="00F918C3" w:rsidRPr="00A36E62" w:rsidRDefault="00F918C3" w:rsidP="00B94966">
            <w:pPr>
              <w:cnfStyle w:val="010000000000" w:firstRow="0" w:lastRow="1" w:firstColumn="0" w:lastColumn="0" w:oddVBand="0" w:evenVBand="0" w:oddHBand="0" w:evenHBand="0" w:firstRowFirstColumn="0" w:firstRowLastColumn="0" w:lastRowFirstColumn="0" w:lastRowLastColumn="0"/>
            </w:pPr>
            <w:r w:rsidRPr="00A36E62">
              <w:t>(936)</w:t>
            </w:r>
          </w:p>
        </w:tc>
        <w:tc>
          <w:tcPr>
            <w:tcW w:w="850" w:type="dxa"/>
            <w:tcBorders>
              <w:top w:val="single" w:sz="6" w:space="0" w:color="auto"/>
              <w:bottom w:val="single" w:sz="12" w:space="0" w:color="auto"/>
            </w:tcBorders>
          </w:tcPr>
          <w:p w:rsidR="00F918C3" w:rsidRPr="00A36E62" w:rsidRDefault="00F918C3" w:rsidP="00B94966">
            <w:pPr>
              <w:cnfStyle w:val="010000000000" w:firstRow="0" w:lastRow="1" w:firstColumn="0" w:lastColumn="0" w:oddVBand="0" w:evenVBand="0" w:oddHBand="0" w:evenHBand="0" w:firstRowFirstColumn="0" w:firstRowLastColumn="0" w:lastRowFirstColumn="0" w:lastRowLastColumn="0"/>
            </w:pPr>
            <w:r w:rsidRPr="00A36E62">
              <w:t>(1</w:t>
            </w:r>
            <w:r>
              <w:t xml:space="preserve"> </w:t>
            </w:r>
            <w:r w:rsidRPr="00A36E62">
              <w:t>282)</w:t>
            </w:r>
          </w:p>
        </w:tc>
      </w:tr>
    </w:tbl>
    <w:p w:rsidR="00F918C3" w:rsidRPr="00B720EB" w:rsidRDefault="00F918C3" w:rsidP="00B720EB">
      <w:pPr>
        <w:pStyle w:val="Source"/>
      </w:pPr>
      <w:r w:rsidRPr="00B720EB">
        <w:t>Source: Department of Treasury and Finance</w:t>
      </w:r>
    </w:p>
    <w:p w:rsidR="00F918C3" w:rsidRDefault="00F918C3" w:rsidP="00B720EB">
      <w:pPr>
        <w:pStyle w:val="Note"/>
      </w:pPr>
      <w:r w:rsidRPr="00B720EB">
        <w:t>Notes:</w:t>
      </w:r>
    </w:p>
    <w:p w:rsidR="00F918C3" w:rsidRDefault="00F918C3" w:rsidP="00B720EB">
      <w:pPr>
        <w:pStyle w:val="Note"/>
      </w:pPr>
      <w:r>
        <w:t>(a)</w:t>
      </w:r>
      <w:r>
        <w:tab/>
        <w:t>Variations are applied to the economic variables effective from the first day in the budget year (1 July 2018). It is assumed that each variable’s growth rate matches that under a no</w:t>
      </w:r>
      <w:r>
        <w:noBreakHyphen/>
        <w:t>variation scenario for the forward estimates period. This implies economic variables, other than interest rates, are 1 per cent higher across the four years compared with a no</w:t>
      </w:r>
      <w:r>
        <w:noBreakHyphen/>
        <w:t>variation scenario; i</w:t>
      </w:r>
      <w:r w:rsidRPr="00CC126D">
        <w:t>nterest rates are assumed to be 1 percentage point higher in each year of t</w:t>
      </w:r>
      <w:r>
        <w:t xml:space="preserve">he budget and forward estimates. </w:t>
      </w:r>
    </w:p>
    <w:p w:rsidR="00F918C3" w:rsidRDefault="00F918C3" w:rsidP="00B720EB">
      <w:pPr>
        <w:pStyle w:val="Note"/>
      </w:pPr>
      <w:r>
        <w:t>(b)</w:t>
      </w:r>
      <w:r>
        <w:tab/>
        <w:t>A positive number for income from transactions denotes an increase in revenue. A positive number for expenses from transactions denotes an increase in expenses (and hence a reduction in the net result from transactions). A positive number for the net result from transactions denotes a higher surplus or smaller deficit. A positive number for net debt</w:t>
      </w:r>
      <w:r>
        <w:fldChar w:fldCharType="begin"/>
      </w:r>
      <w:r>
        <w:instrText xml:space="preserve"> XE "</w:instrText>
      </w:r>
      <w:r w:rsidRPr="00F81D16">
        <w:instrText>Debt:Net debt</w:instrText>
      </w:r>
      <w:r>
        <w:instrText xml:space="preserve">" </w:instrText>
      </w:r>
      <w:r>
        <w:fldChar w:fldCharType="end"/>
      </w:r>
      <w:r>
        <w:t xml:space="preserve"> denotes a higher level of net debt</w:t>
      </w:r>
      <w:r>
        <w:fldChar w:fldCharType="begin"/>
      </w:r>
      <w:r>
        <w:instrText xml:space="preserve"> XE "</w:instrText>
      </w:r>
      <w:r w:rsidRPr="00F81D16">
        <w:instrText>Debt:Net debt</w:instrText>
      </w:r>
      <w:r>
        <w:instrText xml:space="preserve">" </w:instrText>
      </w:r>
      <w:r>
        <w:fldChar w:fldCharType="end"/>
      </w:r>
      <w:r>
        <w:t xml:space="preserve"> in the relevant year compared with a no</w:t>
      </w:r>
      <w:r>
        <w:noBreakHyphen/>
        <w:t>variation scenario. Numbers may not balance due to rounding.</w:t>
      </w:r>
    </w:p>
    <w:p w:rsidR="00F918C3" w:rsidRDefault="00F918C3" w:rsidP="00B720EB">
      <w:pPr>
        <w:pStyle w:val="Note"/>
      </w:pPr>
      <w:r>
        <w:t>(c)</w:t>
      </w:r>
      <w:r>
        <w:tab/>
        <w:t>Only reasonably quantifiable impacts have been included in the analysis.</w:t>
      </w:r>
    </w:p>
    <w:p w:rsidR="00F918C3" w:rsidRPr="007008E0" w:rsidRDefault="00F918C3" w:rsidP="00B720EB">
      <w:pPr>
        <w:pStyle w:val="Note"/>
      </w:pPr>
      <w:r w:rsidRPr="007008E0">
        <w:t>(d)</w:t>
      </w:r>
      <w:r w:rsidRPr="007008E0">
        <w:tab/>
        <w:t>Estimates of net debt</w:t>
      </w:r>
      <w:r w:rsidRPr="007008E0">
        <w:fldChar w:fldCharType="begin"/>
      </w:r>
      <w:r w:rsidRPr="007008E0">
        <w:instrText xml:space="preserve"> XE "Debt:Net debt" </w:instrText>
      </w:r>
      <w:r w:rsidRPr="007008E0">
        <w:fldChar w:fldCharType="end"/>
      </w:r>
      <w:r w:rsidRPr="007008E0">
        <w:t xml:space="preserve"> are approximately equal to the cumulative impact of the net result from transactions. The difference between the cumulative net result from transactions and net debt</w:t>
      </w:r>
      <w:r w:rsidRPr="007008E0">
        <w:fldChar w:fldCharType="begin"/>
      </w:r>
      <w:r w:rsidRPr="007008E0">
        <w:instrText xml:space="preserve"> XE "Debt:Net debt" </w:instrText>
      </w:r>
      <w:r w:rsidRPr="007008E0">
        <w:fldChar w:fldCharType="end"/>
      </w:r>
      <w:r w:rsidRPr="007008E0">
        <w:t xml:space="preserve"> is due to non</w:t>
      </w:r>
      <w:r w:rsidRPr="007008E0">
        <w:noBreakHyphen/>
        <w:t>cash expenses and gross sale proceeds (where applicable).</w:t>
      </w:r>
    </w:p>
    <w:p w:rsidR="00F918C3" w:rsidRPr="007008E0" w:rsidRDefault="00F918C3" w:rsidP="0043553F">
      <w:pPr>
        <w:pStyle w:val="Note"/>
      </w:pPr>
      <w:r w:rsidRPr="007008E0">
        <w:t>(e)</w:t>
      </w:r>
      <w:r w:rsidRPr="007008E0">
        <w:tab/>
        <w:t>A shock to employment is assumed to impact payroll tax</w:t>
      </w:r>
      <w:r w:rsidRPr="007008E0">
        <w:fldChar w:fldCharType="begin"/>
      </w:r>
      <w:r w:rsidRPr="007008E0">
        <w:instrText xml:space="preserve"> XE "Taxation:Payroll" </w:instrText>
      </w:r>
      <w:r w:rsidRPr="007008E0">
        <w:fldChar w:fldCharType="end"/>
      </w:r>
      <w:r w:rsidRPr="007008E0">
        <w:t xml:space="preserve"> revenue to an extent consistent with no change to historical relationships between total employment, part</w:t>
      </w:r>
      <w:r w:rsidRPr="007008E0">
        <w:noBreakHyphen/>
        <w:t>time/full</w:t>
      </w:r>
      <w:r w:rsidRPr="007008E0">
        <w:noBreakHyphen/>
        <w:t>time employment shares, and payroll tax</w:t>
      </w:r>
      <w:r w:rsidRPr="007008E0">
        <w:fldChar w:fldCharType="begin"/>
      </w:r>
      <w:r w:rsidRPr="007008E0">
        <w:instrText xml:space="preserve"> XE "Taxation:Payroll" </w:instrText>
      </w:r>
      <w:r w:rsidRPr="007008E0">
        <w:fldChar w:fldCharType="end"/>
      </w:r>
      <w:r w:rsidRPr="007008E0">
        <w:t xml:space="preserve"> revenue. Both public and private sector employment are assumed to be 1 per cent higher across the four years; the rise in public sector employment boosts general government sector employee expenses.</w:t>
      </w:r>
    </w:p>
    <w:p w:rsidR="00F918C3" w:rsidRPr="007008E0" w:rsidRDefault="00F918C3" w:rsidP="007E6637">
      <w:pPr>
        <w:pStyle w:val="Note"/>
      </w:pPr>
      <w:r w:rsidRPr="007008E0">
        <w:t>(f)</w:t>
      </w:r>
      <w:r w:rsidRPr="007008E0">
        <w:tab/>
        <w:t>Incorporates the impact of departmental funding model arrangements. It is assumed that an increase in consumer prices within the budget year does not affect employee entitlements.</w:t>
      </w:r>
    </w:p>
    <w:p w:rsidR="00F918C3" w:rsidRPr="007008E0" w:rsidRDefault="00F918C3" w:rsidP="007E6637">
      <w:pPr>
        <w:pStyle w:val="Note"/>
      </w:pPr>
      <w:r w:rsidRPr="007008E0">
        <w:t>(g)</w:t>
      </w:r>
      <w:r w:rsidRPr="007008E0">
        <w:tab/>
        <w:t xml:space="preserve">A positive shock to average weekly earnings increases the expenses of public financial </w:t>
      </w:r>
      <w:r w:rsidRPr="007008E0">
        <w:fldChar w:fldCharType="begin"/>
      </w:r>
      <w:r w:rsidRPr="007008E0">
        <w:instrText xml:space="preserve"> XE "Public financial corporations" </w:instrText>
      </w:r>
      <w:r w:rsidRPr="007008E0">
        <w:fldChar w:fldCharType="end"/>
      </w:r>
      <w:r w:rsidRPr="007008E0">
        <w:t>and non</w:t>
      </w:r>
      <w:r w:rsidRPr="007008E0">
        <w:noBreakHyphen/>
        <w:t xml:space="preserve">financial corporations </w:t>
      </w:r>
      <w:r w:rsidRPr="007008E0">
        <w:fldChar w:fldCharType="begin"/>
      </w:r>
      <w:r w:rsidRPr="007008E0">
        <w:instrText xml:space="preserve"> XE "Public non-financial corporations" </w:instrText>
      </w:r>
      <w:r w:rsidRPr="007008E0">
        <w:fldChar w:fldCharType="end"/>
      </w:r>
      <w:r w:rsidRPr="007008E0">
        <w:t xml:space="preserve">and reduces the general government sector’s income from dividends and ITEs. </w:t>
      </w:r>
    </w:p>
    <w:p w:rsidR="00F918C3" w:rsidRDefault="00F918C3" w:rsidP="007E6637">
      <w:pPr>
        <w:pStyle w:val="Note"/>
      </w:pPr>
      <w:r w:rsidRPr="007008E0">
        <w:t xml:space="preserve">(h) </w:t>
      </w:r>
      <w:r w:rsidRPr="007008E0">
        <w:tab/>
        <w:t>Represents a one</w:t>
      </w:r>
      <w:r w:rsidRPr="007008E0">
        <w:noBreakHyphen/>
        <w:t>off 1 per cent increase in total employee expenses relative to a no</w:t>
      </w:r>
      <w:r w:rsidRPr="007008E0">
        <w:noBreakHyphen/>
        <w:t>variation scenario. This could be generated through a change in the size of the workforce, the price of the workforce (salaries, overtime, allowances and bonuses, long service leave expenses, fringe benefits tax and WorkCover premiums), through other management decisions regarding the composition and profile of the workforce or any combination of these.</w:t>
      </w:r>
      <w:r w:rsidRPr="00B06916">
        <w:t xml:space="preserve"> </w:t>
      </w:r>
    </w:p>
    <w:p w:rsidR="00F918C3" w:rsidRDefault="00F918C3" w:rsidP="00B720EB">
      <w:pPr>
        <w:pStyle w:val="Note"/>
      </w:pPr>
      <w:r>
        <w:t>(i)</w:t>
      </w:r>
      <w:r>
        <w:tab/>
        <w:t>Interest rates are assumed to be 1 percentage point higher in each year of the budget and forward estimates.</w:t>
      </w:r>
    </w:p>
    <w:p w:rsidR="006371F3" w:rsidRDefault="006371F3">
      <w:pPr>
        <w:keepLines w:val="0"/>
        <w:rPr>
          <w:rFonts w:asciiTheme="majorHAnsi" w:hAnsiTheme="majorHAnsi"/>
          <w:i/>
          <w:spacing w:val="-2"/>
          <w:sz w:val="14"/>
        </w:rPr>
      </w:pPr>
      <w:r>
        <w:br w:type="page"/>
      </w:r>
    </w:p>
    <w:p w:rsidR="006371F3" w:rsidRDefault="006371F3" w:rsidP="00B720EB">
      <w:pPr>
        <w:pStyle w:val="Note"/>
      </w:pPr>
    </w:p>
    <w:bookmarkEnd w:id="85"/>
    <w:p w:rsidR="00F918C3" w:rsidRPr="0041400A" w:rsidRDefault="00F918C3" w:rsidP="0041400A">
      <w:pPr>
        <w:pStyle w:val="Notes"/>
        <w:rPr>
          <w:rStyle w:val="NotesChar"/>
        </w:rPr>
      </w:pPr>
      <w:r>
        <w:fldChar w:fldCharType="begin"/>
      </w:r>
      <w:r>
        <w:instrText xml:space="preserve"> XE "</w:instrText>
      </w:r>
      <w:r w:rsidRPr="00F43E94">
        <w:instrText>Sensitivity analysis:</w:instrText>
      </w:r>
      <w:r>
        <w:instrText xml:space="preserve">Consumer prices" \r "BP2AppAAvgWeeklyEarnings" </w:instrText>
      </w:r>
      <w:r>
        <w:fldChar w:fldCharType="end"/>
      </w:r>
      <w:r>
        <w:fldChar w:fldCharType="begin"/>
      </w:r>
      <w:r>
        <w:instrText xml:space="preserve"> XE "</w:instrText>
      </w:r>
      <w:r w:rsidRPr="00F43E94">
        <w:instrText>Sensitivity analysis:</w:instrText>
      </w:r>
      <w:r>
        <w:instrText xml:space="preserve">Employment" \r "BP2AppAAvgWeeklyEarnings" </w:instrText>
      </w:r>
      <w:r>
        <w:fldChar w:fldCharType="end"/>
      </w:r>
      <w:r>
        <w:fldChar w:fldCharType="begin"/>
      </w:r>
      <w:r>
        <w:instrText xml:space="preserve"> XE "</w:instrText>
      </w:r>
      <w:r w:rsidRPr="00F43E94">
        <w:instrText>Sensitivity analysis:</w:instrText>
      </w:r>
      <w:r>
        <w:instrText xml:space="preserve">Gross state product" \r "BP2AppAAvgWeeklyEarnings" </w:instrText>
      </w:r>
      <w:r>
        <w:fldChar w:fldCharType="end"/>
      </w:r>
      <w:r>
        <w:fldChar w:fldCharType="begin"/>
      </w:r>
      <w:r>
        <w:instrText xml:space="preserve"> XE "</w:instrText>
      </w:r>
      <w:r w:rsidRPr="00F43E94">
        <w:instrText>Sensitivity analysis:</w:instrText>
      </w:r>
      <w:r>
        <w:instrText xml:space="preserve">Interest rates" \r "BP2AppAAvgWeeklyEarnings" </w:instrText>
      </w:r>
      <w:r>
        <w:fldChar w:fldCharType="end"/>
      </w:r>
      <w:r>
        <w:fldChar w:fldCharType="begin"/>
      </w:r>
      <w:r>
        <w:instrText xml:space="preserve"> XE "</w:instrText>
      </w:r>
      <w:r w:rsidRPr="00F43E94">
        <w:instrText>Sensitivity analysis:</w:instrText>
      </w:r>
      <w:r>
        <w:instrText xml:space="preserve">Property prices and volumes" \r "BP2AppAAvgWeeklyEarnings" </w:instrText>
      </w:r>
      <w:r>
        <w:fldChar w:fldCharType="end"/>
      </w:r>
    </w:p>
    <w:p w:rsidR="00F918C3" w:rsidRDefault="00F918C3" w:rsidP="00FE16CA"/>
    <w:p w:rsidR="00F918C3" w:rsidRDefault="00F918C3" w:rsidP="00901F6F">
      <w:pPr>
        <w:rPr>
          <w:noProof/>
        </w:rPr>
      </w:pPr>
      <w:r>
        <w:fldChar w:fldCharType="begin"/>
      </w:r>
      <w:r>
        <w:instrText xml:space="preserve"> INDEX \h "A" \c "2" \z "3081" </w:instrText>
      </w:r>
      <w:r>
        <w:fldChar w:fldCharType="separate"/>
      </w:r>
    </w:p>
    <w:p w:rsidR="00F918C3" w:rsidRDefault="00F918C3" w:rsidP="00FE16CA">
      <w:r>
        <w:fldChar w:fldCharType="end"/>
      </w:r>
    </w:p>
    <w:p w:rsidR="00F918C3" w:rsidRDefault="00F918C3" w:rsidP="00B942A3">
      <w:pPr>
        <w:sectPr w:rsidR="00F918C3" w:rsidSect="00AC3BBB">
          <w:footerReference w:type="even" r:id="rId59"/>
          <w:footerReference w:type="default" r:id="rId60"/>
          <w:type w:val="oddPage"/>
          <w:pgSz w:w="9979" w:h="14175" w:code="34"/>
          <w:pgMar w:top="850" w:right="1138" w:bottom="994" w:left="1138" w:header="619" w:footer="562" w:gutter="0"/>
          <w:cols w:sep="1" w:space="567"/>
          <w:docGrid w:linePitch="360"/>
        </w:sectPr>
      </w:pPr>
    </w:p>
    <w:p w:rsidR="00F918C3" w:rsidRDefault="00F918C3" w:rsidP="00BB71B2">
      <w:pPr>
        <w:pStyle w:val="ChapterHeading0"/>
      </w:pPr>
      <w:bookmarkStart w:id="86" w:name="_Toc512629774"/>
      <w:r>
        <w:t>Style conventions</w:t>
      </w:r>
      <w:bookmarkEnd w:id="86"/>
    </w:p>
    <w:p w:rsidR="00F918C3" w:rsidRPr="0009665B" w:rsidRDefault="00F918C3" w:rsidP="00D40145">
      <w:r w:rsidRPr="0009665B">
        <w:t>Figures in the tables and in the text have been rounded. Discrepancies in tables between totals and sums of components reflect rounding. Percentage changes in all tables are based on the underlying unrounded amounts.</w:t>
      </w:r>
    </w:p>
    <w:p w:rsidR="00F918C3" w:rsidRPr="0009665B" w:rsidRDefault="00F918C3" w:rsidP="00D40145">
      <w:r w:rsidRPr="0009665B">
        <w:t>The notation used in the tables and charts is as follows:</w:t>
      </w:r>
    </w:p>
    <w:p w:rsidR="00F918C3" w:rsidRPr="0009665B" w:rsidRDefault="00F918C3" w:rsidP="00D40145">
      <w:pPr>
        <w:ind w:left="2520" w:hanging="1800"/>
      </w:pPr>
      <w:r w:rsidRPr="0009665B">
        <w:t>n.a. or na</w:t>
      </w:r>
      <w:r w:rsidRPr="0009665B">
        <w:tab/>
        <w:t>not available or not applicable</w:t>
      </w:r>
    </w:p>
    <w:p w:rsidR="00F918C3" w:rsidRPr="0009665B" w:rsidRDefault="00F918C3" w:rsidP="00D40145">
      <w:pPr>
        <w:ind w:left="2520" w:hanging="1800"/>
      </w:pPr>
      <w:r w:rsidRPr="0009665B">
        <w:t>1</w:t>
      </w:r>
      <w:r w:rsidR="006371F3">
        <w:t> billion</w:t>
      </w:r>
      <w:r w:rsidRPr="0009665B">
        <w:tab/>
        <w:t>1 000</w:t>
      </w:r>
      <w:r w:rsidR="006371F3">
        <w:t> million</w:t>
      </w:r>
    </w:p>
    <w:p w:rsidR="00F918C3" w:rsidRPr="0009665B" w:rsidRDefault="00F918C3" w:rsidP="00D40145">
      <w:pPr>
        <w:ind w:left="2520" w:hanging="1800"/>
      </w:pPr>
      <w:r w:rsidRPr="0009665B">
        <w:t>1 basis point</w:t>
      </w:r>
      <w:r w:rsidRPr="0009665B">
        <w:tab/>
        <w:t>0.01</w:t>
      </w:r>
      <w:r>
        <w:t> per cent</w:t>
      </w:r>
    </w:p>
    <w:p w:rsidR="00F918C3" w:rsidRPr="0009665B" w:rsidRDefault="00F918C3" w:rsidP="00D40145">
      <w:pPr>
        <w:ind w:left="2520" w:hanging="1800"/>
      </w:pPr>
      <w:r w:rsidRPr="0009665B">
        <w:t>..</w:t>
      </w:r>
      <w:r w:rsidRPr="0009665B">
        <w:tab/>
        <w:t>zero, or rounded to zero</w:t>
      </w:r>
    </w:p>
    <w:p w:rsidR="00F918C3" w:rsidRPr="0009665B" w:rsidRDefault="00F918C3" w:rsidP="00D40145">
      <w:pPr>
        <w:ind w:left="2520" w:hanging="1800"/>
      </w:pPr>
      <w:r w:rsidRPr="0009665B">
        <w:t>tb</w:t>
      </w:r>
      <w:r>
        <w:t>c</w:t>
      </w:r>
      <w:r w:rsidRPr="0009665B">
        <w:tab/>
        <w:t xml:space="preserve">to be </w:t>
      </w:r>
      <w:r>
        <w:t>confirmed</w:t>
      </w:r>
    </w:p>
    <w:p w:rsidR="00F918C3" w:rsidRPr="0009665B" w:rsidRDefault="00F918C3" w:rsidP="00D40145">
      <w:pPr>
        <w:ind w:left="2520" w:hanging="1800"/>
      </w:pPr>
      <w:r w:rsidRPr="0009665B">
        <w:t>ongoing</w:t>
      </w:r>
      <w:r w:rsidRPr="0009665B">
        <w:tab/>
        <w:t>continuing output, program, project etc.</w:t>
      </w:r>
    </w:p>
    <w:p w:rsidR="00F918C3" w:rsidRDefault="00F918C3" w:rsidP="00D40145">
      <w:pPr>
        <w:ind w:left="2520" w:hanging="1800"/>
      </w:pPr>
      <w:r w:rsidRPr="0009665B">
        <w:t>(</w:t>
      </w:r>
      <w:r>
        <w:t xml:space="preserve">x </w:t>
      </w:r>
      <w:r w:rsidRPr="0009665B">
        <w:t>xxx.x)</w:t>
      </w:r>
      <w:r w:rsidRPr="0009665B">
        <w:tab/>
        <w:t xml:space="preserve">negative </w:t>
      </w:r>
      <w:r>
        <w:t>amount</w:t>
      </w:r>
    </w:p>
    <w:p w:rsidR="00F918C3" w:rsidRDefault="00F918C3" w:rsidP="00D40145">
      <w:pPr>
        <w:ind w:left="2520" w:hanging="1800"/>
      </w:pPr>
      <w:r>
        <w:t>x xxx.0</w:t>
      </w:r>
      <w:r>
        <w:tab/>
        <w:t>rounded amount</w:t>
      </w:r>
    </w:p>
    <w:p w:rsidR="00F918C3" w:rsidRPr="0009665B" w:rsidRDefault="00F918C3" w:rsidP="00D40145">
      <w:pPr>
        <w:ind w:left="2520" w:hanging="1800"/>
      </w:pPr>
    </w:p>
    <w:p w:rsidR="00F918C3" w:rsidRDefault="00F918C3" w:rsidP="00D40145"/>
    <w:p w:rsidR="00F918C3" w:rsidRDefault="00F918C3" w:rsidP="00D40145">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rsidR="006371F3" w:rsidRDefault="006371F3">
      <w:pPr>
        <w:keepLines w:val="0"/>
        <w:rPr>
          <w:color w:val="000000" w:themeColor="text1"/>
        </w:rPr>
      </w:pPr>
      <w:r>
        <w:rPr>
          <w:color w:val="000000" w:themeColor="text1"/>
        </w:rPr>
        <w:br w:type="page"/>
      </w:r>
    </w:p>
    <w:p w:rsidR="006371F3" w:rsidRPr="00C47FE8" w:rsidRDefault="006371F3" w:rsidP="00D40145">
      <w:pPr>
        <w:rPr>
          <w:color w:val="000000" w:themeColor="text1"/>
        </w:rPr>
      </w:pPr>
    </w:p>
    <w:p w:rsidR="00F918C3" w:rsidRDefault="00F918C3" w:rsidP="00D40145"/>
    <w:p w:rsidR="00F918C3" w:rsidRDefault="00F918C3" w:rsidP="00B942A3">
      <w:pPr>
        <w:sectPr w:rsidR="00F918C3" w:rsidSect="00AC3BBB">
          <w:headerReference w:type="even" r:id="rId61"/>
          <w:headerReference w:type="default" r:id="rId62"/>
          <w:footerReference w:type="even" r:id="rId63"/>
          <w:footerReference w:type="default" r:id="rId64"/>
          <w:headerReference w:type="first" r:id="rId65"/>
          <w:footerReference w:type="first" r:id="rId66"/>
          <w:type w:val="oddPage"/>
          <w:pgSz w:w="9979" w:h="14175" w:code="9"/>
          <w:pgMar w:top="850" w:right="1138" w:bottom="850" w:left="1138" w:header="619" w:footer="562" w:gutter="0"/>
          <w:cols w:sep="1" w:space="567"/>
          <w:docGrid w:linePitch="360"/>
        </w:sectPr>
      </w:pPr>
    </w:p>
    <w:p w:rsidR="00F918C3" w:rsidRDefault="00F918C3" w:rsidP="00BB71B2">
      <w:pPr>
        <w:pStyle w:val="ChapterHeading0"/>
      </w:pPr>
      <w:bookmarkStart w:id="87" w:name="_Toc512629775"/>
      <w:r>
        <w:t>Index</w:t>
      </w:r>
      <w:bookmarkEnd w:id="87"/>
    </w:p>
    <w:p w:rsidR="00B42920" w:rsidRDefault="00F918C3" w:rsidP="004419CD">
      <w:pPr>
        <w:rPr>
          <w:noProof/>
        </w:rPr>
        <w:sectPr w:rsidR="00B42920" w:rsidSect="00B42920">
          <w:headerReference w:type="even" r:id="rId67"/>
          <w:headerReference w:type="default" r:id="rId68"/>
          <w:footerReference w:type="even" r:id="rId69"/>
          <w:footerReference w:type="default" r:id="rId70"/>
          <w:headerReference w:type="first" r:id="rId71"/>
          <w:footerReference w:type="first" r:id="rId72"/>
          <w:type w:val="oddPage"/>
          <w:pgSz w:w="9979" w:h="14175" w:code="9"/>
          <w:pgMar w:top="850" w:right="1134" w:bottom="850" w:left="1134" w:header="624" w:footer="567" w:gutter="0"/>
          <w:cols w:sep="1" w:space="567"/>
          <w:docGrid w:linePitch="360"/>
        </w:sectPr>
      </w:pPr>
      <w:r>
        <w:fldChar w:fldCharType="begin" w:fldLock="1"/>
      </w:r>
      <w:r>
        <w:instrText xml:space="preserve"> INDEX \h "A" \c "2" \z "3081" </w:instrText>
      </w:r>
      <w:r>
        <w:fldChar w:fldCharType="separate"/>
      </w:r>
    </w:p>
    <w:p w:rsidR="00B42920" w:rsidRDefault="00B42920">
      <w:pPr>
        <w:pStyle w:val="IndexHeading"/>
        <w:tabs>
          <w:tab w:val="clear" w:pos="3481"/>
          <w:tab w:val="right" w:leader="dot" w:pos="3485"/>
        </w:tabs>
        <w:rPr>
          <w:rFonts w:asciiTheme="minorHAnsi" w:eastAsiaTheme="minorEastAsia" w:hAnsiTheme="minorHAnsi"/>
          <w:b w:val="0"/>
          <w:bCs w:val="0"/>
        </w:rPr>
      </w:pPr>
      <w:r>
        <w:t>A</w:t>
      </w:r>
    </w:p>
    <w:p w:rsidR="00B42920" w:rsidRDefault="00B42920">
      <w:pPr>
        <w:pStyle w:val="Index1"/>
      </w:pPr>
      <w:r>
        <w:t xml:space="preserve">AAA credit rating. </w:t>
      </w:r>
      <w:r w:rsidRPr="00D66174">
        <w:rPr>
          <w:i/>
        </w:rPr>
        <w:t xml:space="preserve">See </w:t>
      </w:r>
      <w:r>
        <w:t>Triple</w:t>
      </w:r>
      <w:r>
        <w:noBreakHyphen/>
        <w:t>A credit rating</w:t>
      </w:r>
    </w:p>
    <w:p w:rsidR="00B42920" w:rsidRDefault="00B42920">
      <w:pPr>
        <w:pStyle w:val="Index1"/>
      </w:pPr>
      <w:r>
        <w:t>Alfred Hospital, 9</w:t>
      </w:r>
    </w:p>
    <w:p w:rsidR="00B42920" w:rsidRDefault="00B42920">
      <w:pPr>
        <w:pStyle w:val="Index1"/>
      </w:pPr>
      <w:r>
        <w:t>Ambulance services, 10</w:t>
      </w:r>
    </w:p>
    <w:p w:rsidR="00B42920" w:rsidRDefault="00B42920">
      <w:pPr>
        <w:pStyle w:val="Index1"/>
      </w:pPr>
      <w:r>
        <w:t>Apprenticeships</w:t>
      </w:r>
    </w:p>
    <w:p w:rsidR="00B42920" w:rsidRDefault="00B42920">
      <w:pPr>
        <w:pStyle w:val="Index2"/>
        <w:tabs>
          <w:tab w:val="right" w:leader="dot" w:pos="3485"/>
        </w:tabs>
        <w:rPr>
          <w:noProof/>
        </w:rPr>
      </w:pPr>
      <w:r>
        <w:rPr>
          <w:noProof/>
        </w:rPr>
        <w:t>Apprenticeship Pathways, 7, 39–41</w:t>
      </w:r>
    </w:p>
    <w:p w:rsidR="00B42920" w:rsidRDefault="00B42920">
      <w:pPr>
        <w:pStyle w:val="Index2"/>
        <w:tabs>
          <w:tab w:val="right" w:leader="dot" w:pos="3485"/>
        </w:tabs>
        <w:rPr>
          <w:noProof/>
        </w:rPr>
      </w:pPr>
      <w:r>
        <w:rPr>
          <w:noProof/>
        </w:rPr>
        <w:t>Head Start Apprenticeships and Traineeships, 7, 43, 44</w:t>
      </w:r>
    </w:p>
    <w:p w:rsidR="00B42920" w:rsidRDefault="00B42920">
      <w:pPr>
        <w:pStyle w:val="Index1"/>
      </w:pPr>
      <w:r>
        <w:t>Asset recycling, 6</w:t>
      </w:r>
    </w:p>
    <w:p w:rsidR="00B42920" w:rsidRDefault="00B42920">
      <w:pPr>
        <w:pStyle w:val="IndexHeading"/>
        <w:tabs>
          <w:tab w:val="clear" w:pos="3481"/>
          <w:tab w:val="right" w:leader="dot" w:pos="3485"/>
        </w:tabs>
        <w:rPr>
          <w:rFonts w:asciiTheme="minorHAnsi" w:eastAsiaTheme="minorEastAsia" w:hAnsiTheme="minorHAnsi"/>
          <w:b w:val="0"/>
          <w:bCs w:val="0"/>
        </w:rPr>
      </w:pPr>
      <w:r>
        <w:t>B</w:t>
      </w:r>
    </w:p>
    <w:p w:rsidR="00B42920" w:rsidRDefault="00B42920">
      <w:pPr>
        <w:pStyle w:val="Index1"/>
      </w:pPr>
      <w:r>
        <w:t>Ballarat Base Hospital, 10, 11</w:t>
      </w:r>
    </w:p>
    <w:p w:rsidR="00B42920" w:rsidRDefault="00B42920">
      <w:pPr>
        <w:pStyle w:val="Index1"/>
      </w:pPr>
      <w:r>
        <w:t>Business investment, 19</w:t>
      </w:r>
    </w:p>
    <w:p w:rsidR="00B42920" w:rsidRDefault="00B42920">
      <w:pPr>
        <w:pStyle w:val="IndexHeading"/>
        <w:tabs>
          <w:tab w:val="clear" w:pos="3481"/>
          <w:tab w:val="right" w:leader="dot" w:pos="3485"/>
        </w:tabs>
        <w:rPr>
          <w:rFonts w:asciiTheme="minorHAnsi" w:eastAsiaTheme="minorEastAsia" w:hAnsiTheme="minorHAnsi"/>
          <w:b w:val="0"/>
          <w:bCs w:val="0"/>
        </w:rPr>
      </w:pPr>
      <w:r>
        <w:t>C</w:t>
      </w:r>
    </w:p>
    <w:p w:rsidR="00B42920" w:rsidRDefault="00B42920">
      <w:pPr>
        <w:pStyle w:val="Index1"/>
      </w:pPr>
      <w:r>
        <w:t>Coghlan Bail Review, 11</w:t>
      </w:r>
    </w:p>
    <w:p w:rsidR="00B42920" w:rsidRDefault="00B42920">
      <w:pPr>
        <w:pStyle w:val="Index1"/>
      </w:pPr>
      <w:r>
        <w:t>Commonwealth, 6, 7, 23, 24, 32, 34, 35, 51, 53, 55, 60, 61, 62, 73</w:t>
      </w:r>
    </w:p>
    <w:p w:rsidR="00B42920" w:rsidRDefault="00B42920">
      <w:pPr>
        <w:pStyle w:val="Index1"/>
      </w:pPr>
      <w:r>
        <w:t>Community Safety Statement, 11</w:t>
      </w:r>
    </w:p>
    <w:p w:rsidR="00B42920" w:rsidRDefault="00B42920">
      <w:pPr>
        <w:pStyle w:val="Index1"/>
      </w:pPr>
      <w:r>
        <w:t>Community sport, 12</w:t>
      </w:r>
    </w:p>
    <w:p w:rsidR="00B42920" w:rsidRDefault="00B42920">
      <w:pPr>
        <w:pStyle w:val="Index1"/>
      </w:pPr>
      <w:r>
        <w:t xml:space="preserve">Consumer price index. </w:t>
      </w:r>
      <w:r w:rsidRPr="00D66174">
        <w:rPr>
          <w:i/>
        </w:rPr>
        <w:t xml:space="preserve">See </w:t>
      </w:r>
      <w:r>
        <w:t>Inflation</w:t>
      </w:r>
    </w:p>
    <w:p w:rsidR="00B42920" w:rsidRDefault="00B42920">
      <w:pPr>
        <w:pStyle w:val="Index1"/>
      </w:pPr>
      <w:r>
        <w:t>Corrections, 11–12, 56</w:t>
      </w:r>
    </w:p>
    <w:p w:rsidR="00B42920" w:rsidRDefault="00B42920">
      <w:pPr>
        <w:pStyle w:val="Index1"/>
      </w:pPr>
      <w:r>
        <w:t>Courts, 11–12</w:t>
      </w:r>
    </w:p>
    <w:p w:rsidR="00B42920" w:rsidRDefault="00B42920">
      <w:pPr>
        <w:pStyle w:val="Index1"/>
      </w:pPr>
      <w:r>
        <w:t>Culture, 13, 75</w:t>
      </w:r>
    </w:p>
    <w:p w:rsidR="00B42920" w:rsidRDefault="00B42920">
      <w:pPr>
        <w:pStyle w:val="IndexHeading"/>
        <w:tabs>
          <w:tab w:val="clear" w:pos="3481"/>
          <w:tab w:val="right" w:leader="dot" w:pos="3485"/>
        </w:tabs>
        <w:rPr>
          <w:rFonts w:asciiTheme="minorHAnsi" w:eastAsiaTheme="minorEastAsia" w:hAnsiTheme="minorHAnsi"/>
          <w:b w:val="0"/>
          <w:bCs w:val="0"/>
        </w:rPr>
      </w:pPr>
      <w:r>
        <w:t>D</w:t>
      </w:r>
    </w:p>
    <w:p w:rsidR="00B42920" w:rsidRDefault="00B42920">
      <w:pPr>
        <w:pStyle w:val="Index1"/>
      </w:pPr>
      <w:r>
        <w:t>Debt</w:t>
      </w:r>
    </w:p>
    <w:p w:rsidR="00B42920" w:rsidRDefault="00B42920">
      <w:pPr>
        <w:pStyle w:val="Index2"/>
        <w:tabs>
          <w:tab w:val="right" w:leader="dot" w:pos="3485"/>
        </w:tabs>
        <w:rPr>
          <w:noProof/>
        </w:rPr>
      </w:pPr>
      <w:r>
        <w:rPr>
          <w:noProof/>
        </w:rPr>
        <w:t>General government net debt, 6, 48, 57</w:t>
      </w:r>
    </w:p>
    <w:p w:rsidR="00B42920" w:rsidRDefault="00B42920">
      <w:pPr>
        <w:pStyle w:val="Index2"/>
        <w:tabs>
          <w:tab w:val="right" w:leader="dot" w:pos="3485"/>
        </w:tabs>
        <w:rPr>
          <w:noProof/>
        </w:rPr>
      </w:pPr>
      <w:r>
        <w:rPr>
          <w:noProof/>
        </w:rPr>
        <w:t>Net debt, 4, 5, 47, 48, 57, 63, 75, 79, 81</w:t>
      </w:r>
    </w:p>
    <w:p w:rsidR="00B42920" w:rsidRDefault="00B42920">
      <w:pPr>
        <w:pStyle w:val="Index1"/>
      </w:pPr>
      <w:r>
        <w:t>Dividends and income tax equivalents, 72</w:t>
      </w:r>
    </w:p>
    <w:p w:rsidR="00B42920" w:rsidRDefault="00B42920">
      <w:pPr>
        <w:pStyle w:val="Index1"/>
      </w:pPr>
      <w:r>
        <w:t>Dwelling investment, 18, 23, 72–75, 79</w:t>
      </w:r>
    </w:p>
    <w:p w:rsidR="00B42920" w:rsidRDefault="00B42920">
      <w:pPr>
        <w:pStyle w:val="IndexHeading"/>
        <w:tabs>
          <w:tab w:val="clear" w:pos="3481"/>
          <w:tab w:val="right" w:leader="dot" w:pos="3485"/>
        </w:tabs>
        <w:rPr>
          <w:rFonts w:asciiTheme="minorHAnsi" w:eastAsiaTheme="minorEastAsia" w:hAnsiTheme="minorHAnsi"/>
          <w:b w:val="0"/>
          <w:bCs w:val="0"/>
        </w:rPr>
      </w:pPr>
      <w:r>
        <w:br w:type="column"/>
        <w:t>E</w:t>
      </w:r>
    </w:p>
    <w:p w:rsidR="00B42920" w:rsidRDefault="00B42920">
      <w:pPr>
        <w:pStyle w:val="Index1"/>
      </w:pPr>
      <w:r>
        <w:t>Economic conditions, 72</w:t>
      </w:r>
    </w:p>
    <w:p w:rsidR="00B42920" w:rsidRDefault="00B42920">
      <w:pPr>
        <w:pStyle w:val="Index2"/>
        <w:tabs>
          <w:tab w:val="right" w:leader="dot" w:pos="3485"/>
        </w:tabs>
        <w:rPr>
          <w:noProof/>
        </w:rPr>
      </w:pPr>
      <w:r>
        <w:rPr>
          <w:noProof/>
        </w:rPr>
        <w:t>Australia, 23</w:t>
      </w:r>
    </w:p>
    <w:p w:rsidR="00B42920" w:rsidRDefault="00B42920">
      <w:pPr>
        <w:pStyle w:val="Index2"/>
        <w:tabs>
          <w:tab w:val="right" w:leader="dot" w:pos="3485"/>
        </w:tabs>
        <w:rPr>
          <w:noProof/>
        </w:rPr>
      </w:pPr>
      <w:r>
        <w:rPr>
          <w:noProof/>
        </w:rPr>
        <w:t>International, 25</w:t>
      </w:r>
    </w:p>
    <w:p w:rsidR="00B42920" w:rsidRDefault="00B42920">
      <w:pPr>
        <w:pStyle w:val="Index2"/>
        <w:tabs>
          <w:tab w:val="right" w:leader="dot" w:pos="3485"/>
        </w:tabs>
        <w:rPr>
          <w:noProof/>
        </w:rPr>
      </w:pPr>
      <w:r>
        <w:rPr>
          <w:noProof/>
        </w:rPr>
        <w:t>Victoria, 15–20</w:t>
      </w:r>
    </w:p>
    <w:p w:rsidR="00B42920" w:rsidRDefault="00B42920">
      <w:pPr>
        <w:pStyle w:val="Index1"/>
      </w:pPr>
      <w:r>
        <w:t xml:space="preserve">Economic growth, 5, 15, 20, 23, 27, 39, 49, 72, </w:t>
      </w:r>
      <w:r w:rsidRPr="00D66174">
        <w:rPr>
          <w:i/>
        </w:rPr>
        <w:t>See also </w:t>
      </w:r>
      <w:r>
        <w:t>Risks</w:t>
      </w:r>
    </w:p>
    <w:p w:rsidR="00B42920" w:rsidRDefault="00B42920">
      <w:pPr>
        <w:pStyle w:val="Index1"/>
      </w:pPr>
      <w:r>
        <w:t>Education, 28, 31</w:t>
      </w:r>
    </w:p>
    <w:p w:rsidR="00B42920" w:rsidRDefault="00B42920">
      <w:pPr>
        <w:pStyle w:val="Index2"/>
        <w:tabs>
          <w:tab w:val="right" w:leader="dot" w:pos="3485"/>
        </w:tabs>
        <w:rPr>
          <w:noProof/>
        </w:rPr>
      </w:pPr>
      <w:r>
        <w:rPr>
          <w:noProof/>
        </w:rPr>
        <w:t>Literacy and numeracy, 9</w:t>
      </w:r>
    </w:p>
    <w:p w:rsidR="00B42920" w:rsidRDefault="00B42920">
      <w:pPr>
        <w:pStyle w:val="Index2"/>
        <w:tabs>
          <w:tab w:val="right" w:leader="dot" w:pos="3485"/>
        </w:tabs>
        <w:rPr>
          <w:noProof/>
        </w:rPr>
      </w:pPr>
      <w:r>
        <w:rPr>
          <w:noProof/>
        </w:rPr>
        <w:t>Schools, 27, 43, 44, 45, 52</w:t>
      </w:r>
    </w:p>
    <w:p w:rsidR="00B42920" w:rsidRDefault="00B42920">
      <w:pPr>
        <w:pStyle w:val="Index1"/>
      </w:pPr>
      <w:r>
        <w:t>Education State, 9, 45–46, 52, 56</w:t>
      </w:r>
    </w:p>
    <w:p w:rsidR="00B42920" w:rsidRDefault="00B42920">
      <w:pPr>
        <w:pStyle w:val="Index1"/>
      </w:pPr>
      <w:r>
        <w:t>Employment, 3, 15–17, 22, 27</w:t>
      </w:r>
    </w:p>
    <w:p w:rsidR="00B42920" w:rsidRDefault="00B42920" w:rsidP="00B42920">
      <w:pPr>
        <w:pStyle w:val="Index1"/>
        <w:tabs>
          <w:tab w:val="clear" w:pos="3485"/>
          <w:tab w:val="right" w:leader="dot" w:pos="3510"/>
        </w:tabs>
        <w:ind w:right="-105"/>
      </w:pPr>
      <w:r>
        <w:t>Employment growth, 3, 16, 20–24, 27, 29, 34, 77</w:t>
      </w:r>
    </w:p>
    <w:p w:rsidR="00B42920" w:rsidRDefault="00B42920">
      <w:pPr>
        <w:pStyle w:val="IndexHeading"/>
        <w:tabs>
          <w:tab w:val="clear" w:pos="3481"/>
          <w:tab w:val="right" w:leader="dot" w:pos="3485"/>
        </w:tabs>
        <w:rPr>
          <w:rFonts w:asciiTheme="minorHAnsi" w:eastAsiaTheme="minorEastAsia" w:hAnsiTheme="minorHAnsi"/>
          <w:b w:val="0"/>
          <w:bCs w:val="0"/>
        </w:rPr>
      </w:pPr>
      <w:r>
        <w:t>F</w:t>
      </w:r>
    </w:p>
    <w:p w:rsidR="00B42920" w:rsidRDefault="00B42920">
      <w:pPr>
        <w:pStyle w:val="Index1"/>
      </w:pPr>
      <w:r>
        <w:t>Family violence, 12</w:t>
      </w:r>
    </w:p>
    <w:p w:rsidR="00B42920" w:rsidRDefault="00B42920">
      <w:pPr>
        <w:pStyle w:val="Index1"/>
      </w:pPr>
      <w:r>
        <w:t>Financial management, 4, 6</w:t>
      </w:r>
    </w:p>
    <w:p w:rsidR="00B42920" w:rsidRDefault="00B42920">
      <w:pPr>
        <w:pStyle w:val="IndexHeading"/>
        <w:tabs>
          <w:tab w:val="clear" w:pos="3481"/>
          <w:tab w:val="right" w:leader="dot" w:pos="3485"/>
        </w:tabs>
        <w:rPr>
          <w:rFonts w:asciiTheme="minorHAnsi" w:eastAsiaTheme="minorEastAsia" w:hAnsiTheme="minorHAnsi"/>
          <w:b w:val="0"/>
          <w:bCs w:val="0"/>
        </w:rPr>
      </w:pPr>
      <w:r>
        <w:t>G</w:t>
      </w:r>
    </w:p>
    <w:p w:rsidR="00B42920" w:rsidRDefault="00B42920">
      <w:pPr>
        <w:pStyle w:val="Index1"/>
      </w:pPr>
      <w:r>
        <w:t>General fiscal risks, 59</w:t>
      </w:r>
    </w:p>
    <w:p w:rsidR="00B42920" w:rsidRDefault="00B42920">
      <w:pPr>
        <w:pStyle w:val="Index1"/>
      </w:pPr>
      <w:r>
        <w:t xml:space="preserve">General government net debt. </w:t>
      </w:r>
      <w:r w:rsidRPr="00D66174">
        <w:rPr>
          <w:i/>
        </w:rPr>
        <w:t xml:space="preserve">See </w:t>
      </w:r>
      <w:r>
        <w:t>Debt</w:t>
      </w:r>
    </w:p>
    <w:p w:rsidR="00B42920" w:rsidRDefault="00B42920">
      <w:pPr>
        <w:pStyle w:val="Index1"/>
      </w:pPr>
      <w:r>
        <w:t>Goods and services tax</w:t>
      </w:r>
    </w:p>
    <w:p w:rsidR="00B42920" w:rsidRDefault="00B42920">
      <w:pPr>
        <w:pStyle w:val="Index2"/>
        <w:tabs>
          <w:tab w:val="right" w:leader="dot" w:pos="3485"/>
        </w:tabs>
        <w:rPr>
          <w:noProof/>
        </w:rPr>
      </w:pPr>
      <w:r>
        <w:rPr>
          <w:noProof/>
        </w:rPr>
        <w:t>Revenue, 51, 61, 62</w:t>
      </w:r>
    </w:p>
    <w:p w:rsidR="00B42920" w:rsidRDefault="00B42920">
      <w:pPr>
        <w:pStyle w:val="Index1"/>
      </w:pPr>
      <w:r>
        <w:t>Government infrastructure investment, 1, 5, 15, 16, 47, 48, 55</w:t>
      </w:r>
    </w:p>
    <w:p w:rsidR="00B42920" w:rsidRDefault="00B42920">
      <w:pPr>
        <w:pStyle w:val="Index1"/>
      </w:pPr>
      <w:r>
        <w:t>Grants, 49, 51</w:t>
      </w:r>
    </w:p>
    <w:p w:rsidR="00B42920" w:rsidRDefault="00B42920">
      <w:pPr>
        <w:pStyle w:val="Index2"/>
        <w:tabs>
          <w:tab w:val="right" w:leader="dot" w:pos="3485"/>
        </w:tabs>
        <w:rPr>
          <w:noProof/>
        </w:rPr>
      </w:pPr>
      <w:r>
        <w:rPr>
          <w:noProof/>
        </w:rPr>
        <w:t>Commonwealth, 51, 55, 62</w:t>
      </w:r>
    </w:p>
    <w:p w:rsidR="00B42920" w:rsidRDefault="00B42920">
      <w:pPr>
        <w:pStyle w:val="Index1"/>
      </w:pPr>
      <w:r>
        <w:t>Gross domestic product, 1–2</w:t>
      </w:r>
    </w:p>
    <w:p w:rsidR="00B42920" w:rsidRDefault="00B42920">
      <w:pPr>
        <w:pStyle w:val="Index1"/>
      </w:pPr>
      <w:r>
        <w:t xml:space="preserve">Gross state product, 1–5, 15–16, 18–20, 25–26, 47, 48, 57, 63, 67, </w:t>
      </w:r>
      <w:r w:rsidRPr="00D66174">
        <w:rPr>
          <w:i/>
        </w:rPr>
        <w:t xml:space="preserve">See also </w:t>
      </w:r>
      <w:r>
        <w:t>Economic growth</w:t>
      </w:r>
    </w:p>
    <w:p w:rsidR="00B42920" w:rsidRDefault="00B42920">
      <w:pPr>
        <w:pStyle w:val="IndexHeading"/>
        <w:tabs>
          <w:tab w:val="clear" w:pos="3481"/>
          <w:tab w:val="right" w:leader="dot" w:pos="3485"/>
        </w:tabs>
        <w:rPr>
          <w:rFonts w:asciiTheme="minorHAnsi" w:eastAsiaTheme="minorEastAsia" w:hAnsiTheme="minorHAnsi"/>
          <w:b w:val="0"/>
          <w:bCs w:val="0"/>
        </w:rPr>
      </w:pPr>
      <w:r>
        <w:br w:type="column"/>
        <w:t>H</w:t>
      </w:r>
    </w:p>
    <w:p w:rsidR="00B42920" w:rsidRDefault="00B42920">
      <w:pPr>
        <w:pStyle w:val="Index1"/>
      </w:pPr>
      <w:r>
        <w:t>Health, 11, 52</w:t>
      </w:r>
    </w:p>
    <w:p w:rsidR="00B42920" w:rsidRDefault="00B42920">
      <w:pPr>
        <w:pStyle w:val="Index2"/>
        <w:tabs>
          <w:tab w:val="right" w:leader="dot" w:pos="3485"/>
        </w:tabs>
        <w:rPr>
          <w:noProof/>
        </w:rPr>
      </w:pPr>
      <w:r>
        <w:rPr>
          <w:noProof/>
        </w:rPr>
        <w:t>Hospitals, 9, 10</w:t>
      </w:r>
    </w:p>
    <w:p w:rsidR="00B42920" w:rsidRDefault="00B42920">
      <w:pPr>
        <w:pStyle w:val="Index2"/>
        <w:tabs>
          <w:tab w:val="right" w:leader="dot" w:pos="3485"/>
        </w:tabs>
        <w:rPr>
          <w:noProof/>
        </w:rPr>
      </w:pPr>
      <w:r>
        <w:rPr>
          <w:noProof/>
        </w:rPr>
        <w:t>Mental health, 1, 5, 9, 10, 11, 52</w:t>
      </w:r>
    </w:p>
    <w:p w:rsidR="00B42920" w:rsidRDefault="00B42920">
      <w:pPr>
        <w:pStyle w:val="Index2"/>
        <w:tabs>
          <w:tab w:val="right" w:leader="dot" w:pos="3485"/>
        </w:tabs>
        <w:rPr>
          <w:noProof/>
        </w:rPr>
      </w:pPr>
      <w:r>
        <w:rPr>
          <w:noProof/>
        </w:rPr>
        <w:t>Services, 10, 11</w:t>
      </w:r>
    </w:p>
    <w:p w:rsidR="00B42920" w:rsidRDefault="00B42920">
      <w:pPr>
        <w:pStyle w:val="Index1"/>
      </w:pPr>
      <w:r>
        <w:t>Household consumption, 2, 18, 72–75</w:t>
      </w:r>
    </w:p>
    <w:p w:rsidR="00B42920" w:rsidRDefault="00B42920">
      <w:pPr>
        <w:pStyle w:val="IndexHeading"/>
        <w:tabs>
          <w:tab w:val="clear" w:pos="3481"/>
          <w:tab w:val="right" w:leader="dot" w:pos="3485"/>
        </w:tabs>
        <w:rPr>
          <w:rFonts w:asciiTheme="minorHAnsi" w:eastAsiaTheme="minorEastAsia" w:hAnsiTheme="minorHAnsi"/>
          <w:b w:val="0"/>
          <w:bCs w:val="0"/>
        </w:rPr>
      </w:pPr>
      <w:r>
        <w:t>I</w:t>
      </w:r>
    </w:p>
    <w:p w:rsidR="00B42920" w:rsidRDefault="00B42920">
      <w:pPr>
        <w:pStyle w:val="Index1"/>
      </w:pPr>
      <w:r>
        <w:t>Inflation, 2, 15, 24, 74</w:t>
      </w:r>
    </w:p>
    <w:p w:rsidR="00B42920" w:rsidRDefault="00B42920">
      <w:pPr>
        <w:pStyle w:val="Index1"/>
      </w:pPr>
      <w:r>
        <w:t>Infrastructure investment, 48</w:t>
      </w:r>
    </w:p>
    <w:p w:rsidR="00B42920" w:rsidRDefault="00B42920">
      <w:pPr>
        <w:pStyle w:val="Index1"/>
      </w:pPr>
      <w:r>
        <w:t>International Monetary Fund, 24</w:t>
      </w:r>
    </w:p>
    <w:p w:rsidR="00B42920" w:rsidRDefault="00B42920">
      <w:pPr>
        <w:pStyle w:val="Index1"/>
      </w:pPr>
      <w:r>
        <w:t>Investment Attraction and Assistance Program, 7</w:t>
      </w:r>
    </w:p>
    <w:p w:rsidR="00B42920" w:rsidRDefault="00B42920">
      <w:pPr>
        <w:pStyle w:val="IndexHeading"/>
        <w:tabs>
          <w:tab w:val="clear" w:pos="3481"/>
          <w:tab w:val="right" w:leader="dot" w:pos="3485"/>
        </w:tabs>
        <w:rPr>
          <w:rFonts w:asciiTheme="minorHAnsi" w:eastAsiaTheme="minorEastAsia" w:hAnsiTheme="minorHAnsi"/>
          <w:b w:val="0"/>
          <w:bCs w:val="0"/>
        </w:rPr>
      </w:pPr>
      <w:r>
        <w:t>J</w:t>
      </w:r>
    </w:p>
    <w:p w:rsidR="00B42920" w:rsidRDefault="00B42920">
      <w:pPr>
        <w:pStyle w:val="Index1"/>
      </w:pPr>
      <w:r>
        <w:t>Jobs, 30–36</w:t>
      </w:r>
    </w:p>
    <w:p w:rsidR="00B42920" w:rsidRDefault="00B42920">
      <w:pPr>
        <w:pStyle w:val="IndexHeading"/>
        <w:tabs>
          <w:tab w:val="clear" w:pos="3481"/>
          <w:tab w:val="right" w:leader="dot" w:pos="3485"/>
        </w:tabs>
        <w:rPr>
          <w:rFonts w:asciiTheme="minorHAnsi" w:eastAsiaTheme="minorEastAsia" w:hAnsiTheme="minorHAnsi"/>
          <w:b w:val="0"/>
          <w:bCs w:val="0"/>
        </w:rPr>
      </w:pPr>
      <w:r>
        <w:t>L</w:t>
      </w:r>
    </w:p>
    <w:p w:rsidR="00B42920" w:rsidRDefault="00B42920">
      <w:pPr>
        <w:pStyle w:val="Index1"/>
      </w:pPr>
      <w:r>
        <w:t>Labor’s Financial Statement 2014, 13</w:t>
      </w:r>
    </w:p>
    <w:p w:rsidR="00B42920" w:rsidRDefault="00B42920">
      <w:pPr>
        <w:pStyle w:val="Index1"/>
      </w:pPr>
      <w:r>
        <w:t>Labour force participation, 3, 29–30, 31, 41, 75–79</w:t>
      </w:r>
    </w:p>
    <w:p w:rsidR="00B42920" w:rsidRDefault="00B42920">
      <w:pPr>
        <w:pStyle w:val="Index2"/>
        <w:tabs>
          <w:tab w:val="right" w:leader="dot" w:pos="3485"/>
        </w:tabs>
        <w:rPr>
          <w:noProof/>
        </w:rPr>
      </w:pPr>
      <w:r>
        <w:rPr>
          <w:noProof/>
        </w:rPr>
        <w:t>Females, 29–30</w:t>
      </w:r>
    </w:p>
    <w:p w:rsidR="00B42920" w:rsidRDefault="00B42920">
      <w:pPr>
        <w:pStyle w:val="Index1"/>
      </w:pPr>
      <w:r>
        <w:t>Land Use Victoria, 6</w:t>
      </w:r>
    </w:p>
    <w:p w:rsidR="00B42920" w:rsidRDefault="00B42920">
      <w:pPr>
        <w:pStyle w:val="Index1"/>
      </w:pPr>
      <w:r>
        <w:t>Lara Prison precinct, 11, 56</w:t>
      </w:r>
    </w:p>
    <w:p w:rsidR="00B42920" w:rsidRDefault="00B42920">
      <w:pPr>
        <w:pStyle w:val="Index1"/>
      </w:pPr>
      <w:r>
        <w:t>Level Crossing Removal Program, 38</w:t>
      </w:r>
    </w:p>
    <w:p w:rsidR="00B42920" w:rsidRDefault="00B42920">
      <w:pPr>
        <w:pStyle w:val="IndexHeading"/>
        <w:tabs>
          <w:tab w:val="clear" w:pos="3481"/>
          <w:tab w:val="right" w:leader="dot" w:pos="3485"/>
        </w:tabs>
        <w:rPr>
          <w:rFonts w:asciiTheme="minorHAnsi" w:eastAsiaTheme="minorEastAsia" w:hAnsiTheme="minorHAnsi"/>
          <w:b w:val="0"/>
          <w:bCs w:val="0"/>
        </w:rPr>
      </w:pPr>
      <w:r>
        <w:t>M</w:t>
      </w:r>
    </w:p>
    <w:p w:rsidR="00B42920" w:rsidRDefault="00B42920">
      <w:pPr>
        <w:pStyle w:val="Index1"/>
      </w:pPr>
      <w:r>
        <w:t>Major Events Fund, 7</w:t>
      </w:r>
    </w:p>
    <w:p w:rsidR="00B42920" w:rsidRDefault="00B42920">
      <w:pPr>
        <w:pStyle w:val="Index1"/>
      </w:pPr>
      <w:r>
        <w:t>Major Projects Skills Guarantee, 38</w:t>
      </w:r>
    </w:p>
    <w:p w:rsidR="00B42920" w:rsidRDefault="00B42920">
      <w:pPr>
        <w:pStyle w:val="Index1"/>
      </w:pPr>
      <w:r>
        <w:t>Malmsbury and Parkville Youth Justice Centres, 11</w:t>
      </w:r>
    </w:p>
    <w:p w:rsidR="00B42920" w:rsidRDefault="00B42920">
      <w:pPr>
        <w:pStyle w:val="Index1"/>
      </w:pPr>
      <w:r>
        <w:t xml:space="preserve">Mental health. </w:t>
      </w:r>
      <w:r w:rsidRPr="00D66174">
        <w:rPr>
          <w:i/>
        </w:rPr>
        <w:t>See H</w:t>
      </w:r>
      <w:r>
        <w:t>ealth</w:t>
      </w:r>
    </w:p>
    <w:p w:rsidR="00B42920" w:rsidRDefault="00B42920">
      <w:pPr>
        <w:pStyle w:val="Index1"/>
      </w:pPr>
      <w:r>
        <w:t>Metro Tunnel, 8, 38</w:t>
      </w:r>
    </w:p>
    <w:p w:rsidR="00B42920" w:rsidRDefault="00B42920">
      <w:pPr>
        <w:pStyle w:val="Index1"/>
      </w:pPr>
      <w:r>
        <w:t>Monash University Clayton, 9</w:t>
      </w:r>
    </w:p>
    <w:p w:rsidR="00B42920" w:rsidRDefault="00B42920">
      <w:pPr>
        <w:pStyle w:val="Index1"/>
      </w:pPr>
      <w:r>
        <w:t>Mordialloc Bypass, 8</w:t>
      </w:r>
    </w:p>
    <w:p w:rsidR="00B42920" w:rsidRDefault="00B42920">
      <w:pPr>
        <w:pStyle w:val="Index1"/>
      </w:pPr>
      <w:r>
        <w:t>Multicultural Safety Ambassadors, 13</w:t>
      </w:r>
    </w:p>
    <w:p w:rsidR="00B42920" w:rsidRDefault="00B42920">
      <w:pPr>
        <w:pStyle w:val="IndexHeading"/>
        <w:tabs>
          <w:tab w:val="clear" w:pos="3481"/>
          <w:tab w:val="right" w:leader="dot" w:pos="3485"/>
        </w:tabs>
        <w:rPr>
          <w:rFonts w:asciiTheme="minorHAnsi" w:eastAsiaTheme="minorEastAsia" w:hAnsiTheme="minorHAnsi"/>
          <w:b w:val="0"/>
          <w:bCs w:val="0"/>
        </w:rPr>
      </w:pPr>
      <w:r>
        <w:t>N</w:t>
      </w:r>
    </w:p>
    <w:p w:rsidR="00B42920" w:rsidRDefault="00B42920">
      <w:pPr>
        <w:pStyle w:val="Index1"/>
      </w:pPr>
      <w:r>
        <w:t xml:space="preserve">Net debt. </w:t>
      </w:r>
      <w:r w:rsidRPr="00D66174">
        <w:rPr>
          <w:i/>
        </w:rPr>
        <w:t xml:space="preserve">See </w:t>
      </w:r>
      <w:r>
        <w:t>Debt</w:t>
      </w:r>
    </w:p>
    <w:p w:rsidR="00B42920" w:rsidRDefault="00B42920">
      <w:pPr>
        <w:pStyle w:val="Index1"/>
      </w:pPr>
      <w:r>
        <w:t>Net financial liabilities, 67</w:t>
      </w:r>
    </w:p>
    <w:p w:rsidR="00B42920" w:rsidRDefault="00B42920">
      <w:pPr>
        <w:pStyle w:val="Index1"/>
      </w:pPr>
      <w:r>
        <w:t xml:space="preserve">Non-financial public sector, 63–68, </w:t>
      </w:r>
      <w:r w:rsidRPr="00D66174">
        <w:rPr>
          <w:i/>
        </w:rPr>
        <w:t>See also </w:t>
      </w:r>
      <w:r>
        <w:t>Debt</w:t>
      </w:r>
    </w:p>
    <w:p w:rsidR="00B42920" w:rsidRDefault="00B42920">
      <w:pPr>
        <w:pStyle w:val="Index1"/>
      </w:pPr>
      <w:r w:rsidRPr="00D66174">
        <w:rPr>
          <w:iCs/>
        </w:rPr>
        <w:t>North East Link</w:t>
      </w:r>
      <w:r>
        <w:t>, 8</w:t>
      </w:r>
    </w:p>
    <w:p w:rsidR="00B42920" w:rsidRDefault="00B42920">
      <w:pPr>
        <w:pStyle w:val="IndexHeading"/>
        <w:tabs>
          <w:tab w:val="clear" w:pos="3481"/>
          <w:tab w:val="right" w:leader="dot" w:pos="3485"/>
        </w:tabs>
        <w:rPr>
          <w:rFonts w:asciiTheme="minorHAnsi" w:eastAsiaTheme="minorEastAsia" w:hAnsiTheme="minorHAnsi"/>
          <w:b w:val="0"/>
          <w:bCs w:val="0"/>
        </w:rPr>
      </w:pPr>
      <w:r>
        <w:br w:type="column"/>
        <w:t>O</w:t>
      </w:r>
    </w:p>
    <w:p w:rsidR="00B42920" w:rsidRDefault="00B42920">
      <w:pPr>
        <w:pStyle w:val="Index1"/>
      </w:pPr>
      <w:r>
        <w:t>Operating result, 54, 55</w:t>
      </w:r>
    </w:p>
    <w:p w:rsidR="00B42920" w:rsidRDefault="00B42920">
      <w:pPr>
        <w:pStyle w:val="Index2"/>
        <w:tabs>
          <w:tab w:val="right" w:leader="dot" w:pos="3485"/>
        </w:tabs>
        <w:rPr>
          <w:noProof/>
        </w:rPr>
      </w:pPr>
      <w:r>
        <w:rPr>
          <w:noProof/>
        </w:rPr>
        <w:t>General government sector, 48</w:t>
      </w:r>
    </w:p>
    <w:p w:rsidR="00B42920" w:rsidRDefault="00B42920">
      <w:pPr>
        <w:pStyle w:val="Index2"/>
        <w:tabs>
          <w:tab w:val="right" w:leader="dot" w:pos="3485"/>
        </w:tabs>
        <w:rPr>
          <w:noProof/>
        </w:rPr>
      </w:pPr>
      <w:r>
        <w:rPr>
          <w:noProof/>
        </w:rPr>
        <w:t>State of Victoria, 68–69</w:t>
      </w:r>
    </w:p>
    <w:p w:rsidR="00B42920" w:rsidRDefault="00B42920">
      <w:pPr>
        <w:pStyle w:val="Index1"/>
      </w:pPr>
      <w:r>
        <w:t>Operating surplus, 1, 4, 63–64</w:t>
      </w:r>
    </w:p>
    <w:p w:rsidR="00B42920" w:rsidRDefault="00B42920">
      <w:pPr>
        <w:pStyle w:val="IndexHeading"/>
        <w:tabs>
          <w:tab w:val="clear" w:pos="3481"/>
          <w:tab w:val="right" w:leader="dot" w:pos="3485"/>
        </w:tabs>
        <w:rPr>
          <w:rFonts w:asciiTheme="minorHAnsi" w:eastAsiaTheme="minorEastAsia" w:hAnsiTheme="minorHAnsi"/>
          <w:b w:val="0"/>
          <w:bCs w:val="0"/>
        </w:rPr>
      </w:pPr>
      <w:r>
        <w:t>P</w:t>
      </w:r>
    </w:p>
    <w:p w:rsidR="00B42920" w:rsidRDefault="00B42920">
      <w:pPr>
        <w:pStyle w:val="Index1"/>
      </w:pPr>
      <w:r>
        <w:t>Parkville Precinct, 9</w:t>
      </w:r>
    </w:p>
    <w:p w:rsidR="00B42920" w:rsidRDefault="00B42920">
      <w:pPr>
        <w:pStyle w:val="Index1"/>
      </w:pPr>
      <w:r>
        <w:t xml:space="preserve">Payroll tax. </w:t>
      </w:r>
      <w:r w:rsidRPr="00D66174">
        <w:rPr>
          <w:i/>
        </w:rPr>
        <w:t xml:space="preserve">See </w:t>
      </w:r>
      <w:r>
        <w:t>Taxation</w:t>
      </w:r>
    </w:p>
    <w:p w:rsidR="00B42920" w:rsidRDefault="00B42920">
      <w:pPr>
        <w:pStyle w:val="Index1"/>
      </w:pPr>
      <w:r>
        <w:t>Police, 11</w:t>
      </w:r>
    </w:p>
    <w:p w:rsidR="00B42920" w:rsidRDefault="00B42920">
      <w:pPr>
        <w:pStyle w:val="Index1"/>
      </w:pPr>
      <w:r>
        <w:t>Population growth, 2, 15, 77</w:t>
      </w:r>
    </w:p>
    <w:p w:rsidR="00B42920" w:rsidRDefault="00B42920">
      <w:pPr>
        <w:pStyle w:val="Index1"/>
      </w:pPr>
      <w:r>
        <w:t>Power Saving Bonus, 13</w:t>
      </w:r>
    </w:p>
    <w:p w:rsidR="00B42920" w:rsidRDefault="00B42920">
      <w:pPr>
        <w:pStyle w:val="Index1"/>
      </w:pPr>
      <w:r>
        <w:t>Premier’s Jobs and Investment Fund, 7</w:t>
      </w:r>
    </w:p>
    <w:p w:rsidR="00B42920" w:rsidRDefault="00B42920">
      <w:pPr>
        <w:pStyle w:val="Index1"/>
      </w:pPr>
      <w:r>
        <w:t>Productivity, 3, 77</w:t>
      </w:r>
    </w:p>
    <w:p w:rsidR="00B42920" w:rsidRDefault="00B42920">
      <w:pPr>
        <w:pStyle w:val="Index1"/>
      </w:pPr>
      <w:r>
        <w:t>Public financial corporations, 63, 72, 81</w:t>
      </w:r>
    </w:p>
    <w:p w:rsidR="00B42920" w:rsidRDefault="00B42920">
      <w:pPr>
        <w:pStyle w:val="Index1"/>
      </w:pPr>
      <w:r>
        <w:t>Public non-financial corporations, 63, 72, 81</w:t>
      </w:r>
    </w:p>
    <w:p w:rsidR="00B42920" w:rsidRDefault="00B42920">
      <w:pPr>
        <w:pStyle w:val="Index1"/>
      </w:pPr>
      <w:r>
        <w:t>Public private partnerships, 58, 66</w:t>
      </w:r>
    </w:p>
    <w:p w:rsidR="00B42920" w:rsidRDefault="00B42920">
      <w:pPr>
        <w:pStyle w:val="Index1"/>
      </w:pPr>
      <w:r>
        <w:t>Public transport, 1, 8</w:t>
      </w:r>
    </w:p>
    <w:p w:rsidR="00B42920" w:rsidRDefault="00B42920">
      <w:pPr>
        <w:pStyle w:val="Index2"/>
        <w:tabs>
          <w:tab w:val="right" w:leader="dot" w:pos="3485"/>
        </w:tabs>
        <w:rPr>
          <w:noProof/>
        </w:rPr>
      </w:pPr>
      <w:r>
        <w:rPr>
          <w:noProof/>
        </w:rPr>
        <w:t>Regional, 13, 56</w:t>
      </w:r>
    </w:p>
    <w:p w:rsidR="00B42920" w:rsidRDefault="00B42920">
      <w:pPr>
        <w:pStyle w:val="IndexHeading"/>
        <w:tabs>
          <w:tab w:val="clear" w:pos="3481"/>
          <w:tab w:val="right" w:leader="dot" w:pos="3485"/>
        </w:tabs>
        <w:rPr>
          <w:rFonts w:asciiTheme="minorHAnsi" w:eastAsiaTheme="minorEastAsia" w:hAnsiTheme="minorHAnsi"/>
          <w:b w:val="0"/>
          <w:bCs w:val="0"/>
        </w:rPr>
      </w:pPr>
      <w:r>
        <w:t>R</w:t>
      </w:r>
    </w:p>
    <w:p w:rsidR="00B42920" w:rsidRDefault="00B42920">
      <w:pPr>
        <w:pStyle w:val="Index1"/>
      </w:pPr>
      <w:r>
        <w:t>Regional Health Infrastructure Fund, 11</w:t>
      </w:r>
    </w:p>
    <w:p w:rsidR="00B42920" w:rsidRDefault="00B42920">
      <w:pPr>
        <w:pStyle w:val="Index1"/>
      </w:pPr>
      <w:r>
        <w:t>Regional Rail Revival, 66</w:t>
      </w:r>
    </w:p>
    <w:p w:rsidR="00B42920" w:rsidRDefault="00B42920">
      <w:pPr>
        <w:pStyle w:val="Index1"/>
      </w:pPr>
      <w:r>
        <w:t>Regional Roads Victoria, 8</w:t>
      </w:r>
    </w:p>
    <w:p w:rsidR="00B42920" w:rsidRDefault="00B42920">
      <w:pPr>
        <w:pStyle w:val="Index1"/>
      </w:pPr>
      <w:r>
        <w:t>Reserve Bank of Australia, 20, 24</w:t>
      </w:r>
    </w:p>
    <w:p w:rsidR="00B42920" w:rsidRDefault="00B42920">
      <w:pPr>
        <w:pStyle w:val="Index1"/>
      </w:pPr>
      <w:r>
        <w:t>Risks, 15, 25–26, 71, 72</w:t>
      </w:r>
    </w:p>
    <w:p w:rsidR="00B42920" w:rsidRDefault="00B42920">
      <w:pPr>
        <w:pStyle w:val="Index2"/>
        <w:tabs>
          <w:tab w:val="right" w:leader="dot" w:pos="3485"/>
        </w:tabs>
        <w:rPr>
          <w:noProof/>
        </w:rPr>
      </w:pPr>
      <w:r>
        <w:rPr>
          <w:noProof/>
        </w:rPr>
        <w:t>Fiscal, 58–62</w:t>
      </w:r>
    </w:p>
    <w:p w:rsidR="00B42920" w:rsidRDefault="00B42920">
      <w:pPr>
        <w:pStyle w:val="IndexHeading"/>
        <w:tabs>
          <w:tab w:val="clear" w:pos="3481"/>
          <w:tab w:val="right" w:leader="dot" w:pos="3485"/>
        </w:tabs>
        <w:rPr>
          <w:rFonts w:asciiTheme="minorHAnsi" w:eastAsiaTheme="minorEastAsia" w:hAnsiTheme="minorHAnsi"/>
          <w:b w:val="0"/>
          <w:bCs w:val="0"/>
        </w:rPr>
      </w:pPr>
      <w:r>
        <w:t>S</w:t>
      </w:r>
    </w:p>
    <w:p w:rsidR="00B42920" w:rsidRDefault="00B42920">
      <w:pPr>
        <w:pStyle w:val="Index1"/>
      </w:pPr>
      <w:r>
        <w:t>Safety, 5, 11–12</w:t>
      </w:r>
    </w:p>
    <w:p w:rsidR="00B42920" w:rsidRDefault="00B42920">
      <w:pPr>
        <w:pStyle w:val="Index1"/>
      </w:pPr>
      <w:r>
        <w:t>Schools, 1, 5, 9</w:t>
      </w:r>
    </w:p>
    <w:p w:rsidR="00B42920" w:rsidRDefault="00B42920">
      <w:pPr>
        <w:pStyle w:val="Index1"/>
      </w:pPr>
      <w:r>
        <w:t>Sensitivity analysis</w:t>
      </w:r>
    </w:p>
    <w:p w:rsidR="00B42920" w:rsidRDefault="00B42920">
      <w:pPr>
        <w:pStyle w:val="Index2"/>
        <w:tabs>
          <w:tab w:val="right" w:leader="dot" w:pos="3485"/>
        </w:tabs>
        <w:rPr>
          <w:noProof/>
        </w:rPr>
      </w:pPr>
      <w:r>
        <w:rPr>
          <w:noProof/>
        </w:rPr>
        <w:t>Consumer prices, 80–82</w:t>
      </w:r>
    </w:p>
    <w:p w:rsidR="00B42920" w:rsidRDefault="00B42920">
      <w:pPr>
        <w:pStyle w:val="Index2"/>
        <w:tabs>
          <w:tab w:val="right" w:leader="dot" w:pos="3485"/>
        </w:tabs>
        <w:rPr>
          <w:noProof/>
        </w:rPr>
      </w:pPr>
      <w:r>
        <w:rPr>
          <w:noProof/>
        </w:rPr>
        <w:t>Employment, 80–82</w:t>
      </w:r>
    </w:p>
    <w:p w:rsidR="00B42920" w:rsidRDefault="00B42920">
      <w:pPr>
        <w:pStyle w:val="Index2"/>
        <w:tabs>
          <w:tab w:val="right" w:leader="dot" w:pos="3485"/>
        </w:tabs>
        <w:rPr>
          <w:noProof/>
        </w:rPr>
      </w:pPr>
      <w:r>
        <w:rPr>
          <w:noProof/>
        </w:rPr>
        <w:t>Gross state product, 80–82</w:t>
      </w:r>
    </w:p>
    <w:p w:rsidR="00B42920" w:rsidRDefault="00B42920">
      <w:pPr>
        <w:pStyle w:val="Index2"/>
        <w:tabs>
          <w:tab w:val="right" w:leader="dot" w:pos="3485"/>
        </w:tabs>
        <w:rPr>
          <w:noProof/>
        </w:rPr>
      </w:pPr>
      <w:r>
        <w:rPr>
          <w:noProof/>
        </w:rPr>
        <w:t>Interest rates, 80–82</w:t>
      </w:r>
    </w:p>
    <w:p w:rsidR="00B42920" w:rsidRDefault="00B42920">
      <w:pPr>
        <w:pStyle w:val="Index2"/>
        <w:tabs>
          <w:tab w:val="right" w:leader="dot" w:pos="3485"/>
        </w:tabs>
        <w:rPr>
          <w:noProof/>
        </w:rPr>
      </w:pPr>
      <w:r>
        <w:rPr>
          <w:noProof/>
        </w:rPr>
        <w:t>Property prices and volumes, 80–82</w:t>
      </w:r>
    </w:p>
    <w:p w:rsidR="00B42920" w:rsidRDefault="00B42920">
      <w:pPr>
        <w:pStyle w:val="Index1"/>
      </w:pPr>
      <w:r>
        <w:t>Skills, 1, 5, 7, 9, 30–36, 52</w:t>
      </w:r>
    </w:p>
    <w:p w:rsidR="00B42920" w:rsidRDefault="00B42920">
      <w:pPr>
        <w:pStyle w:val="Index1"/>
      </w:pPr>
      <w:r>
        <w:t>Skills First, 37, 42</w:t>
      </w:r>
    </w:p>
    <w:p w:rsidR="00B42920" w:rsidRDefault="00B42920">
      <w:pPr>
        <w:pStyle w:val="Index1"/>
      </w:pPr>
      <w:r>
        <w:t>Snowy Hydro Limited, 6, 48, 56</w:t>
      </w:r>
    </w:p>
    <w:p w:rsidR="00B42920" w:rsidRDefault="00B42920">
      <w:pPr>
        <w:pStyle w:val="Index1"/>
      </w:pPr>
      <w:r>
        <w:t>State of Victoria, 63–64</w:t>
      </w:r>
    </w:p>
    <w:p w:rsidR="00B42920" w:rsidRDefault="00B42920">
      <w:pPr>
        <w:pStyle w:val="Index1"/>
      </w:pPr>
      <w:r w:rsidRPr="00D66174">
        <w:rPr>
          <w:iCs/>
        </w:rPr>
        <w:t>Suburban Roads Upgrade</w:t>
      </w:r>
      <w:r>
        <w:t>, 8, 38, 56</w:t>
      </w:r>
    </w:p>
    <w:p w:rsidR="00B42920" w:rsidRDefault="00B42920">
      <w:pPr>
        <w:pStyle w:val="Index1"/>
      </w:pPr>
      <w:r>
        <w:t>Sunshine Hospital, 9</w:t>
      </w:r>
    </w:p>
    <w:p w:rsidR="00B42920" w:rsidRDefault="00B42920">
      <w:pPr>
        <w:pStyle w:val="Index1"/>
      </w:pPr>
      <w:r>
        <w:t>Superannuation, 65, 67, 72</w:t>
      </w:r>
    </w:p>
    <w:p w:rsidR="00B42920" w:rsidRDefault="00B42920">
      <w:pPr>
        <w:pStyle w:val="Index2"/>
        <w:tabs>
          <w:tab w:val="right" w:leader="dot" w:pos="3485"/>
        </w:tabs>
        <w:rPr>
          <w:noProof/>
        </w:rPr>
      </w:pPr>
      <w:r>
        <w:rPr>
          <w:noProof/>
        </w:rPr>
        <w:t>Expense, 65, 69</w:t>
      </w:r>
    </w:p>
    <w:p w:rsidR="00B42920" w:rsidRDefault="00B42920">
      <w:pPr>
        <w:pStyle w:val="Index2"/>
        <w:tabs>
          <w:tab w:val="right" w:leader="dot" w:pos="3485"/>
        </w:tabs>
        <w:rPr>
          <w:noProof/>
        </w:rPr>
      </w:pPr>
      <w:r>
        <w:rPr>
          <w:noProof/>
        </w:rPr>
        <w:t>Liability, 58, 66, 67</w:t>
      </w:r>
    </w:p>
    <w:p w:rsidR="00B42920" w:rsidRDefault="00B42920">
      <w:pPr>
        <w:pStyle w:val="Index1"/>
      </w:pPr>
      <w:r>
        <w:t xml:space="preserve">Surplus. </w:t>
      </w:r>
      <w:r w:rsidRPr="00D66174">
        <w:rPr>
          <w:i/>
        </w:rPr>
        <w:t xml:space="preserve">See </w:t>
      </w:r>
      <w:r>
        <w:t>Operating surplus</w:t>
      </w:r>
    </w:p>
    <w:p w:rsidR="00B42920" w:rsidRDefault="00B42920">
      <w:pPr>
        <w:pStyle w:val="IndexHeading"/>
        <w:tabs>
          <w:tab w:val="clear" w:pos="3481"/>
          <w:tab w:val="right" w:leader="dot" w:pos="3485"/>
        </w:tabs>
        <w:rPr>
          <w:rFonts w:asciiTheme="minorHAnsi" w:eastAsiaTheme="minorEastAsia" w:hAnsiTheme="minorHAnsi"/>
          <w:b w:val="0"/>
          <w:bCs w:val="0"/>
        </w:rPr>
      </w:pPr>
      <w:r>
        <w:br w:type="column"/>
        <w:t>T</w:t>
      </w:r>
    </w:p>
    <w:p w:rsidR="00B42920" w:rsidRDefault="00B42920">
      <w:pPr>
        <w:pStyle w:val="Index1"/>
      </w:pPr>
      <w:r>
        <w:t>TAFE, 1, 7, 35–37, 41–42, 44–45, 51</w:t>
      </w:r>
    </w:p>
    <w:p w:rsidR="00B42920" w:rsidRDefault="00B42920">
      <w:pPr>
        <w:pStyle w:val="Index1"/>
      </w:pPr>
      <w:r>
        <w:t>Taxation, 53</w:t>
      </w:r>
    </w:p>
    <w:p w:rsidR="00B42920" w:rsidRDefault="00B42920">
      <w:pPr>
        <w:pStyle w:val="Index2"/>
        <w:tabs>
          <w:tab w:val="right" w:leader="dot" w:pos="3485"/>
        </w:tabs>
        <w:rPr>
          <w:noProof/>
        </w:rPr>
      </w:pPr>
      <w:r>
        <w:rPr>
          <w:noProof/>
        </w:rPr>
        <w:t>Gambling, 50</w:t>
      </w:r>
    </w:p>
    <w:p w:rsidR="00B42920" w:rsidRDefault="00B42920">
      <w:pPr>
        <w:pStyle w:val="Index2"/>
        <w:tabs>
          <w:tab w:val="right" w:leader="dot" w:pos="3485"/>
        </w:tabs>
        <w:rPr>
          <w:noProof/>
        </w:rPr>
      </w:pPr>
      <w:r>
        <w:rPr>
          <w:noProof/>
        </w:rPr>
        <w:t>Land tax, 50</w:t>
      </w:r>
    </w:p>
    <w:p w:rsidR="00B42920" w:rsidRDefault="00B42920">
      <w:pPr>
        <w:pStyle w:val="Index2"/>
        <w:tabs>
          <w:tab w:val="right" w:leader="dot" w:pos="3485"/>
        </w:tabs>
        <w:rPr>
          <w:noProof/>
        </w:rPr>
      </w:pPr>
      <w:r>
        <w:rPr>
          <w:noProof/>
        </w:rPr>
        <w:t>Land transfer duty, 50, 75</w:t>
      </w:r>
    </w:p>
    <w:p w:rsidR="00B42920" w:rsidRDefault="00B42920">
      <w:pPr>
        <w:pStyle w:val="Index2"/>
        <w:tabs>
          <w:tab w:val="right" w:leader="dot" w:pos="3485"/>
        </w:tabs>
        <w:rPr>
          <w:noProof/>
        </w:rPr>
      </w:pPr>
      <w:r>
        <w:rPr>
          <w:noProof/>
        </w:rPr>
        <w:t>Motor vehicle, 50</w:t>
      </w:r>
    </w:p>
    <w:p w:rsidR="00B42920" w:rsidRDefault="00B42920">
      <w:pPr>
        <w:pStyle w:val="Index2"/>
        <w:tabs>
          <w:tab w:val="right" w:leader="dot" w:pos="3485"/>
        </w:tabs>
        <w:rPr>
          <w:noProof/>
        </w:rPr>
      </w:pPr>
      <w:r>
        <w:rPr>
          <w:noProof/>
        </w:rPr>
        <w:t>Payroll, 75, 78, 81</w:t>
      </w:r>
    </w:p>
    <w:p w:rsidR="00B42920" w:rsidRDefault="00B42920">
      <w:pPr>
        <w:pStyle w:val="Index2"/>
        <w:tabs>
          <w:tab w:val="right" w:leader="dot" w:pos="3485"/>
        </w:tabs>
        <w:rPr>
          <w:noProof/>
        </w:rPr>
      </w:pPr>
      <w:r>
        <w:rPr>
          <w:noProof/>
        </w:rPr>
        <w:t>Regional payroll tax, 7</w:t>
      </w:r>
    </w:p>
    <w:p w:rsidR="00B42920" w:rsidRDefault="00B42920">
      <w:pPr>
        <w:pStyle w:val="Index2"/>
        <w:tabs>
          <w:tab w:val="right" w:leader="dot" w:pos="3485"/>
        </w:tabs>
        <w:rPr>
          <w:noProof/>
        </w:rPr>
      </w:pPr>
      <w:r>
        <w:rPr>
          <w:noProof/>
        </w:rPr>
        <w:t>Revenue, 50</w:t>
      </w:r>
    </w:p>
    <w:p w:rsidR="00B42920" w:rsidRDefault="00B42920">
      <w:pPr>
        <w:pStyle w:val="Index1"/>
      </w:pPr>
      <w:r>
        <w:t>Training, 7</w:t>
      </w:r>
    </w:p>
    <w:p w:rsidR="00B42920" w:rsidRDefault="00B42920">
      <w:pPr>
        <w:pStyle w:val="Index1"/>
      </w:pPr>
      <w:r>
        <w:t>Triple</w:t>
      </w:r>
      <w:r>
        <w:noBreakHyphen/>
        <w:t>A credit rating, 1, 6, 47, 48, 63, 67</w:t>
      </w:r>
    </w:p>
    <w:p w:rsidR="00B42920" w:rsidRDefault="00B42920">
      <w:pPr>
        <w:pStyle w:val="IndexHeading"/>
        <w:tabs>
          <w:tab w:val="clear" w:pos="3481"/>
          <w:tab w:val="right" w:leader="dot" w:pos="3485"/>
        </w:tabs>
        <w:rPr>
          <w:rFonts w:asciiTheme="minorHAnsi" w:eastAsiaTheme="minorEastAsia" w:hAnsiTheme="minorHAnsi"/>
          <w:b w:val="0"/>
          <w:bCs w:val="0"/>
        </w:rPr>
      </w:pPr>
      <w:r>
        <w:t>U</w:t>
      </w:r>
    </w:p>
    <w:p w:rsidR="00B42920" w:rsidRDefault="00B42920">
      <w:pPr>
        <w:pStyle w:val="Index1"/>
      </w:pPr>
      <w:r>
        <w:t>Unemployment rate, 1, 3, 22, 77</w:t>
      </w:r>
    </w:p>
    <w:p w:rsidR="00B42920" w:rsidRDefault="00B42920">
      <w:pPr>
        <w:pStyle w:val="Index1"/>
      </w:pPr>
      <w:r>
        <w:t>Utility Relief Grant Scheme, 13</w:t>
      </w:r>
    </w:p>
    <w:p w:rsidR="00B42920" w:rsidRDefault="00B42920">
      <w:pPr>
        <w:pStyle w:val="IndexHeading"/>
        <w:tabs>
          <w:tab w:val="clear" w:pos="3481"/>
          <w:tab w:val="right" w:leader="dot" w:pos="3485"/>
        </w:tabs>
        <w:rPr>
          <w:rFonts w:asciiTheme="minorHAnsi" w:eastAsiaTheme="minorEastAsia" w:hAnsiTheme="minorHAnsi"/>
          <w:b w:val="0"/>
          <w:bCs w:val="0"/>
        </w:rPr>
      </w:pPr>
      <w:r>
        <w:t>V</w:t>
      </w:r>
    </w:p>
    <w:p w:rsidR="00B42920" w:rsidRDefault="00B42920">
      <w:pPr>
        <w:pStyle w:val="Index1"/>
      </w:pPr>
      <w:r>
        <w:t>Victoria Police, 11</w:t>
      </w:r>
    </w:p>
    <w:p w:rsidR="00B42920" w:rsidRDefault="00B42920">
      <w:pPr>
        <w:pStyle w:val="Index1"/>
      </w:pPr>
      <w:r>
        <w:t>Victoria University Regional Model, 72, 73, 77</w:t>
      </w:r>
    </w:p>
    <w:p w:rsidR="00B42920" w:rsidRDefault="00B42920">
      <w:pPr>
        <w:pStyle w:val="Index1"/>
      </w:pPr>
      <w:r>
        <w:t>Victoria’s Energy Compare, 13</w:t>
      </w:r>
    </w:p>
    <w:p w:rsidR="00B42920" w:rsidRDefault="00B42920">
      <w:pPr>
        <w:pStyle w:val="Index1"/>
      </w:pPr>
      <w:r>
        <w:t>Victorian Transport Fund, 50</w:t>
      </w:r>
    </w:p>
    <w:p w:rsidR="00B42920" w:rsidRDefault="00B42920">
      <w:pPr>
        <w:pStyle w:val="Index1"/>
      </w:pPr>
      <w:r>
        <w:t>VLocity carriages, 66</w:t>
      </w:r>
    </w:p>
    <w:p w:rsidR="00B42920" w:rsidRDefault="00B42920">
      <w:pPr>
        <w:pStyle w:val="Index1"/>
      </w:pPr>
      <w:r w:rsidRPr="00D66174">
        <w:t>Vocational Education and Training in Schools</w:t>
      </w:r>
      <w:r>
        <w:t>, 43, 44</w:t>
      </w:r>
    </w:p>
    <w:p w:rsidR="00B42920" w:rsidRDefault="00B42920">
      <w:pPr>
        <w:pStyle w:val="IndexHeading"/>
        <w:tabs>
          <w:tab w:val="clear" w:pos="3481"/>
          <w:tab w:val="right" w:leader="dot" w:pos="3485"/>
        </w:tabs>
        <w:rPr>
          <w:rFonts w:asciiTheme="minorHAnsi" w:eastAsiaTheme="minorEastAsia" w:hAnsiTheme="minorHAnsi"/>
          <w:b w:val="0"/>
          <w:bCs w:val="0"/>
        </w:rPr>
      </w:pPr>
      <w:r>
        <w:t>W</w:t>
      </w:r>
    </w:p>
    <w:p w:rsidR="00B42920" w:rsidRDefault="00B42920">
      <w:pPr>
        <w:pStyle w:val="Index1"/>
      </w:pPr>
      <w:r>
        <w:t>Wages, 2, 20–21, 74–75, 77, 79</w:t>
      </w:r>
    </w:p>
    <w:p w:rsidR="00B42920" w:rsidRDefault="00B42920">
      <w:pPr>
        <w:pStyle w:val="Index1"/>
      </w:pPr>
      <w:r>
        <w:t>West Gate Tunnel Project, 38</w:t>
      </w:r>
    </w:p>
    <w:p w:rsidR="00B42920" w:rsidRDefault="00B42920">
      <w:pPr>
        <w:pStyle w:val="Index1"/>
      </w:pPr>
      <w:r>
        <w:t>Western Roads Upgrade, 8, 58, 66</w:t>
      </w:r>
    </w:p>
    <w:p w:rsidR="00B42920" w:rsidRDefault="00B42920">
      <w:pPr>
        <w:pStyle w:val="Index1"/>
      </w:pPr>
      <w:r>
        <w:t>Wonthaggi Hospital, 11</w:t>
      </w:r>
    </w:p>
    <w:p w:rsidR="00B42920" w:rsidRDefault="00B42920">
      <w:pPr>
        <w:pStyle w:val="IndexHeading"/>
        <w:tabs>
          <w:tab w:val="clear" w:pos="3481"/>
          <w:tab w:val="right" w:leader="dot" w:pos="3485"/>
        </w:tabs>
        <w:rPr>
          <w:rFonts w:asciiTheme="minorHAnsi" w:eastAsiaTheme="minorEastAsia" w:hAnsiTheme="minorHAnsi"/>
          <w:b w:val="0"/>
          <w:bCs w:val="0"/>
        </w:rPr>
      </w:pPr>
      <w:r>
        <w:t>X</w:t>
      </w:r>
    </w:p>
    <w:p w:rsidR="00B42920" w:rsidRDefault="00B42920">
      <w:pPr>
        <w:pStyle w:val="Index1"/>
      </w:pPr>
      <w:r>
        <w:t>X’Trapolis trains, 8</w:t>
      </w:r>
    </w:p>
    <w:p w:rsidR="00B42920" w:rsidRDefault="00B42920" w:rsidP="004419CD">
      <w:pPr>
        <w:rPr>
          <w:noProof/>
        </w:rPr>
        <w:sectPr w:rsidR="00B42920" w:rsidSect="00B42920">
          <w:type w:val="continuous"/>
          <w:pgSz w:w="9979" w:h="14175" w:code="9"/>
          <w:pgMar w:top="850" w:right="1134" w:bottom="850" w:left="1134" w:header="624" w:footer="567" w:gutter="0"/>
          <w:cols w:num="2" w:space="720"/>
          <w:docGrid w:linePitch="360"/>
        </w:sectPr>
      </w:pPr>
    </w:p>
    <w:p w:rsidR="006371F3" w:rsidRDefault="00F918C3" w:rsidP="004419CD">
      <w:r>
        <w:fldChar w:fldCharType="end"/>
      </w:r>
    </w:p>
    <w:p w:rsidR="006371F3" w:rsidRDefault="006371F3">
      <w:pPr>
        <w:keepLines w:val="0"/>
      </w:pPr>
      <w:r>
        <w:br w:type="page"/>
      </w:r>
    </w:p>
    <w:p w:rsidR="00F918C3" w:rsidRDefault="00F918C3" w:rsidP="004419CD">
      <w:r w:rsidRPr="007B2462">
        <w:fldChar w:fldCharType="begin"/>
      </w:r>
      <w:r w:rsidRPr="007B2462">
        <w:instrText xml:space="preserve"> XE "</w:instrText>
      </w:r>
      <w:r>
        <w:instrText>AAA credit rating</w:instrText>
      </w:r>
      <w:r w:rsidRPr="007B2462">
        <w:instrText>" \t "</w:instrText>
      </w:r>
      <w:r w:rsidRPr="007B2462">
        <w:rPr>
          <w:i/>
        </w:rPr>
        <w:instrText xml:space="preserve">See </w:instrText>
      </w:r>
      <w:r>
        <w:instrText>Triple</w:instrText>
      </w:r>
      <w:r>
        <w:noBreakHyphen/>
        <w:instrText>A credit rating</w:instrText>
      </w:r>
      <w:r w:rsidRPr="007B2462">
        <w:instrText xml:space="preserve">" </w:instrText>
      </w:r>
      <w:r w:rsidRPr="007B2462">
        <w:fldChar w:fldCharType="end"/>
      </w:r>
      <w:r w:rsidRPr="007B2462">
        <w:fldChar w:fldCharType="begin"/>
      </w:r>
      <w:r w:rsidRPr="007B2462">
        <w:instrText xml:space="preserve"> XE "</w:instrText>
      </w:r>
      <w:r>
        <w:instrText>Consumer price index</w:instrText>
      </w:r>
      <w:r w:rsidRPr="007B2462">
        <w:instrText>" \t "</w:instrText>
      </w:r>
      <w:r w:rsidRPr="007B2462">
        <w:rPr>
          <w:i/>
        </w:rPr>
        <w:instrText xml:space="preserve">See </w:instrText>
      </w:r>
      <w:r>
        <w:instrText>Inflation</w:instrText>
      </w:r>
      <w:r w:rsidRPr="007B2462">
        <w:instrText xml:space="preserve">" </w:instrText>
      </w:r>
      <w:r w:rsidRPr="007B2462">
        <w:fldChar w:fldCharType="end"/>
      </w:r>
      <w:r w:rsidRPr="007B2462">
        <w:fldChar w:fldCharType="begin"/>
      </w:r>
      <w:r w:rsidRPr="007B2462">
        <w:instrText xml:space="preserve"> XE "</w:instrText>
      </w:r>
      <w:r>
        <w:instrText>Economic growth</w:instrText>
      </w:r>
      <w:r w:rsidRPr="007B2462">
        <w:instrText>" \t "</w:instrText>
      </w:r>
      <w:r w:rsidRPr="007B2462">
        <w:rPr>
          <w:i/>
        </w:rPr>
        <w:instrText>See</w:instrText>
      </w:r>
      <w:r>
        <w:rPr>
          <w:i/>
        </w:rPr>
        <w:instrText> also </w:instrText>
      </w:r>
      <w:r>
        <w:instrText>Risks</w:instrText>
      </w:r>
      <w:r w:rsidRPr="007B2462">
        <w:instrText xml:space="preserve">" </w:instrText>
      </w:r>
      <w:r w:rsidRPr="007B2462">
        <w:fldChar w:fldCharType="end"/>
      </w:r>
      <w:r w:rsidRPr="007B2462">
        <w:fldChar w:fldCharType="begin"/>
      </w:r>
      <w:r w:rsidRPr="007B2462">
        <w:instrText xml:space="preserve"> XE "General government net debt" \t "</w:instrText>
      </w:r>
      <w:r w:rsidRPr="007B2462">
        <w:rPr>
          <w:i/>
        </w:rPr>
        <w:instrText xml:space="preserve">See </w:instrText>
      </w:r>
      <w:r w:rsidRPr="007B2462">
        <w:instrText xml:space="preserve">Debt" </w:instrText>
      </w:r>
      <w:r w:rsidRPr="007B2462">
        <w:fldChar w:fldCharType="end"/>
      </w:r>
      <w:r w:rsidRPr="007B2462">
        <w:fldChar w:fldCharType="begin"/>
      </w:r>
      <w:r w:rsidRPr="007B2462">
        <w:instrText xml:space="preserve"> XE "</w:instrText>
      </w:r>
      <w:r>
        <w:instrText>Gross state product</w:instrText>
      </w:r>
      <w:r w:rsidRPr="007B2462">
        <w:instrText>" \t "</w:instrText>
      </w:r>
      <w:r w:rsidRPr="007B2462">
        <w:rPr>
          <w:i/>
        </w:rPr>
        <w:instrText>See</w:instrText>
      </w:r>
      <w:r>
        <w:rPr>
          <w:i/>
        </w:rPr>
        <w:instrText xml:space="preserve"> also</w:instrText>
      </w:r>
      <w:r w:rsidRPr="007B2462">
        <w:rPr>
          <w:i/>
        </w:rPr>
        <w:instrText xml:space="preserve"> </w:instrText>
      </w:r>
      <w:r>
        <w:instrText>Economic growth</w:instrText>
      </w:r>
      <w:r w:rsidRPr="007B2462">
        <w:instrText xml:space="preserve">" </w:instrText>
      </w:r>
      <w:r w:rsidRPr="007B2462">
        <w:fldChar w:fldCharType="end"/>
      </w:r>
      <w:r w:rsidRPr="007B2462">
        <w:fldChar w:fldCharType="begin"/>
      </w:r>
      <w:r w:rsidRPr="007B2462">
        <w:instrText xml:space="preserve"> XE "</w:instrText>
      </w:r>
      <w:r>
        <w:instrText>Mental health</w:instrText>
      </w:r>
      <w:r w:rsidRPr="007B2462">
        <w:instrText>" \t "</w:instrText>
      </w:r>
      <w:r w:rsidRPr="007B2462">
        <w:rPr>
          <w:i/>
        </w:rPr>
        <w:instrText xml:space="preserve">See </w:instrText>
      </w:r>
      <w:r>
        <w:rPr>
          <w:i/>
        </w:rPr>
        <w:instrText>H</w:instrText>
      </w:r>
      <w:r>
        <w:instrText>ealth</w:instrText>
      </w:r>
      <w:r w:rsidRPr="007B2462">
        <w:instrText xml:space="preserve">" </w:instrText>
      </w:r>
      <w:r w:rsidRPr="007B2462">
        <w:fldChar w:fldCharType="end"/>
      </w:r>
      <w:r w:rsidRPr="007B2462">
        <w:fldChar w:fldCharType="begin"/>
      </w:r>
      <w:r w:rsidRPr="007B2462">
        <w:instrText xml:space="preserve"> XE "Net debt" \t "</w:instrText>
      </w:r>
      <w:r w:rsidRPr="007B2462">
        <w:rPr>
          <w:i/>
        </w:rPr>
        <w:instrText xml:space="preserve">See </w:instrText>
      </w:r>
      <w:r w:rsidRPr="007B2462">
        <w:instrText xml:space="preserve">Debt" </w:instrText>
      </w:r>
      <w:r w:rsidRPr="007B2462">
        <w:fldChar w:fldCharType="end"/>
      </w:r>
      <w:r w:rsidRPr="007B2462">
        <w:fldChar w:fldCharType="begin"/>
      </w:r>
      <w:r w:rsidRPr="007B2462">
        <w:instrText xml:space="preserve"> XE "</w:instrText>
      </w:r>
      <w:r>
        <w:instrText>Non-financial public sector</w:instrText>
      </w:r>
      <w:r w:rsidRPr="007B2462">
        <w:instrText>" \t "</w:instrText>
      </w:r>
      <w:r w:rsidRPr="007B2462">
        <w:rPr>
          <w:i/>
        </w:rPr>
        <w:instrText>See</w:instrText>
      </w:r>
      <w:r>
        <w:rPr>
          <w:i/>
        </w:rPr>
        <w:instrText> also </w:instrText>
      </w:r>
      <w:r w:rsidRPr="007B2462">
        <w:instrText xml:space="preserve">Debt" </w:instrText>
      </w:r>
      <w:r w:rsidRPr="007B2462">
        <w:fldChar w:fldCharType="end"/>
      </w:r>
      <w:r w:rsidRPr="007B2462">
        <w:fldChar w:fldCharType="begin"/>
      </w:r>
      <w:r w:rsidRPr="007B2462">
        <w:instrText xml:space="preserve"> XE "Surplus" \t "</w:instrText>
      </w:r>
      <w:r w:rsidRPr="007B2462">
        <w:rPr>
          <w:i/>
        </w:rPr>
        <w:instrText xml:space="preserve">See </w:instrText>
      </w:r>
      <w:r w:rsidRPr="007B2462">
        <w:instrText xml:space="preserve">Operating surplus" </w:instrText>
      </w:r>
      <w:r w:rsidRPr="007B2462">
        <w:fldChar w:fldCharType="end"/>
      </w:r>
      <w:r w:rsidRPr="007B2462">
        <w:fldChar w:fldCharType="begin"/>
      </w:r>
      <w:r w:rsidRPr="007B2462">
        <w:instrText xml:space="preserve"> XE "</w:instrText>
      </w:r>
      <w:r>
        <w:instrText>Payroll tax</w:instrText>
      </w:r>
      <w:r w:rsidRPr="007B2462">
        <w:instrText>" \t "</w:instrText>
      </w:r>
      <w:r w:rsidRPr="007B2462">
        <w:rPr>
          <w:i/>
        </w:rPr>
        <w:instrText xml:space="preserve">See </w:instrText>
      </w:r>
      <w:r>
        <w:instrText>Taxation</w:instrText>
      </w:r>
      <w:r w:rsidRPr="007B2462">
        <w:instrText xml:space="preserve">" </w:instrText>
      </w:r>
      <w:r w:rsidRPr="007B2462">
        <w:fldChar w:fldCharType="end"/>
      </w:r>
    </w:p>
    <w:p w:rsidR="00F918C3" w:rsidRDefault="00F918C3" w:rsidP="004419CD"/>
    <w:p w:rsidR="00F918C3" w:rsidRDefault="00F918C3" w:rsidP="004419CD"/>
    <w:p w:rsidR="00F918C3" w:rsidRDefault="00F918C3" w:rsidP="00D75029"/>
    <w:sectPr w:rsidR="00F918C3" w:rsidSect="00B42920">
      <w:type w:val="continuous"/>
      <w:pgSz w:w="9979" w:h="14175" w:code="9"/>
      <w:pgMar w:top="850" w:right="1134" w:bottom="850" w:left="1134" w:header="624" w:footer="567"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8C3" w:rsidRDefault="00F918C3" w:rsidP="00F918C3">
      <w:pPr>
        <w:spacing w:before="0"/>
      </w:pPr>
      <w:r>
        <w:separator/>
      </w:r>
    </w:p>
  </w:endnote>
  <w:endnote w:type="continuationSeparator" w:id="0">
    <w:p w:rsidR="00F918C3" w:rsidRDefault="00F918C3" w:rsidP="00F918C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rsidP="005F5AC0">
    <w:pPr>
      <w:pStyle w:val="Footer"/>
      <w:jc w:val="center"/>
      <w:rPr>
        <w:rFonts w:ascii="Arial" w:hAnsi="Arial" w:cs="Arial"/>
        <w:b/>
        <w:color w:val="FF0000"/>
        <w:sz w:val="29"/>
      </w:rPr>
    </w:pPr>
    <w:bookmarkStart w:id="36" w:name="aliashProtectiveMarkings1FooterFirstPage"/>
  </w:p>
  <w:p w:rsidR="00F918C3" w:rsidRDefault="00F918C3" w:rsidP="005F5AC0">
    <w:pPr>
      <w:pStyle w:val="Footer"/>
      <w:jc w:val="center"/>
    </w:pPr>
  </w:p>
  <w:bookmarkEnd w:id="36"/>
  <w:p w:rsidR="00F918C3" w:rsidRDefault="00F918C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F918C3" w:rsidRDefault="00F918C3" w:rsidP="00F918C3">
    <w:pPr>
      <w:pStyle w:val="Footereven"/>
      <w:rPr>
        <w:rStyle w:val="PageNumber"/>
        <w:rFonts w:asciiTheme="majorHAnsi" w:hAnsiTheme="majorHAnsi"/>
      </w:rPr>
    </w:pPr>
    <w:r w:rsidRPr="00F918C3">
      <w:rPr>
        <w:rStyle w:val="PageNumber"/>
        <w:rFonts w:asciiTheme="majorHAnsi" w:hAnsiTheme="majorHAnsi"/>
      </w:rPr>
      <w:fldChar w:fldCharType="begin"/>
    </w:r>
    <w:r w:rsidRPr="00F918C3">
      <w:rPr>
        <w:rStyle w:val="PageNumber"/>
        <w:rFonts w:asciiTheme="majorHAnsi" w:hAnsiTheme="majorHAnsi"/>
      </w:rPr>
      <w:instrText xml:space="preserve"> PAGE </w:instrText>
    </w:r>
    <w:r w:rsidRPr="00F918C3">
      <w:rPr>
        <w:rStyle w:val="PageNumber"/>
        <w:rFonts w:asciiTheme="majorHAnsi" w:hAnsiTheme="majorHAnsi"/>
      </w:rPr>
      <w:fldChar w:fldCharType="separate"/>
    </w:r>
    <w:r w:rsidR="001437C2">
      <w:rPr>
        <w:rStyle w:val="PageNumber"/>
        <w:rFonts w:asciiTheme="majorHAnsi" w:hAnsiTheme="majorHAnsi"/>
        <w:noProof/>
      </w:rPr>
      <w:t>48</w:t>
    </w:r>
    <w:r w:rsidRPr="00F918C3">
      <w:rPr>
        <w:rStyle w:val="PageNumber"/>
        <w:rFonts w:asciiTheme="majorHAnsi" w:hAnsiTheme="majorHAnsi"/>
      </w:rPr>
      <w:fldChar w:fldCharType="end"/>
    </w:r>
    <w:r w:rsidRPr="00F918C3">
      <w:rPr>
        <w:rStyle w:val="PageNumber"/>
        <w:rFonts w:asciiTheme="majorHAnsi" w:hAnsiTheme="majorHAnsi"/>
      </w:rPr>
      <w:tab/>
      <w:t>Chapter 3</w:t>
    </w:r>
    <w:r w:rsidRPr="00F918C3">
      <w:rPr>
        <w:rStyle w:val="PageNumber"/>
        <w:rFonts w:asciiTheme="majorHAnsi" w:hAnsiTheme="majorHAnsi"/>
      </w:rPr>
      <w:tab/>
      <w:t>2018</w:t>
    </w:r>
    <w:r w:rsidRPr="00F918C3">
      <w:rPr>
        <w:rStyle w:val="PageNumber"/>
        <w:rFonts w:asciiTheme="majorHAnsi" w:hAnsiTheme="majorHAnsi"/>
      </w:rPr>
      <w:noBreakHyphen/>
      <w:t>19 Strategy and Outlook</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F918C3" w:rsidRDefault="00F918C3" w:rsidP="00F918C3">
    <w:pPr>
      <w:pStyle w:val="Footerodd"/>
      <w:rPr>
        <w:rStyle w:val="PageNumber"/>
        <w:rFonts w:asciiTheme="majorHAnsi" w:hAnsiTheme="majorHAnsi"/>
      </w:rPr>
    </w:pPr>
    <w:r w:rsidRPr="00F918C3">
      <w:rPr>
        <w:rStyle w:val="PageNumber"/>
        <w:rFonts w:asciiTheme="majorHAnsi" w:hAnsiTheme="majorHAnsi"/>
      </w:rPr>
      <w:t>2018</w:t>
    </w:r>
    <w:r w:rsidRPr="00F918C3">
      <w:rPr>
        <w:rStyle w:val="PageNumber"/>
        <w:rFonts w:asciiTheme="majorHAnsi" w:hAnsiTheme="majorHAnsi"/>
      </w:rPr>
      <w:noBreakHyphen/>
      <w:t>19 Strategy and Outlook</w:t>
    </w:r>
    <w:r w:rsidRPr="00F918C3">
      <w:rPr>
        <w:rStyle w:val="PageNumber"/>
        <w:rFonts w:asciiTheme="majorHAnsi" w:hAnsiTheme="majorHAnsi"/>
      </w:rPr>
      <w:tab/>
      <w:t>Chapter 3</w:t>
    </w:r>
    <w:r w:rsidRPr="00F918C3">
      <w:rPr>
        <w:rStyle w:val="PageNumber"/>
        <w:rFonts w:asciiTheme="majorHAnsi" w:hAnsiTheme="majorHAnsi"/>
      </w:rPr>
      <w:tab/>
    </w:r>
    <w:r w:rsidRPr="00F918C3">
      <w:rPr>
        <w:rStyle w:val="PageNumber"/>
        <w:rFonts w:asciiTheme="majorHAnsi" w:hAnsiTheme="majorHAnsi"/>
      </w:rPr>
      <w:fldChar w:fldCharType="begin"/>
    </w:r>
    <w:r w:rsidRPr="00F918C3">
      <w:rPr>
        <w:rStyle w:val="PageNumber"/>
        <w:rFonts w:asciiTheme="majorHAnsi" w:hAnsiTheme="majorHAnsi"/>
      </w:rPr>
      <w:instrText xml:space="preserve"> PAGE </w:instrText>
    </w:r>
    <w:r w:rsidRPr="00F918C3">
      <w:rPr>
        <w:rStyle w:val="PageNumber"/>
        <w:rFonts w:asciiTheme="majorHAnsi" w:hAnsiTheme="majorHAnsi"/>
      </w:rPr>
      <w:fldChar w:fldCharType="separate"/>
    </w:r>
    <w:r w:rsidR="001437C2">
      <w:rPr>
        <w:rStyle w:val="PageNumber"/>
        <w:rFonts w:asciiTheme="majorHAnsi" w:hAnsiTheme="majorHAnsi"/>
        <w:noProof/>
      </w:rPr>
      <w:t>47</w:t>
    </w:r>
    <w:r w:rsidRPr="00F918C3">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64</w:t>
    </w:r>
    <w:r w:rsidRPr="00D90086">
      <w:rPr>
        <w:rStyle w:val="PageNumber"/>
        <w:rFonts w:asciiTheme="majorHAnsi" w:hAnsiTheme="majorHAnsi"/>
      </w:rPr>
      <w:fldChar w:fldCharType="end"/>
    </w:r>
    <w:r w:rsidRPr="00D90086">
      <w:tab/>
    </w:r>
    <w:r>
      <w:t>Chapter 4</w:t>
    </w:r>
    <w:r w:rsidRPr="00D90086">
      <w:tab/>
    </w:r>
    <w:r>
      <w:rPr>
        <w:rStyle w:val="PageNumber"/>
        <w:rFonts w:asciiTheme="majorHAnsi" w:hAnsiTheme="majorHAnsi"/>
      </w:rPr>
      <w:t>2018</w:t>
    </w:r>
    <w:r>
      <w:rPr>
        <w:rStyle w:val="PageNumber"/>
        <w:rFonts w:asciiTheme="majorHAnsi" w:hAnsiTheme="majorHAnsi"/>
      </w:rPr>
      <w:noBreakHyphen/>
      <w:t>19 Strategy and Outlook</w:t>
    </w:r>
    <w:r w:rsidRPr="00D90086">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w:t>
    </w:r>
    <w:r>
      <w:rPr>
        <w:rStyle w:val="PageNumber"/>
        <w:rFonts w:asciiTheme="majorHAnsi" w:hAnsiTheme="majorHAnsi"/>
      </w:rPr>
      <w:noBreakHyphen/>
      <w:t>19 Strategy and Outlook</w:t>
    </w:r>
    <w:r w:rsidRPr="00BA26F2">
      <w:tab/>
    </w:r>
    <w:r>
      <w:t>Chapter 4</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63</w:t>
    </w:r>
    <w:r w:rsidRPr="00BA26F2">
      <w:rPr>
        <w:rStyle w:val="PageNumber"/>
        <w:rFonts w:asciiTheme="majorHAnsi" w:hAnsiTheme="majorHAns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74</w:t>
    </w:r>
    <w:r w:rsidRPr="00D90086">
      <w:rPr>
        <w:rStyle w:val="PageNumber"/>
        <w:rFonts w:asciiTheme="majorHAnsi" w:hAnsiTheme="majorHAnsi"/>
      </w:rPr>
      <w:fldChar w:fldCharType="end"/>
    </w:r>
    <w:r w:rsidRPr="00D90086">
      <w:tab/>
    </w:r>
    <w:r>
      <w:t>Chapter 5</w:t>
    </w:r>
    <w:r w:rsidRPr="00D90086">
      <w:tab/>
    </w:r>
    <w:r>
      <w:rPr>
        <w:rStyle w:val="PageNumber"/>
        <w:rFonts w:asciiTheme="majorHAnsi" w:hAnsiTheme="majorHAnsi"/>
      </w:rPr>
      <w:t>2018</w:t>
    </w:r>
    <w:r>
      <w:rPr>
        <w:rStyle w:val="PageNumber"/>
        <w:rFonts w:asciiTheme="majorHAnsi" w:hAnsiTheme="majorHAnsi"/>
      </w:rPr>
      <w:noBreakHyphen/>
      <w:t>19 Strategy and Outlook</w:t>
    </w:r>
    <w:r w:rsidRPr="00D90086">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w:t>
    </w:r>
    <w:r>
      <w:rPr>
        <w:rStyle w:val="PageNumber"/>
        <w:rFonts w:asciiTheme="majorHAnsi" w:hAnsiTheme="majorHAnsi"/>
      </w:rPr>
      <w:noBreakHyphen/>
      <w:t>19 Strategy and Outlook</w:t>
    </w:r>
    <w:r w:rsidRPr="00BA26F2">
      <w:tab/>
    </w:r>
    <w:r>
      <w:t>Chapter 5</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73</w:t>
    </w:r>
    <w:r w:rsidRPr="00BA26F2">
      <w:rPr>
        <w:rStyle w:val="PageNumber"/>
        <w:rFonts w:asciiTheme="majorHAnsi" w:hAnsiTheme="majorHAns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86</w:t>
    </w:r>
    <w:r w:rsidRPr="00D90086">
      <w:rPr>
        <w:rStyle w:val="PageNumber"/>
        <w:rFonts w:asciiTheme="majorHAnsi" w:hAnsiTheme="majorHAnsi"/>
      </w:rPr>
      <w:fldChar w:fldCharType="end"/>
    </w:r>
    <w:r w:rsidRPr="00D90086">
      <w:tab/>
    </w:r>
    <w:r>
      <w:t>Appendix A</w:t>
    </w:r>
    <w:r w:rsidRPr="00D90086">
      <w:tab/>
    </w:r>
    <w:r>
      <w:rPr>
        <w:rStyle w:val="PageNumber"/>
        <w:rFonts w:asciiTheme="majorHAnsi" w:hAnsiTheme="majorHAnsi"/>
      </w:rPr>
      <w:t>2018-19 Strategy and Outlook</w:t>
    </w:r>
    <w:r w:rsidRPr="00D90086">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2018-19 Strategy and Outlook</w:t>
    </w:r>
    <w:r w:rsidRPr="00BA26F2">
      <w:tab/>
    </w:r>
    <w:r>
      <w:t>Appendix A</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85</w:t>
    </w:r>
    <w:r w:rsidRPr="00BA26F2">
      <w:rPr>
        <w:rStyle w:val="PageNumber"/>
        <w:rFonts w:asciiTheme="majorHAnsi" w:hAnsiTheme="majorHAns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88</w:t>
    </w:r>
    <w:r w:rsidRPr="00D90086">
      <w:rPr>
        <w:rStyle w:val="PageNumber"/>
        <w:rFonts w:asciiTheme="majorHAnsi" w:hAnsiTheme="majorHAnsi"/>
      </w:rPr>
      <w:fldChar w:fldCharType="end"/>
    </w:r>
    <w:r w:rsidRPr="00D90086">
      <w:tab/>
    </w:r>
    <w:r>
      <w:t>Style conventions</w:t>
    </w:r>
    <w:r w:rsidRPr="00D90086">
      <w:tab/>
    </w:r>
    <w:r>
      <w:rPr>
        <w:rStyle w:val="PageNumber"/>
        <w:rFonts w:asciiTheme="majorHAnsi" w:hAnsiTheme="majorHAnsi"/>
      </w:rPr>
      <w:t>2018-19 Strategy and Outlook</w:t>
    </w:r>
    <w:r w:rsidRPr="00D9008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2018-19 Strategy and Outlook</w:t>
    </w:r>
    <w:r w:rsidRPr="00BA26F2">
      <w:tab/>
    </w:r>
    <w:r>
      <w:t>Style conventions</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87</w:t>
    </w:r>
    <w:r w:rsidRPr="00BA26F2">
      <w:rPr>
        <w:rStyle w:val="PageNumber"/>
        <w:rFonts w:asciiTheme="majorHAnsi" w:hAnsiTheme="majorHAnsi"/>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45" w:rsidRPr="00D90086" w:rsidRDefault="00FF3B45"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92</w:t>
    </w:r>
    <w:r w:rsidRPr="00D90086">
      <w:rPr>
        <w:rStyle w:val="PageNumber"/>
        <w:rFonts w:asciiTheme="majorHAnsi" w:hAnsiTheme="majorHAnsi"/>
      </w:rPr>
      <w:fldChar w:fldCharType="end"/>
    </w:r>
    <w:r w:rsidRPr="00D90086">
      <w:tab/>
    </w:r>
    <w:r w:rsidR="00B42920">
      <w:t>Index</w:t>
    </w:r>
    <w:r w:rsidRPr="00D90086">
      <w:tab/>
    </w:r>
    <w:r w:rsidR="00B42920">
      <w:rPr>
        <w:rStyle w:val="PageNumber"/>
        <w:rFonts w:asciiTheme="majorHAnsi" w:hAnsiTheme="majorHAnsi"/>
      </w:rPr>
      <w:t>2018-19 Strategy and Outlook</w:t>
    </w:r>
    <w:r w:rsidRPr="00D90086">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45" w:rsidRPr="00BA26F2" w:rsidRDefault="00B42920" w:rsidP="008155D0">
    <w:pPr>
      <w:pStyle w:val="Footerodd"/>
    </w:pPr>
    <w:r>
      <w:rPr>
        <w:rStyle w:val="PageNumber"/>
        <w:rFonts w:asciiTheme="majorHAnsi" w:hAnsiTheme="majorHAnsi"/>
      </w:rPr>
      <w:t>2018-19 Strategy and Outlook</w:t>
    </w:r>
    <w:r w:rsidR="00FF3B45" w:rsidRPr="00BA26F2">
      <w:tab/>
    </w:r>
    <w:r>
      <w:t>Index</w:t>
    </w:r>
    <w:r w:rsidR="00FF3B45" w:rsidRPr="00BA26F2">
      <w:tab/>
    </w:r>
    <w:r w:rsidR="00FF3B45" w:rsidRPr="00BA26F2">
      <w:rPr>
        <w:rStyle w:val="PageNumber"/>
        <w:rFonts w:asciiTheme="majorHAnsi" w:hAnsiTheme="majorHAnsi"/>
      </w:rPr>
      <w:fldChar w:fldCharType="begin"/>
    </w:r>
    <w:r w:rsidR="00FF3B45" w:rsidRPr="00BA26F2">
      <w:rPr>
        <w:rStyle w:val="PageNumber"/>
        <w:rFonts w:asciiTheme="majorHAnsi" w:hAnsiTheme="majorHAnsi"/>
      </w:rPr>
      <w:instrText xml:space="preserve"> PAGE </w:instrText>
    </w:r>
    <w:r w:rsidR="00FF3B45" w:rsidRPr="00BA26F2">
      <w:rPr>
        <w:rStyle w:val="PageNumber"/>
        <w:rFonts w:asciiTheme="majorHAnsi" w:hAnsiTheme="majorHAnsi"/>
      </w:rPr>
      <w:fldChar w:fldCharType="separate"/>
    </w:r>
    <w:r w:rsidR="001437C2">
      <w:rPr>
        <w:rStyle w:val="PageNumber"/>
        <w:rFonts w:asciiTheme="majorHAnsi" w:hAnsiTheme="majorHAnsi"/>
        <w:noProof/>
      </w:rPr>
      <w:t>91</w:t>
    </w:r>
    <w:r w:rsidR="00FF3B45" w:rsidRPr="00BA26F2">
      <w:rPr>
        <w:rStyle w:val="PageNumber"/>
        <w:rFonts w:asciiTheme="majorHAnsi" w:hAnsiTheme="majorHAnsi"/>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5D0" w:rsidRDefault="008155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1171BB">
    <w:pPr>
      <w:pStyle w:val="Footereven"/>
      <w:pBdr>
        <w:top w:val="none" w:sz="0" w:space="0" w:color="auto"/>
      </w:pBd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ii</w:t>
    </w:r>
    <w:r w:rsidRPr="00D90086">
      <w:rPr>
        <w:rStyle w:val="PageNumber"/>
        <w:rFonts w:asciiTheme="majorHAnsi" w:hAnsiTheme="majorHAnsi"/>
      </w:rPr>
      <w:fldChar w:fldCharType="end"/>
    </w:r>
    <w:r w:rsidRPr="00D90086">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1171BB">
    <w:pPr>
      <w:pStyle w:val="Footerodd"/>
      <w:pBdr>
        <w:top w:val="none" w:sz="0" w:space="0" w:color="auto"/>
      </w:pBdr>
      <w:jc w:val="right"/>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i</w:t>
    </w:r>
    <w:r w:rsidRPr="00BA26F2">
      <w:rPr>
        <w:rStyle w:val="PageNumber"/>
        <w:rFonts w:asciiTheme="majorHAnsi" w:hAnsiTheme="majorHAns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14</w:t>
    </w:r>
    <w:r w:rsidRPr="00D90086">
      <w:rPr>
        <w:rStyle w:val="PageNumber"/>
        <w:rFonts w:asciiTheme="majorHAnsi" w:hAnsiTheme="majorHAnsi"/>
      </w:rPr>
      <w:fldChar w:fldCharType="end"/>
    </w:r>
    <w:r w:rsidRPr="00D90086">
      <w:tab/>
    </w:r>
    <w:r>
      <w:t>Chapter 1</w:t>
    </w:r>
    <w:r w:rsidRPr="00D90086">
      <w:tab/>
    </w:r>
    <w:r>
      <w:rPr>
        <w:rStyle w:val="PageNumber"/>
        <w:rFonts w:asciiTheme="majorHAnsi" w:hAnsiTheme="majorHAnsi"/>
      </w:rPr>
      <w:t>2018</w:t>
    </w:r>
    <w:r>
      <w:rPr>
        <w:rStyle w:val="PageNumber"/>
        <w:rFonts w:asciiTheme="majorHAnsi" w:hAnsiTheme="majorHAnsi"/>
      </w:rPr>
      <w:noBreakHyphen/>
      <w:t>19 Strategy and Outlook</w:t>
    </w:r>
    <w:r w:rsidRPr="00D90086">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w:t>
    </w:r>
    <w:r>
      <w:rPr>
        <w:rStyle w:val="PageNumber"/>
        <w:rFonts w:asciiTheme="majorHAnsi" w:hAnsiTheme="majorHAnsi"/>
      </w:rPr>
      <w:noBreakHyphen/>
      <w:t>19 Strategy and Outlook</w:t>
    </w:r>
    <w:r w:rsidRPr="00BA26F2">
      <w:tab/>
    </w:r>
    <w:r>
      <w:t>Chapter 1</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15</w:t>
    </w:r>
    <w:r w:rsidRPr="00BA26F2">
      <w:rPr>
        <w:rStyle w:val="PageNumber"/>
        <w:rFonts w:asciiTheme="majorHAnsi" w:hAnsiTheme="majorHAns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D90086" w:rsidRDefault="00F918C3" w:rsidP="00D90086">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1437C2">
      <w:rPr>
        <w:rStyle w:val="PageNumber"/>
        <w:rFonts w:asciiTheme="majorHAnsi" w:hAnsiTheme="majorHAnsi"/>
        <w:noProof/>
      </w:rPr>
      <w:t>28</w:t>
    </w:r>
    <w:r w:rsidRPr="00D90086">
      <w:rPr>
        <w:rStyle w:val="PageNumber"/>
        <w:rFonts w:asciiTheme="majorHAnsi" w:hAnsiTheme="majorHAnsi"/>
      </w:rPr>
      <w:fldChar w:fldCharType="end"/>
    </w:r>
    <w:r w:rsidRPr="00D90086">
      <w:tab/>
    </w:r>
    <w:r>
      <w:t>Chapter 2</w:t>
    </w:r>
    <w:r w:rsidRPr="00D90086">
      <w:tab/>
    </w:r>
    <w:r>
      <w:rPr>
        <w:rStyle w:val="PageNumber"/>
        <w:rFonts w:asciiTheme="majorHAnsi" w:hAnsiTheme="majorHAnsi"/>
      </w:rPr>
      <w:t>2018</w:t>
    </w:r>
    <w:r>
      <w:rPr>
        <w:rStyle w:val="PageNumber"/>
        <w:rFonts w:asciiTheme="majorHAnsi" w:hAnsiTheme="majorHAnsi"/>
      </w:rPr>
      <w:noBreakHyphen/>
      <w:t>19 Strategy and Outlook</w:t>
    </w:r>
    <w:r w:rsidRPr="00D90086">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Pr="00BA26F2" w:rsidRDefault="00F918C3" w:rsidP="008155D0">
    <w:pPr>
      <w:pStyle w:val="Footerodd"/>
    </w:pPr>
    <w:r>
      <w:rPr>
        <w:rStyle w:val="PageNumber"/>
        <w:rFonts w:asciiTheme="majorHAnsi" w:hAnsiTheme="majorHAnsi"/>
      </w:rPr>
      <w:t>2018</w:t>
    </w:r>
    <w:r>
      <w:rPr>
        <w:rStyle w:val="PageNumber"/>
        <w:rFonts w:asciiTheme="majorHAnsi" w:hAnsiTheme="majorHAnsi"/>
      </w:rPr>
      <w:noBreakHyphen/>
      <w:t>19 Strategy and Outlook</w:t>
    </w:r>
    <w:r w:rsidRPr="00BA26F2">
      <w:tab/>
    </w:r>
    <w:r>
      <w:t>Chapter 2</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1437C2">
      <w:rPr>
        <w:rStyle w:val="PageNumber"/>
        <w:rFonts w:asciiTheme="majorHAnsi" w:hAnsiTheme="majorHAnsi"/>
        <w:noProof/>
      </w:rPr>
      <w:t>27</w:t>
    </w:r>
    <w:r w:rsidRPr="00BA26F2">
      <w:rPr>
        <w:rStyle w:val="PageNumbe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8C3" w:rsidRDefault="00F918C3" w:rsidP="00F918C3">
      <w:pPr>
        <w:spacing w:before="0"/>
      </w:pPr>
      <w:r>
        <w:separator/>
      </w:r>
    </w:p>
  </w:footnote>
  <w:footnote w:type="continuationSeparator" w:id="0">
    <w:p w:rsidR="00F918C3" w:rsidRDefault="00F918C3" w:rsidP="00F918C3">
      <w:pPr>
        <w:spacing w:before="0"/>
      </w:pPr>
      <w:r>
        <w:continuationSeparator/>
      </w:r>
    </w:p>
  </w:footnote>
  <w:footnote w:id="1">
    <w:p w:rsidR="00F918C3" w:rsidRPr="00BC1D23" w:rsidRDefault="00F918C3">
      <w:pPr>
        <w:pStyle w:val="FootnoteText"/>
        <w:rPr>
          <w:lang w:val="en-AU"/>
        </w:rPr>
      </w:pPr>
      <w:r w:rsidRPr="00795D89">
        <w:rPr>
          <w:rStyle w:val="FootnoteReference"/>
        </w:rPr>
        <w:footnoteRef/>
      </w:r>
      <w:r w:rsidRPr="00795D89">
        <w:t xml:space="preserve"> </w:t>
      </w:r>
      <w:r w:rsidRPr="00795D89">
        <w:rPr>
          <w:lang w:val="en-AU"/>
        </w:rPr>
        <w:t>See Budget Paper No. 4</w:t>
      </w:r>
      <w:r>
        <w:rPr>
          <w:lang w:val="en-AU"/>
        </w:rPr>
        <w:t>,</w:t>
      </w:r>
      <w:r w:rsidRPr="00795D89">
        <w:rPr>
          <w:lang w:val="en-AU"/>
        </w:rPr>
        <w:t xml:space="preserve"> Chapter 1 </w:t>
      </w:r>
      <w:r w:rsidRPr="00795D89">
        <w:rPr>
          <w:i/>
          <w:lang w:val="en-AU"/>
        </w:rPr>
        <w:t>State Capital Program 2018</w:t>
      </w:r>
      <w:r>
        <w:rPr>
          <w:i/>
          <w:lang w:val="en-AU"/>
        </w:rPr>
        <w:noBreakHyphen/>
      </w:r>
      <w:r w:rsidRPr="00795D89">
        <w:rPr>
          <w:i/>
          <w:lang w:val="en-AU"/>
        </w:rPr>
        <w:t>19</w:t>
      </w:r>
      <w:r w:rsidRPr="00795D89">
        <w:rPr>
          <w:lang w:val="en-AU"/>
        </w:rPr>
        <w:t xml:space="preserve"> Box 3 for further details.</w:t>
      </w:r>
      <w:r>
        <w:rPr>
          <w:lang w:val="en-AU"/>
        </w:rPr>
        <w:t xml:space="preserve"> </w:t>
      </w:r>
    </w:p>
  </w:footnote>
  <w:footnote w:id="2">
    <w:p w:rsidR="00F918C3" w:rsidRPr="00406FDA" w:rsidRDefault="00F918C3" w:rsidP="00DA0368">
      <w:pPr>
        <w:pStyle w:val="FootnoteText"/>
        <w:rPr>
          <w:lang w:val="en-AU"/>
        </w:rPr>
      </w:pPr>
      <w:r>
        <w:rPr>
          <w:rStyle w:val="FootnoteReference"/>
        </w:rPr>
        <w:footnoteRef/>
      </w:r>
      <w:r>
        <w:t xml:space="preserve"> </w:t>
      </w:r>
      <w:r>
        <w:rPr>
          <w:lang w:val="en-AU"/>
        </w:rPr>
        <w:t>Connolly, E, Davis, K, Spence, G, 2011 ‘Trends in Labour Supply’, June Quarter Bulletin, Reserve Bank of Australia</w:t>
      </w:r>
    </w:p>
  </w:footnote>
  <w:footnote w:id="3">
    <w:p w:rsidR="00F918C3" w:rsidRPr="008F1334" w:rsidRDefault="00F918C3" w:rsidP="00943B4E">
      <w:pPr>
        <w:pStyle w:val="FootnoteText"/>
        <w:rPr>
          <w:lang w:val="en-AU"/>
        </w:rPr>
      </w:pPr>
      <w:r w:rsidRPr="008F1334">
        <w:rPr>
          <w:rStyle w:val="FootnoteReference"/>
          <w:lang w:val="en-AU"/>
        </w:rPr>
        <w:footnoteRef/>
      </w:r>
      <w:r w:rsidRPr="008F1334">
        <w:rPr>
          <w:lang w:val="en-AU"/>
        </w:rPr>
        <w:t xml:space="preserve"> The ABS approach to occupation skill classification, undertaken as part of the Australian and New Zealand Standard Classification of Occupations (ANZSCO), was a joint program with the Commonwealth</w:t>
      </w:r>
      <w:r w:rsidR="008C27C4">
        <w:rPr>
          <w:lang w:val="en-AU"/>
        </w:rPr>
        <w:fldChar w:fldCharType="begin"/>
      </w:r>
      <w:r w:rsidR="008C27C4">
        <w:instrText xml:space="preserve"> XE "</w:instrText>
      </w:r>
      <w:r w:rsidR="008C27C4" w:rsidRPr="00EF1E91">
        <w:instrText>Commonwealth</w:instrText>
      </w:r>
      <w:r w:rsidR="008C27C4">
        <w:instrText xml:space="preserve">" </w:instrText>
      </w:r>
      <w:r w:rsidR="008C27C4">
        <w:rPr>
          <w:lang w:val="en-AU"/>
        </w:rPr>
        <w:fldChar w:fldCharType="end"/>
      </w:r>
      <w:r w:rsidRPr="008F1334">
        <w:rPr>
          <w:lang w:val="en-AU"/>
        </w:rPr>
        <w:t xml:space="preserve"> Department of Employment and Workplace Relations and Statistics New Zealand. The program involved consultation with individuals, government and private institutions, professional associations, industry training bodies and unions over a three</w:t>
      </w:r>
      <w:r w:rsidRPr="008F1334">
        <w:rPr>
          <w:lang w:val="en-AU"/>
        </w:rPr>
        <w:noBreakHyphen/>
        <w:t>year period. This approach is similar to that of the International Labour Organisation’s International Standard Classification of Occupations (ISCO), and the ABS provides a concordance for comparison between ANSCO and ISCO.</w:t>
      </w:r>
    </w:p>
  </w:footnote>
  <w:footnote w:id="4">
    <w:p w:rsidR="00F918C3" w:rsidRPr="00E0004F" w:rsidRDefault="00F918C3">
      <w:pPr>
        <w:pStyle w:val="FootnoteText"/>
        <w:rPr>
          <w:lang w:val="en-AU"/>
        </w:rPr>
      </w:pPr>
      <w:r>
        <w:rPr>
          <w:rStyle w:val="FootnoteReference"/>
        </w:rPr>
        <w:footnoteRef/>
      </w:r>
      <w:r>
        <w:t xml:space="preserve"> </w:t>
      </w:r>
      <w:r>
        <w:rPr>
          <w:lang w:val="en-AU"/>
        </w:rPr>
        <w:t xml:space="preserve">The funded course list can be found at: </w:t>
      </w:r>
      <w:r w:rsidRPr="00E0004F">
        <w:rPr>
          <w:lang w:val="en-AU"/>
        </w:rPr>
        <w:t>www.education.vic.gov.au/skillsfirst/Pages/fundedcourses.aspx</w:t>
      </w:r>
    </w:p>
  </w:footnote>
  <w:footnote w:id="5">
    <w:p w:rsidR="00F918C3" w:rsidRPr="007F6536" w:rsidRDefault="00F918C3" w:rsidP="008F0EA9">
      <w:pPr>
        <w:pStyle w:val="FootnoteText"/>
        <w:rPr>
          <w:lang w:val="en-AU"/>
        </w:rPr>
      </w:pPr>
      <w:r>
        <w:rPr>
          <w:rStyle w:val="FootnoteReference"/>
        </w:rPr>
        <w:footnoteRef/>
      </w:r>
      <w:r>
        <w:t xml:space="preserve"> </w:t>
      </w:r>
      <w:r w:rsidRPr="007F6536">
        <w:t>The results generated in each scenario are mutually exclusive and non-additive.</w:t>
      </w:r>
    </w:p>
  </w:footnote>
  <w:footnote w:id="6">
    <w:p w:rsidR="00F918C3" w:rsidRPr="000D4F23" w:rsidRDefault="00F918C3" w:rsidP="000D4F23">
      <w:pPr>
        <w:pStyle w:val="FootnoteText"/>
        <w:rPr>
          <w:lang w:val="en-AU"/>
        </w:rPr>
      </w:pPr>
      <w:r>
        <w:rPr>
          <w:rStyle w:val="FootnoteReference"/>
        </w:rPr>
        <w:footnoteRef/>
      </w:r>
      <w:r>
        <w:t xml:space="preserve"> </w:t>
      </w:r>
      <w:r w:rsidRPr="000D4F23">
        <w:t xml:space="preserve">VURM is a dynamic </w:t>
      </w:r>
      <w:r>
        <w:t>computable general equilibrium</w:t>
      </w:r>
      <w:r w:rsidRPr="000D4F23">
        <w:t xml:space="preserve"> model of Australia</w:t>
      </w:r>
      <w:r>
        <w:t>’</w:t>
      </w:r>
      <w:r w:rsidRPr="000D4F23">
        <w:t>s six states and two territories</w:t>
      </w:r>
      <w:r>
        <w:t>, with e</w:t>
      </w:r>
      <w:r w:rsidRPr="000D4F23">
        <w:t xml:space="preserve">ach region </w:t>
      </w:r>
      <w:r>
        <w:t xml:space="preserve">modelled </w:t>
      </w:r>
      <w:r w:rsidRPr="000D4F23">
        <w:t>as an economy in its own right</w:t>
      </w:r>
      <w:r>
        <w:t xml:space="preserve">. See Adams, </w:t>
      </w:r>
      <w:r w:rsidRPr="007E6637">
        <w:t>Philip,</w:t>
      </w:r>
      <w:r>
        <w:t xml:space="preserve"> Dixon, Janine and Horridge, Mark (2015), ‘</w:t>
      </w:r>
      <w:r w:rsidRPr="00933C01">
        <w:t>The Victoria University Regional Model</w:t>
      </w:r>
      <w:r w:rsidR="008C27C4">
        <w:fldChar w:fldCharType="begin"/>
      </w:r>
      <w:r w:rsidR="008C27C4">
        <w:instrText xml:space="preserve"> XE "</w:instrText>
      </w:r>
      <w:r w:rsidR="008C27C4" w:rsidRPr="000F77D9">
        <w:instrText>Victoria University Regional Model</w:instrText>
      </w:r>
      <w:r w:rsidR="008C27C4">
        <w:instrText xml:space="preserve">" </w:instrText>
      </w:r>
      <w:r w:rsidR="008C27C4">
        <w:fldChar w:fldCharType="end"/>
      </w:r>
      <w:r w:rsidRPr="00933C01">
        <w:t xml:space="preserve"> (VURM): Technical Documentation, Version 1.0</w:t>
      </w:r>
      <w:r>
        <w:t>’, CoPS/IMPACT Working Paper Number G</w:t>
      </w:r>
      <w:r>
        <w:noBreakHyphen/>
        <w:t xml:space="preserve">254 for a more detailed description of the model’s structure and data sources (available from </w:t>
      </w:r>
      <w:r w:rsidRPr="00933C01">
        <w:t>www.</w:t>
      </w:r>
      <w:r w:rsidRPr="002F5BD6">
        <w:t>copsmodels.com/ftp/workpapr/g-254.pdf</w:t>
      </w:r>
      <w:r>
        <w:t>).</w:t>
      </w:r>
    </w:p>
  </w:footnote>
  <w:footnote w:id="7">
    <w:p w:rsidR="00F918C3" w:rsidRPr="007B7A26" w:rsidRDefault="00F918C3" w:rsidP="003F2F1D">
      <w:pPr>
        <w:pStyle w:val="FootnoteText"/>
        <w:rPr>
          <w:lang w:val="en-AU"/>
        </w:rPr>
      </w:pPr>
      <w:r w:rsidRPr="007008E0">
        <w:rPr>
          <w:rStyle w:val="FootnoteReference"/>
        </w:rPr>
        <w:footnoteRef/>
      </w:r>
      <w:r w:rsidRPr="007008E0">
        <w:t xml:space="preserve"> The Department of Treasury and Finance maintains a comprehensive set of elasticities covering the relationship between major economic parameters and all revenue and expenditure lines, including superannuation</w:t>
      </w:r>
      <w:r w:rsidRPr="007008E0">
        <w:fldChar w:fldCharType="begin"/>
      </w:r>
      <w:r w:rsidRPr="007008E0">
        <w:instrText xml:space="preserve"> XE "Superannuation" </w:instrText>
      </w:r>
      <w:r w:rsidRPr="007008E0">
        <w:fldChar w:fldCharType="end"/>
      </w:r>
      <w:r w:rsidRPr="007008E0">
        <w:t>, and dividends and income tax equivalents</w:t>
      </w:r>
      <w:r w:rsidR="008C27C4">
        <w:fldChar w:fldCharType="begin"/>
      </w:r>
      <w:r w:rsidR="008C27C4">
        <w:instrText xml:space="preserve"> XE "</w:instrText>
      </w:r>
      <w:r w:rsidR="008C27C4" w:rsidRPr="00A14598">
        <w:instrText>Dividends and income tax equivalents</w:instrText>
      </w:r>
      <w:r w:rsidR="008C27C4">
        <w:instrText xml:space="preserve">" </w:instrText>
      </w:r>
      <w:r w:rsidR="008C27C4">
        <w:fldChar w:fldCharType="end"/>
      </w:r>
      <w:r w:rsidRPr="007008E0">
        <w:t xml:space="preserve"> from the public financial</w:t>
      </w:r>
      <w:r w:rsidRPr="007008E0">
        <w:fldChar w:fldCharType="begin"/>
      </w:r>
      <w:r w:rsidRPr="007008E0">
        <w:instrText xml:space="preserve"> XE "Public financial corporations" </w:instrText>
      </w:r>
      <w:r w:rsidRPr="007008E0">
        <w:fldChar w:fldCharType="end"/>
      </w:r>
      <w:r w:rsidRPr="007008E0">
        <w:t xml:space="preserve"> and non-financial corporations</w:t>
      </w:r>
      <w:r w:rsidRPr="007008E0">
        <w:fldChar w:fldCharType="begin"/>
      </w:r>
      <w:r w:rsidRPr="007008E0">
        <w:instrText xml:space="preserve"> XE "Public non-financial corporations" </w:instrText>
      </w:r>
      <w:r w:rsidRPr="007008E0">
        <w:fldChar w:fldCharType="end"/>
      </w:r>
      <w:r w:rsidRPr="007008E0">
        <w:t>.</w:t>
      </w:r>
    </w:p>
  </w:footnote>
  <w:footnote w:id="8">
    <w:p w:rsidR="00F918C3" w:rsidRPr="007400FD" w:rsidRDefault="00F918C3">
      <w:pPr>
        <w:pStyle w:val="FootnoteText"/>
        <w:rPr>
          <w:lang w:val="en-AU"/>
        </w:rPr>
      </w:pPr>
      <w:r>
        <w:rPr>
          <w:rStyle w:val="FootnoteReference"/>
        </w:rPr>
        <w:footnoteRef/>
      </w:r>
      <w:r>
        <w:t xml:space="preserve"> The magnitude of the shock to dwelling investment aligns with the difference between the annual growth rate in national dwelling investment in 2007</w:t>
      </w:r>
      <w:r>
        <w:noBreakHyphen/>
        <w:t>08 (1.5 per cent) and 2008</w:t>
      </w:r>
      <w:r>
        <w:noBreakHyphen/>
        <w:t>09 (-3.1 per cent). It is worth noting that the decline in dwelling investment in 2008</w:t>
      </w:r>
      <w:r>
        <w:noBreakHyphen/>
        <w:t>09 was ameliorated by successive reductions to the official cash rate and policy measures introduced by Commonwealth</w:t>
      </w:r>
      <w:r w:rsidR="008C27C4">
        <w:fldChar w:fldCharType="begin"/>
      </w:r>
      <w:r w:rsidR="008C27C4">
        <w:instrText xml:space="preserve"> XE "</w:instrText>
      </w:r>
      <w:r w:rsidR="008C27C4" w:rsidRPr="00EF1E91">
        <w:instrText>Commonwealth</w:instrText>
      </w:r>
      <w:r w:rsidR="008C27C4">
        <w:instrText xml:space="preserve">" </w:instrText>
      </w:r>
      <w:r w:rsidR="008C27C4">
        <w:fldChar w:fldCharType="end"/>
      </w:r>
      <w:r>
        <w:t>, state and territory governments aimed at stimulating first home buyer activity.</w:t>
      </w:r>
    </w:p>
  </w:footnote>
  <w:footnote w:id="9">
    <w:p w:rsidR="00F918C3" w:rsidRPr="00E175D4" w:rsidRDefault="00F918C3" w:rsidP="00C77E08">
      <w:pPr>
        <w:pStyle w:val="FootnoteText"/>
        <w:rPr>
          <w:lang w:val="en-AU"/>
        </w:rPr>
      </w:pPr>
      <w:r>
        <w:rPr>
          <w:rStyle w:val="FootnoteReference"/>
        </w:rPr>
        <w:footnoteRef/>
      </w:r>
      <w:r>
        <w:t xml:space="preserve"> In the aftermath of the global financial crisis, Australia’s actual consumption was a little more than one per cent below its equilibrium consumption;</w:t>
      </w:r>
      <w:r w:rsidRPr="009867F0">
        <w:t xml:space="preserve"> see KPMG Economics (2017), </w:t>
      </w:r>
      <w:r>
        <w:t>‘The Global Financial Crisis: 10 </w:t>
      </w:r>
      <w:r w:rsidRPr="009867F0">
        <w:t>Years On</w:t>
      </w:r>
      <w:r>
        <w:t>’</w:t>
      </w:r>
      <w:r w:rsidRPr="009867F0">
        <w:t>, August (available from https:</w:t>
      </w:r>
      <w:r w:rsidRPr="001062A3">
        <w:rPr>
          <w:spacing w:val="-20"/>
        </w:rPr>
        <w:t>//</w:t>
      </w:r>
      <w:r w:rsidRPr="009867F0">
        <w:t>assets.kpmg.com/content/dam/kpmg/au/pdf/2017/global-financial-crisis-10-years-on.pdf).</w:t>
      </w:r>
    </w:p>
  </w:footnote>
  <w:footnote w:id="10">
    <w:p w:rsidR="00F918C3" w:rsidRPr="00442D47" w:rsidRDefault="00F918C3">
      <w:pPr>
        <w:pStyle w:val="FootnoteText"/>
        <w:rPr>
          <w:lang w:val="en-AU"/>
        </w:rPr>
      </w:pPr>
      <w:r w:rsidRPr="00DB1080">
        <w:rPr>
          <w:rStyle w:val="FootnoteReference"/>
        </w:rPr>
        <w:footnoteRef/>
      </w:r>
      <w:r w:rsidRPr="00DB1080">
        <w:t xml:space="preserve"> </w:t>
      </w:r>
      <w:r w:rsidRPr="00DB1080">
        <w:rPr>
          <w:lang w:val="en-AU"/>
        </w:rPr>
        <w:t xml:space="preserve">This model does not consider the second-round effect associated with the change in GST relativity that could occur in response to </w:t>
      </w:r>
      <w:r>
        <w:rPr>
          <w:lang w:val="en-AU"/>
        </w:rPr>
        <w:t>changes in states’ fiscal capacities</w:t>
      </w:r>
      <w:r w:rsidRPr="00DB1080">
        <w:rPr>
          <w:lang w:val="en-AU"/>
        </w:rPr>
        <w:t>.</w:t>
      </w:r>
    </w:p>
  </w:footnote>
  <w:footnote w:id="11">
    <w:p w:rsidR="00F918C3" w:rsidRPr="0097239A" w:rsidRDefault="00F918C3">
      <w:pPr>
        <w:pStyle w:val="FootnoteText"/>
        <w:rPr>
          <w:lang w:val="en-AU"/>
        </w:rPr>
      </w:pPr>
      <w:r>
        <w:rPr>
          <w:rStyle w:val="FootnoteReference"/>
        </w:rPr>
        <w:footnoteRef/>
      </w:r>
      <w:r>
        <w:t xml:space="preserve"> This scenario is similar in effect to the third scenario presented in the </w:t>
      </w:r>
      <w:r>
        <w:rPr>
          <w:i/>
        </w:rPr>
        <w:t>2017</w:t>
      </w:r>
      <w:r>
        <w:rPr>
          <w:i/>
        </w:rPr>
        <w:noBreakHyphen/>
        <w:t>18</w:t>
      </w:r>
      <w:r w:rsidRPr="00266DF7">
        <w:rPr>
          <w:i/>
        </w:rPr>
        <w:t xml:space="preserve"> Budget</w:t>
      </w:r>
      <w:r w:rsidRPr="00266DF7">
        <w:t>,</w:t>
      </w:r>
      <w:r>
        <w:t xml:space="preserve"> where both </w:t>
      </w:r>
      <w:r w:rsidRPr="00266DF7">
        <w:t xml:space="preserve">population and participation </w:t>
      </w:r>
      <w:r>
        <w:t>a</w:t>
      </w:r>
      <w:r w:rsidRPr="00266DF7">
        <w:t>re stronger than expected</w:t>
      </w:r>
      <w:r>
        <w:t>, but offers a different transmission channel. In the scenario described in last year’s budget, the higher population growth</w:t>
      </w:r>
      <w:r>
        <w:fldChar w:fldCharType="begin"/>
      </w:r>
      <w:r>
        <w:instrText xml:space="preserve"> XE "</w:instrText>
      </w:r>
      <w:r w:rsidRPr="00D02DCA">
        <w:instrText>Population</w:instrText>
      </w:r>
      <w:r>
        <w:instrText xml:space="preserve"> g</w:instrText>
      </w:r>
      <w:r w:rsidRPr="00D02DCA">
        <w:instrText>rowth</w:instrText>
      </w:r>
      <w:r>
        <w:instrText xml:space="preserve">" </w:instrText>
      </w:r>
      <w:r>
        <w:fldChar w:fldCharType="end"/>
      </w:r>
      <w:r w:rsidRPr="002510BC">
        <w:t xml:space="preserve"> </w:t>
      </w:r>
      <w:r>
        <w:t xml:space="preserve"> assumption provided the additional stimulus to absorb the increase in labour supply. In contrast, the scenario described here provides the stimulus directly through stronger growth in household consumption across 2018</w:t>
      </w:r>
      <w:r>
        <w:noBreakHyphen/>
        <w:t>19 and 2019</w:t>
      </w:r>
      <w:r>
        <w:noBreakHyphen/>
        <w:t>20.</w:t>
      </w:r>
    </w:p>
  </w:footnote>
  <w:footnote w:id="12">
    <w:p w:rsidR="00F918C3" w:rsidRPr="00DE5C56" w:rsidRDefault="00F918C3">
      <w:pPr>
        <w:pStyle w:val="FootnoteText"/>
        <w:rPr>
          <w:lang w:val="en-AU"/>
        </w:rPr>
      </w:pPr>
      <w:r>
        <w:rPr>
          <w:rStyle w:val="FootnoteReference"/>
        </w:rPr>
        <w:footnoteRef/>
      </w:r>
      <w:r>
        <w:t xml:space="preserve"> </w:t>
      </w:r>
      <w:r>
        <w:rPr>
          <w:lang w:val="en-AU"/>
        </w:rPr>
        <w:t>The increase in GST revenue reflects the impact of the Victoria</w:t>
      </w:r>
      <w:r>
        <w:rPr>
          <w:lang w:val="en-AU"/>
        </w:rPr>
        <w:noBreakHyphen/>
        <w:t>specific consumption shock on the national GST pool. The model used does not consider second-round effects that could alter Victoria’s GST relativity over the forward estimates.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5D0" w:rsidRDefault="00815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F" w:rsidRDefault="00B227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8C3" w:rsidRDefault="00F918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5D0" w:rsidRDefault="008155D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5D0" w:rsidRDefault="00815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9"/>
    <w:multiLevelType w:val="singleLevel"/>
    <w:tmpl w:val="F83E24A2"/>
    <w:lvl w:ilvl="0">
      <w:start w:val="1"/>
      <w:numFmt w:val="bullet"/>
      <w:lvlText w:val=""/>
      <w:lvlJc w:val="left"/>
      <w:pPr>
        <w:tabs>
          <w:tab w:val="num" w:pos="360"/>
        </w:tabs>
        <w:ind w:left="360" w:hanging="360"/>
      </w:pPr>
      <w:rPr>
        <w:rFonts w:ascii="Symbol" w:hAnsi="Symbol" w:hint="default"/>
      </w:rPr>
    </w:lvl>
  </w:abstractNum>
  <w:abstractNum w:abstractNumId="3">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5">
    <w:nsid w:val="03D52EDC"/>
    <w:multiLevelType w:val="multilevel"/>
    <w:tmpl w:val="5E22C0F8"/>
    <w:numStyleLink w:val="Bullet"/>
  </w:abstractNum>
  <w:abstractNum w:abstractNumId="6">
    <w:nsid w:val="06EE77F9"/>
    <w:multiLevelType w:val="multilevel"/>
    <w:tmpl w:val="F104AB12"/>
    <w:numStyleLink w:val="NumberedHeadings"/>
  </w:abstractNum>
  <w:abstractNum w:abstractNumId="7">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7FF72C1"/>
    <w:multiLevelType w:val="hybridMultilevel"/>
    <w:tmpl w:val="2968E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D35AE7"/>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nsid w:val="34C8210A"/>
    <w:multiLevelType w:val="hybridMultilevel"/>
    <w:tmpl w:val="4C1E7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1E713B"/>
    <w:multiLevelType w:val="hybridMultilevel"/>
    <w:tmpl w:val="489CD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B695180"/>
    <w:multiLevelType w:val="multilevel"/>
    <w:tmpl w:val="5E22C0F8"/>
    <w:numStyleLink w:val="Bullet"/>
  </w:abstractNum>
  <w:abstractNum w:abstractNumId="20">
    <w:nsid w:val="50273E81"/>
    <w:multiLevelType w:val="hybridMultilevel"/>
    <w:tmpl w:val="3D80E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669A5F0E"/>
    <w:multiLevelType w:val="hybridMultilevel"/>
    <w:tmpl w:val="CE2E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CFF3731"/>
    <w:multiLevelType w:val="multilevel"/>
    <w:tmpl w:val="7500EB92"/>
    <w:numStyleLink w:val="Number"/>
  </w:abstractNum>
  <w:abstractNum w:abstractNumId="24">
    <w:nsid w:val="6EE34E10"/>
    <w:multiLevelType w:val="multilevel"/>
    <w:tmpl w:val="D9F407CA"/>
    <w:lvl w:ilvl="0">
      <w:start w:val="1"/>
      <w:numFmt w:val="upperLetter"/>
      <w:pStyle w:val="Heading3NumberingBP4"/>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79BC639C"/>
    <w:multiLevelType w:val="hybridMultilevel"/>
    <w:tmpl w:val="5D14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7"/>
  </w:num>
  <w:num w:numId="4">
    <w:abstractNumId w:val="12"/>
  </w:num>
  <w:num w:numId="5">
    <w:abstractNumId w:val="16"/>
  </w:num>
  <w:num w:numId="6">
    <w:abstractNumId w:val="18"/>
  </w:num>
  <w:num w:numId="7">
    <w:abstractNumId w:val="19"/>
  </w:num>
  <w:num w:numId="8">
    <w:abstractNumId w:val="23"/>
  </w:num>
  <w:num w:numId="9">
    <w:abstractNumId w:val="1"/>
  </w:num>
  <w:num w:numId="10">
    <w:abstractNumId w:val="0"/>
  </w:num>
  <w:num w:numId="11">
    <w:abstractNumId w:val="11"/>
  </w:num>
  <w:num w:numId="12">
    <w:abstractNumId w:val="7"/>
  </w:num>
  <w:num w:numId="13">
    <w:abstractNumId w:val="21"/>
  </w:num>
  <w:num w:numId="14">
    <w:abstractNumId w:val="6"/>
  </w:num>
  <w:num w:numId="15">
    <w:abstractNumId w:val="4"/>
  </w:num>
  <w:num w:numId="16">
    <w:abstractNumId w:val="24"/>
  </w:num>
  <w:num w:numId="17">
    <w:abstractNumId w:val="10"/>
  </w:num>
  <w:num w:numId="18">
    <w:abstractNumId w:val="5"/>
    <w:lvlOverride w:ilvl="0">
      <w:lvl w:ilvl="0">
        <w:start w:val="1"/>
        <w:numFmt w:val="bullet"/>
        <w:lvlText w:val=""/>
        <w:lvlJc w:val="left"/>
        <w:pPr>
          <w:ind w:left="284" w:hanging="284"/>
        </w:pPr>
        <w:rPr>
          <w:rFonts w:ascii="Symbol" w:hAnsi="Symbol" w:hint="default"/>
          <w:sz w:val="18"/>
          <w:szCs w:val="18"/>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bullet"/>
        <w:lvlText w:val=""/>
        <w:lvlJc w:val="left"/>
        <w:pPr>
          <w:ind w:left="852" w:hanging="284"/>
        </w:pPr>
        <w:rPr>
          <w:rFonts w:ascii="Symbol" w:hAnsi="Symbol"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20"/>
  </w:num>
  <w:num w:numId="20">
    <w:abstractNumId w:val="9"/>
  </w:num>
  <w:num w:numId="21">
    <w:abstractNumId w:val="14"/>
  </w:num>
  <w:num w:numId="22">
    <w:abstractNumId w:val="2"/>
  </w:num>
  <w:num w:numId="23">
    <w:abstractNumId w:val="25"/>
  </w:num>
  <w:num w:numId="24">
    <w:abstractNumId w:val="15"/>
  </w:num>
  <w:num w:numId="25">
    <w:abstractNumId w:val="8"/>
  </w:num>
  <w:num w:numId="26">
    <w:abstractNumId w:val="19"/>
    <w:lvlOverride w:ilvl="0">
      <w:lvl w:ilvl="0">
        <w:start w:val="1"/>
        <w:numFmt w:val="bullet"/>
        <w:pStyle w:val="ListBullet"/>
        <w:lvlText w:val=""/>
        <w:lvlJc w:val="left"/>
        <w:pPr>
          <w:ind w:left="284" w:hanging="284"/>
        </w:pPr>
        <w:rPr>
          <w:rFonts w:ascii="Symbol" w:hAnsi="Symbol" w:hint="default"/>
          <w:sz w:val="20"/>
          <w:szCs w:val="20"/>
        </w:rPr>
      </w:lvl>
    </w:lvlOverride>
  </w:num>
  <w:num w:numId="27">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AC"/>
    <w:rsid w:val="00001A3C"/>
    <w:rsid w:val="000068BC"/>
    <w:rsid w:val="00017EF2"/>
    <w:rsid w:val="000256AE"/>
    <w:rsid w:val="00042ABE"/>
    <w:rsid w:val="00055A63"/>
    <w:rsid w:val="0005614A"/>
    <w:rsid w:val="00056736"/>
    <w:rsid w:val="00057EFB"/>
    <w:rsid w:val="00064F49"/>
    <w:rsid w:val="00073219"/>
    <w:rsid w:val="00073EFA"/>
    <w:rsid w:val="00082872"/>
    <w:rsid w:val="00082D1F"/>
    <w:rsid w:val="00086074"/>
    <w:rsid w:val="0009147C"/>
    <w:rsid w:val="000915C9"/>
    <w:rsid w:val="000A03F9"/>
    <w:rsid w:val="000A07AD"/>
    <w:rsid w:val="000A2CDF"/>
    <w:rsid w:val="000C1B0B"/>
    <w:rsid w:val="000C43CD"/>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171BB"/>
    <w:rsid w:val="00120B97"/>
    <w:rsid w:val="001212DB"/>
    <w:rsid w:val="001213D6"/>
    <w:rsid w:val="00124F13"/>
    <w:rsid w:val="00132069"/>
    <w:rsid w:val="001437C2"/>
    <w:rsid w:val="00150302"/>
    <w:rsid w:val="001506B1"/>
    <w:rsid w:val="00157D89"/>
    <w:rsid w:val="00160DB5"/>
    <w:rsid w:val="00166699"/>
    <w:rsid w:val="001675E6"/>
    <w:rsid w:val="001808F7"/>
    <w:rsid w:val="001845E1"/>
    <w:rsid w:val="00185B60"/>
    <w:rsid w:val="001A2797"/>
    <w:rsid w:val="001B04ED"/>
    <w:rsid w:val="001B3B72"/>
    <w:rsid w:val="001D7A51"/>
    <w:rsid w:val="001E6E6F"/>
    <w:rsid w:val="001F4F51"/>
    <w:rsid w:val="002065D0"/>
    <w:rsid w:val="00210496"/>
    <w:rsid w:val="002114FC"/>
    <w:rsid w:val="00212222"/>
    <w:rsid w:val="00214AB1"/>
    <w:rsid w:val="00220042"/>
    <w:rsid w:val="00220E35"/>
    <w:rsid w:val="00222883"/>
    <w:rsid w:val="00237563"/>
    <w:rsid w:val="00241BC9"/>
    <w:rsid w:val="00247670"/>
    <w:rsid w:val="00253619"/>
    <w:rsid w:val="00255A9A"/>
    <w:rsid w:val="0025669F"/>
    <w:rsid w:val="00257E89"/>
    <w:rsid w:val="00260DE7"/>
    <w:rsid w:val="00271E79"/>
    <w:rsid w:val="00294556"/>
    <w:rsid w:val="00295E0F"/>
    <w:rsid w:val="00296CF7"/>
    <w:rsid w:val="002A0391"/>
    <w:rsid w:val="002A57BB"/>
    <w:rsid w:val="002B3B71"/>
    <w:rsid w:val="002B3E8C"/>
    <w:rsid w:val="002B526C"/>
    <w:rsid w:val="002B7DE4"/>
    <w:rsid w:val="002C3386"/>
    <w:rsid w:val="002C3B94"/>
    <w:rsid w:val="002C3F78"/>
    <w:rsid w:val="002C5BE1"/>
    <w:rsid w:val="002C6EA8"/>
    <w:rsid w:val="002D040C"/>
    <w:rsid w:val="002D47C9"/>
    <w:rsid w:val="002E628D"/>
    <w:rsid w:val="002F7BBC"/>
    <w:rsid w:val="00301106"/>
    <w:rsid w:val="00306EAE"/>
    <w:rsid w:val="0031313F"/>
    <w:rsid w:val="0033621D"/>
    <w:rsid w:val="003371B4"/>
    <w:rsid w:val="00337317"/>
    <w:rsid w:val="0034185B"/>
    <w:rsid w:val="00343667"/>
    <w:rsid w:val="00347922"/>
    <w:rsid w:val="00357C4E"/>
    <w:rsid w:val="00360393"/>
    <w:rsid w:val="00363B60"/>
    <w:rsid w:val="003703D1"/>
    <w:rsid w:val="003741F4"/>
    <w:rsid w:val="0037430B"/>
    <w:rsid w:val="00377B81"/>
    <w:rsid w:val="003805EF"/>
    <w:rsid w:val="003825F8"/>
    <w:rsid w:val="00390A50"/>
    <w:rsid w:val="0039234B"/>
    <w:rsid w:val="00395FF7"/>
    <w:rsid w:val="00397E96"/>
    <w:rsid w:val="003A0816"/>
    <w:rsid w:val="003A1578"/>
    <w:rsid w:val="003A1BBB"/>
    <w:rsid w:val="003A5819"/>
    <w:rsid w:val="003C04C3"/>
    <w:rsid w:val="003C5DBD"/>
    <w:rsid w:val="003C75BF"/>
    <w:rsid w:val="003D279B"/>
    <w:rsid w:val="003D7FD7"/>
    <w:rsid w:val="003E58E4"/>
    <w:rsid w:val="003E68E6"/>
    <w:rsid w:val="003E7CD9"/>
    <w:rsid w:val="00402880"/>
    <w:rsid w:val="00403881"/>
    <w:rsid w:val="00407B77"/>
    <w:rsid w:val="00407F41"/>
    <w:rsid w:val="0042008E"/>
    <w:rsid w:val="00423170"/>
    <w:rsid w:val="00424473"/>
    <w:rsid w:val="00424959"/>
    <w:rsid w:val="00432BD8"/>
    <w:rsid w:val="004419CD"/>
    <w:rsid w:val="00441FC3"/>
    <w:rsid w:val="00450141"/>
    <w:rsid w:val="00454513"/>
    <w:rsid w:val="00474C53"/>
    <w:rsid w:val="00475D53"/>
    <w:rsid w:val="0048771F"/>
    <w:rsid w:val="00493C2E"/>
    <w:rsid w:val="004964EC"/>
    <w:rsid w:val="00496B0F"/>
    <w:rsid w:val="004A59F9"/>
    <w:rsid w:val="004B1258"/>
    <w:rsid w:val="004B1F1F"/>
    <w:rsid w:val="004C1F0B"/>
    <w:rsid w:val="004C59E7"/>
    <w:rsid w:val="004E5C31"/>
    <w:rsid w:val="004F03F6"/>
    <w:rsid w:val="004F2F5C"/>
    <w:rsid w:val="004F3EFD"/>
    <w:rsid w:val="004F5AD4"/>
    <w:rsid w:val="004F6DBA"/>
    <w:rsid w:val="004F738A"/>
    <w:rsid w:val="00500DAE"/>
    <w:rsid w:val="005243EA"/>
    <w:rsid w:val="005271FE"/>
    <w:rsid w:val="005307AA"/>
    <w:rsid w:val="0053103E"/>
    <w:rsid w:val="00531EF1"/>
    <w:rsid w:val="00535247"/>
    <w:rsid w:val="0053588B"/>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A0BEB"/>
    <w:rsid w:val="005A3B07"/>
    <w:rsid w:val="005C0288"/>
    <w:rsid w:val="005C09D4"/>
    <w:rsid w:val="005C62C6"/>
    <w:rsid w:val="005D108E"/>
    <w:rsid w:val="00600C46"/>
    <w:rsid w:val="00605A27"/>
    <w:rsid w:val="00606611"/>
    <w:rsid w:val="00612683"/>
    <w:rsid w:val="006135D1"/>
    <w:rsid w:val="0061407E"/>
    <w:rsid w:val="00617210"/>
    <w:rsid w:val="00617936"/>
    <w:rsid w:val="0062070B"/>
    <w:rsid w:val="006243FE"/>
    <w:rsid w:val="0062613A"/>
    <w:rsid w:val="00627C2B"/>
    <w:rsid w:val="00635722"/>
    <w:rsid w:val="0063649D"/>
    <w:rsid w:val="006371F3"/>
    <w:rsid w:val="00644B4A"/>
    <w:rsid w:val="006479D1"/>
    <w:rsid w:val="0065116F"/>
    <w:rsid w:val="006517D1"/>
    <w:rsid w:val="00651946"/>
    <w:rsid w:val="0065280D"/>
    <w:rsid w:val="00664667"/>
    <w:rsid w:val="0066512E"/>
    <w:rsid w:val="00676AAC"/>
    <w:rsid w:val="006773B4"/>
    <w:rsid w:val="00677990"/>
    <w:rsid w:val="006A1F6F"/>
    <w:rsid w:val="006A35C1"/>
    <w:rsid w:val="006C00EB"/>
    <w:rsid w:val="006C505F"/>
    <w:rsid w:val="006D4F41"/>
    <w:rsid w:val="006E1EEA"/>
    <w:rsid w:val="006E2ADF"/>
    <w:rsid w:val="006E2BC5"/>
    <w:rsid w:val="006E400E"/>
    <w:rsid w:val="006E6F37"/>
    <w:rsid w:val="006F1D47"/>
    <w:rsid w:val="006F1F28"/>
    <w:rsid w:val="006F23B1"/>
    <w:rsid w:val="006F713E"/>
    <w:rsid w:val="007021B4"/>
    <w:rsid w:val="00705B7B"/>
    <w:rsid w:val="007116A2"/>
    <w:rsid w:val="00720B4C"/>
    <w:rsid w:val="00722C32"/>
    <w:rsid w:val="00722E77"/>
    <w:rsid w:val="00725696"/>
    <w:rsid w:val="00725906"/>
    <w:rsid w:val="00726975"/>
    <w:rsid w:val="00726F1F"/>
    <w:rsid w:val="00727E4F"/>
    <w:rsid w:val="00731598"/>
    <w:rsid w:val="007346C0"/>
    <w:rsid w:val="007349CB"/>
    <w:rsid w:val="007352B3"/>
    <w:rsid w:val="00737FCE"/>
    <w:rsid w:val="00741825"/>
    <w:rsid w:val="00743CE4"/>
    <w:rsid w:val="00751550"/>
    <w:rsid w:val="00753E64"/>
    <w:rsid w:val="007575FF"/>
    <w:rsid w:val="0076376B"/>
    <w:rsid w:val="007676F1"/>
    <w:rsid w:val="00771A05"/>
    <w:rsid w:val="00773F07"/>
    <w:rsid w:val="00790E40"/>
    <w:rsid w:val="00790FB8"/>
    <w:rsid w:val="007919BA"/>
    <w:rsid w:val="007925EF"/>
    <w:rsid w:val="00794C4A"/>
    <w:rsid w:val="0079507A"/>
    <w:rsid w:val="00797CD1"/>
    <w:rsid w:val="007A0D8B"/>
    <w:rsid w:val="007A11BE"/>
    <w:rsid w:val="007A4996"/>
    <w:rsid w:val="007A5BD1"/>
    <w:rsid w:val="007A7975"/>
    <w:rsid w:val="007B51DD"/>
    <w:rsid w:val="007D6D1A"/>
    <w:rsid w:val="007F1AAF"/>
    <w:rsid w:val="00801B7F"/>
    <w:rsid w:val="0080479F"/>
    <w:rsid w:val="00813A48"/>
    <w:rsid w:val="00814A7C"/>
    <w:rsid w:val="008155D0"/>
    <w:rsid w:val="00820AFD"/>
    <w:rsid w:val="00831AE5"/>
    <w:rsid w:val="0083463B"/>
    <w:rsid w:val="0086442A"/>
    <w:rsid w:val="0086647D"/>
    <w:rsid w:val="00886DF7"/>
    <w:rsid w:val="0089207D"/>
    <w:rsid w:val="00893855"/>
    <w:rsid w:val="008A14A8"/>
    <w:rsid w:val="008A5A91"/>
    <w:rsid w:val="008A5F0E"/>
    <w:rsid w:val="008C27C4"/>
    <w:rsid w:val="008D128E"/>
    <w:rsid w:val="008D29E5"/>
    <w:rsid w:val="008D37BD"/>
    <w:rsid w:val="008D5DD6"/>
    <w:rsid w:val="008E1571"/>
    <w:rsid w:val="008E3105"/>
    <w:rsid w:val="008E469A"/>
    <w:rsid w:val="008E554D"/>
    <w:rsid w:val="00900DF0"/>
    <w:rsid w:val="00901B8C"/>
    <w:rsid w:val="00903544"/>
    <w:rsid w:val="009046BD"/>
    <w:rsid w:val="009103EC"/>
    <w:rsid w:val="009115CC"/>
    <w:rsid w:val="009146D5"/>
    <w:rsid w:val="009174A7"/>
    <w:rsid w:val="00917D22"/>
    <w:rsid w:val="00924B15"/>
    <w:rsid w:val="00934FFB"/>
    <w:rsid w:val="00943EAD"/>
    <w:rsid w:val="00947417"/>
    <w:rsid w:val="009479BF"/>
    <w:rsid w:val="00950409"/>
    <w:rsid w:val="00950FB1"/>
    <w:rsid w:val="00952665"/>
    <w:rsid w:val="00953503"/>
    <w:rsid w:val="009556A3"/>
    <w:rsid w:val="009754F2"/>
    <w:rsid w:val="0098338B"/>
    <w:rsid w:val="00983AF0"/>
    <w:rsid w:val="009862B3"/>
    <w:rsid w:val="009A64C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0510F"/>
    <w:rsid w:val="00A105F2"/>
    <w:rsid w:val="00A119C9"/>
    <w:rsid w:val="00A171DC"/>
    <w:rsid w:val="00A20782"/>
    <w:rsid w:val="00A2094F"/>
    <w:rsid w:val="00A20F1E"/>
    <w:rsid w:val="00A21C10"/>
    <w:rsid w:val="00A264FE"/>
    <w:rsid w:val="00A30D6D"/>
    <w:rsid w:val="00A40680"/>
    <w:rsid w:val="00A42771"/>
    <w:rsid w:val="00A47629"/>
    <w:rsid w:val="00A50C8B"/>
    <w:rsid w:val="00A545AB"/>
    <w:rsid w:val="00A63051"/>
    <w:rsid w:val="00A637FA"/>
    <w:rsid w:val="00A713BE"/>
    <w:rsid w:val="00A72634"/>
    <w:rsid w:val="00A75888"/>
    <w:rsid w:val="00A75FEE"/>
    <w:rsid w:val="00A85FA2"/>
    <w:rsid w:val="00A9166F"/>
    <w:rsid w:val="00A9345E"/>
    <w:rsid w:val="00A94E87"/>
    <w:rsid w:val="00A977EF"/>
    <w:rsid w:val="00AB0C55"/>
    <w:rsid w:val="00AB5FA5"/>
    <w:rsid w:val="00AB724F"/>
    <w:rsid w:val="00AC3BBB"/>
    <w:rsid w:val="00AC4001"/>
    <w:rsid w:val="00AF5018"/>
    <w:rsid w:val="00AF6157"/>
    <w:rsid w:val="00AF7DCE"/>
    <w:rsid w:val="00B04832"/>
    <w:rsid w:val="00B121BD"/>
    <w:rsid w:val="00B146AC"/>
    <w:rsid w:val="00B17122"/>
    <w:rsid w:val="00B2279F"/>
    <w:rsid w:val="00B34A89"/>
    <w:rsid w:val="00B42920"/>
    <w:rsid w:val="00B4755F"/>
    <w:rsid w:val="00B53F14"/>
    <w:rsid w:val="00B56791"/>
    <w:rsid w:val="00B56B25"/>
    <w:rsid w:val="00B56C73"/>
    <w:rsid w:val="00B6164A"/>
    <w:rsid w:val="00B70D99"/>
    <w:rsid w:val="00B72498"/>
    <w:rsid w:val="00B77344"/>
    <w:rsid w:val="00B809CD"/>
    <w:rsid w:val="00B83597"/>
    <w:rsid w:val="00B862F0"/>
    <w:rsid w:val="00B91C7F"/>
    <w:rsid w:val="00B936B8"/>
    <w:rsid w:val="00B942A3"/>
    <w:rsid w:val="00B97AA6"/>
    <w:rsid w:val="00BA26F2"/>
    <w:rsid w:val="00BA7551"/>
    <w:rsid w:val="00BB2087"/>
    <w:rsid w:val="00BB71B2"/>
    <w:rsid w:val="00BC1376"/>
    <w:rsid w:val="00BC21AD"/>
    <w:rsid w:val="00BC6329"/>
    <w:rsid w:val="00BC6724"/>
    <w:rsid w:val="00BD0D9B"/>
    <w:rsid w:val="00BD2A8E"/>
    <w:rsid w:val="00BD2AB3"/>
    <w:rsid w:val="00BE12EA"/>
    <w:rsid w:val="00BE2FBB"/>
    <w:rsid w:val="00BF07FE"/>
    <w:rsid w:val="00BF08BC"/>
    <w:rsid w:val="00BF6E17"/>
    <w:rsid w:val="00C00568"/>
    <w:rsid w:val="00C0462D"/>
    <w:rsid w:val="00C04F08"/>
    <w:rsid w:val="00C134E2"/>
    <w:rsid w:val="00C2116C"/>
    <w:rsid w:val="00C32D27"/>
    <w:rsid w:val="00C36FCD"/>
    <w:rsid w:val="00C461A9"/>
    <w:rsid w:val="00C4714D"/>
    <w:rsid w:val="00C573F8"/>
    <w:rsid w:val="00C64B72"/>
    <w:rsid w:val="00C65BE3"/>
    <w:rsid w:val="00C661B9"/>
    <w:rsid w:val="00C72D96"/>
    <w:rsid w:val="00C77D7E"/>
    <w:rsid w:val="00C80D95"/>
    <w:rsid w:val="00C8749B"/>
    <w:rsid w:val="00C90B98"/>
    <w:rsid w:val="00CA29CB"/>
    <w:rsid w:val="00CA41CF"/>
    <w:rsid w:val="00CA4410"/>
    <w:rsid w:val="00CA4F8B"/>
    <w:rsid w:val="00CA6435"/>
    <w:rsid w:val="00CB43A2"/>
    <w:rsid w:val="00CC3DD5"/>
    <w:rsid w:val="00CD1FEA"/>
    <w:rsid w:val="00CD6B20"/>
    <w:rsid w:val="00CD6F54"/>
    <w:rsid w:val="00CE30BD"/>
    <w:rsid w:val="00CE4B69"/>
    <w:rsid w:val="00CE5CF8"/>
    <w:rsid w:val="00CE6A19"/>
    <w:rsid w:val="00CE763C"/>
    <w:rsid w:val="00CF2B70"/>
    <w:rsid w:val="00CF5E6F"/>
    <w:rsid w:val="00D07E7D"/>
    <w:rsid w:val="00D11A1E"/>
    <w:rsid w:val="00D341DE"/>
    <w:rsid w:val="00D3519E"/>
    <w:rsid w:val="00D379C4"/>
    <w:rsid w:val="00D40145"/>
    <w:rsid w:val="00D429FE"/>
    <w:rsid w:val="00D451B9"/>
    <w:rsid w:val="00D63655"/>
    <w:rsid w:val="00D71612"/>
    <w:rsid w:val="00D7231C"/>
    <w:rsid w:val="00D75029"/>
    <w:rsid w:val="00D75608"/>
    <w:rsid w:val="00D75A85"/>
    <w:rsid w:val="00D760FE"/>
    <w:rsid w:val="00D827B1"/>
    <w:rsid w:val="00D90086"/>
    <w:rsid w:val="00D97443"/>
    <w:rsid w:val="00D977CF"/>
    <w:rsid w:val="00DA4CB5"/>
    <w:rsid w:val="00DA769F"/>
    <w:rsid w:val="00DB2A52"/>
    <w:rsid w:val="00DB7BB3"/>
    <w:rsid w:val="00DD1082"/>
    <w:rsid w:val="00DE3014"/>
    <w:rsid w:val="00DE38D7"/>
    <w:rsid w:val="00DE7ED9"/>
    <w:rsid w:val="00DF14C0"/>
    <w:rsid w:val="00DF4B2E"/>
    <w:rsid w:val="00DF5E28"/>
    <w:rsid w:val="00E108FF"/>
    <w:rsid w:val="00E173B6"/>
    <w:rsid w:val="00E244F1"/>
    <w:rsid w:val="00E32FD9"/>
    <w:rsid w:val="00E34095"/>
    <w:rsid w:val="00E36DAC"/>
    <w:rsid w:val="00E40EDA"/>
    <w:rsid w:val="00E41328"/>
    <w:rsid w:val="00E42052"/>
    <w:rsid w:val="00E46DD4"/>
    <w:rsid w:val="00E46E4F"/>
    <w:rsid w:val="00E52A0F"/>
    <w:rsid w:val="00E64CBF"/>
    <w:rsid w:val="00E65539"/>
    <w:rsid w:val="00E709BA"/>
    <w:rsid w:val="00E7185E"/>
    <w:rsid w:val="00E73BF7"/>
    <w:rsid w:val="00E75212"/>
    <w:rsid w:val="00E815F9"/>
    <w:rsid w:val="00E8244C"/>
    <w:rsid w:val="00E91E60"/>
    <w:rsid w:val="00EA15AB"/>
    <w:rsid w:val="00EA4E6B"/>
    <w:rsid w:val="00EA5C59"/>
    <w:rsid w:val="00EB0619"/>
    <w:rsid w:val="00EB2DF9"/>
    <w:rsid w:val="00EB4924"/>
    <w:rsid w:val="00EB68A5"/>
    <w:rsid w:val="00EC3EAA"/>
    <w:rsid w:val="00EC7040"/>
    <w:rsid w:val="00ED06E6"/>
    <w:rsid w:val="00ED07D6"/>
    <w:rsid w:val="00ED3271"/>
    <w:rsid w:val="00ED5415"/>
    <w:rsid w:val="00ED5DFC"/>
    <w:rsid w:val="00EE0ACF"/>
    <w:rsid w:val="00EE3840"/>
    <w:rsid w:val="00EF0A38"/>
    <w:rsid w:val="00EF3C02"/>
    <w:rsid w:val="00F0128E"/>
    <w:rsid w:val="00F110B5"/>
    <w:rsid w:val="00F12718"/>
    <w:rsid w:val="00F15DE6"/>
    <w:rsid w:val="00F23C20"/>
    <w:rsid w:val="00F270C7"/>
    <w:rsid w:val="00F3421F"/>
    <w:rsid w:val="00F36C92"/>
    <w:rsid w:val="00F4185A"/>
    <w:rsid w:val="00F476D0"/>
    <w:rsid w:val="00F55D36"/>
    <w:rsid w:val="00F6286D"/>
    <w:rsid w:val="00F65FF9"/>
    <w:rsid w:val="00F72E03"/>
    <w:rsid w:val="00F74BC1"/>
    <w:rsid w:val="00F8170E"/>
    <w:rsid w:val="00F858E5"/>
    <w:rsid w:val="00F918C3"/>
    <w:rsid w:val="00F91FC1"/>
    <w:rsid w:val="00F9559A"/>
    <w:rsid w:val="00FA3262"/>
    <w:rsid w:val="00FA68DF"/>
    <w:rsid w:val="00FA73AC"/>
    <w:rsid w:val="00FB1BDF"/>
    <w:rsid w:val="00FB2A00"/>
    <w:rsid w:val="00FC05D4"/>
    <w:rsid w:val="00FC5E1B"/>
    <w:rsid w:val="00FD2281"/>
    <w:rsid w:val="00FD279A"/>
    <w:rsid w:val="00FD4336"/>
    <w:rsid w:val="00FD7B35"/>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1"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BB71B2"/>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2114FC"/>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6371F3"/>
    <w:pPr>
      <w:spacing w:before="40"/>
    </w:pPr>
    <w:rPr>
      <w:rFonts w:eastAsiaTheme="minorEastAsia"/>
      <w:sz w:val="18"/>
      <w:lang w:val="en-US" w:eastAsia="ja-JP"/>
    </w:rPr>
  </w:style>
  <w:style w:type="character" w:customStyle="1" w:styleId="FootnoteTextChar">
    <w:name w:val="Footnote Text Char"/>
    <w:basedOn w:val="DefaultParagraphFont"/>
    <w:link w:val="FootnoteText"/>
    <w:uiPriority w:val="99"/>
    <w:rsid w:val="006371F3"/>
    <w:rPr>
      <w:rFonts w:eastAsiaTheme="minorEastAsia"/>
      <w:sz w:val="18"/>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876"/>
        <w:tab w:val="right" w:pos="7710"/>
      </w:tabs>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BB71B2"/>
    <w:pPr>
      <w:tabs>
        <w:tab w:val="right" w:leader="dot" w:pos="7711"/>
        <w:tab w:val="right" w:leader="dot" w:pos="9639"/>
      </w:tabs>
    </w:pPr>
    <w:rPr>
      <w:rFonts w:asciiTheme="majorHAnsi" w:hAnsiTheme="majorHAnsi"/>
      <w:b/>
      <w:noProof/>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link w:val="ListBulletChar"/>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4419CD"/>
    <w:pPr>
      <w:tabs>
        <w:tab w:val="center" w:pos="4513"/>
        <w:tab w:val="right" w:pos="9026"/>
      </w:tabs>
      <w:spacing w:before="0"/>
    </w:pPr>
  </w:style>
  <w:style w:type="paragraph" w:styleId="TOC2">
    <w:name w:val="toc 2"/>
    <w:basedOn w:val="TOC1"/>
    <w:next w:val="Normal"/>
    <w:uiPriority w:val="39"/>
    <w:rsid w:val="00BB71B2"/>
    <w:pPr>
      <w:spacing w:before="60" w:after="60" w:line="264" w:lineRule="auto"/>
      <w:ind w:left="284" w:right="567"/>
    </w:pPr>
    <w:rPr>
      <w:b w:val="0"/>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1"/>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A713BE"/>
    <w:pPr>
      <w:keepNext/>
      <w:tabs>
        <w:tab w:val="left" w:pos="1134"/>
        <w:tab w:val="right" w:pos="7710"/>
      </w:tabs>
      <w:spacing w:before="240" w:after="60"/>
      <w:ind w:left="1138" w:hanging="1138"/>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spacing w:after="100"/>
      <w:ind w:left="567" w:right="340" w:hanging="567"/>
    </w:pPr>
    <w:rPr>
      <w:spacing w:val="-2"/>
    </w:rPr>
  </w:style>
  <w:style w:type="paragraph" w:customStyle="1" w:styleId="Footereven">
    <w:name w:val="Footer (even)"/>
    <w:basedOn w:val="Footer"/>
    <w:link w:val="FooterevenChar"/>
    <w:uiPriority w:val="84"/>
    <w:rsid w:val="008155D0"/>
    <w:pPr>
      <w:pBdr>
        <w:top w:val="single" w:sz="6" w:space="1" w:color="auto"/>
      </w:pBdr>
      <w:tabs>
        <w:tab w:val="clear" w:pos="4513"/>
        <w:tab w:val="clear" w:pos="9026"/>
        <w:tab w:val="center" w:pos="2891"/>
        <w:tab w:val="right" w:pos="7710"/>
      </w:tabs>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44B4A"/>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qFormat/>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link w:val="Index1Char"/>
    <w:autoRedefine/>
    <w:uiPriority w:val="99"/>
    <w:unhideWhenUsed/>
    <w:rsid w:val="008C27C4"/>
    <w:pPr>
      <w:tabs>
        <w:tab w:val="right" w:leader="dot" w:pos="3485"/>
      </w:tabs>
      <w:spacing w:before="0"/>
      <w:ind w:left="220" w:hanging="220"/>
    </w:pPr>
    <w:rPr>
      <w:rFonts w:asciiTheme="majorHAnsi" w:eastAsia="Garamond" w:hAnsiTheme="majorHAnsi" w:cs="Times New Roman"/>
      <w:noProof/>
      <w:sz w:val="18"/>
      <w:szCs w:val="18"/>
    </w:rPr>
  </w:style>
  <w:style w:type="paragraph" w:styleId="Index2">
    <w:name w:val="index 2"/>
    <w:basedOn w:val="Normal"/>
    <w:next w:val="Normal"/>
    <w:autoRedefine/>
    <w:uiPriority w:val="99"/>
    <w:unhideWhenUsed/>
    <w:rsid w:val="00A713BE"/>
    <w:pPr>
      <w:spacing w:before="0"/>
      <w:ind w:left="440" w:hanging="220"/>
    </w:pPr>
    <w:rPr>
      <w:rFonts w:asciiTheme="majorHAnsi" w:hAnsiTheme="majorHAnsi"/>
      <w:sz w:val="18"/>
      <w:szCs w:val="18"/>
    </w:rPr>
  </w:style>
  <w:style w:type="paragraph" w:styleId="Index3">
    <w:name w:val="index 3"/>
    <w:basedOn w:val="Normal"/>
    <w:next w:val="Normal"/>
    <w:autoRedefine/>
    <w:uiPriority w:val="99"/>
    <w:unhideWhenUsed/>
    <w:rsid w:val="00C00568"/>
    <w:pPr>
      <w:spacing w:before="0"/>
      <w:ind w:left="660" w:hanging="220"/>
    </w:pPr>
    <w:rPr>
      <w:sz w:val="18"/>
      <w:szCs w:val="18"/>
    </w:rPr>
  </w:style>
  <w:style w:type="paragraph" w:styleId="Index4">
    <w:name w:val="index 4"/>
    <w:basedOn w:val="Normal"/>
    <w:next w:val="Normal"/>
    <w:autoRedefine/>
    <w:uiPriority w:val="99"/>
    <w:unhideWhenUsed/>
    <w:rsid w:val="00C00568"/>
    <w:pPr>
      <w:spacing w:before="0"/>
      <w:ind w:left="880" w:hanging="220"/>
    </w:pPr>
    <w:rPr>
      <w:sz w:val="18"/>
      <w:szCs w:val="18"/>
    </w:rPr>
  </w:style>
  <w:style w:type="paragraph" w:styleId="Index5">
    <w:name w:val="index 5"/>
    <w:basedOn w:val="Normal"/>
    <w:next w:val="Normal"/>
    <w:autoRedefine/>
    <w:uiPriority w:val="99"/>
    <w:unhideWhenUsed/>
    <w:rsid w:val="00C00568"/>
    <w:pPr>
      <w:spacing w:before="0"/>
      <w:ind w:left="1100" w:hanging="220"/>
    </w:pPr>
    <w:rPr>
      <w:sz w:val="18"/>
      <w:szCs w:val="18"/>
    </w:rPr>
  </w:style>
  <w:style w:type="paragraph" w:styleId="Index6">
    <w:name w:val="index 6"/>
    <w:basedOn w:val="Normal"/>
    <w:next w:val="Normal"/>
    <w:autoRedefine/>
    <w:uiPriority w:val="99"/>
    <w:unhideWhenUsed/>
    <w:rsid w:val="00C00568"/>
    <w:pPr>
      <w:spacing w:before="0"/>
      <w:ind w:left="1320" w:hanging="220"/>
    </w:pPr>
    <w:rPr>
      <w:sz w:val="18"/>
      <w:szCs w:val="18"/>
    </w:rPr>
  </w:style>
  <w:style w:type="paragraph" w:styleId="Index7">
    <w:name w:val="index 7"/>
    <w:basedOn w:val="Normal"/>
    <w:next w:val="Normal"/>
    <w:autoRedefine/>
    <w:uiPriority w:val="99"/>
    <w:unhideWhenUsed/>
    <w:rsid w:val="00C00568"/>
    <w:pPr>
      <w:spacing w:before="0"/>
      <w:ind w:left="1540" w:hanging="220"/>
    </w:pPr>
    <w:rPr>
      <w:sz w:val="18"/>
      <w:szCs w:val="18"/>
    </w:rPr>
  </w:style>
  <w:style w:type="paragraph" w:styleId="Index8">
    <w:name w:val="index 8"/>
    <w:basedOn w:val="Normal"/>
    <w:next w:val="Normal"/>
    <w:autoRedefine/>
    <w:uiPriority w:val="99"/>
    <w:unhideWhenUsed/>
    <w:rsid w:val="00C00568"/>
    <w:pPr>
      <w:spacing w:before="0"/>
      <w:ind w:left="1760" w:hanging="220"/>
    </w:pPr>
    <w:rPr>
      <w:sz w:val="18"/>
      <w:szCs w:val="18"/>
    </w:rPr>
  </w:style>
  <w:style w:type="paragraph" w:styleId="Index9">
    <w:name w:val="index 9"/>
    <w:basedOn w:val="Normal"/>
    <w:next w:val="Normal"/>
    <w:autoRedefine/>
    <w:uiPriority w:val="99"/>
    <w:unhideWhenUsed/>
    <w:rsid w:val="00C00568"/>
    <w:pPr>
      <w:spacing w:before="0"/>
      <w:ind w:left="1980" w:hanging="220"/>
    </w:pPr>
    <w:rPr>
      <w:sz w:val="18"/>
      <w:szCs w:val="18"/>
    </w:rPr>
  </w:style>
  <w:style w:type="paragraph" w:styleId="IndexHeading">
    <w:name w:val="index heading"/>
    <w:basedOn w:val="Normal"/>
    <w:next w:val="Index1"/>
    <w:uiPriority w:val="99"/>
    <w:unhideWhenUsed/>
    <w:rsid w:val="00A713BE"/>
    <w:pPr>
      <w:keepNext/>
      <w:tabs>
        <w:tab w:val="right" w:pos="3481"/>
      </w:tabs>
      <w:spacing w:before="240" w:after="60"/>
    </w:pPr>
    <w:rPr>
      <w:rFonts w:asciiTheme="majorHAnsi" w:hAnsiTheme="majorHAnsi"/>
      <w:b/>
      <w:bCs/>
      <w:noProof/>
      <w:sz w:val="26"/>
      <w:szCs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8155D0"/>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PerformanceMeasureNote">
    <w:name w:val="Performance Measure Note"/>
    <w:basedOn w:val="Normal"/>
    <w:uiPriority w:val="63"/>
    <w:qFormat/>
    <w:rsid w:val="00BC1376"/>
    <w:pPr>
      <w:spacing w:before="20" w:after="20"/>
      <w:ind w:left="170"/>
      <w:contextualSpacing/>
    </w:pPr>
    <w:rPr>
      <w:rFonts w:asciiTheme="majorHAnsi" w:hAnsiTheme="majorHAnsi"/>
      <w:i/>
      <w:spacing w:val="-2"/>
      <w:sz w:val="15"/>
      <w:szCs w:val="15"/>
    </w:rPr>
  </w:style>
  <w:style w:type="paragraph" w:customStyle="1" w:styleId="TableUnits">
    <w:name w:val="Table Units"/>
    <w:basedOn w:val="Normal"/>
    <w:next w:val="Normal"/>
    <w:uiPriority w:val="50"/>
    <w:qFormat/>
    <w:rsid w:val="0083463B"/>
    <w:pPr>
      <w:keepNext/>
      <w:tabs>
        <w:tab w:val="left" w:pos="567"/>
        <w:tab w:val="right" w:pos="9639"/>
        <w:tab w:val="right" w:pos="14742"/>
      </w:tabs>
      <w:spacing w:before="0" w:after="12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Performancemeasuremetric">
    <w:name w:val="Performance measure metric"/>
    <w:basedOn w:val="Normal"/>
    <w:uiPriority w:val="63"/>
    <w:rsid w:val="00F8170E"/>
    <w:pPr>
      <w:keepLines w:val="0"/>
      <w:spacing w:before="20" w:after="20"/>
      <w:ind w:left="-14"/>
    </w:pPr>
    <w:rPr>
      <w:rFonts w:asciiTheme="majorHAnsi" w:hAnsiTheme="majorHAnsi"/>
      <w:i/>
      <w:sz w:val="17"/>
    </w:rPr>
  </w:style>
  <w:style w:type="character" w:customStyle="1" w:styleId="HighlightBoxBulletChar">
    <w:name w:val="Highlight Box Bullet Char"/>
    <w:basedOn w:val="DefaultParagraphFont"/>
    <w:link w:val="HighlightBoxBullet"/>
    <w:uiPriority w:val="61"/>
    <w:rsid w:val="00B942A3"/>
    <w:rPr>
      <w:shd w:val="clear" w:color="auto" w:fill="F2F2F2" w:themeFill="background1" w:themeFillShade="F2"/>
    </w:rPr>
  </w:style>
  <w:style w:type="character" w:customStyle="1" w:styleId="SourceChar">
    <w:name w:val="Source Char"/>
    <w:link w:val="Source"/>
    <w:uiPriority w:val="51"/>
    <w:locked/>
    <w:rsid w:val="002114FC"/>
    <w:rPr>
      <w:rFonts w:asciiTheme="majorHAnsi" w:hAnsiTheme="majorHAnsi"/>
      <w:i/>
      <w:spacing w:val="-2"/>
      <w:sz w:val="14"/>
    </w:rPr>
  </w:style>
  <w:style w:type="character" w:customStyle="1" w:styleId="TableHeadingChar">
    <w:name w:val="Table Heading Char"/>
    <w:basedOn w:val="DefaultParagraphFont"/>
    <w:link w:val="TableHeading"/>
    <w:uiPriority w:val="49"/>
    <w:rsid w:val="00A713BE"/>
    <w:rPr>
      <w:rFonts w:asciiTheme="majorHAnsi" w:hAnsiTheme="majorHAnsi"/>
      <w:b/>
      <w:sz w:val="20"/>
      <w:szCs w:val="20"/>
    </w:rPr>
  </w:style>
  <w:style w:type="character" w:customStyle="1" w:styleId="HighlightBoxTextChar">
    <w:name w:val="Highlight Box Text Char"/>
    <w:basedOn w:val="DefaultParagraphFont"/>
    <w:link w:val="HighlightBoxText"/>
    <w:uiPriority w:val="60"/>
    <w:rsid w:val="00B942A3"/>
    <w:rPr>
      <w:shd w:val="clear" w:color="auto" w:fill="F2F2F2" w:themeFill="background1" w:themeFillShade="F2"/>
    </w:rPr>
  </w:style>
  <w:style w:type="character" w:customStyle="1" w:styleId="apple-converted-space">
    <w:name w:val="apple-converted-space"/>
    <w:basedOn w:val="DefaultParagraphFont"/>
    <w:rsid w:val="00B942A3"/>
  </w:style>
  <w:style w:type="paragraph" w:customStyle="1" w:styleId="Tabletextheading">
    <w:name w:val="Table text heading"/>
    <w:basedOn w:val="Normal"/>
    <w:link w:val="TabletextheadingChar"/>
    <w:qFormat/>
    <w:rsid w:val="00B942A3"/>
    <w:pPr>
      <w:keepLines w:val="0"/>
      <w:spacing w:before="0"/>
      <w:jc w:val="right"/>
    </w:pPr>
    <w:rPr>
      <w:rFonts w:ascii="Calibri" w:eastAsia="Times New Roman" w:hAnsi="Calibri" w:cs="Times New Roman"/>
      <w:i/>
      <w:sz w:val="20"/>
      <w:szCs w:val="18"/>
    </w:rPr>
  </w:style>
  <w:style w:type="character" w:customStyle="1" w:styleId="TabletextheadingChar">
    <w:name w:val="Table text heading Char"/>
    <w:link w:val="Tabletextheading"/>
    <w:locked/>
    <w:rsid w:val="00B942A3"/>
    <w:rPr>
      <w:rFonts w:ascii="Calibri" w:eastAsia="Times New Roman" w:hAnsi="Calibri" w:cs="Times New Roman"/>
      <w:i/>
      <w:sz w:val="20"/>
      <w:szCs w:val="18"/>
    </w:rPr>
  </w:style>
  <w:style w:type="paragraph" w:customStyle="1" w:styleId="Tabletext">
    <w:name w:val="Table text"/>
    <w:basedOn w:val="Normal"/>
    <w:link w:val="TabletextChar"/>
    <w:qFormat/>
    <w:rsid w:val="00B942A3"/>
    <w:pPr>
      <w:keepLines w:val="0"/>
      <w:spacing w:before="0"/>
      <w:ind w:left="180" w:hanging="180"/>
    </w:pPr>
    <w:rPr>
      <w:rFonts w:ascii="Calibri" w:eastAsia="Times New Roman" w:hAnsi="Calibri" w:cs="Times New Roman"/>
      <w:sz w:val="20"/>
      <w:szCs w:val="18"/>
    </w:rPr>
  </w:style>
  <w:style w:type="character" w:customStyle="1" w:styleId="TabletextChar">
    <w:name w:val="Table text Char"/>
    <w:link w:val="Tabletext"/>
    <w:rsid w:val="00B942A3"/>
    <w:rPr>
      <w:rFonts w:ascii="Calibri" w:eastAsia="Times New Roman" w:hAnsi="Calibri" w:cs="Times New Roman"/>
      <w:sz w:val="20"/>
      <w:szCs w:val="18"/>
    </w:rPr>
  </w:style>
  <w:style w:type="paragraph" w:customStyle="1" w:styleId="Notes">
    <w:name w:val="Notes"/>
    <w:basedOn w:val="Normal"/>
    <w:link w:val="NotesChar"/>
    <w:qFormat/>
    <w:rsid w:val="00B942A3"/>
    <w:pPr>
      <w:keepLines w:val="0"/>
      <w:tabs>
        <w:tab w:val="left" w:pos="454"/>
      </w:tabs>
      <w:spacing w:before="0"/>
      <w:ind w:left="461" w:hanging="461"/>
    </w:pPr>
    <w:rPr>
      <w:rFonts w:ascii="Calibri" w:eastAsia="Times New Roman" w:hAnsi="Calibri" w:cs="Times New Roman"/>
      <w:i/>
      <w:sz w:val="15"/>
      <w:szCs w:val="20"/>
    </w:rPr>
  </w:style>
  <w:style w:type="character" w:customStyle="1" w:styleId="NotesChar">
    <w:name w:val="Notes Char"/>
    <w:link w:val="Notes"/>
    <w:locked/>
    <w:rsid w:val="00B942A3"/>
    <w:rPr>
      <w:rFonts w:ascii="Calibri" w:eastAsia="Times New Roman" w:hAnsi="Calibri" w:cs="Times New Roman"/>
      <w:i/>
      <w:sz w:val="15"/>
      <w:szCs w:val="20"/>
    </w:rPr>
  </w:style>
  <w:style w:type="paragraph" w:customStyle="1" w:styleId="Calibri">
    <w:name w:val="Calibri"/>
    <w:basedOn w:val="Normal"/>
    <w:qFormat/>
    <w:rsid w:val="00B942A3"/>
    <w:pPr>
      <w:keepLines w:val="0"/>
      <w:spacing w:before="0" w:after="120"/>
    </w:pPr>
    <w:rPr>
      <w:rFonts w:ascii="Calibri" w:eastAsia="Times New Roman" w:hAnsi="Calibri" w:cs="Times New Roman"/>
      <w:i/>
      <w:sz w:val="15"/>
      <w:szCs w:val="20"/>
    </w:rPr>
  </w:style>
  <w:style w:type="character" w:customStyle="1" w:styleId="left">
    <w:name w:val="left"/>
    <w:basedOn w:val="DefaultParagraphFont"/>
    <w:rsid w:val="00B942A3"/>
  </w:style>
  <w:style w:type="paragraph" w:styleId="Revision">
    <w:name w:val="Revision"/>
    <w:hidden/>
    <w:uiPriority w:val="99"/>
    <w:semiHidden/>
    <w:rsid w:val="00B942A3"/>
    <w:pPr>
      <w:spacing w:before="0"/>
    </w:pPr>
  </w:style>
  <w:style w:type="paragraph" w:customStyle="1" w:styleId="BP4Figures">
    <w:name w:val="BP4 Figures"/>
    <w:basedOn w:val="Normal"/>
    <w:semiHidden/>
    <w:rsid w:val="00B942A3"/>
    <w:pPr>
      <w:keepLines w:val="0"/>
      <w:spacing w:before="0" w:after="30"/>
      <w:jc w:val="right"/>
    </w:pPr>
    <w:rPr>
      <w:rFonts w:ascii="Calibri" w:eastAsia="Times New Roman" w:hAnsi="Calibri" w:cs="Times New Roman"/>
      <w:sz w:val="18"/>
      <w:szCs w:val="18"/>
    </w:rPr>
  </w:style>
  <w:style w:type="paragraph" w:customStyle="1" w:styleId="BP4headingr">
    <w:name w:val="BP4 heading r"/>
    <w:basedOn w:val="Normal"/>
    <w:semiHidden/>
    <w:rsid w:val="00B942A3"/>
    <w:pPr>
      <w:keepLines w:val="0"/>
      <w:spacing w:before="0"/>
      <w:jc w:val="right"/>
    </w:pPr>
    <w:rPr>
      <w:rFonts w:ascii="Calibri" w:eastAsia="Times New Roman" w:hAnsi="Calibri" w:cs="Times New Roman"/>
      <w:i/>
      <w:sz w:val="18"/>
      <w:szCs w:val="18"/>
    </w:rPr>
  </w:style>
  <w:style w:type="paragraph" w:customStyle="1" w:styleId="BP4headingl">
    <w:name w:val="BP4 heading l"/>
    <w:basedOn w:val="BP4headingr"/>
    <w:semiHidden/>
    <w:rsid w:val="00B942A3"/>
    <w:pPr>
      <w:jc w:val="left"/>
    </w:pPr>
  </w:style>
  <w:style w:type="paragraph" w:customStyle="1" w:styleId="BP4tabletext">
    <w:name w:val="BP4 table text"/>
    <w:basedOn w:val="Normal"/>
    <w:semiHidden/>
    <w:rsid w:val="00B942A3"/>
    <w:pPr>
      <w:keepLines w:val="0"/>
      <w:spacing w:before="0" w:after="30"/>
      <w:ind w:left="72" w:hanging="72"/>
    </w:pPr>
    <w:rPr>
      <w:rFonts w:ascii="Calibri" w:eastAsia="Times New Roman" w:hAnsi="Calibri" w:cs="Times New Roman"/>
      <w:sz w:val="18"/>
      <w:szCs w:val="18"/>
    </w:rPr>
  </w:style>
  <w:style w:type="paragraph" w:customStyle="1" w:styleId="ChapterHeading0">
    <w:name w:val="Chapter Heading"/>
    <w:basedOn w:val="Normal"/>
    <w:next w:val="Heading10"/>
    <w:qFormat/>
    <w:rsid w:val="00B942A3"/>
    <w:pPr>
      <w:keepNext/>
      <w:keepLines w:val="0"/>
      <w:pBdr>
        <w:bottom w:val="single" w:sz="12" w:space="7" w:color="auto"/>
      </w:pBdr>
      <w:spacing w:before="1440" w:after="360"/>
    </w:pPr>
    <w:rPr>
      <w:rFonts w:ascii="Calibri" w:eastAsia="Times New Roman" w:hAnsi="Calibri" w:cs="Times New Roman"/>
      <w:b/>
      <w:caps/>
      <w:sz w:val="36"/>
      <w:szCs w:val="28"/>
    </w:rPr>
  </w:style>
  <w:style w:type="paragraph" w:customStyle="1" w:styleId="OGBullet">
    <w:name w:val="OGBullet"/>
    <w:basedOn w:val="Normal"/>
    <w:semiHidden/>
    <w:rsid w:val="00B942A3"/>
    <w:pPr>
      <w:keepLines w:val="0"/>
      <w:numPr>
        <w:numId w:val="15"/>
      </w:numPr>
      <w:spacing w:before="0" w:after="120"/>
    </w:pPr>
    <w:rPr>
      <w:rFonts w:ascii="Calibri" w:eastAsia="Times New Roman" w:hAnsi="Calibri" w:cs="Times New Roman"/>
      <w:sz w:val="20"/>
      <w:szCs w:val="18"/>
    </w:rPr>
  </w:style>
  <w:style w:type="paragraph" w:customStyle="1" w:styleId="OGHeading1">
    <w:name w:val="OGHeading1"/>
    <w:basedOn w:val="Normal"/>
    <w:semiHidden/>
    <w:rsid w:val="00B942A3"/>
    <w:pPr>
      <w:keepLines w:val="0"/>
      <w:spacing w:before="0" w:after="120"/>
    </w:pPr>
    <w:rPr>
      <w:rFonts w:ascii="Calibri" w:eastAsia="Times New Roman" w:hAnsi="Calibri" w:cs="Times New Roman"/>
      <w:b/>
      <w:sz w:val="32"/>
      <w:szCs w:val="28"/>
    </w:rPr>
  </w:style>
  <w:style w:type="paragraph" w:customStyle="1" w:styleId="OGTabHead">
    <w:name w:val="OGTabHead"/>
    <w:basedOn w:val="Normal"/>
    <w:semiHidden/>
    <w:rsid w:val="00B942A3"/>
    <w:pPr>
      <w:keepNext/>
      <w:spacing w:before="30" w:after="30"/>
    </w:pPr>
    <w:rPr>
      <w:rFonts w:ascii="Calibri" w:eastAsia="Times New Roman" w:hAnsi="Calibri" w:cs="Times New Roman"/>
      <w:i/>
      <w:sz w:val="20"/>
      <w:szCs w:val="18"/>
    </w:rPr>
  </w:style>
  <w:style w:type="character" w:customStyle="1" w:styleId="OGTabBulletChar">
    <w:name w:val="OGTabBullet Char"/>
    <w:link w:val="OGTabBullet"/>
    <w:semiHidden/>
    <w:rsid w:val="00B942A3"/>
    <w:rPr>
      <w:rFonts w:ascii="Calibri" w:hAnsi="Calibri"/>
      <w:szCs w:val="18"/>
    </w:rPr>
  </w:style>
  <w:style w:type="paragraph" w:customStyle="1" w:styleId="OGTabBullet">
    <w:name w:val="OGTabBullet"/>
    <w:basedOn w:val="OGBullet"/>
    <w:link w:val="OGTabBulletChar"/>
    <w:semiHidden/>
    <w:rsid w:val="00B942A3"/>
    <w:pPr>
      <w:tabs>
        <w:tab w:val="clear" w:pos="360"/>
        <w:tab w:val="left" w:pos="604"/>
      </w:tabs>
      <w:spacing w:before="30" w:after="30"/>
      <w:ind w:left="605"/>
    </w:pPr>
    <w:rPr>
      <w:rFonts w:eastAsiaTheme="minorHAnsi" w:cstheme="minorBidi"/>
      <w:sz w:val="22"/>
    </w:rPr>
  </w:style>
  <w:style w:type="paragraph" w:customStyle="1" w:styleId="OGUoM">
    <w:name w:val="OGUoM"/>
    <w:basedOn w:val="Normal"/>
    <w:semiHidden/>
    <w:rsid w:val="00B942A3"/>
    <w:pPr>
      <w:keepLines w:val="0"/>
      <w:spacing w:before="30" w:after="30"/>
      <w:jc w:val="center"/>
    </w:pPr>
    <w:rPr>
      <w:rFonts w:ascii="Calibri" w:eastAsia="Times New Roman" w:hAnsi="Calibri" w:cs="Times New Roman"/>
      <w:sz w:val="19"/>
      <w:szCs w:val="18"/>
    </w:rPr>
  </w:style>
  <w:style w:type="paragraph" w:customStyle="1" w:styleId="OGTableofFigures">
    <w:name w:val="OGTable of Figures"/>
    <w:basedOn w:val="Normal"/>
    <w:semiHidden/>
    <w:rsid w:val="00B942A3"/>
    <w:pPr>
      <w:keepLines w:val="0"/>
      <w:spacing w:before="30" w:after="30"/>
      <w:jc w:val="right"/>
    </w:pPr>
    <w:rPr>
      <w:rFonts w:ascii="Calibri" w:eastAsia="Times New Roman" w:hAnsi="Calibri" w:cs="Times New Roman"/>
      <w:sz w:val="20"/>
      <w:szCs w:val="18"/>
    </w:rPr>
  </w:style>
  <w:style w:type="paragraph" w:customStyle="1" w:styleId="VAGOText">
    <w:name w:val="VAGOText"/>
    <w:basedOn w:val="Normal"/>
    <w:semiHidden/>
    <w:rsid w:val="00B942A3"/>
    <w:pPr>
      <w:keepLines w:val="0"/>
      <w:spacing w:after="120"/>
    </w:pPr>
    <w:rPr>
      <w:rFonts w:ascii="Arial" w:eastAsia="Times New Roman" w:hAnsi="Arial" w:cs="Arial"/>
      <w:sz w:val="16"/>
      <w:szCs w:val="16"/>
    </w:rPr>
  </w:style>
  <w:style w:type="paragraph" w:customStyle="1" w:styleId="VAGOHeading2">
    <w:name w:val="VAGOHeading2"/>
    <w:basedOn w:val="Normal"/>
    <w:semiHidden/>
    <w:rsid w:val="00B942A3"/>
    <w:pPr>
      <w:keepLines w:val="0"/>
      <w:spacing w:before="0" w:after="120"/>
    </w:pPr>
    <w:rPr>
      <w:rFonts w:ascii="Arial" w:eastAsia="Times New Roman" w:hAnsi="Arial" w:cs="Arial"/>
      <w:b/>
      <w:sz w:val="16"/>
      <w:szCs w:val="16"/>
    </w:rPr>
  </w:style>
  <w:style w:type="paragraph" w:customStyle="1" w:styleId="VAGOHeading1">
    <w:name w:val="VAGOHeading1"/>
    <w:basedOn w:val="Normal"/>
    <w:semiHidden/>
    <w:rsid w:val="00B942A3"/>
    <w:pPr>
      <w:keepLines w:val="0"/>
      <w:spacing w:before="0" w:after="120"/>
      <w:jc w:val="center"/>
    </w:pPr>
    <w:rPr>
      <w:rFonts w:ascii="Arial" w:eastAsia="Times New Roman" w:hAnsi="Arial" w:cs="Arial"/>
      <w:b/>
      <w:sz w:val="17"/>
      <w:szCs w:val="17"/>
    </w:rPr>
  </w:style>
  <w:style w:type="paragraph" w:customStyle="1" w:styleId="VAGOHeading3">
    <w:name w:val="VAGOHeading3"/>
    <w:basedOn w:val="VAGOHeading2"/>
    <w:semiHidden/>
    <w:rsid w:val="00B942A3"/>
    <w:rPr>
      <w:b w:val="0"/>
      <w:i/>
    </w:rPr>
  </w:style>
  <w:style w:type="paragraph" w:customStyle="1" w:styleId="VAGOBullet">
    <w:name w:val="VAGOBullet"/>
    <w:basedOn w:val="VAGOText"/>
    <w:semiHidden/>
    <w:rsid w:val="00B942A3"/>
    <w:pPr>
      <w:numPr>
        <w:numId w:val="17"/>
      </w:numPr>
      <w:ind w:right="-51"/>
    </w:pPr>
    <w:rPr>
      <w:iCs/>
    </w:rPr>
  </w:style>
  <w:style w:type="paragraph" w:customStyle="1" w:styleId="Heading3NumberingBP4">
    <w:name w:val="Heading 3 Numbering BP4"/>
    <w:basedOn w:val="Normal"/>
    <w:semiHidden/>
    <w:rsid w:val="00B942A3"/>
    <w:pPr>
      <w:keepNext/>
      <w:keepLines w:val="0"/>
      <w:numPr>
        <w:numId w:val="16"/>
      </w:numPr>
      <w:tabs>
        <w:tab w:val="clear" w:pos="720"/>
        <w:tab w:val="left" w:pos="504"/>
      </w:tabs>
      <w:spacing w:before="240" w:after="120"/>
      <w:ind w:left="504" w:hanging="504"/>
      <w:outlineLvl w:val="2"/>
    </w:pPr>
    <w:rPr>
      <w:rFonts w:ascii="Calibri" w:eastAsia="Times New Roman" w:hAnsi="Calibri" w:cs="Times New Roman"/>
      <w:b/>
      <w:i/>
      <w:kern w:val="28"/>
      <w:sz w:val="24"/>
    </w:rPr>
  </w:style>
  <w:style w:type="paragraph" w:customStyle="1" w:styleId="Chartpara">
    <w:name w:val="Chart para"/>
    <w:basedOn w:val="Normal"/>
    <w:semiHidden/>
    <w:rsid w:val="00B942A3"/>
    <w:pPr>
      <w:keepLines w:val="0"/>
      <w:spacing w:before="0"/>
    </w:pPr>
    <w:rPr>
      <w:rFonts w:ascii="Garamond" w:eastAsia="Times New Roman" w:hAnsi="Garamond" w:cs="Times New Roman"/>
      <w:szCs w:val="20"/>
    </w:rPr>
  </w:style>
  <w:style w:type="paragraph" w:customStyle="1" w:styleId="OGTabColCentred">
    <w:name w:val="OGTabColCentred"/>
    <w:basedOn w:val="OGUoM"/>
    <w:semiHidden/>
    <w:rsid w:val="00B942A3"/>
    <w:rPr>
      <w:b/>
      <w:lang w:eastAsia="en-AU"/>
    </w:rPr>
  </w:style>
  <w:style w:type="paragraph" w:customStyle="1" w:styleId="OGTabColRight">
    <w:name w:val="OGTabColRight"/>
    <w:basedOn w:val="OGTableofFigures"/>
    <w:semiHidden/>
    <w:rsid w:val="00B942A3"/>
    <w:rPr>
      <w:b/>
    </w:rPr>
  </w:style>
  <w:style w:type="paragraph" w:customStyle="1" w:styleId="OGTabColLeft">
    <w:name w:val="OGTabColLeft"/>
    <w:basedOn w:val="OGTabColRight"/>
    <w:semiHidden/>
    <w:rsid w:val="00B942A3"/>
    <w:pPr>
      <w:jc w:val="left"/>
    </w:pPr>
    <w:rPr>
      <w:lang w:eastAsia="en-AU"/>
    </w:rPr>
  </w:style>
  <w:style w:type="paragraph" w:customStyle="1" w:styleId="FrontPage">
    <w:name w:val="Front Page"/>
    <w:basedOn w:val="Normal"/>
    <w:semiHidden/>
    <w:rsid w:val="00B942A3"/>
    <w:pPr>
      <w:keepLines w:val="0"/>
      <w:spacing w:before="0" w:after="120"/>
      <w:jc w:val="center"/>
    </w:pPr>
    <w:rPr>
      <w:rFonts w:ascii="Calibri" w:eastAsia="Times New Roman" w:hAnsi="Calibri" w:cs="Times New Roman"/>
      <w:b/>
      <w:sz w:val="52"/>
      <w:szCs w:val="52"/>
    </w:rPr>
  </w:style>
  <w:style w:type="paragraph" w:customStyle="1" w:styleId="FrontPage2">
    <w:name w:val="Front Page 2"/>
    <w:basedOn w:val="FrontPage"/>
    <w:semiHidden/>
    <w:rsid w:val="00B942A3"/>
    <w:pPr>
      <w:pBdr>
        <w:bottom w:val="single" w:sz="12" w:space="1" w:color="auto"/>
      </w:pBdr>
    </w:pPr>
  </w:style>
  <w:style w:type="paragraph" w:customStyle="1" w:styleId="FrontPage3">
    <w:name w:val="Front Page 3"/>
    <w:basedOn w:val="Normal"/>
    <w:semiHidden/>
    <w:rsid w:val="00B942A3"/>
    <w:pPr>
      <w:keepLines w:val="0"/>
      <w:spacing w:before="0" w:after="120"/>
      <w:jc w:val="center"/>
    </w:pPr>
    <w:rPr>
      <w:rFonts w:ascii="Calibri" w:eastAsia="Times New Roman" w:hAnsi="Calibri" w:cs="Times New Roman"/>
      <w:sz w:val="28"/>
      <w:szCs w:val="28"/>
    </w:rPr>
  </w:style>
  <w:style w:type="paragraph" w:customStyle="1" w:styleId="FrontPageMin">
    <w:name w:val="Front Page Min"/>
    <w:basedOn w:val="Normal"/>
    <w:semiHidden/>
    <w:rsid w:val="00B942A3"/>
    <w:pPr>
      <w:keepLines w:val="0"/>
      <w:spacing w:before="0" w:after="120"/>
      <w:jc w:val="center"/>
    </w:pPr>
    <w:rPr>
      <w:rFonts w:ascii="Calibri" w:eastAsia="Times New Roman" w:hAnsi="Calibri" w:cs="Times New Roman"/>
      <w:sz w:val="36"/>
      <w:szCs w:val="36"/>
    </w:rPr>
  </w:style>
  <w:style w:type="paragraph" w:customStyle="1" w:styleId="FrontPageHon">
    <w:name w:val="Front Page Hon"/>
    <w:basedOn w:val="Normal"/>
    <w:semiHidden/>
    <w:rsid w:val="00B942A3"/>
    <w:pPr>
      <w:keepLines w:val="0"/>
      <w:spacing w:before="0" w:after="120"/>
      <w:jc w:val="center"/>
    </w:pPr>
    <w:rPr>
      <w:rFonts w:ascii="Calibri" w:eastAsia="Times New Roman" w:hAnsi="Calibri" w:cs="Times New Roman"/>
      <w:sz w:val="30"/>
      <w:szCs w:val="30"/>
    </w:rPr>
  </w:style>
  <w:style w:type="paragraph" w:customStyle="1" w:styleId="FrontPageBP">
    <w:name w:val="Front Page BP"/>
    <w:basedOn w:val="Normal"/>
    <w:semiHidden/>
    <w:rsid w:val="00B942A3"/>
    <w:pPr>
      <w:keepLines w:val="0"/>
      <w:spacing w:before="0" w:after="120"/>
      <w:jc w:val="center"/>
    </w:pPr>
    <w:rPr>
      <w:rFonts w:ascii="Calibri" w:eastAsia="Times New Roman" w:hAnsi="Calibri" w:cs="Times New Roman"/>
      <w:b/>
      <w:sz w:val="32"/>
      <w:szCs w:val="32"/>
    </w:rPr>
  </w:style>
  <w:style w:type="paragraph" w:customStyle="1" w:styleId="OGNotesIndent">
    <w:name w:val="OGNotesIndent"/>
    <w:basedOn w:val="Normal"/>
    <w:semiHidden/>
    <w:rsid w:val="00B942A3"/>
    <w:pPr>
      <w:keepLines w:val="0"/>
      <w:spacing w:before="0" w:after="60"/>
      <w:ind w:left="720" w:right="115" w:hanging="360"/>
    </w:pPr>
    <w:rPr>
      <w:rFonts w:ascii="Calibri" w:eastAsia="Times New Roman" w:hAnsi="Calibri" w:cs="Times New Roman"/>
      <w:i/>
      <w:sz w:val="15"/>
      <w:szCs w:val="20"/>
      <w:lang w:eastAsia="en-AU"/>
    </w:rPr>
  </w:style>
  <w:style w:type="paragraph" w:customStyle="1" w:styleId="Default">
    <w:name w:val="Default"/>
    <w:semiHidden/>
    <w:rsid w:val="00B942A3"/>
    <w:pPr>
      <w:autoSpaceDE w:val="0"/>
      <w:autoSpaceDN w:val="0"/>
      <w:adjustRightInd w:val="0"/>
      <w:spacing w:before="0"/>
    </w:pPr>
    <w:rPr>
      <w:rFonts w:ascii="Garamond" w:eastAsia="Times New Roman" w:hAnsi="Garamond" w:cs="Garamond"/>
      <w:color w:val="000000"/>
      <w:sz w:val="24"/>
      <w:szCs w:val="24"/>
      <w:lang w:eastAsia="en-AU"/>
    </w:rPr>
  </w:style>
  <w:style w:type="character" w:customStyle="1" w:styleId="ChapterheadingChar">
    <w:name w:val="Chapter heading Char"/>
    <w:basedOn w:val="DefaultParagraphFont"/>
    <w:link w:val="Chapterheading"/>
    <w:uiPriority w:val="89"/>
    <w:rsid w:val="00B942A3"/>
    <w:rPr>
      <w:rFonts w:asciiTheme="majorHAnsi" w:eastAsiaTheme="majorEastAsia" w:hAnsiTheme="majorHAnsi" w:cstheme="majorBidi"/>
      <w:b/>
      <w:bCs/>
      <w:caps/>
      <w:spacing w:val="-2"/>
      <w:sz w:val="36"/>
      <w:szCs w:val="28"/>
    </w:rPr>
  </w:style>
  <w:style w:type="character" w:customStyle="1" w:styleId="ListBulletChar">
    <w:name w:val="List Bullet Char"/>
    <w:basedOn w:val="DefaultParagraphFont"/>
    <w:link w:val="ListBullet"/>
    <w:uiPriority w:val="19"/>
    <w:rsid w:val="00B942A3"/>
  </w:style>
  <w:style w:type="paragraph" w:customStyle="1" w:styleId="Tableheading0">
    <w:name w:val="Table heading"/>
    <w:basedOn w:val="Normal"/>
    <w:link w:val="TableheadingChar0"/>
    <w:qFormat/>
    <w:rsid w:val="00B942A3"/>
    <w:pPr>
      <w:keepNext/>
      <w:keepLines w:val="0"/>
      <w:spacing w:before="240" w:after="120"/>
      <w:ind w:left="1152" w:hanging="1152"/>
    </w:pPr>
    <w:rPr>
      <w:rFonts w:ascii="Calibri" w:eastAsia="Times New Roman" w:hAnsi="Calibri" w:cs="Times New Roman"/>
      <w:b/>
      <w:szCs w:val="20"/>
    </w:rPr>
  </w:style>
  <w:style w:type="character" w:customStyle="1" w:styleId="TableheadingChar0">
    <w:name w:val="Table heading Char"/>
    <w:link w:val="Tableheading0"/>
    <w:rsid w:val="00B942A3"/>
    <w:rPr>
      <w:rFonts w:ascii="Calibri" w:eastAsia="Times New Roman" w:hAnsi="Calibri" w:cs="Times New Roman"/>
      <w:b/>
      <w:szCs w:val="20"/>
    </w:rPr>
  </w:style>
  <w:style w:type="table" w:customStyle="1" w:styleId="DTFTable1">
    <w:name w:val="DTF Table1"/>
    <w:basedOn w:val="TableNormal"/>
    <w:uiPriority w:val="99"/>
    <w:rsid w:val="00B942A3"/>
    <w:pPr>
      <w:spacing w:before="20" w:after="20"/>
      <w:jc w:val="right"/>
    </w:pPr>
    <w:rPr>
      <w:rFonts w:ascii="Calibri" w:hAnsi="Calibr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Index1Char">
    <w:name w:val="Index 1 Char"/>
    <w:basedOn w:val="DefaultParagraphFont"/>
    <w:link w:val="Index1"/>
    <w:uiPriority w:val="99"/>
    <w:rsid w:val="008C27C4"/>
    <w:rPr>
      <w:rFonts w:asciiTheme="majorHAnsi" w:eastAsia="Garamond" w:hAnsiTheme="majorHAnsi" w:cs="Times New Roman"/>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1"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header" w:uiPriority="85"/>
    <w:lsdException w:name="footer" w:uiPriority="84"/>
    <w:lsdException w:name="caption" w:uiPriority="35"/>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BB71B2"/>
    <w:pPr>
      <w:keepLines/>
    </w:pPr>
  </w:style>
  <w:style w:type="paragraph" w:styleId="Heading10">
    <w:name w:val="heading 1"/>
    <w:next w:val="Normal"/>
    <w:link w:val="Heading1Char"/>
    <w:uiPriority w:val="9"/>
    <w:qFormat/>
    <w:rsid w:val="00E46E4F"/>
    <w:pPr>
      <w:keepNext/>
      <w:keepLines/>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612683"/>
    <w:pPr>
      <w:numPr>
        <w:ilvl w:val="1"/>
      </w:numP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EB0619"/>
    <w:pPr>
      <w:numPr>
        <w:ilvl w:val="2"/>
      </w:numPr>
      <w:outlineLvl w:val="2"/>
    </w:pPr>
    <w:rPr>
      <w:bCs/>
      <w:sz w:val="23"/>
    </w:rPr>
  </w:style>
  <w:style w:type="paragraph" w:styleId="Heading4">
    <w:name w:val="heading 4"/>
    <w:basedOn w:val="Heading30"/>
    <w:next w:val="Normal"/>
    <w:link w:val="Heading4Char"/>
    <w:uiPriority w:val="9"/>
    <w:rsid w:val="00EB0619"/>
    <w:pPr>
      <w:numPr>
        <w:ilvl w:val="3"/>
      </w:numP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E46E4F"/>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EB0619"/>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61268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EB0619"/>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link w:val="SourceChar"/>
    <w:uiPriority w:val="51"/>
    <w:qFormat/>
    <w:rsid w:val="002114FC"/>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link w:val="HighlightBoxTextChar"/>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rsid w:val="006371F3"/>
    <w:pPr>
      <w:spacing w:before="40"/>
    </w:pPr>
    <w:rPr>
      <w:rFonts w:eastAsiaTheme="minorEastAsia"/>
      <w:sz w:val="18"/>
      <w:lang w:val="en-US" w:eastAsia="ja-JP"/>
    </w:rPr>
  </w:style>
  <w:style w:type="character" w:customStyle="1" w:styleId="FootnoteTextChar">
    <w:name w:val="Footnote Text Char"/>
    <w:basedOn w:val="DefaultParagraphFont"/>
    <w:link w:val="FootnoteText"/>
    <w:uiPriority w:val="99"/>
    <w:rsid w:val="006371F3"/>
    <w:rPr>
      <w:rFonts w:eastAsiaTheme="minorEastAsia"/>
      <w:sz w:val="18"/>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97"/>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8155D0"/>
    <w:rPr>
      <w:rFonts w:asciiTheme="majorHAnsi" w:hAnsiTheme="majorHAnsi"/>
      <w:sz w:val="18"/>
    </w:rPr>
  </w:style>
  <w:style w:type="paragraph" w:customStyle="1" w:styleId="Footerodd">
    <w:name w:val="Footer (odd)"/>
    <w:basedOn w:val="Footer"/>
    <w:link w:val="FooteroddChar"/>
    <w:uiPriority w:val="84"/>
    <w:rsid w:val="008155D0"/>
    <w:pPr>
      <w:pBdr>
        <w:top w:val="single" w:sz="6" w:space="1" w:color="auto"/>
      </w:pBdr>
      <w:tabs>
        <w:tab w:val="clear" w:pos="4513"/>
        <w:tab w:val="clear" w:pos="9026"/>
        <w:tab w:val="center" w:pos="4876"/>
        <w:tab w:val="right" w:pos="7710"/>
      </w:tabs>
    </w:pPr>
    <w:rPr>
      <w:rFonts w:asciiTheme="majorHAnsi" w:hAnsiTheme="majorHAnsi"/>
      <w:sz w:val="18"/>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BB71B2"/>
    <w:pPr>
      <w:tabs>
        <w:tab w:val="right" w:leader="dot" w:pos="7711"/>
        <w:tab w:val="right" w:leader="dot" w:pos="9639"/>
      </w:tabs>
    </w:pPr>
    <w:rPr>
      <w:rFonts w:asciiTheme="majorHAnsi" w:hAnsiTheme="majorHAnsi"/>
      <w:b/>
      <w:noProof/>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link w:val="ListBulletChar"/>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4"/>
    <w:semiHidden/>
    <w:rsid w:val="004419CD"/>
    <w:pPr>
      <w:tabs>
        <w:tab w:val="center" w:pos="4513"/>
        <w:tab w:val="right" w:pos="9026"/>
      </w:tabs>
      <w:spacing w:before="0"/>
    </w:pPr>
  </w:style>
  <w:style w:type="paragraph" w:styleId="TOC2">
    <w:name w:val="toc 2"/>
    <w:basedOn w:val="TOC1"/>
    <w:next w:val="Normal"/>
    <w:uiPriority w:val="39"/>
    <w:rsid w:val="00BB71B2"/>
    <w:pPr>
      <w:spacing w:before="60" w:after="60" w:line="264" w:lineRule="auto"/>
      <w:ind w:left="284" w:right="567"/>
    </w:pPr>
    <w:rPr>
      <w:b w:val="0"/>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1"/>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A713BE"/>
    <w:pPr>
      <w:keepNext/>
      <w:tabs>
        <w:tab w:val="left" w:pos="1134"/>
        <w:tab w:val="right" w:pos="7710"/>
      </w:tabs>
      <w:spacing w:before="240" w:after="60"/>
      <w:ind w:left="1138" w:hanging="1138"/>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spacing w:after="100"/>
      <w:ind w:left="567" w:right="340" w:hanging="567"/>
    </w:pPr>
    <w:rPr>
      <w:spacing w:val="-2"/>
    </w:rPr>
  </w:style>
  <w:style w:type="paragraph" w:customStyle="1" w:styleId="Footereven">
    <w:name w:val="Footer (even)"/>
    <w:basedOn w:val="Footer"/>
    <w:link w:val="FooterevenChar"/>
    <w:uiPriority w:val="84"/>
    <w:rsid w:val="008155D0"/>
    <w:pPr>
      <w:pBdr>
        <w:top w:val="single" w:sz="6" w:space="1" w:color="auto"/>
      </w:pBdr>
      <w:tabs>
        <w:tab w:val="clear" w:pos="4513"/>
        <w:tab w:val="clear" w:pos="9026"/>
        <w:tab w:val="center" w:pos="2891"/>
        <w:tab w:val="right" w:pos="7710"/>
      </w:tabs>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7430B"/>
    <w:pPr>
      <w:numPr>
        <w:numId w:val="14"/>
      </w:numPr>
      <w:spacing w:after="120"/>
    </w:pPr>
  </w:style>
  <w:style w:type="character" w:customStyle="1" w:styleId="Heading3Char0">
    <w:name w:val="Heading 3 (#) Char"/>
    <w:basedOn w:val="Heading3Char"/>
    <w:link w:val="Heading3"/>
    <w:uiPriority w:val="14"/>
    <w:rsid w:val="0037430B"/>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4"/>
    <w:semiHidden/>
    <w:rsid w:val="00644B4A"/>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qFormat/>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link w:val="Index1Char"/>
    <w:autoRedefine/>
    <w:uiPriority w:val="99"/>
    <w:unhideWhenUsed/>
    <w:rsid w:val="008C27C4"/>
    <w:pPr>
      <w:tabs>
        <w:tab w:val="right" w:leader="dot" w:pos="3485"/>
      </w:tabs>
      <w:spacing w:before="0"/>
      <w:ind w:left="220" w:hanging="220"/>
    </w:pPr>
    <w:rPr>
      <w:rFonts w:asciiTheme="majorHAnsi" w:eastAsia="Garamond" w:hAnsiTheme="majorHAnsi" w:cs="Times New Roman"/>
      <w:noProof/>
      <w:sz w:val="18"/>
      <w:szCs w:val="18"/>
    </w:rPr>
  </w:style>
  <w:style w:type="paragraph" w:styleId="Index2">
    <w:name w:val="index 2"/>
    <w:basedOn w:val="Normal"/>
    <w:next w:val="Normal"/>
    <w:autoRedefine/>
    <w:uiPriority w:val="99"/>
    <w:unhideWhenUsed/>
    <w:rsid w:val="00A713BE"/>
    <w:pPr>
      <w:spacing w:before="0"/>
      <w:ind w:left="440" w:hanging="220"/>
    </w:pPr>
    <w:rPr>
      <w:rFonts w:asciiTheme="majorHAnsi" w:hAnsiTheme="majorHAnsi"/>
      <w:sz w:val="18"/>
      <w:szCs w:val="18"/>
    </w:rPr>
  </w:style>
  <w:style w:type="paragraph" w:styleId="Index3">
    <w:name w:val="index 3"/>
    <w:basedOn w:val="Normal"/>
    <w:next w:val="Normal"/>
    <w:autoRedefine/>
    <w:uiPriority w:val="99"/>
    <w:unhideWhenUsed/>
    <w:rsid w:val="00C00568"/>
    <w:pPr>
      <w:spacing w:before="0"/>
      <w:ind w:left="660" w:hanging="220"/>
    </w:pPr>
    <w:rPr>
      <w:sz w:val="18"/>
      <w:szCs w:val="18"/>
    </w:rPr>
  </w:style>
  <w:style w:type="paragraph" w:styleId="Index4">
    <w:name w:val="index 4"/>
    <w:basedOn w:val="Normal"/>
    <w:next w:val="Normal"/>
    <w:autoRedefine/>
    <w:uiPriority w:val="99"/>
    <w:unhideWhenUsed/>
    <w:rsid w:val="00C00568"/>
    <w:pPr>
      <w:spacing w:before="0"/>
      <w:ind w:left="880" w:hanging="220"/>
    </w:pPr>
    <w:rPr>
      <w:sz w:val="18"/>
      <w:szCs w:val="18"/>
    </w:rPr>
  </w:style>
  <w:style w:type="paragraph" w:styleId="Index5">
    <w:name w:val="index 5"/>
    <w:basedOn w:val="Normal"/>
    <w:next w:val="Normal"/>
    <w:autoRedefine/>
    <w:uiPriority w:val="99"/>
    <w:unhideWhenUsed/>
    <w:rsid w:val="00C00568"/>
    <w:pPr>
      <w:spacing w:before="0"/>
      <w:ind w:left="1100" w:hanging="220"/>
    </w:pPr>
    <w:rPr>
      <w:sz w:val="18"/>
      <w:szCs w:val="18"/>
    </w:rPr>
  </w:style>
  <w:style w:type="paragraph" w:styleId="Index6">
    <w:name w:val="index 6"/>
    <w:basedOn w:val="Normal"/>
    <w:next w:val="Normal"/>
    <w:autoRedefine/>
    <w:uiPriority w:val="99"/>
    <w:unhideWhenUsed/>
    <w:rsid w:val="00C00568"/>
    <w:pPr>
      <w:spacing w:before="0"/>
      <w:ind w:left="1320" w:hanging="220"/>
    </w:pPr>
    <w:rPr>
      <w:sz w:val="18"/>
      <w:szCs w:val="18"/>
    </w:rPr>
  </w:style>
  <w:style w:type="paragraph" w:styleId="Index7">
    <w:name w:val="index 7"/>
    <w:basedOn w:val="Normal"/>
    <w:next w:val="Normal"/>
    <w:autoRedefine/>
    <w:uiPriority w:val="99"/>
    <w:unhideWhenUsed/>
    <w:rsid w:val="00C00568"/>
    <w:pPr>
      <w:spacing w:before="0"/>
      <w:ind w:left="1540" w:hanging="220"/>
    </w:pPr>
    <w:rPr>
      <w:sz w:val="18"/>
      <w:szCs w:val="18"/>
    </w:rPr>
  </w:style>
  <w:style w:type="paragraph" w:styleId="Index8">
    <w:name w:val="index 8"/>
    <w:basedOn w:val="Normal"/>
    <w:next w:val="Normal"/>
    <w:autoRedefine/>
    <w:uiPriority w:val="99"/>
    <w:unhideWhenUsed/>
    <w:rsid w:val="00C00568"/>
    <w:pPr>
      <w:spacing w:before="0"/>
      <w:ind w:left="1760" w:hanging="220"/>
    </w:pPr>
    <w:rPr>
      <w:sz w:val="18"/>
      <w:szCs w:val="18"/>
    </w:rPr>
  </w:style>
  <w:style w:type="paragraph" w:styleId="Index9">
    <w:name w:val="index 9"/>
    <w:basedOn w:val="Normal"/>
    <w:next w:val="Normal"/>
    <w:autoRedefine/>
    <w:uiPriority w:val="99"/>
    <w:unhideWhenUsed/>
    <w:rsid w:val="00C00568"/>
    <w:pPr>
      <w:spacing w:before="0"/>
      <w:ind w:left="1980" w:hanging="220"/>
    </w:pPr>
    <w:rPr>
      <w:sz w:val="18"/>
      <w:szCs w:val="18"/>
    </w:rPr>
  </w:style>
  <w:style w:type="paragraph" w:styleId="IndexHeading">
    <w:name w:val="index heading"/>
    <w:basedOn w:val="Normal"/>
    <w:next w:val="Index1"/>
    <w:uiPriority w:val="99"/>
    <w:unhideWhenUsed/>
    <w:rsid w:val="00A713BE"/>
    <w:pPr>
      <w:keepNext/>
      <w:tabs>
        <w:tab w:val="right" w:pos="3481"/>
      </w:tabs>
      <w:spacing w:before="240" w:after="60"/>
    </w:pPr>
    <w:rPr>
      <w:rFonts w:asciiTheme="majorHAnsi" w:hAnsiTheme="majorHAnsi"/>
      <w:b/>
      <w:bCs/>
      <w:noProof/>
      <w:sz w:val="26"/>
      <w:szCs w:val="26"/>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semiHidden/>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8155D0"/>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PerformanceMeasureNote">
    <w:name w:val="Performance Measure Note"/>
    <w:basedOn w:val="Normal"/>
    <w:uiPriority w:val="63"/>
    <w:qFormat/>
    <w:rsid w:val="00BC1376"/>
    <w:pPr>
      <w:spacing w:before="20" w:after="20"/>
      <w:ind w:left="170"/>
      <w:contextualSpacing/>
    </w:pPr>
    <w:rPr>
      <w:rFonts w:asciiTheme="majorHAnsi" w:hAnsiTheme="majorHAnsi"/>
      <w:i/>
      <w:spacing w:val="-2"/>
      <w:sz w:val="15"/>
      <w:szCs w:val="15"/>
    </w:rPr>
  </w:style>
  <w:style w:type="paragraph" w:customStyle="1" w:styleId="TableUnits">
    <w:name w:val="Table Units"/>
    <w:basedOn w:val="Normal"/>
    <w:next w:val="Normal"/>
    <w:uiPriority w:val="50"/>
    <w:qFormat/>
    <w:rsid w:val="0083463B"/>
    <w:pPr>
      <w:keepNext/>
      <w:tabs>
        <w:tab w:val="left" w:pos="567"/>
        <w:tab w:val="right" w:pos="9639"/>
        <w:tab w:val="right" w:pos="14742"/>
      </w:tabs>
      <w:spacing w:before="0" w:after="12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Performancemeasuremetric">
    <w:name w:val="Performance measure metric"/>
    <w:basedOn w:val="Normal"/>
    <w:uiPriority w:val="63"/>
    <w:rsid w:val="00F8170E"/>
    <w:pPr>
      <w:keepLines w:val="0"/>
      <w:spacing w:before="20" w:after="20"/>
      <w:ind w:left="-14"/>
    </w:pPr>
    <w:rPr>
      <w:rFonts w:asciiTheme="majorHAnsi" w:hAnsiTheme="majorHAnsi"/>
      <w:i/>
      <w:sz w:val="17"/>
    </w:rPr>
  </w:style>
  <w:style w:type="character" w:customStyle="1" w:styleId="HighlightBoxBulletChar">
    <w:name w:val="Highlight Box Bullet Char"/>
    <w:basedOn w:val="DefaultParagraphFont"/>
    <w:link w:val="HighlightBoxBullet"/>
    <w:uiPriority w:val="61"/>
    <w:rsid w:val="00B942A3"/>
    <w:rPr>
      <w:shd w:val="clear" w:color="auto" w:fill="F2F2F2" w:themeFill="background1" w:themeFillShade="F2"/>
    </w:rPr>
  </w:style>
  <w:style w:type="character" w:customStyle="1" w:styleId="SourceChar">
    <w:name w:val="Source Char"/>
    <w:link w:val="Source"/>
    <w:uiPriority w:val="51"/>
    <w:locked/>
    <w:rsid w:val="002114FC"/>
    <w:rPr>
      <w:rFonts w:asciiTheme="majorHAnsi" w:hAnsiTheme="majorHAnsi"/>
      <w:i/>
      <w:spacing w:val="-2"/>
      <w:sz w:val="14"/>
    </w:rPr>
  </w:style>
  <w:style w:type="character" w:customStyle="1" w:styleId="TableHeadingChar">
    <w:name w:val="Table Heading Char"/>
    <w:basedOn w:val="DefaultParagraphFont"/>
    <w:link w:val="TableHeading"/>
    <w:uiPriority w:val="49"/>
    <w:rsid w:val="00A713BE"/>
    <w:rPr>
      <w:rFonts w:asciiTheme="majorHAnsi" w:hAnsiTheme="majorHAnsi"/>
      <w:b/>
      <w:sz w:val="20"/>
      <w:szCs w:val="20"/>
    </w:rPr>
  </w:style>
  <w:style w:type="character" w:customStyle="1" w:styleId="HighlightBoxTextChar">
    <w:name w:val="Highlight Box Text Char"/>
    <w:basedOn w:val="DefaultParagraphFont"/>
    <w:link w:val="HighlightBoxText"/>
    <w:uiPriority w:val="60"/>
    <w:rsid w:val="00B942A3"/>
    <w:rPr>
      <w:shd w:val="clear" w:color="auto" w:fill="F2F2F2" w:themeFill="background1" w:themeFillShade="F2"/>
    </w:rPr>
  </w:style>
  <w:style w:type="character" w:customStyle="1" w:styleId="apple-converted-space">
    <w:name w:val="apple-converted-space"/>
    <w:basedOn w:val="DefaultParagraphFont"/>
    <w:rsid w:val="00B942A3"/>
  </w:style>
  <w:style w:type="paragraph" w:customStyle="1" w:styleId="Tabletextheading">
    <w:name w:val="Table text heading"/>
    <w:basedOn w:val="Normal"/>
    <w:link w:val="TabletextheadingChar"/>
    <w:qFormat/>
    <w:rsid w:val="00B942A3"/>
    <w:pPr>
      <w:keepLines w:val="0"/>
      <w:spacing w:before="0"/>
      <w:jc w:val="right"/>
    </w:pPr>
    <w:rPr>
      <w:rFonts w:ascii="Calibri" w:eastAsia="Times New Roman" w:hAnsi="Calibri" w:cs="Times New Roman"/>
      <w:i/>
      <w:sz w:val="20"/>
      <w:szCs w:val="18"/>
    </w:rPr>
  </w:style>
  <w:style w:type="character" w:customStyle="1" w:styleId="TabletextheadingChar">
    <w:name w:val="Table text heading Char"/>
    <w:link w:val="Tabletextheading"/>
    <w:locked/>
    <w:rsid w:val="00B942A3"/>
    <w:rPr>
      <w:rFonts w:ascii="Calibri" w:eastAsia="Times New Roman" w:hAnsi="Calibri" w:cs="Times New Roman"/>
      <w:i/>
      <w:sz w:val="20"/>
      <w:szCs w:val="18"/>
    </w:rPr>
  </w:style>
  <w:style w:type="paragraph" w:customStyle="1" w:styleId="Tabletext">
    <w:name w:val="Table text"/>
    <w:basedOn w:val="Normal"/>
    <w:link w:val="TabletextChar"/>
    <w:qFormat/>
    <w:rsid w:val="00B942A3"/>
    <w:pPr>
      <w:keepLines w:val="0"/>
      <w:spacing w:before="0"/>
      <w:ind w:left="180" w:hanging="180"/>
    </w:pPr>
    <w:rPr>
      <w:rFonts w:ascii="Calibri" w:eastAsia="Times New Roman" w:hAnsi="Calibri" w:cs="Times New Roman"/>
      <w:sz w:val="20"/>
      <w:szCs w:val="18"/>
    </w:rPr>
  </w:style>
  <w:style w:type="character" w:customStyle="1" w:styleId="TabletextChar">
    <w:name w:val="Table text Char"/>
    <w:link w:val="Tabletext"/>
    <w:rsid w:val="00B942A3"/>
    <w:rPr>
      <w:rFonts w:ascii="Calibri" w:eastAsia="Times New Roman" w:hAnsi="Calibri" w:cs="Times New Roman"/>
      <w:sz w:val="20"/>
      <w:szCs w:val="18"/>
    </w:rPr>
  </w:style>
  <w:style w:type="paragraph" w:customStyle="1" w:styleId="Notes">
    <w:name w:val="Notes"/>
    <w:basedOn w:val="Normal"/>
    <w:link w:val="NotesChar"/>
    <w:qFormat/>
    <w:rsid w:val="00B942A3"/>
    <w:pPr>
      <w:keepLines w:val="0"/>
      <w:tabs>
        <w:tab w:val="left" w:pos="454"/>
      </w:tabs>
      <w:spacing w:before="0"/>
      <w:ind w:left="461" w:hanging="461"/>
    </w:pPr>
    <w:rPr>
      <w:rFonts w:ascii="Calibri" w:eastAsia="Times New Roman" w:hAnsi="Calibri" w:cs="Times New Roman"/>
      <w:i/>
      <w:sz w:val="15"/>
      <w:szCs w:val="20"/>
    </w:rPr>
  </w:style>
  <w:style w:type="character" w:customStyle="1" w:styleId="NotesChar">
    <w:name w:val="Notes Char"/>
    <w:link w:val="Notes"/>
    <w:locked/>
    <w:rsid w:val="00B942A3"/>
    <w:rPr>
      <w:rFonts w:ascii="Calibri" w:eastAsia="Times New Roman" w:hAnsi="Calibri" w:cs="Times New Roman"/>
      <w:i/>
      <w:sz w:val="15"/>
      <w:szCs w:val="20"/>
    </w:rPr>
  </w:style>
  <w:style w:type="paragraph" w:customStyle="1" w:styleId="Calibri">
    <w:name w:val="Calibri"/>
    <w:basedOn w:val="Normal"/>
    <w:qFormat/>
    <w:rsid w:val="00B942A3"/>
    <w:pPr>
      <w:keepLines w:val="0"/>
      <w:spacing w:before="0" w:after="120"/>
    </w:pPr>
    <w:rPr>
      <w:rFonts w:ascii="Calibri" w:eastAsia="Times New Roman" w:hAnsi="Calibri" w:cs="Times New Roman"/>
      <w:i/>
      <w:sz w:val="15"/>
      <w:szCs w:val="20"/>
    </w:rPr>
  </w:style>
  <w:style w:type="character" w:customStyle="1" w:styleId="left">
    <w:name w:val="left"/>
    <w:basedOn w:val="DefaultParagraphFont"/>
    <w:rsid w:val="00B942A3"/>
  </w:style>
  <w:style w:type="paragraph" w:styleId="Revision">
    <w:name w:val="Revision"/>
    <w:hidden/>
    <w:uiPriority w:val="99"/>
    <w:semiHidden/>
    <w:rsid w:val="00B942A3"/>
    <w:pPr>
      <w:spacing w:before="0"/>
    </w:pPr>
  </w:style>
  <w:style w:type="paragraph" w:customStyle="1" w:styleId="BP4Figures">
    <w:name w:val="BP4 Figures"/>
    <w:basedOn w:val="Normal"/>
    <w:semiHidden/>
    <w:rsid w:val="00B942A3"/>
    <w:pPr>
      <w:keepLines w:val="0"/>
      <w:spacing w:before="0" w:after="30"/>
      <w:jc w:val="right"/>
    </w:pPr>
    <w:rPr>
      <w:rFonts w:ascii="Calibri" w:eastAsia="Times New Roman" w:hAnsi="Calibri" w:cs="Times New Roman"/>
      <w:sz w:val="18"/>
      <w:szCs w:val="18"/>
    </w:rPr>
  </w:style>
  <w:style w:type="paragraph" w:customStyle="1" w:styleId="BP4headingr">
    <w:name w:val="BP4 heading r"/>
    <w:basedOn w:val="Normal"/>
    <w:semiHidden/>
    <w:rsid w:val="00B942A3"/>
    <w:pPr>
      <w:keepLines w:val="0"/>
      <w:spacing w:before="0"/>
      <w:jc w:val="right"/>
    </w:pPr>
    <w:rPr>
      <w:rFonts w:ascii="Calibri" w:eastAsia="Times New Roman" w:hAnsi="Calibri" w:cs="Times New Roman"/>
      <w:i/>
      <w:sz w:val="18"/>
      <w:szCs w:val="18"/>
    </w:rPr>
  </w:style>
  <w:style w:type="paragraph" w:customStyle="1" w:styleId="BP4headingl">
    <w:name w:val="BP4 heading l"/>
    <w:basedOn w:val="BP4headingr"/>
    <w:semiHidden/>
    <w:rsid w:val="00B942A3"/>
    <w:pPr>
      <w:jc w:val="left"/>
    </w:pPr>
  </w:style>
  <w:style w:type="paragraph" w:customStyle="1" w:styleId="BP4tabletext">
    <w:name w:val="BP4 table text"/>
    <w:basedOn w:val="Normal"/>
    <w:semiHidden/>
    <w:rsid w:val="00B942A3"/>
    <w:pPr>
      <w:keepLines w:val="0"/>
      <w:spacing w:before="0" w:after="30"/>
      <w:ind w:left="72" w:hanging="72"/>
    </w:pPr>
    <w:rPr>
      <w:rFonts w:ascii="Calibri" w:eastAsia="Times New Roman" w:hAnsi="Calibri" w:cs="Times New Roman"/>
      <w:sz w:val="18"/>
      <w:szCs w:val="18"/>
    </w:rPr>
  </w:style>
  <w:style w:type="paragraph" w:customStyle="1" w:styleId="ChapterHeading0">
    <w:name w:val="Chapter Heading"/>
    <w:basedOn w:val="Normal"/>
    <w:next w:val="Heading10"/>
    <w:qFormat/>
    <w:rsid w:val="00B942A3"/>
    <w:pPr>
      <w:keepNext/>
      <w:keepLines w:val="0"/>
      <w:pBdr>
        <w:bottom w:val="single" w:sz="12" w:space="7" w:color="auto"/>
      </w:pBdr>
      <w:spacing w:before="1440" w:after="360"/>
    </w:pPr>
    <w:rPr>
      <w:rFonts w:ascii="Calibri" w:eastAsia="Times New Roman" w:hAnsi="Calibri" w:cs="Times New Roman"/>
      <w:b/>
      <w:caps/>
      <w:sz w:val="36"/>
      <w:szCs w:val="28"/>
    </w:rPr>
  </w:style>
  <w:style w:type="paragraph" w:customStyle="1" w:styleId="OGBullet">
    <w:name w:val="OGBullet"/>
    <w:basedOn w:val="Normal"/>
    <w:semiHidden/>
    <w:rsid w:val="00B942A3"/>
    <w:pPr>
      <w:keepLines w:val="0"/>
      <w:numPr>
        <w:numId w:val="15"/>
      </w:numPr>
      <w:spacing w:before="0" w:after="120"/>
    </w:pPr>
    <w:rPr>
      <w:rFonts w:ascii="Calibri" w:eastAsia="Times New Roman" w:hAnsi="Calibri" w:cs="Times New Roman"/>
      <w:sz w:val="20"/>
      <w:szCs w:val="18"/>
    </w:rPr>
  </w:style>
  <w:style w:type="paragraph" w:customStyle="1" w:styleId="OGHeading1">
    <w:name w:val="OGHeading1"/>
    <w:basedOn w:val="Normal"/>
    <w:semiHidden/>
    <w:rsid w:val="00B942A3"/>
    <w:pPr>
      <w:keepLines w:val="0"/>
      <w:spacing w:before="0" w:after="120"/>
    </w:pPr>
    <w:rPr>
      <w:rFonts w:ascii="Calibri" w:eastAsia="Times New Roman" w:hAnsi="Calibri" w:cs="Times New Roman"/>
      <w:b/>
      <w:sz w:val="32"/>
      <w:szCs w:val="28"/>
    </w:rPr>
  </w:style>
  <w:style w:type="paragraph" w:customStyle="1" w:styleId="OGTabHead">
    <w:name w:val="OGTabHead"/>
    <w:basedOn w:val="Normal"/>
    <w:semiHidden/>
    <w:rsid w:val="00B942A3"/>
    <w:pPr>
      <w:keepNext/>
      <w:spacing w:before="30" w:after="30"/>
    </w:pPr>
    <w:rPr>
      <w:rFonts w:ascii="Calibri" w:eastAsia="Times New Roman" w:hAnsi="Calibri" w:cs="Times New Roman"/>
      <w:i/>
      <w:sz w:val="20"/>
      <w:szCs w:val="18"/>
    </w:rPr>
  </w:style>
  <w:style w:type="character" w:customStyle="1" w:styleId="OGTabBulletChar">
    <w:name w:val="OGTabBullet Char"/>
    <w:link w:val="OGTabBullet"/>
    <w:semiHidden/>
    <w:rsid w:val="00B942A3"/>
    <w:rPr>
      <w:rFonts w:ascii="Calibri" w:hAnsi="Calibri"/>
      <w:szCs w:val="18"/>
    </w:rPr>
  </w:style>
  <w:style w:type="paragraph" w:customStyle="1" w:styleId="OGTabBullet">
    <w:name w:val="OGTabBullet"/>
    <w:basedOn w:val="OGBullet"/>
    <w:link w:val="OGTabBulletChar"/>
    <w:semiHidden/>
    <w:rsid w:val="00B942A3"/>
    <w:pPr>
      <w:tabs>
        <w:tab w:val="clear" w:pos="360"/>
        <w:tab w:val="left" w:pos="604"/>
      </w:tabs>
      <w:spacing w:before="30" w:after="30"/>
      <w:ind w:left="605"/>
    </w:pPr>
    <w:rPr>
      <w:rFonts w:eastAsiaTheme="minorHAnsi" w:cstheme="minorBidi"/>
      <w:sz w:val="22"/>
    </w:rPr>
  </w:style>
  <w:style w:type="paragraph" w:customStyle="1" w:styleId="OGUoM">
    <w:name w:val="OGUoM"/>
    <w:basedOn w:val="Normal"/>
    <w:semiHidden/>
    <w:rsid w:val="00B942A3"/>
    <w:pPr>
      <w:keepLines w:val="0"/>
      <w:spacing w:before="30" w:after="30"/>
      <w:jc w:val="center"/>
    </w:pPr>
    <w:rPr>
      <w:rFonts w:ascii="Calibri" w:eastAsia="Times New Roman" w:hAnsi="Calibri" w:cs="Times New Roman"/>
      <w:sz w:val="19"/>
      <w:szCs w:val="18"/>
    </w:rPr>
  </w:style>
  <w:style w:type="paragraph" w:customStyle="1" w:styleId="OGTableofFigures">
    <w:name w:val="OGTable of Figures"/>
    <w:basedOn w:val="Normal"/>
    <w:semiHidden/>
    <w:rsid w:val="00B942A3"/>
    <w:pPr>
      <w:keepLines w:val="0"/>
      <w:spacing w:before="30" w:after="30"/>
      <w:jc w:val="right"/>
    </w:pPr>
    <w:rPr>
      <w:rFonts w:ascii="Calibri" w:eastAsia="Times New Roman" w:hAnsi="Calibri" w:cs="Times New Roman"/>
      <w:sz w:val="20"/>
      <w:szCs w:val="18"/>
    </w:rPr>
  </w:style>
  <w:style w:type="paragraph" w:customStyle="1" w:styleId="VAGOText">
    <w:name w:val="VAGOText"/>
    <w:basedOn w:val="Normal"/>
    <w:semiHidden/>
    <w:rsid w:val="00B942A3"/>
    <w:pPr>
      <w:keepLines w:val="0"/>
      <w:spacing w:after="120"/>
    </w:pPr>
    <w:rPr>
      <w:rFonts w:ascii="Arial" w:eastAsia="Times New Roman" w:hAnsi="Arial" w:cs="Arial"/>
      <w:sz w:val="16"/>
      <w:szCs w:val="16"/>
    </w:rPr>
  </w:style>
  <w:style w:type="paragraph" w:customStyle="1" w:styleId="VAGOHeading2">
    <w:name w:val="VAGOHeading2"/>
    <w:basedOn w:val="Normal"/>
    <w:semiHidden/>
    <w:rsid w:val="00B942A3"/>
    <w:pPr>
      <w:keepLines w:val="0"/>
      <w:spacing w:before="0" w:after="120"/>
    </w:pPr>
    <w:rPr>
      <w:rFonts w:ascii="Arial" w:eastAsia="Times New Roman" w:hAnsi="Arial" w:cs="Arial"/>
      <w:b/>
      <w:sz w:val="16"/>
      <w:szCs w:val="16"/>
    </w:rPr>
  </w:style>
  <w:style w:type="paragraph" w:customStyle="1" w:styleId="VAGOHeading1">
    <w:name w:val="VAGOHeading1"/>
    <w:basedOn w:val="Normal"/>
    <w:semiHidden/>
    <w:rsid w:val="00B942A3"/>
    <w:pPr>
      <w:keepLines w:val="0"/>
      <w:spacing w:before="0" w:after="120"/>
      <w:jc w:val="center"/>
    </w:pPr>
    <w:rPr>
      <w:rFonts w:ascii="Arial" w:eastAsia="Times New Roman" w:hAnsi="Arial" w:cs="Arial"/>
      <w:b/>
      <w:sz w:val="17"/>
      <w:szCs w:val="17"/>
    </w:rPr>
  </w:style>
  <w:style w:type="paragraph" w:customStyle="1" w:styleId="VAGOHeading3">
    <w:name w:val="VAGOHeading3"/>
    <w:basedOn w:val="VAGOHeading2"/>
    <w:semiHidden/>
    <w:rsid w:val="00B942A3"/>
    <w:rPr>
      <w:b w:val="0"/>
      <w:i/>
    </w:rPr>
  </w:style>
  <w:style w:type="paragraph" w:customStyle="1" w:styleId="VAGOBullet">
    <w:name w:val="VAGOBullet"/>
    <w:basedOn w:val="VAGOText"/>
    <w:semiHidden/>
    <w:rsid w:val="00B942A3"/>
    <w:pPr>
      <w:numPr>
        <w:numId w:val="17"/>
      </w:numPr>
      <w:ind w:right="-51"/>
    </w:pPr>
    <w:rPr>
      <w:iCs/>
    </w:rPr>
  </w:style>
  <w:style w:type="paragraph" w:customStyle="1" w:styleId="Heading3NumberingBP4">
    <w:name w:val="Heading 3 Numbering BP4"/>
    <w:basedOn w:val="Normal"/>
    <w:semiHidden/>
    <w:rsid w:val="00B942A3"/>
    <w:pPr>
      <w:keepNext/>
      <w:keepLines w:val="0"/>
      <w:numPr>
        <w:numId w:val="16"/>
      </w:numPr>
      <w:tabs>
        <w:tab w:val="clear" w:pos="720"/>
        <w:tab w:val="left" w:pos="504"/>
      </w:tabs>
      <w:spacing w:before="240" w:after="120"/>
      <w:ind w:left="504" w:hanging="504"/>
      <w:outlineLvl w:val="2"/>
    </w:pPr>
    <w:rPr>
      <w:rFonts w:ascii="Calibri" w:eastAsia="Times New Roman" w:hAnsi="Calibri" w:cs="Times New Roman"/>
      <w:b/>
      <w:i/>
      <w:kern w:val="28"/>
      <w:sz w:val="24"/>
    </w:rPr>
  </w:style>
  <w:style w:type="paragraph" w:customStyle="1" w:styleId="Chartpara">
    <w:name w:val="Chart para"/>
    <w:basedOn w:val="Normal"/>
    <w:semiHidden/>
    <w:rsid w:val="00B942A3"/>
    <w:pPr>
      <w:keepLines w:val="0"/>
      <w:spacing w:before="0"/>
    </w:pPr>
    <w:rPr>
      <w:rFonts w:ascii="Garamond" w:eastAsia="Times New Roman" w:hAnsi="Garamond" w:cs="Times New Roman"/>
      <w:szCs w:val="20"/>
    </w:rPr>
  </w:style>
  <w:style w:type="paragraph" w:customStyle="1" w:styleId="OGTabColCentred">
    <w:name w:val="OGTabColCentred"/>
    <w:basedOn w:val="OGUoM"/>
    <w:semiHidden/>
    <w:rsid w:val="00B942A3"/>
    <w:rPr>
      <w:b/>
      <w:lang w:eastAsia="en-AU"/>
    </w:rPr>
  </w:style>
  <w:style w:type="paragraph" w:customStyle="1" w:styleId="OGTabColRight">
    <w:name w:val="OGTabColRight"/>
    <w:basedOn w:val="OGTableofFigures"/>
    <w:semiHidden/>
    <w:rsid w:val="00B942A3"/>
    <w:rPr>
      <w:b/>
    </w:rPr>
  </w:style>
  <w:style w:type="paragraph" w:customStyle="1" w:styleId="OGTabColLeft">
    <w:name w:val="OGTabColLeft"/>
    <w:basedOn w:val="OGTabColRight"/>
    <w:semiHidden/>
    <w:rsid w:val="00B942A3"/>
    <w:pPr>
      <w:jc w:val="left"/>
    </w:pPr>
    <w:rPr>
      <w:lang w:eastAsia="en-AU"/>
    </w:rPr>
  </w:style>
  <w:style w:type="paragraph" w:customStyle="1" w:styleId="FrontPage">
    <w:name w:val="Front Page"/>
    <w:basedOn w:val="Normal"/>
    <w:semiHidden/>
    <w:rsid w:val="00B942A3"/>
    <w:pPr>
      <w:keepLines w:val="0"/>
      <w:spacing w:before="0" w:after="120"/>
      <w:jc w:val="center"/>
    </w:pPr>
    <w:rPr>
      <w:rFonts w:ascii="Calibri" w:eastAsia="Times New Roman" w:hAnsi="Calibri" w:cs="Times New Roman"/>
      <w:b/>
      <w:sz w:val="52"/>
      <w:szCs w:val="52"/>
    </w:rPr>
  </w:style>
  <w:style w:type="paragraph" w:customStyle="1" w:styleId="FrontPage2">
    <w:name w:val="Front Page 2"/>
    <w:basedOn w:val="FrontPage"/>
    <w:semiHidden/>
    <w:rsid w:val="00B942A3"/>
    <w:pPr>
      <w:pBdr>
        <w:bottom w:val="single" w:sz="12" w:space="1" w:color="auto"/>
      </w:pBdr>
    </w:pPr>
  </w:style>
  <w:style w:type="paragraph" w:customStyle="1" w:styleId="FrontPage3">
    <w:name w:val="Front Page 3"/>
    <w:basedOn w:val="Normal"/>
    <w:semiHidden/>
    <w:rsid w:val="00B942A3"/>
    <w:pPr>
      <w:keepLines w:val="0"/>
      <w:spacing w:before="0" w:after="120"/>
      <w:jc w:val="center"/>
    </w:pPr>
    <w:rPr>
      <w:rFonts w:ascii="Calibri" w:eastAsia="Times New Roman" w:hAnsi="Calibri" w:cs="Times New Roman"/>
      <w:sz w:val="28"/>
      <w:szCs w:val="28"/>
    </w:rPr>
  </w:style>
  <w:style w:type="paragraph" w:customStyle="1" w:styleId="FrontPageMin">
    <w:name w:val="Front Page Min"/>
    <w:basedOn w:val="Normal"/>
    <w:semiHidden/>
    <w:rsid w:val="00B942A3"/>
    <w:pPr>
      <w:keepLines w:val="0"/>
      <w:spacing w:before="0" w:after="120"/>
      <w:jc w:val="center"/>
    </w:pPr>
    <w:rPr>
      <w:rFonts w:ascii="Calibri" w:eastAsia="Times New Roman" w:hAnsi="Calibri" w:cs="Times New Roman"/>
      <w:sz w:val="36"/>
      <w:szCs w:val="36"/>
    </w:rPr>
  </w:style>
  <w:style w:type="paragraph" w:customStyle="1" w:styleId="FrontPageHon">
    <w:name w:val="Front Page Hon"/>
    <w:basedOn w:val="Normal"/>
    <w:semiHidden/>
    <w:rsid w:val="00B942A3"/>
    <w:pPr>
      <w:keepLines w:val="0"/>
      <w:spacing w:before="0" w:after="120"/>
      <w:jc w:val="center"/>
    </w:pPr>
    <w:rPr>
      <w:rFonts w:ascii="Calibri" w:eastAsia="Times New Roman" w:hAnsi="Calibri" w:cs="Times New Roman"/>
      <w:sz w:val="30"/>
      <w:szCs w:val="30"/>
    </w:rPr>
  </w:style>
  <w:style w:type="paragraph" w:customStyle="1" w:styleId="FrontPageBP">
    <w:name w:val="Front Page BP"/>
    <w:basedOn w:val="Normal"/>
    <w:semiHidden/>
    <w:rsid w:val="00B942A3"/>
    <w:pPr>
      <w:keepLines w:val="0"/>
      <w:spacing w:before="0" w:after="120"/>
      <w:jc w:val="center"/>
    </w:pPr>
    <w:rPr>
      <w:rFonts w:ascii="Calibri" w:eastAsia="Times New Roman" w:hAnsi="Calibri" w:cs="Times New Roman"/>
      <w:b/>
      <w:sz w:val="32"/>
      <w:szCs w:val="32"/>
    </w:rPr>
  </w:style>
  <w:style w:type="paragraph" w:customStyle="1" w:styleId="OGNotesIndent">
    <w:name w:val="OGNotesIndent"/>
    <w:basedOn w:val="Normal"/>
    <w:semiHidden/>
    <w:rsid w:val="00B942A3"/>
    <w:pPr>
      <w:keepLines w:val="0"/>
      <w:spacing w:before="0" w:after="60"/>
      <w:ind w:left="720" w:right="115" w:hanging="360"/>
    </w:pPr>
    <w:rPr>
      <w:rFonts w:ascii="Calibri" w:eastAsia="Times New Roman" w:hAnsi="Calibri" w:cs="Times New Roman"/>
      <w:i/>
      <w:sz w:val="15"/>
      <w:szCs w:val="20"/>
      <w:lang w:eastAsia="en-AU"/>
    </w:rPr>
  </w:style>
  <w:style w:type="paragraph" w:customStyle="1" w:styleId="Default">
    <w:name w:val="Default"/>
    <w:semiHidden/>
    <w:rsid w:val="00B942A3"/>
    <w:pPr>
      <w:autoSpaceDE w:val="0"/>
      <w:autoSpaceDN w:val="0"/>
      <w:adjustRightInd w:val="0"/>
      <w:spacing w:before="0"/>
    </w:pPr>
    <w:rPr>
      <w:rFonts w:ascii="Garamond" w:eastAsia="Times New Roman" w:hAnsi="Garamond" w:cs="Garamond"/>
      <w:color w:val="000000"/>
      <w:sz w:val="24"/>
      <w:szCs w:val="24"/>
      <w:lang w:eastAsia="en-AU"/>
    </w:rPr>
  </w:style>
  <w:style w:type="character" w:customStyle="1" w:styleId="ChapterheadingChar">
    <w:name w:val="Chapter heading Char"/>
    <w:basedOn w:val="DefaultParagraphFont"/>
    <w:link w:val="Chapterheading"/>
    <w:uiPriority w:val="89"/>
    <w:rsid w:val="00B942A3"/>
    <w:rPr>
      <w:rFonts w:asciiTheme="majorHAnsi" w:eastAsiaTheme="majorEastAsia" w:hAnsiTheme="majorHAnsi" w:cstheme="majorBidi"/>
      <w:b/>
      <w:bCs/>
      <w:caps/>
      <w:spacing w:val="-2"/>
      <w:sz w:val="36"/>
      <w:szCs w:val="28"/>
    </w:rPr>
  </w:style>
  <w:style w:type="character" w:customStyle="1" w:styleId="ListBulletChar">
    <w:name w:val="List Bullet Char"/>
    <w:basedOn w:val="DefaultParagraphFont"/>
    <w:link w:val="ListBullet"/>
    <w:uiPriority w:val="19"/>
    <w:rsid w:val="00B942A3"/>
  </w:style>
  <w:style w:type="paragraph" w:customStyle="1" w:styleId="Tableheading0">
    <w:name w:val="Table heading"/>
    <w:basedOn w:val="Normal"/>
    <w:link w:val="TableheadingChar0"/>
    <w:qFormat/>
    <w:rsid w:val="00B942A3"/>
    <w:pPr>
      <w:keepNext/>
      <w:keepLines w:val="0"/>
      <w:spacing w:before="240" w:after="120"/>
      <w:ind w:left="1152" w:hanging="1152"/>
    </w:pPr>
    <w:rPr>
      <w:rFonts w:ascii="Calibri" w:eastAsia="Times New Roman" w:hAnsi="Calibri" w:cs="Times New Roman"/>
      <w:b/>
      <w:szCs w:val="20"/>
    </w:rPr>
  </w:style>
  <w:style w:type="character" w:customStyle="1" w:styleId="TableheadingChar0">
    <w:name w:val="Table heading Char"/>
    <w:link w:val="Tableheading0"/>
    <w:rsid w:val="00B942A3"/>
    <w:rPr>
      <w:rFonts w:ascii="Calibri" w:eastAsia="Times New Roman" w:hAnsi="Calibri" w:cs="Times New Roman"/>
      <w:b/>
      <w:szCs w:val="20"/>
    </w:rPr>
  </w:style>
  <w:style w:type="table" w:customStyle="1" w:styleId="DTFTable1">
    <w:name w:val="DTF Table1"/>
    <w:basedOn w:val="TableNormal"/>
    <w:uiPriority w:val="99"/>
    <w:rsid w:val="00B942A3"/>
    <w:pPr>
      <w:spacing w:before="20" w:after="20"/>
      <w:jc w:val="right"/>
    </w:pPr>
    <w:rPr>
      <w:rFonts w:ascii="Calibri" w:hAnsi="Calibr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vAlign w:val="bottom"/>
      </w:tcPr>
    </w:tblStylePr>
    <w:tblStylePr w:type="lastRow">
      <w:rPr>
        <w:b/>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Index1Char">
    <w:name w:val="Index 1 Char"/>
    <w:basedOn w:val="DefaultParagraphFont"/>
    <w:link w:val="Index1"/>
    <w:uiPriority w:val="99"/>
    <w:rsid w:val="008C27C4"/>
    <w:rPr>
      <w:rFonts w:asciiTheme="majorHAnsi" w:eastAsia="Garamond" w:hAnsiTheme="majorHAnsi" w:cs="Times New Roman"/>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17.emf"/><Relationship Id="rId21" Type="http://schemas.openxmlformats.org/officeDocument/2006/relationships/image" Target="media/image4.emf"/><Relationship Id="rId34" Type="http://schemas.openxmlformats.org/officeDocument/2006/relationships/footer" Target="footer10.xml"/><Relationship Id="rId42" Type="http://schemas.openxmlformats.org/officeDocument/2006/relationships/image" Target="media/image20.emf"/><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image" Target="media/image26.emf"/><Relationship Id="rId63" Type="http://schemas.openxmlformats.org/officeDocument/2006/relationships/footer" Target="footer19.xml"/><Relationship Id="rId6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package" Target="embeddings/Microsoft_Excel_Worksheet1.xlsx"/><Relationship Id="rId53" Type="http://schemas.openxmlformats.org/officeDocument/2006/relationships/footer" Target="footer16.xml"/><Relationship Id="rId58" Type="http://schemas.openxmlformats.org/officeDocument/2006/relationships/image" Target="media/image29.emf"/><Relationship Id="rId66" Type="http://schemas.openxmlformats.org/officeDocument/2006/relationships/footer" Target="footer21.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image" Target="media/image28.emf"/><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eader" Target="header7.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footer" Target="footer20.xml"/><Relationship Id="rId69"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6.emf"/><Relationship Id="rId46" Type="http://schemas.openxmlformats.org/officeDocument/2006/relationships/footer" Target="footer11.xml"/><Relationship Id="rId59" Type="http://schemas.openxmlformats.org/officeDocument/2006/relationships/footer" Target="footer17.xml"/><Relationship Id="rId67" Type="http://schemas.openxmlformats.org/officeDocument/2006/relationships/header" Target="header8.xml"/><Relationship Id="rId20" Type="http://schemas.openxmlformats.org/officeDocument/2006/relationships/image" Target="media/image3.emf"/><Relationship Id="rId41" Type="http://schemas.openxmlformats.org/officeDocument/2006/relationships/image" Target="media/image19.emf"/><Relationship Id="rId54" Type="http://schemas.openxmlformats.org/officeDocument/2006/relationships/image" Target="media/image25.emf"/><Relationship Id="rId62" Type="http://schemas.openxmlformats.org/officeDocument/2006/relationships/header" Target="header6.xml"/><Relationship Id="rId70"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0A7B-271E-446E-BD44-26EC3A7A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26765</Words>
  <Characters>152564</Characters>
  <Application>Microsoft Office Word</Application>
  <DocSecurity>0</DocSecurity>
  <Lines>1271</Lines>
  <Paragraphs>357</Paragraphs>
  <ScaleCrop>false</ScaleCrop>
  <Company/>
  <LinksUpToDate>false</LinksUpToDate>
  <CharactersWithSpaces>178972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2018-04-30T00:38:00Z</dcterms:created>
  <dcterms:modified xsi:type="dcterms:W3CDTF">2018-04-30T00:39:00Z</dcterms:modified>
</cp:coreProperties>
</file>