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5B" w:rsidRDefault="00B33087" w:rsidP="0017015C">
      <w:pPr>
        <w:pStyle w:val="Title"/>
      </w:pPr>
      <w:r>
        <w:t xml:space="preserve">Government </w:t>
      </w:r>
      <w:r w:rsidR="0017015C">
        <w:t xml:space="preserve">Response </w:t>
      </w:r>
      <w:r w:rsidR="00A109B4">
        <w:t xml:space="preserve">to the </w:t>
      </w:r>
      <w:r w:rsidR="0017015C">
        <w:t xml:space="preserve">Independent </w:t>
      </w:r>
      <w:r>
        <w:t xml:space="preserve">Review of </w:t>
      </w:r>
      <w:r w:rsidR="0017015C">
        <w:t>O</w:t>
      </w:r>
      <w:r>
        <w:t xml:space="preserve">ccupational </w:t>
      </w:r>
      <w:r w:rsidR="0017015C">
        <w:t>H</w:t>
      </w:r>
      <w:r>
        <w:t xml:space="preserve">ealth and Safety </w:t>
      </w:r>
      <w:r w:rsidR="0017015C">
        <w:t xml:space="preserve">Compliance and Enforcement </w:t>
      </w:r>
      <w:r>
        <w:t xml:space="preserve">in Victoria </w:t>
      </w:r>
      <w:r w:rsidR="007A615B">
        <w:t xml:space="preserve">Report </w:t>
      </w:r>
    </w:p>
    <w:p w:rsidR="007A615B" w:rsidRDefault="007A615B" w:rsidP="0017015C">
      <w:pPr>
        <w:pStyle w:val="Title"/>
      </w:pPr>
      <w:bookmarkStart w:id="0" w:name="_GoBack"/>
      <w:bookmarkEnd w:id="0"/>
    </w:p>
    <w:p w:rsidR="007A615B" w:rsidRDefault="007A615B">
      <w:r>
        <w:br/>
      </w:r>
    </w:p>
    <w:p w:rsidR="007A615B" w:rsidRDefault="007A615B">
      <w:r>
        <w:br w:type="page"/>
      </w:r>
    </w:p>
    <w:sdt>
      <w:sdtPr>
        <w:rPr>
          <w:rFonts w:asciiTheme="minorHAnsi" w:eastAsiaTheme="minorHAnsi" w:hAnsiTheme="minorHAnsi" w:cstheme="minorBidi"/>
          <w:b w:val="0"/>
          <w:bCs w:val="0"/>
          <w:color w:val="auto"/>
          <w:sz w:val="22"/>
          <w:szCs w:val="22"/>
          <w:lang w:val="en-AU" w:eastAsia="en-US"/>
        </w:rPr>
        <w:id w:val="-759839075"/>
        <w:docPartObj>
          <w:docPartGallery w:val="Table of Contents"/>
          <w:docPartUnique/>
        </w:docPartObj>
      </w:sdtPr>
      <w:sdtEndPr>
        <w:rPr>
          <w:noProof/>
        </w:rPr>
      </w:sdtEndPr>
      <w:sdtContent>
        <w:p w:rsidR="00991B33" w:rsidRDefault="00991B33">
          <w:pPr>
            <w:pStyle w:val="TOCHeading"/>
          </w:pPr>
          <w:r>
            <w:t>Contents</w:t>
          </w:r>
        </w:p>
        <w:p w:rsidR="00110AC1" w:rsidRDefault="00110AC1">
          <w:pPr>
            <w:pStyle w:val="TOC1"/>
            <w:tabs>
              <w:tab w:val="right" w:leader="dot" w:pos="9016"/>
            </w:tabs>
          </w:pPr>
        </w:p>
        <w:p w:rsidR="00110AC1" w:rsidRDefault="00110AC1">
          <w:pPr>
            <w:pStyle w:val="TOC1"/>
            <w:tabs>
              <w:tab w:val="right" w:leader="dot" w:pos="9016"/>
            </w:tabs>
          </w:pPr>
        </w:p>
        <w:p w:rsidR="002024BF" w:rsidRDefault="00991B3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8607011" w:history="1">
            <w:r w:rsidR="002024BF" w:rsidRPr="009326AB">
              <w:rPr>
                <w:rStyle w:val="Hyperlink"/>
                <w:noProof/>
              </w:rPr>
              <w:t>Abbreviations</w:t>
            </w:r>
            <w:r w:rsidR="002024BF">
              <w:rPr>
                <w:noProof/>
                <w:webHidden/>
              </w:rPr>
              <w:tab/>
            </w:r>
            <w:r w:rsidR="002024BF">
              <w:rPr>
                <w:noProof/>
                <w:webHidden/>
              </w:rPr>
              <w:fldChar w:fldCharType="begin"/>
            </w:r>
            <w:r w:rsidR="002024BF">
              <w:rPr>
                <w:noProof/>
                <w:webHidden/>
              </w:rPr>
              <w:instrText xml:space="preserve"> PAGEREF _Toc498607011 \h </w:instrText>
            </w:r>
            <w:r w:rsidR="002024BF">
              <w:rPr>
                <w:noProof/>
                <w:webHidden/>
              </w:rPr>
            </w:r>
            <w:r w:rsidR="002024BF">
              <w:rPr>
                <w:noProof/>
                <w:webHidden/>
              </w:rPr>
              <w:fldChar w:fldCharType="separate"/>
            </w:r>
            <w:r w:rsidR="002024BF">
              <w:rPr>
                <w:noProof/>
                <w:webHidden/>
              </w:rPr>
              <w:t>3</w:t>
            </w:r>
            <w:r w:rsidR="002024BF">
              <w:rPr>
                <w:noProof/>
                <w:webHidden/>
              </w:rPr>
              <w:fldChar w:fldCharType="end"/>
            </w:r>
          </w:hyperlink>
        </w:p>
        <w:p w:rsidR="002024BF" w:rsidRDefault="00474540">
          <w:pPr>
            <w:pStyle w:val="TOC1"/>
            <w:tabs>
              <w:tab w:val="right" w:leader="dot" w:pos="9016"/>
            </w:tabs>
            <w:rPr>
              <w:rFonts w:eastAsiaTheme="minorEastAsia"/>
              <w:noProof/>
              <w:lang w:eastAsia="en-AU"/>
            </w:rPr>
          </w:pPr>
          <w:hyperlink w:anchor="_Toc498607012" w:history="1">
            <w:r w:rsidR="002024BF" w:rsidRPr="009326AB">
              <w:rPr>
                <w:rStyle w:val="Hyperlink"/>
                <w:noProof/>
              </w:rPr>
              <w:t>Response – Independent Review of OHS Compliance and Enforcement in Victoria</w:t>
            </w:r>
            <w:r w:rsidR="002024BF">
              <w:rPr>
                <w:noProof/>
                <w:webHidden/>
              </w:rPr>
              <w:tab/>
            </w:r>
            <w:r w:rsidR="002024BF">
              <w:rPr>
                <w:noProof/>
                <w:webHidden/>
              </w:rPr>
              <w:fldChar w:fldCharType="begin"/>
            </w:r>
            <w:r w:rsidR="002024BF">
              <w:rPr>
                <w:noProof/>
                <w:webHidden/>
              </w:rPr>
              <w:instrText xml:space="preserve"> PAGEREF _Toc498607012 \h </w:instrText>
            </w:r>
            <w:r w:rsidR="002024BF">
              <w:rPr>
                <w:noProof/>
                <w:webHidden/>
              </w:rPr>
            </w:r>
            <w:r w:rsidR="002024BF">
              <w:rPr>
                <w:noProof/>
                <w:webHidden/>
              </w:rPr>
              <w:fldChar w:fldCharType="separate"/>
            </w:r>
            <w:r w:rsidR="002024BF">
              <w:rPr>
                <w:noProof/>
                <w:webHidden/>
              </w:rPr>
              <w:t>4</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3" w:history="1">
            <w:r w:rsidR="002024BF" w:rsidRPr="009326AB">
              <w:rPr>
                <w:rStyle w:val="Hyperlink"/>
                <w:noProof/>
              </w:rPr>
              <w:t>1</w:t>
            </w:r>
            <w:r w:rsidR="002024BF">
              <w:rPr>
                <w:rFonts w:eastAsiaTheme="minorEastAsia"/>
                <w:noProof/>
                <w:lang w:eastAsia="en-AU"/>
              </w:rPr>
              <w:tab/>
            </w:r>
            <w:r w:rsidR="002024BF" w:rsidRPr="009326AB">
              <w:rPr>
                <w:rStyle w:val="Hyperlink"/>
                <w:noProof/>
              </w:rPr>
              <w:t>Introduction</w:t>
            </w:r>
            <w:r w:rsidR="002024BF">
              <w:rPr>
                <w:noProof/>
                <w:webHidden/>
              </w:rPr>
              <w:tab/>
            </w:r>
            <w:r w:rsidR="002024BF">
              <w:rPr>
                <w:noProof/>
                <w:webHidden/>
              </w:rPr>
              <w:fldChar w:fldCharType="begin"/>
            </w:r>
            <w:r w:rsidR="002024BF">
              <w:rPr>
                <w:noProof/>
                <w:webHidden/>
              </w:rPr>
              <w:instrText xml:space="preserve"> PAGEREF _Toc498607013 \h </w:instrText>
            </w:r>
            <w:r w:rsidR="002024BF">
              <w:rPr>
                <w:noProof/>
                <w:webHidden/>
              </w:rPr>
            </w:r>
            <w:r w:rsidR="002024BF">
              <w:rPr>
                <w:noProof/>
                <w:webHidden/>
              </w:rPr>
              <w:fldChar w:fldCharType="separate"/>
            </w:r>
            <w:r w:rsidR="002024BF">
              <w:rPr>
                <w:noProof/>
                <w:webHidden/>
              </w:rPr>
              <w:t>4</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4" w:history="1">
            <w:r w:rsidR="002024BF" w:rsidRPr="009326AB">
              <w:rPr>
                <w:rStyle w:val="Hyperlink"/>
                <w:noProof/>
              </w:rPr>
              <w:t>2</w:t>
            </w:r>
            <w:r w:rsidR="002024BF">
              <w:rPr>
                <w:rFonts w:eastAsiaTheme="minorEastAsia"/>
                <w:noProof/>
                <w:lang w:eastAsia="en-AU"/>
              </w:rPr>
              <w:tab/>
            </w:r>
            <w:r w:rsidR="002024BF" w:rsidRPr="009326AB">
              <w:rPr>
                <w:rStyle w:val="Hyperlink"/>
                <w:noProof/>
              </w:rPr>
              <w:t>The review in context</w:t>
            </w:r>
            <w:r w:rsidR="002024BF">
              <w:rPr>
                <w:noProof/>
                <w:webHidden/>
              </w:rPr>
              <w:tab/>
            </w:r>
            <w:r w:rsidR="002024BF">
              <w:rPr>
                <w:noProof/>
                <w:webHidden/>
              </w:rPr>
              <w:fldChar w:fldCharType="begin"/>
            </w:r>
            <w:r w:rsidR="002024BF">
              <w:rPr>
                <w:noProof/>
                <w:webHidden/>
              </w:rPr>
              <w:instrText xml:space="preserve"> PAGEREF _Toc498607014 \h </w:instrText>
            </w:r>
            <w:r w:rsidR="002024BF">
              <w:rPr>
                <w:noProof/>
                <w:webHidden/>
              </w:rPr>
            </w:r>
            <w:r w:rsidR="002024BF">
              <w:rPr>
                <w:noProof/>
                <w:webHidden/>
              </w:rPr>
              <w:fldChar w:fldCharType="separate"/>
            </w:r>
            <w:r w:rsidR="002024BF">
              <w:rPr>
                <w:noProof/>
                <w:webHidden/>
              </w:rPr>
              <w:t>5</w:t>
            </w:r>
            <w:r w:rsidR="002024BF">
              <w:rPr>
                <w:noProof/>
                <w:webHidden/>
              </w:rPr>
              <w:fldChar w:fldCharType="end"/>
            </w:r>
          </w:hyperlink>
        </w:p>
        <w:p w:rsidR="002024BF" w:rsidRDefault="00474540">
          <w:pPr>
            <w:pStyle w:val="TOC1"/>
            <w:tabs>
              <w:tab w:val="right" w:leader="dot" w:pos="9016"/>
            </w:tabs>
            <w:rPr>
              <w:rFonts w:eastAsiaTheme="minorEastAsia"/>
              <w:noProof/>
              <w:lang w:eastAsia="en-AU"/>
            </w:rPr>
          </w:pPr>
          <w:hyperlink w:anchor="_Toc498607015" w:history="1">
            <w:r w:rsidR="002024BF" w:rsidRPr="009326AB">
              <w:rPr>
                <w:rStyle w:val="Hyperlink"/>
                <w:noProof/>
              </w:rPr>
              <w:t>Government Response to the Independent Review of OHS Compliance and Enforcement Report Recommendations</w:t>
            </w:r>
            <w:r w:rsidR="002024BF">
              <w:rPr>
                <w:noProof/>
                <w:webHidden/>
              </w:rPr>
              <w:tab/>
            </w:r>
            <w:r w:rsidR="002024BF">
              <w:rPr>
                <w:noProof/>
                <w:webHidden/>
              </w:rPr>
              <w:fldChar w:fldCharType="begin"/>
            </w:r>
            <w:r w:rsidR="002024BF">
              <w:rPr>
                <w:noProof/>
                <w:webHidden/>
              </w:rPr>
              <w:instrText xml:space="preserve"> PAGEREF _Toc498607015 \h </w:instrText>
            </w:r>
            <w:r w:rsidR="002024BF">
              <w:rPr>
                <w:noProof/>
                <w:webHidden/>
              </w:rPr>
            </w:r>
            <w:r w:rsidR="002024BF">
              <w:rPr>
                <w:noProof/>
                <w:webHidden/>
              </w:rPr>
              <w:fldChar w:fldCharType="separate"/>
            </w:r>
            <w:r w:rsidR="002024BF">
              <w:rPr>
                <w:noProof/>
                <w:webHidden/>
              </w:rPr>
              <w:t>6</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6" w:history="1">
            <w:r w:rsidR="002024BF" w:rsidRPr="009326AB">
              <w:rPr>
                <w:rStyle w:val="Hyperlink"/>
                <w:noProof/>
              </w:rPr>
              <w:t>3</w:t>
            </w:r>
            <w:r w:rsidR="002024BF">
              <w:rPr>
                <w:rFonts w:eastAsiaTheme="minorEastAsia"/>
                <w:noProof/>
                <w:lang w:eastAsia="en-AU"/>
              </w:rPr>
              <w:tab/>
            </w:r>
            <w:r w:rsidR="002024BF" w:rsidRPr="009326AB">
              <w:rPr>
                <w:rStyle w:val="Hyperlink"/>
                <w:noProof/>
              </w:rPr>
              <w:t>WorkSafe’s OHS Compliance and Enforcement Framework</w:t>
            </w:r>
            <w:r w:rsidR="002024BF">
              <w:rPr>
                <w:noProof/>
                <w:webHidden/>
              </w:rPr>
              <w:tab/>
            </w:r>
            <w:r w:rsidR="002024BF">
              <w:rPr>
                <w:noProof/>
                <w:webHidden/>
              </w:rPr>
              <w:fldChar w:fldCharType="begin"/>
            </w:r>
            <w:r w:rsidR="002024BF">
              <w:rPr>
                <w:noProof/>
                <w:webHidden/>
              </w:rPr>
              <w:instrText xml:space="preserve"> PAGEREF _Toc498607016 \h </w:instrText>
            </w:r>
            <w:r w:rsidR="002024BF">
              <w:rPr>
                <w:noProof/>
                <w:webHidden/>
              </w:rPr>
            </w:r>
            <w:r w:rsidR="002024BF">
              <w:rPr>
                <w:noProof/>
                <w:webHidden/>
              </w:rPr>
              <w:fldChar w:fldCharType="separate"/>
            </w:r>
            <w:r w:rsidR="002024BF">
              <w:rPr>
                <w:noProof/>
                <w:webHidden/>
              </w:rPr>
              <w:t>6</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7" w:history="1">
            <w:r w:rsidR="002024BF" w:rsidRPr="009326AB">
              <w:rPr>
                <w:rStyle w:val="Hyperlink"/>
                <w:noProof/>
              </w:rPr>
              <w:t>4</w:t>
            </w:r>
            <w:r w:rsidR="002024BF">
              <w:rPr>
                <w:rFonts w:eastAsiaTheme="minorEastAsia"/>
                <w:noProof/>
                <w:lang w:eastAsia="en-AU"/>
              </w:rPr>
              <w:tab/>
            </w:r>
            <w:r w:rsidR="002024BF" w:rsidRPr="009326AB">
              <w:rPr>
                <w:rStyle w:val="Hyperlink"/>
                <w:noProof/>
              </w:rPr>
              <w:t>WorkSafe’s compliance and enforcement policy</w:t>
            </w:r>
            <w:r w:rsidR="002024BF">
              <w:rPr>
                <w:noProof/>
                <w:webHidden/>
              </w:rPr>
              <w:tab/>
            </w:r>
            <w:r w:rsidR="002024BF">
              <w:rPr>
                <w:noProof/>
                <w:webHidden/>
              </w:rPr>
              <w:fldChar w:fldCharType="begin"/>
            </w:r>
            <w:r w:rsidR="002024BF">
              <w:rPr>
                <w:noProof/>
                <w:webHidden/>
              </w:rPr>
              <w:instrText xml:space="preserve"> PAGEREF _Toc498607017 \h </w:instrText>
            </w:r>
            <w:r w:rsidR="002024BF">
              <w:rPr>
                <w:noProof/>
                <w:webHidden/>
              </w:rPr>
            </w:r>
            <w:r w:rsidR="002024BF">
              <w:rPr>
                <w:noProof/>
                <w:webHidden/>
              </w:rPr>
              <w:fldChar w:fldCharType="separate"/>
            </w:r>
            <w:r w:rsidR="002024BF">
              <w:rPr>
                <w:noProof/>
                <w:webHidden/>
              </w:rPr>
              <w:t>7</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8" w:history="1">
            <w:r w:rsidR="002024BF" w:rsidRPr="009326AB">
              <w:rPr>
                <w:rStyle w:val="Hyperlink"/>
                <w:noProof/>
              </w:rPr>
              <w:t>5</w:t>
            </w:r>
            <w:r w:rsidR="002024BF">
              <w:rPr>
                <w:rFonts w:eastAsiaTheme="minorEastAsia"/>
                <w:noProof/>
                <w:lang w:eastAsia="en-AU"/>
              </w:rPr>
              <w:tab/>
            </w:r>
            <w:r w:rsidR="002024BF" w:rsidRPr="009326AB">
              <w:rPr>
                <w:rStyle w:val="Hyperlink"/>
                <w:noProof/>
              </w:rPr>
              <w:t>How WorkSafe plans and targets its compliance and enforcement activities</w:t>
            </w:r>
            <w:r w:rsidR="002024BF">
              <w:rPr>
                <w:noProof/>
                <w:webHidden/>
              </w:rPr>
              <w:tab/>
            </w:r>
            <w:r w:rsidR="002024BF">
              <w:rPr>
                <w:noProof/>
                <w:webHidden/>
              </w:rPr>
              <w:fldChar w:fldCharType="begin"/>
            </w:r>
            <w:r w:rsidR="002024BF">
              <w:rPr>
                <w:noProof/>
                <w:webHidden/>
              </w:rPr>
              <w:instrText xml:space="preserve"> PAGEREF _Toc498607018 \h </w:instrText>
            </w:r>
            <w:r w:rsidR="002024BF">
              <w:rPr>
                <w:noProof/>
                <w:webHidden/>
              </w:rPr>
            </w:r>
            <w:r w:rsidR="002024BF">
              <w:rPr>
                <w:noProof/>
                <w:webHidden/>
              </w:rPr>
              <w:fldChar w:fldCharType="separate"/>
            </w:r>
            <w:r w:rsidR="002024BF">
              <w:rPr>
                <w:noProof/>
                <w:webHidden/>
              </w:rPr>
              <w:t>11</w:t>
            </w:r>
            <w:r w:rsidR="002024BF">
              <w:rPr>
                <w:noProof/>
                <w:webHidden/>
              </w:rPr>
              <w:fldChar w:fldCharType="end"/>
            </w:r>
          </w:hyperlink>
        </w:p>
        <w:p w:rsidR="002024BF" w:rsidRDefault="00474540">
          <w:pPr>
            <w:pStyle w:val="TOC1"/>
            <w:tabs>
              <w:tab w:val="left" w:pos="440"/>
              <w:tab w:val="right" w:leader="dot" w:pos="9016"/>
            </w:tabs>
            <w:rPr>
              <w:rFonts w:eastAsiaTheme="minorEastAsia"/>
              <w:noProof/>
              <w:lang w:eastAsia="en-AU"/>
            </w:rPr>
          </w:pPr>
          <w:hyperlink w:anchor="_Toc498607019" w:history="1">
            <w:r w:rsidR="002024BF" w:rsidRPr="009326AB">
              <w:rPr>
                <w:rStyle w:val="Hyperlink"/>
                <w:noProof/>
              </w:rPr>
              <w:t>6</w:t>
            </w:r>
            <w:r w:rsidR="002024BF">
              <w:rPr>
                <w:rFonts w:eastAsiaTheme="minorEastAsia"/>
                <w:noProof/>
                <w:lang w:eastAsia="en-AU"/>
              </w:rPr>
              <w:tab/>
            </w:r>
            <w:r w:rsidR="002024BF" w:rsidRPr="009326AB">
              <w:rPr>
                <w:rStyle w:val="Hyperlink"/>
                <w:noProof/>
              </w:rPr>
              <w:t>WorkSafe’s compliance and enforcement activities</w:t>
            </w:r>
            <w:r w:rsidR="002024BF">
              <w:rPr>
                <w:noProof/>
                <w:webHidden/>
              </w:rPr>
              <w:tab/>
            </w:r>
            <w:r w:rsidR="002024BF">
              <w:rPr>
                <w:noProof/>
                <w:webHidden/>
              </w:rPr>
              <w:fldChar w:fldCharType="begin"/>
            </w:r>
            <w:r w:rsidR="002024BF">
              <w:rPr>
                <w:noProof/>
                <w:webHidden/>
              </w:rPr>
              <w:instrText xml:space="preserve"> PAGEREF _Toc498607019 \h </w:instrText>
            </w:r>
            <w:r w:rsidR="002024BF">
              <w:rPr>
                <w:noProof/>
                <w:webHidden/>
              </w:rPr>
            </w:r>
            <w:r w:rsidR="002024BF">
              <w:rPr>
                <w:noProof/>
                <w:webHidden/>
              </w:rPr>
              <w:fldChar w:fldCharType="separate"/>
            </w:r>
            <w:r w:rsidR="002024BF">
              <w:rPr>
                <w:noProof/>
                <w:webHidden/>
              </w:rPr>
              <w:t>14</w:t>
            </w:r>
            <w:r w:rsidR="002024BF">
              <w:rPr>
                <w:noProof/>
                <w:webHidden/>
              </w:rPr>
              <w:fldChar w:fldCharType="end"/>
            </w:r>
          </w:hyperlink>
        </w:p>
        <w:p w:rsidR="00991B33" w:rsidRDefault="00991B33">
          <w:r>
            <w:rPr>
              <w:b/>
              <w:bCs/>
              <w:noProof/>
            </w:rPr>
            <w:fldChar w:fldCharType="end"/>
          </w:r>
        </w:p>
      </w:sdtContent>
    </w:sdt>
    <w:p w:rsidR="0017015C" w:rsidRDefault="0017015C">
      <w:pPr>
        <w:rPr>
          <w:rFonts w:asciiTheme="majorHAnsi" w:eastAsiaTheme="majorEastAsia" w:hAnsiTheme="majorHAnsi" w:cstheme="majorBidi"/>
          <w:b/>
          <w:bCs/>
          <w:color w:val="365F91" w:themeColor="accent1" w:themeShade="BF"/>
          <w:sz w:val="28"/>
          <w:szCs w:val="28"/>
        </w:rPr>
      </w:pPr>
      <w:r>
        <w:br w:type="page"/>
      </w:r>
    </w:p>
    <w:p w:rsidR="00CB16B5" w:rsidRDefault="00CB16B5" w:rsidP="00CB16B5">
      <w:pPr>
        <w:pStyle w:val="Heading1"/>
      </w:pPr>
      <w:bookmarkStart w:id="1" w:name="_Toc498607011"/>
      <w:r>
        <w:lastRenderedPageBreak/>
        <w:t>Abbreviations</w:t>
      </w:r>
      <w:bookmarkEnd w:id="1"/>
    </w:p>
    <w:p w:rsidR="00CB16B5" w:rsidRDefault="00CB16B5" w:rsidP="00CB16B5"/>
    <w:p w:rsidR="00CB16B5" w:rsidRDefault="00CB16B5" w:rsidP="00CB16B5">
      <w:r>
        <w:t>EU</w:t>
      </w:r>
      <w:r>
        <w:tab/>
      </w:r>
      <w:r>
        <w:tab/>
      </w:r>
      <w:r>
        <w:tab/>
      </w:r>
      <w:r>
        <w:tab/>
      </w:r>
      <w:r w:rsidR="004E39B4">
        <w:t>e</w:t>
      </w:r>
      <w:r>
        <w:t xml:space="preserve">nforceable </w:t>
      </w:r>
      <w:r w:rsidR="004E39B4">
        <w:t>u</w:t>
      </w:r>
      <w:r>
        <w:t>ndertaking</w:t>
      </w:r>
    </w:p>
    <w:p w:rsidR="00CB16B5" w:rsidRDefault="00CB16B5" w:rsidP="00CB16B5">
      <w:r>
        <w:t xml:space="preserve">HSR </w:t>
      </w:r>
      <w:r>
        <w:tab/>
      </w:r>
      <w:r>
        <w:tab/>
      </w:r>
      <w:r>
        <w:tab/>
      </w:r>
      <w:r>
        <w:tab/>
        <w:t>health and safety representative</w:t>
      </w:r>
    </w:p>
    <w:p w:rsidR="00CB16B5" w:rsidRDefault="00921EB1" w:rsidP="00CB16B5">
      <w:r>
        <w:t>HWSA</w:t>
      </w:r>
      <w:r>
        <w:tab/>
      </w:r>
      <w:r>
        <w:tab/>
      </w:r>
      <w:r>
        <w:tab/>
      </w:r>
      <w:r>
        <w:tab/>
      </w:r>
      <w:r w:rsidR="004E39B4">
        <w:t xml:space="preserve">Heads </w:t>
      </w:r>
      <w:r>
        <w:t xml:space="preserve">of </w:t>
      </w:r>
      <w:r w:rsidR="004E39B4">
        <w:t>W</w:t>
      </w:r>
      <w:r>
        <w:t xml:space="preserve">orkplace </w:t>
      </w:r>
      <w:r w:rsidR="004E39B4">
        <w:t>S</w:t>
      </w:r>
      <w:r>
        <w:t xml:space="preserve">afety </w:t>
      </w:r>
      <w:r w:rsidR="004E39B4">
        <w:t>A</w:t>
      </w:r>
      <w:r>
        <w:t>uthorities</w:t>
      </w:r>
    </w:p>
    <w:p w:rsidR="00CB16B5" w:rsidRDefault="00CB16B5" w:rsidP="00CB16B5">
      <w:r>
        <w:t xml:space="preserve">Independent Review </w:t>
      </w:r>
      <w:r>
        <w:tab/>
      </w:r>
      <w:r w:rsidR="00921EB1">
        <w:tab/>
      </w:r>
      <w:r>
        <w:t xml:space="preserve">Independent Review of Occupational Health and Safety Compliance </w:t>
      </w:r>
      <w:r>
        <w:tab/>
      </w:r>
      <w:r>
        <w:tab/>
      </w:r>
      <w:r>
        <w:tab/>
      </w:r>
      <w:r>
        <w:tab/>
        <w:t xml:space="preserve">and Enforcement in Victoria </w:t>
      </w:r>
    </w:p>
    <w:p w:rsidR="00CB16B5" w:rsidRDefault="00CB16B5" w:rsidP="00CB16B5">
      <w:r>
        <w:t>OHS</w:t>
      </w:r>
      <w:r>
        <w:tab/>
      </w:r>
      <w:r>
        <w:tab/>
      </w:r>
      <w:r>
        <w:tab/>
      </w:r>
      <w:r>
        <w:tab/>
        <w:t>occupational health and safety</w:t>
      </w:r>
    </w:p>
    <w:p w:rsidR="00CB16B5" w:rsidRDefault="00CB16B5" w:rsidP="00CB16B5">
      <w:r w:rsidRPr="00CB16B5">
        <w:t>OHSAC</w:t>
      </w:r>
      <w:r>
        <w:tab/>
      </w:r>
      <w:r>
        <w:tab/>
      </w:r>
      <w:r>
        <w:tab/>
      </w:r>
      <w:r>
        <w:tab/>
        <w:t>Occupational Health and Safety Advisory Committee</w:t>
      </w:r>
    </w:p>
    <w:p w:rsidR="00CB16B5" w:rsidRDefault="00CB16B5" w:rsidP="00CB16B5">
      <w:r>
        <w:t xml:space="preserve">SRG </w:t>
      </w:r>
      <w:r>
        <w:tab/>
      </w:r>
      <w:r>
        <w:tab/>
      </w:r>
      <w:r>
        <w:tab/>
      </w:r>
      <w:r>
        <w:tab/>
        <w:t>stakeholder reference group</w:t>
      </w:r>
    </w:p>
    <w:p w:rsidR="00921EB1" w:rsidRDefault="00921EB1" w:rsidP="00CB16B5">
      <w:r>
        <w:t xml:space="preserve">SWA </w:t>
      </w:r>
      <w:r>
        <w:tab/>
      </w:r>
      <w:r>
        <w:tab/>
      </w:r>
      <w:r>
        <w:tab/>
      </w:r>
      <w:r>
        <w:tab/>
        <w:t>Safe Work Australia</w:t>
      </w:r>
    </w:p>
    <w:p w:rsidR="00C12441" w:rsidRDefault="00C12441" w:rsidP="00CB16B5">
      <w:r>
        <w:t xml:space="preserve">The </w:t>
      </w:r>
      <w:r w:rsidR="00DC7BC8">
        <w:t>R</w:t>
      </w:r>
      <w:r>
        <w:t>eport</w:t>
      </w:r>
      <w:r>
        <w:tab/>
      </w:r>
      <w:r>
        <w:tab/>
      </w:r>
      <w:r>
        <w:tab/>
      </w:r>
      <w:r w:rsidR="000F786D">
        <w:t>t</w:t>
      </w:r>
      <w:r>
        <w:t xml:space="preserve">he Independent Review </w:t>
      </w:r>
      <w:r w:rsidR="00DC7BC8">
        <w:t>R</w:t>
      </w:r>
      <w:r>
        <w:t>eport</w:t>
      </w:r>
    </w:p>
    <w:p w:rsidR="00B12FC2" w:rsidRDefault="00CB16B5" w:rsidP="00CB16B5">
      <w:r>
        <w:t>WHS</w:t>
      </w:r>
      <w:r>
        <w:tab/>
      </w:r>
      <w:r>
        <w:tab/>
      </w:r>
      <w:r>
        <w:tab/>
      </w:r>
      <w:r>
        <w:tab/>
        <w:t xml:space="preserve">work health and safety </w:t>
      </w:r>
      <w:r w:rsidR="00B12FC2">
        <w:br w:type="page"/>
      </w:r>
    </w:p>
    <w:p w:rsidR="00DE5A8F" w:rsidRDefault="00B43AE0" w:rsidP="00B43AE0">
      <w:pPr>
        <w:pStyle w:val="Heading1"/>
      </w:pPr>
      <w:bookmarkStart w:id="2" w:name="_Toc498607012"/>
      <w:r>
        <w:lastRenderedPageBreak/>
        <w:t>Response</w:t>
      </w:r>
      <w:r w:rsidR="00AF4644">
        <w:t xml:space="preserve"> </w:t>
      </w:r>
      <w:r>
        <w:t>–</w:t>
      </w:r>
      <w:r w:rsidR="00AF4644">
        <w:t xml:space="preserve"> </w:t>
      </w:r>
      <w:r w:rsidR="00BE69DF">
        <w:t>Independen</w:t>
      </w:r>
      <w:r>
        <w:t xml:space="preserve">t </w:t>
      </w:r>
      <w:r w:rsidR="00B33087">
        <w:t xml:space="preserve">Review of </w:t>
      </w:r>
      <w:r>
        <w:t xml:space="preserve">OHS </w:t>
      </w:r>
      <w:r w:rsidR="00BE69DF">
        <w:t xml:space="preserve">Compliance </w:t>
      </w:r>
      <w:r>
        <w:t xml:space="preserve">and </w:t>
      </w:r>
      <w:r w:rsidR="00BE69DF">
        <w:t xml:space="preserve">Enforcement </w:t>
      </w:r>
      <w:r w:rsidR="00B33087">
        <w:t>in Victoria</w:t>
      </w:r>
      <w:bookmarkEnd w:id="2"/>
    </w:p>
    <w:p w:rsidR="00B43AE0" w:rsidRDefault="0017015C" w:rsidP="00991B33">
      <w:pPr>
        <w:pStyle w:val="Heading1"/>
      </w:pPr>
      <w:bookmarkStart w:id="3" w:name="_Toc498607013"/>
      <w:r>
        <w:t>1</w:t>
      </w:r>
      <w:r>
        <w:tab/>
      </w:r>
      <w:r w:rsidR="00B43AE0">
        <w:t>Introduction</w:t>
      </w:r>
      <w:bookmarkEnd w:id="3"/>
    </w:p>
    <w:p w:rsidR="00B43AE0" w:rsidRDefault="00B43AE0" w:rsidP="00B43AE0"/>
    <w:p w:rsidR="00663849" w:rsidRDefault="00B43AE0" w:rsidP="00B43AE0">
      <w:r>
        <w:t xml:space="preserve">The </w:t>
      </w:r>
      <w:r w:rsidR="00CB16B5">
        <w:t>I</w:t>
      </w:r>
      <w:r>
        <w:t xml:space="preserve">ndependent </w:t>
      </w:r>
      <w:r w:rsidR="00CB16B5">
        <w:t>R</w:t>
      </w:r>
      <w:r>
        <w:t xml:space="preserve">eview </w:t>
      </w:r>
      <w:r w:rsidR="002F5905">
        <w:t>of OH</w:t>
      </w:r>
      <w:r>
        <w:t xml:space="preserve">S </w:t>
      </w:r>
      <w:r w:rsidR="002F5905">
        <w:t>Compliance</w:t>
      </w:r>
      <w:r>
        <w:t xml:space="preserve"> and </w:t>
      </w:r>
      <w:r w:rsidR="002F5905">
        <w:t>Enforcement</w:t>
      </w:r>
      <w:r>
        <w:t xml:space="preserve"> </w:t>
      </w:r>
      <w:r w:rsidR="002F5905">
        <w:t>in Victoria</w:t>
      </w:r>
      <w:r w:rsidR="00CB16B5">
        <w:t xml:space="preserve"> (the Independent Review)</w:t>
      </w:r>
      <w:r>
        <w:t xml:space="preserve"> </w:t>
      </w:r>
      <w:r w:rsidR="009955D8">
        <w:t xml:space="preserve">was undertaken </w:t>
      </w:r>
      <w:r>
        <w:t xml:space="preserve">over ten months </w:t>
      </w:r>
      <w:r w:rsidR="004E39B4">
        <w:t xml:space="preserve">from </w:t>
      </w:r>
      <w:r>
        <w:t>Feb</w:t>
      </w:r>
      <w:r w:rsidR="002F5905">
        <w:t>ruary 2016 to November 2</w:t>
      </w:r>
      <w:r>
        <w:t>016</w:t>
      </w:r>
      <w:r w:rsidR="002F5905">
        <w:t xml:space="preserve">. The </w:t>
      </w:r>
      <w:r w:rsidR="00CB16B5">
        <w:t>Independent Review</w:t>
      </w:r>
      <w:r w:rsidR="009955D8">
        <w:t xml:space="preserve"> was conducted</w:t>
      </w:r>
      <w:r w:rsidR="00CB16B5">
        <w:t xml:space="preserve"> </w:t>
      </w:r>
      <w:r w:rsidR="002F5905">
        <w:t xml:space="preserve">by </w:t>
      </w:r>
      <w:r w:rsidR="00A44031">
        <w:t>a</w:t>
      </w:r>
      <w:r w:rsidR="002F5905">
        <w:t xml:space="preserve"> panel appointed by the Minister for Finance, Robin Scott. Th</w:t>
      </w:r>
      <w:r w:rsidR="00A44031">
        <w:t>e</w:t>
      </w:r>
      <w:r w:rsidR="002F5905">
        <w:t xml:space="preserve"> panel was chaired by Dr Claire Noone and its other members were Cathy Butcher and Margaret Donnan.</w:t>
      </w:r>
      <w:r w:rsidR="00AF4644">
        <w:t xml:space="preserve"> The </w:t>
      </w:r>
      <w:r w:rsidR="00CB16B5">
        <w:t>Independent Review</w:t>
      </w:r>
      <w:r w:rsidR="00663849">
        <w:t xml:space="preserve">’s terms of reference </w:t>
      </w:r>
      <w:r w:rsidR="00BD517C">
        <w:t>were:</w:t>
      </w:r>
    </w:p>
    <w:p w:rsidR="00BD517C" w:rsidRPr="00BD517C" w:rsidRDefault="00BD517C" w:rsidP="00F92AD8">
      <w:pPr>
        <w:pStyle w:val="ListParagraph"/>
        <w:numPr>
          <w:ilvl w:val="0"/>
          <w:numId w:val="27"/>
        </w:numPr>
      </w:pPr>
      <w:r w:rsidRPr="00791EB1">
        <w:t>to examine, review and make recommendations in relation to</w:t>
      </w:r>
      <w:r>
        <w:t xml:space="preserve"> </w:t>
      </w:r>
      <w:r w:rsidRPr="00791EB1">
        <w:t>the relevance and appropriateness of WorkSafe’s compliance and</w:t>
      </w:r>
      <w:r>
        <w:t xml:space="preserve"> </w:t>
      </w:r>
      <w:r w:rsidRPr="00791EB1">
        <w:t>enforcement policy</w:t>
      </w:r>
    </w:p>
    <w:p w:rsidR="00BD517C" w:rsidRPr="00BD517C" w:rsidRDefault="00BD517C" w:rsidP="00F92AD8">
      <w:pPr>
        <w:pStyle w:val="ListParagraph"/>
        <w:numPr>
          <w:ilvl w:val="0"/>
          <w:numId w:val="27"/>
        </w:numPr>
      </w:pPr>
      <w:r w:rsidRPr="00BD517C">
        <w:t>to examine, review and make recommendations in relation to the</w:t>
      </w:r>
      <w:r>
        <w:t xml:space="preserve"> </w:t>
      </w:r>
      <w:r w:rsidRPr="00791EB1">
        <w:t>appropriateness and effectiveness of WorkSafe’s compliance and</w:t>
      </w:r>
      <w:r>
        <w:t xml:space="preserve"> </w:t>
      </w:r>
      <w:r w:rsidRPr="00791EB1">
        <w:t>enforcement activities</w:t>
      </w:r>
    </w:p>
    <w:p w:rsidR="00BD517C" w:rsidRPr="00BD517C" w:rsidRDefault="00BD517C" w:rsidP="00F92AD8">
      <w:pPr>
        <w:pStyle w:val="ListParagraph"/>
        <w:numPr>
          <w:ilvl w:val="0"/>
          <w:numId w:val="27"/>
        </w:numPr>
      </w:pPr>
      <w:r w:rsidRPr="00BD517C">
        <w:t>to examine and make recommendations in relation to the alignment of</w:t>
      </w:r>
      <w:r>
        <w:t xml:space="preserve"> </w:t>
      </w:r>
      <w:r w:rsidRPr="00791EB1">
        <w:t xml:space="preserve">WorkSafe’s </w:t>
      </w:r>
      <w:r w:rsidR="002D1E4D" w:rsidRPr="00791EB1">
        <w:t>compliance and</w:t>
      </w:r>
      <w:r w:rsidR="002D1E4D">
        <w:t xml:space="preserve"> </w:t>
      </w:r>
      <w:r w:rsidR="002D1E4D" w:rsidRPr="00791EB1">
        <w:t xml:space="preserve">enforcement </w:t>
      </w:r>
      <w:r w:rsidRPr="00791EB1">
        <w:t>policy with the national compliance and enforcement</w:t>
      </w:r>
      <w:r>
        <w:t xml:space="preserve"> </w:t>
      </w:r>
      <w:r w:rsidRPr="00791EB1">
        <w:t>policy, and</w:t>
      </w:r>
    </w:p>
    <w:p w:rsidR="00BD517C" w:rsidRPr="00BD517C" w:rsidRDefault="00BD517C" w:rsidP="00F92AD8">
      <w:pPr>
        <w:pStyle w:val="ListParagraph"/>
        <w:numPr>
          <w:ilvl w:val="0"/>
          <w:numId w:val="27"/>
        </w:numPr>
      </w:pPr>
      <w:r w:rsidRPr="00BD517C">
        <w:t>to examine, review and make recommendations on WorkSafe’s</w:t>
      </w:r>
      <w:r>
        <w:t xml:space="preserve"> </w:t>
      </w:r>
      <w:r w:rsidRPr="00791EB1">
        <w:t>effectiveness in discharging its functions in relation to providing OHS</w:t>
      </w:r>
      <w:r>
        <w:t xml:space="preserve"> </w:t>
      </w:r>
      <w:r w:rsidRPr="00791EB1">
        <w:t>compliance information and promoting OHS awareness, education and</w:t>
      </w:r>
      <w:r>
        <w:t xml:space="preserve"> </w:t>
      </w:r>
      <w:r w:rsidRPr="00791EB1">
        <w:t>training.</w:t>
      </w:r>
    </w:p>
    <w:p w:rsidR="009955D8" w:rsidRDefault="00CB16B5" w:rsidP="00C45B6A">
      <w:r>
        <w:t xml:space="preserve">The Independent Review </w:t>
      </w:r>
      <w:r w:rsidR="00DC7BC8">
        <w:t>R</w:t>
      </w:r>
      <w:r w:rsidR="002F5905">
        <w:t>eport</w:t>
      </w:r>
      <w:r>
        <w:t xml:space="preserve"> (the </w:t>
      </w:r>
      <w:r w:rsidR="00DC7BC8">
        <w:t>Report</w:t>
      </w:r>
      <w:r>
        <w:t>)</w:t>
      </w:r>
      <w:r w:rsidR="002F5905">
        <w:t xml:space="preserve"> made 22 recommendations</w:t>
      </w:r>
      <w:r w:rsidR="00C45B6A">
        <w:t xml:space="preserve"> that focussed on WorkSafe’s: compliance and enforcement framework; approach to planning and targeting; provision of information and support; and approach to collaboration and engagement.</w:t>
      </w:r>
    </w:p>
    <w:p w:rsidR="00A10D52" w:rsidRDefault="00A10D52">
      <w:r>
        <w:br w:type="page"/>
      </w:r>
    </w:p>
    <w:p w:rsidR="00A10D52" w:rsidRDefault="0017015C" w:rsidP="00991B33">
      <w:pPr>
        <w:pStyle w:val="Heading1"/>
      </w:pPr>
      <w:bookmarkStart w:id="4" w:name="_Toc498607014"/>
      <w:r>
        <w:lastRenderedPageBreak/>
        <w:t>2</w:t>
      </w:r>
      <w:r>
        <w:tab/>
      </w:r>
      <w:r w:rsidR="00A10D52">
        <w:t>The review in context</w:t>
      </w:r>
      <w:bookmarkEnd w:id="4"/>
    </w:p>
    <w:p w:rsidR="00A10D52" w:rsidRDefault="00A10D52" w:rsidP="00A10D52"/>
    <w:p w:rsidR="00D33C9B" w:rsidRDefault="00104B46" w:rsidP="00605F3A">
      <w:r w:rsidRPr="00104B46">
        <w:t xml:space="preserve">The </w:t>
      </w:r>
      <w:r w:rsidR="00C22A62">
        <w:t>Report</w:t>
      </w:r>
      <w:r w:rsidRPr="00104B46">
        <w:t xml:space="preserve"> </w:t>
      </w:r>
      <w:r w:rsidR="00C22A62">
        <w:t>deliver</w:t>
      </w:r>
      <w:r w:rsidR="00D33C9B">
        <w:t>s</w:t>
      </w:r>
      <w:r w:rsidR="00C22A62">
        <w:t xml:space="preserve"> on the Government’s commitment to review Victoria’s occupational health and safety framework.  The </w:t>
      </w:r>
      <w:r w:rsidR="00D33C9B">
        <w:t>Independent Review</w:t>
      </w:r>
      <w:r w:rsidR="00C22A62">
        <w:t xml:space="preserve"> coincided with development of WorkSafe’s next long-term strategy, providing an opportunity to</w:t>
      </w:r>
      <w:r w:rsidR="004332B0">
        <w:t xml:space="preserve"> renew </w:t>
      </w:r>
      <w:r w:rsidR="00D33C9B">
        <w:t xml:space="preserve">our </w:t>
      </w:r>
      <w:r w:rsidR="004332B0">
        <w:t xml:space="preserve">focus on </w:t>
      </w:r>
      <w:r w:rsidR="00D33C9B">
        <w:t>working together to ensure high safety standards in Victorian workplaces</w:t>
      </w:r>
      <w:r w:rsidR="000C72B6">
        <w:t>.</w:t>
      </w:r>
      <w:r w:rsidR="00D33C9B">
        <w:t xml:space="preserve"> </w:t>
      </w:r>
    </w:p>
    <w:p w:rsidR="00104B46" w:rsidRDefault="00D33C9B" w:rsidP="00605F3A">
      <w:r>
        <w:t>The</w:t>
      </w:r>
      <w:r w:rsidR="004332B0">
        <w:t xml:space="preserve"> response to the </w:t>
      </w:r>
      <w:r w:rsidR="004A3F02">
        <w:t>recommendati</w:t>
      </w:r>
      <w:r w:rsidR="004332B0">
        <w:t xml:space="preserve">ons and </w:t>
      </w:r>
      <w:r w:rsidR="00104B46" w:rsidRPr="00104B46">
        <w:t xml:space="preserve">WorkSafe’s new strategy </w:t>
      </w:r>
      <w:r>
        <w:t>address</w:t>
      </w:r>
      <w:r w:rsidR="004332B0">
        <w:t xml:space="preserve"> the matters considered by the Independent Review and focus</w:t>
      </w:r>
      <w:r w:rsidR="00104B46" w:rsidRPr="00104B46">
        <w:t xml:space="preserve"> on </w:t>
      </w:r>
      <w:r w:rsidR="00A44031">
        <w:t>delivering improved occupational health and safety outcomes for Victoria</w:t>
      </w:r>
      <w:r w:rsidR="00104B46" w:rsidRPr="00104B46">
        <w:t xml:space="preserve"> in the context of changing community expectations. </w:t>
      </w:r>
      <w:r w:rsidR="00104B46">
        <w:t xml:space="preserve"> </w:t>
      </w:r>
    </w:p>
    <w:p w:rsidR="00104B46" w:rsidRDefault="00D33C9B" w:rsidP="00605F3A">
      <w:r>
        <w:t>Underpinning WorkSafe’s new s</w:t>
      </w:r>
      <w:r w:rsidR="00104B46" w:rsidRPr="00104B46">
        <w:t>tr</w:t>
      </w:r>
      <w:r>
        <w:t xml:space="preserve">ategy is a prevention-led ethos, which </w:t>
      </w:r>
      <w:r w:rsidR="00FF52E8">
        <w:t>builds on</w:t>
      </w:r>
      <w:r>
        <w:t xml:space="preserve"> </w:t>
      </w:r>
      <w:r w:rsidR="00104B46" w:rsidRPr="00104B46">
        <w:t xml:space="preserve">the traditional concept of </w:t>
      </w:r>
      <w:r w:rsidR="00FF52E8">
        <w:t>‘</w:t>
      </w:r>
      <w:r w:rsidR="00104B46" w:rsidRPr="00104B46">
        <w:t>prevention</w:t>
      </w:r>
      <w:r w:rsidR="00FF52E8">
        <w:t>’</w:t>
      </w:r>
      <w:r w:rsidR="00104B46" w:rsidRPr="00104B46">
        <w:t xml:space="preserve"> </w:t>
      </w:r>
      <w:r w:rsidR="00FF52E8">
        <w:t>to</w:t>
      </w:r>
      <w:r w:rsidR="00104B46" w:rsidRPr="00104B46">
        <w:t xml:space="preserve"> encompass the prevention of further harm</w:t>
      </w:r>
      <w:r w:rsidR="00104B46">
        <w:t>.</w:t>
      </w:r>
    </w:p>
    <w:p w:rsidR="00104B46" w:rsidRDefault="00104B46" w:rsidP="00605F3A">
      <w:r w:rsidRPr="00104B46">
        <w:t xml:space="preserve">The strategy will enable WorkSafe to </w:t>
      </w:r>
      <w:r w:rsidR="00D33C9B">
        <w:t>strengthen its client-centric approach,</w:t>
      </w:r>
      <w:r w:rsidRPr="00104B46">
        <w:t xml:space="preserve"> focuss</w:t>
      </w:r>
      <w:r w:rsidR="00D33C9B">
        <w:t>ing</w:t>
      </w:r>
      <w:r w:rsidRPr="00104B46">
        <w:t xml:space="preserve"> on the needs of workers, employers and the Victorian community (see WorkSafe Strategy 2030 at www.w</w:t>
      </w:r>
      <w:r>
        <w:t>orksafe.vic.gov.au/strategy2030</w:t>
      </w:r>
      <w:r w:rsidRPr="00104B46">
        <w:t>).</w:t>
      </w:r>
    </w:p>
    <w:p w:rsidR="00A10D52" w:rsidRDefault="00A10D52" w:rsidP="00A10D52"/>
    <w:p w:rsidR="00BE69DF" w:rsidRDefault="00BE69DF" w:rsidP="00A10D52"/>
    <w:p w:rsidR="00BE69DF" w:rsidRDefault="00BE69DF">
      <w:r>
        <w:br w:type="page"/>
      </w:r>
    </w:p>
    <w:p w:rsidR="00BE69DF" w:rsidRDefault="00B33087" w:rsidP="00BE69DF">
      <w:pPr>
        <w:pStyle w:val="Heading1"/>
      </w:pPr>
      <w:bookmarkStart w:id="5" w:name="_Toc498607015"/>
      <w:r>
        <w:lastRenderedPageBreak/>
        <w:t xml:space="preserve">Government </w:t>
      </w:r>
      <w:r w:rsidR="00BE69DF">
        <w:t xml:space="preserve">Response to the Independent </w:t>
      </w:r>
      <w:r>
        <w:t xml:space="preserve">Review of </w:t>
      </w:r>
      <w:r w:rsidR="00BE69DF">
        <w:t xml:space="preserve">OHS Compliance and Enforcement </w:t>
      </w:r>
      <w:r w:rsidR="00CB16B5">
        <w:t xml:space="preserve">Report </w:t>
      </w:r>
      <w:r w:rsidR="00110AC1">
        <w:t>Recommendations</w:t>
      </w:r>
      <w:bookmarkEnd w:id="5"/>
    </w:p>
    <w:p w:rsidR="00BE69DF" w:rsidRDefault="007A615B" w:rsidP="00BE69DF">
      <w:pPr>
        <w:pStyle w:val="Heading1"/>
      </w:pPr>
      <w:bookmarkStart w:id="6" w:name="_Toc498607016"/>
      <w:r>
        <w:t>3</w:t>
      </w:r>
      <w:r>
        <w:tab/>
      </w:r>
      <w:r w:rsidR="00AA6EFD">
        <w:t>WorkSafe’s</w:t>
      </w:r>
      <w:r w:rsidR="00BE69DF">
        <w:t xml:space="preserve"> OHS Compliance and Enforcement Framework</w:t>
      </w:r>
      <w:bookmarkEnd w:id="6"/>
    </w:p>
    <w:p w:rsidR="00622B22" w:rsidRDefault="00622B22" w:rsidP="00BE69DF">
      <w:pPr>
        <w:rPr>
          <w:b/>
          <w:i/>
        </w:rPr>
      </w:pPr>
    </w:p>
    <w:p w:rsidR="00BE69DF" w:rsidRPr="006C318F" w:rsidRDefault="00BE69DF" w:rsidP="00BE69DF">
      <w:pPr>
        <w:rPr>
          <w:b/>
          <w:i/>
        </w:rPr>
      </w:pPr>
      <w:r w:rsidRPr="006C318F">
        <w:rPr>
          <w:b/>
          <w:i/>
        </w:rPr>
        <w:t>Recommendation 1</w:t>
      </w:r>
    </w:p>
    <w:p w:rsidR="00BE69DF" w:rsidRPr="006C318F" w:rsidRDefault="00BE69DF" w:rsidP="00BE69DF">
      <w:pPr>
        <w:rPr>
          <w:rFonts w:ascii="Frutiger-Roman" w:hAnsi="Frutiger-Roman" w:cs="Frutiger-Roman"/>
          <w:i/>
          <w:sz w:val="19"/>
          <w:szCs w:val="19"/>
        </w:rPr>
      </w:pPr>
      <w:r w:rsidRPr="006C318F">
        <w:rPr>
          <w:rFonts w:ascii="Frutiger-Roman" w:hAnsi="Frutiger-Roman" w:cs="Frutiger-Roman"/>
          <w:i/>
          <w:sz w:val="19"/>
          <w:szCs w:val="19"/>
        </w:rPr>
        <w:t>That WorkSafe clearly articulates the hierarchy of compliance and enforcement documents and explains each policy, supplementary enforcement policy and guideline, its purpose and audience and how it fits within the suite of documents that comprise the Compliance and Enforcement Framework.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E69DF" w:rsidTr="00BE69DF">
        <w:tc>
          <w:tcPr>
            <w:tcW w:w="9242" w:type="dxa"/>
            <w:shd w:val="clear" w:color="auto" w:fill="C6D9F1" w:themeFill="text2" w:themeFillTint="33"/>
          </w:tcPr>
          <w:p w:rsidR="00BE69DF" w:rsidRDefault="006C318F" w:rsidP="00BE69DF">
            <w:r w:rsidRPr="00BE69DF">
              <w:rPr>
                <w:b/>
              </w:rPr>
              <w:t>R</w:t>
            </w:r>
            <w:r>
              <w:rPr>
                <w:b/>
              </w:rPr>
              <w:t>ecommendation r</w:t>
            </w:r>
            <w:r w:rsidR="00BE69DF" w:rsidRPr="00BE69DF">
              <w:rPr>
                <w:b/>
              </w:rPr>
              <w:t>esponse:</w:t>
            </w:r>
            <w:r w:rsidR="00BE69DF">
              <w:rPr>
                <w:b/>
              </w:rPr>
              <w:t xml:space="preserve"> </w:t>
            </w:r>
            <w:r w:rsidR="00BE69DF">
              <w:t>Support</w:t>
            </w:r>
            <w:r>
              <w:t>ed</w:t>
            </w:r>
          </w:p>
          <w:p w:rsidR="00BE69DF" w:rsidRDefault="00BE69DF" w:rsidP="00BE69DF"/>
          <w:p w:rsidR="00BE69DF" w:rsidRDefault="001020F6" w:rsidP="00B33087">
            <w:r>
              <w:t xml:space="preserve">The </w:t>
            </w:r>
            <w:r w:rsidR="00F30245">
              <w:t>C</w:t>
            </w:r>
            <w:r>
              <w:t xml:space="preserve">ompliance and </w:t>
            </w:r>
            <w:r w:rsidR="00F30245">
              <w:t>E</w:t>
            </w:r>
            <w:r>
              <w:t xml:space="preserve">nforcement </w:t>
            </w:r>
            <w:r w:rsidR="001E6DB9">
              <w:t>framework</w:t>
            </w:r>
            <w:r>
              <w:t xml:space="preserve"> is the cornerstone of all of WorkSafe’s compliance and enforcement activities</w:t>
            </w:r>
            <w:r w:rsidR="00F30245">
              <w:t xml:space="preserve"> and t</w:t>
            </w:r>
            <w:r>
              <w:t>he development of a guide outlin</w:t>
            </w:r>
            <w:r w:rsidR="00F30245">
              <w:t xml:space="preserve">ing </w:t>
            </w:r>
            <w:r>
              <w:t xml:space="preserve">the purpose of each document in </w:t>
            </w:r>
            <w:r w:rsidR="00F30245">
              <w:t>that</w:t>
            </w:r>
            <w:r>
              <w:t xml:space="preserve"> framework is supported</w:t>
            </w:r>
            <w:r w:rsidR="00F31EA5">
              <w:t xml:space="preserve"> to implement this recommendation</w:t>
            </w:r>
            <w:r>
              <w:t>.</w:t>
            </w:r>
            <w:r w:rsidR="00370027">
              <w:t xml:space="preserve"> </w:t>
            </w:r>
            <w:r w:rsidR="001849AA">
              <w:t xml:space="preserve">The guide will provide clarity to duty holders on the suite of documents and policies that govern WorkSafe’s compliance </w:t>
            </w:r>
            <w:r w:rsidR="006C318F">
              <w:t xml:space="preserve">and enforcement </w:t>
            </w:r>
            <w:r w:rsidR="001849AA">
              <w:t>activities</w:t>
            </w:r>
            <w:r w:rsidR="001E6DB9">
              <w:t xml:space="preserve"> (see recommendation 3)</w:t>
            </w:r>
            <w:r w:rsidR="001849AA">
              <w:t xml:space="preserve">.  </w:t>
            </w:r>
            <w:r w:rsidR="009C4ADD">
              <w:t>The guide will be designed, developed and delivered by June 2018.</w:t>
            </w:r>
          </w:p>
          <w:p w:rsidR="0017015C" w:rsidRDefault="0017015C" w:rsidP="00E61DD2"/>
        </w:tc>
      </w:tr>
    </w:tbl>
    <w:p w:rsidR="00BE69DF" w:rsidRDefault="00BE69DF" w:rsidP="00A10D52"/>
    <w:p w:rsidR="006C318F" w:rsidRPr="006C318F" w:rsidRDefault="006C318F" w:rsidP="006C318F">
      <w:pPr>
        <w:rPr>
          <w:b/>
          <w:i/>
        </w:rPr>
      </w:pPr>
      <w:r w:rsidRPr="006C318F">
        <w:rPr>
          <w:b/>
          <w:i/>
        </w:rPr>
        <w:t>Recommendation 2</w:t>
      </w:r>
    </w:p>
    <w:p w:rsidR="006C318F" w:rsidRPr="006C318F" w:rsidRDefault="006C318F" w:rsidP="006C318F">
      <w:pPr>
        <w:autoSpaceDE w:val="0"/>
        <w:autoSpaceDN w:val="0"/>
        <w:adjustRightInd w:val="0"/>
        <w:rPr>
          <w:rFonts w:ascii="Frutiger-Roman" w:hAnsi="Frutiger-Roman" w:cs="Frutiger-Roman"/>
          <w:i/>
          <w:sz w:val="19"/>
          <w:szCs w:val="19"/>
        </w:rPr>
      </w:pPr>
      <w:r w:rsidRPr="006C318F">
        <w:rPr>
          <w:rFonts w:ascii="Frutiger-Roman" w:hAnsi="Frutiger-Roman" w:cs="Frutiger-Roman"/>
          <w:i/>
          <w:sz w:val="19"/>
          <w:szCs w:val="19"/>
        </w:rPr>
        <w:t xml:space="preserve">That WorkSafe establishes a formal process to review the Compliance and Enforcement Framework documents every </w:t>
      </w:r>
      <w:r w:rsidR="00BA1A67">
        <w:rPr>
          <w:rFonts w:ascii="Frutiger-Roman" w:hAnsi="Frutiger-Roman" w:cs="Frutiger-Roman"/>
          <w:i/>
          <w:sz w:val="19"/>
          <w:szCs w:val="19"/>
        </w:rPr>
        <w:t>three</w:t>
      </w:r>
      <w:r w:rsidRPr="006C318F">
        <w:rPr>
          <w:rFonts w:ascii="Frutiger-Roman" w:hAnsi="Frutiger-Roman" w:cs="Frutiger-Roman"/>
          <w:i/>
          <w:sz w:val="19"/>
          <w:szCs w:val="19"/>
        </w:rPr>
        <w:t xml:space="preserve"> years, or when circumstances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C318F" w:rsidTr="00DE5A8F">
        <w:tc>
          <w:tcPr>
            <w:tcW w:w="9242" w:type="dxa"/>
            <w:shd w:val="clear" w:color="auto" w:fill="C6D9F1" w:themeFill="text2" w:themeFillTint="33"/>
          </w:tcPr>
          <w:p w:rsidR="006C318F" w:rsidRDefault="006C318F" w:rsidP="00DE5A8F">
            <w:r w:rsidRPr="00BE69DF">
              <w:rPr>
                <w:b/>
              </w:rPr>
              <w:t>R</w:t>
            </w:r>
            <w:r>
              <w:rPr>
                <w:b/>
              </w:rPr>
              <w:t>ecommendation r</w:t>
            </w:r>
            <w:r w:rsidRPr="00BE69DF">
              <w:rPr>
                <w:b/>
              </w:rPr>
              <w:t>esponse:</w:t>
            </w:r>
            <w:r>
              <w:rPr>
                <w:b/>
              </w:rPr>
              <w:t xml:space="preserve"> </w:t>
            </w:r>
            <w:r>
              <w:t>Supported</w:t>
            </w:r>
          </w:p>
          <w:p w:rsidR="00370027" w:rsidRDefault="00370027" w:rsidP="00DE5A8F"/>
          <w:p w:rsidR="006C318F" w:rsidRDefault="00264A57" w:rsidP="00DE5A8F">
            <w:r>
              <w:t>T</w:t>
            </w:r>
            <w:r w:rsidR="003E43C9">
              <w:t>he e</w:t>
            </w:r>
            <w:r w:rsidR="00370027">
              <w:t>stablish</w:t>
            </w:r>
            <w:r w:rsidR="003E43C9">
              <w:t>ment of</w:t>
            </w:r>
            <w:r w:rsidR="00370027">
              <w:t xml:space="preserve"> a f</w:t>
            </w:r>
            <w:r w:rsidR="00370027" w:rsidRPr="006C318F">
              <w:t xml:space="preserve">ormal process </w:t>
            </w:r>
            <w:r w:rsidR="00370027">
              <w:t>to review the documents in the compli</w:t>
            </w:r>
            <w:r w:rsidR="00616D94">
              <w:t>ance and enforcement framework e</w:t>
            </w:r>
            <w:r w:rsidR="00370027">
              <w:t>very three years</w:t>
            </w:r>
            <w:r>
              <w:t xml:space="preserve"> is supported</w:t>
            </w:r>
            <w:r w:rsidR="00370027">
              <w:t xml:space="preserve">. Following the update of the </w:t>
            </w:r>
            <w:r w:rsidR="00632BE5">
              <w:t>WorkSafe compliance and enforcement policy</w:t>
            </w:r>
            <w:r w:rsidR="00370027">
              <w:t xml:space="preserve"> (see recommendation </w:t>
            </w:r>
            <w:r w:rsidR="001E6DB9">
              <w:t>3</w:t>
            </w:r>
            <w:r w:rsidR="00370027">
              <w:t>)</w:t>
            </w:r>
            <w:r w:rsidR="00F30245">
              <w:t xml:space="preserve"> and</w:t>
            </w:r>
            <w:r w:rsidR="00370027">
              <w:t xml:space="preserve"> </w:t>
            </w:r>
            <w:r w:rsidR="00F30245">
              <w:t xml:space="preserve">as part of its </w:t>
            </w:r>
            <w:r w:rsidR="00C22A62">
              <w:t>continuous improvement approach</w:t>
            </w:r>
            <w:r w:rsidR="00F30245">
              <w:t xml:space="preserve">, </w:t>
            </w:r>
            <w:r w:rsidR="001E6DB9">
              <w:t xml:space="preserve">WorkSafe will ensure review </w:t>
            </w:r>
            <w:r w:rsidR="000F786D">
              <w:t xml:space="preserve">of the compliance and enforcement framework </w:t>
            </w:r>
            <w:r w:rsidR="001E6DB9">
              <w:t xml:space="preserve">occurs </w:t>
            </w:r>
            <w:r w:rsidR="00F30245">
              <w:t xml:space="preserve">at least </w:t>
            </w:r>
            <w:r w:rsidR="001E6DB9">
              <w:t>every three years</w:t>
            </w:r>
            <w:r w:rsidR="00F30245">
              <w:t>.</w:t>
            </w:r>
            <w:r w:rsidR="00F4212B">
              <w:t xml:space="preserve"> The formal review process will be delivered by June 2018.</w:t>
            </w:r>
          </w:p>
          <w:p w:rsidR="006C0C1E" w:rsidRDefault="006C0C1E" w:rsidP="005E591B"/>
        </w:tc>
      </w:tr>
    </w:tbl>
    <w:p w:rsidR="00FD044D" w:rsidRDefault="00FD044D" w:rsidP="00FD044D">
      <w:pPr>
        <w:pStyle w:val="ListParagraph"/>
      </w:pPr>
    </w:p>
    <w:p w:rsidR="00C42C99" w:rsidRDefault="00C42C99">
      <w:pPr>
        <w:rPr>
          <w:rFonts w:asciiTheme="majorHAnsi" w:eastAsiaTheme="majorEastAsia" w:hAnsiTheme="majorHAnsi" w:cstheme="majorBidi"/>
          <w:b/>
          <w:bCs/>
          <w:color w:val="365F91" w:themeColor="accent1" w:themeShade="BF"/>
          <w:sz w:val="28"/>
          <w:szCs w:val="28"/>
        </w:rPr>
      </w:pPr>
      <w:r>
        <w:br w:type="page"/>
      </w:r>
    </w:p>
    <w:p w:rsidR="00FD044D" w:rsidRDefault="007A615B" w:rsidP="00FD044D">
      <w:pPr>
        <w:pStyle w:val="Heading1"/>
      </w:pPr>
      <w:bookmarkStart w:id="7" w:name="_Toc498607017"/>
      <w:r>
        <w:lastRenderedPageBreak/>
        <w:t>4</w:t>
      </w:r>
      <w:r>
        <w:tab/>
      </w:r>
      <w:r w:rsidR="00FD044D">
        <w:t>WorkSafe’s compliance and enforcement policy</w:t>
      </w:r>
      <w:bookmarkEnd w:id="7"/>
    </w:p>
    <w:p w:rsidR="00DA171C" w:rsidRDefault="00DA171C" w:rsidP="00F2517E">
      <w:pPr>
        <w:rPr>
          <w:b/>
          <w:i/>
        </w:rPr>
      </w:pPr>
    </w:p>
    <w:p w:rsidR="00F2517E" w:rsidRPr="00F2517E" w:rsidRDefault="00F2517E" w:rsidP="00F2517E">
      <w:pPr>
        <w:rPr>
          <w:b/>
          <w:i/>
        </w:rPr>
      </w:pPr>
      <w:r w:rsidRPr="00F2517E">
        <w:rPr>
          <w:b/>
          <w:i/>
        </w:rPr>
        <w:t>Recommendation 3</w:t>
      </w:r>
    </w:p>
    <w:p w:rsidR="00F2517E" w:rsidRPr="00F2517E" w:rsidRDefault="00F2517E" w:rsidP="00F2517E">
      <w:pPr>
        <w:autoSpaceDE w:val="0"/>
        <w:autoSpaceDN w:val="0"/>
        <w:adjustRightInd w:val="0"/>
        <w:rPr>
          <w:rFonts w:ascii="Frutiger-Roman" w:hAnsi="Frutiger-Roman" w:cs="Frutiger-Roman"/>
          <w:i/>
          <w:sz w:val="19"/>
          <w:szCs w:val="19"/>
        </w:rPr>
      </w:pPr>
      <w:r w:rsidRPr="00F2517E">
        <w:rPr>
          <w:rFonts w:ascii="Frutiger-Roman" w:hAnsi="Frutiger-Roman" w:cs="Frutiger-Roman"/>
          <w:i/>
          <w:sz w:val="19"/>
          <w:szCs w:val="19"/>
        </w:rPr>
        <w:t>That WorkSafe’s Board reviews</w:t>
      </w:r>
      <w:r w:rsidR="00893B32">
        <w:rPr>
          <w:rFonts w:ascii="Frutiger-Roman" w:hAnsi="Frutiger-Roman" w:cs="Frutiger-Roman"/>
          <w:i/>
          <w:sz w:val="19"/>
          <w:szCs w:val="19"/>
        </w:rPr>
        <w:t>/</w:t>
      </w:r>
      <w:r w:rsidRPr="00F2517E">
        <w:rPr>
          <w:rFonts w:ascii="Frutiger-Roman" w:hAnsi="Frutiger-Roman" w:cs="Frutiger-Roman"/>
          <w:i/>
          <w:sz w:val="19"/>
          <w:szCs w:val="19"/>
        </w:rPr>
        <w:t>updates its OHS Compliance and Enforcement Policy, in consultation with OHSAC to:</w:t>
      </w:r>
    </w:p>
    <w:p w:rsidR="00F2517E" w:rsidRPr="00F2517E" w:rsidRDefault="00F2517E"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sidRPr="00F2517E">
        <w:rPr>
          <w:rFonts w:ascii="Frutiger-Roman" w:hAnsi="Frutiger-Roman" w:cs="Frutiger-Roman"/>
          <w:i/>
          <w:color w:val="000000" w:themeColor="text1"/>
          <w:sz w:val="19"/>
          <w:szCs w:val="19"/>
        </w:rPr>
        <w:t>make the language clear and easy to understand for internal and external audiences</w:t>
      </w:r>
    </w:p>
    <w:p w:rsidR="00F2517E" w:rsidRPr="00F2517E" w:rsidRDefault="00F2517E"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sidRPr="00F2517E">
        <w:rPr>
          <w:rFonts w:ascii="Frutiger-Roman" w:hAnsi="Frutiger-Roman" w:cs="Frutiger-Roman"/>
          <w:i/>
          <w:color w:val="000000" w:themeColor="text1"/>
          <w:sz w:val="19"/>
          <w:szCs w:val="19"/>
        </w:rPr>
        <w:t>clarify the principles that apply to all of WorkSafe’s activities</w:t>
      </w:r>
    </w:p>
    <w:p w:rsidR="00F2517E" w:rsidRPr="00F2517E" w:rsidRDefault="00F2517E"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sidRPr="00F2517E">
        <w:rPr>
          <w:rFonts w:ascii="Frutiger-Roman" w:hAnsi="Frutiger-Roman" w:cs="Frutiger-Roman"/>
          <w:i/>
          <w:color w:val="000000" w:themeColor="text1"/>
          <w:sz w:val="19"/>
          <w:szCs w:val="19"/>
        </w:rPr>
        <w:t>remove strategic compliance and enforcement priorities</w:t>
      </w:r>
    </w:p>
    <w:p w:rsidR="00F2517E" w:rsidRPr="00F2517E" w:rsidRDefault="00004A41"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Pr>
          <w:rFonts w:ascii="Frutiger-Roman" w:hAnsi="Frutiger-Roman" w:cs="Frutiger-Roman"/>
          <w:i/>
          <w:color w:val="000000" w:themeColor="text1"/>
          <w:sz w:val="19"/>
          <w:szCs w:val="19"/>
        </w:rPr>
        <w:t xml:space="preserve">include collaboration </w:t>
      </w:r>
      <w:r w:rsidR="00F2517E" w:rsidRPr="00F2517E">
        <w:rPr>
          <w:rFonts w:ascii="Frutiger-Roman" w:hAnsi="Frutiger-Roman" w:cs="Frutiger-Roman"/>
          <w:i/>
          <w:color w:val="000000" w:themeColor="text1"/>
          <w:sz w:val="19"/>
          <w:szCs w:val="19"/>
        </w:rPr>
        <w:t>and information sharing as a new principle</w:t>
      </w:r>
    </w:p>
    <w:p w:rsidR="00F2517E" w:rsidRPr="00F2517E" w:rsidRDefault="00F2517E"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sidRPr="00F2517E">
        <w:rPr>
          <w:rFonts w:ascii="Frutiger-Roman" w:hAnsi="Frutiger-Roman" w:cs="Frutiger-Roman"/>
          <w:i/>
          <w:color w:val="000000" w:themeColor="text1"/>
          <w:sz w:val="19"/>
          <w:szCs w:val="19"/>
        </w:rPr>
        <w:t>develop KPIs to enable monitoring against the agreed principles</w:t>
      </w:r>
    </w:p>
    <w:p w:rsidR="00F2517E" w:rsidRDefault="00F2517E" w:rsidP="00F2517E">
      <w:pPr>
        <w:pStyle w:val="ListParagraph"/>
        <w:numPr>
          <w:ilvl w:val="0"/>
          <w:numId w:val="3"/>
        </w:numPr>
        <w:autoSpaceDE w:val="0"/>
        <w:autoSpaceDN w:val="0"/>
        <w:adjustRightInd w:val="0"/>
        <w:rPr>
          <w:rFonts w:ascii="Frutiger-Roman" w:hAnsi="Frutiger-Roman" w:cs="Frutiger-Roman"/>
          <w:i/>
          <w:color w:val="000000" w:themeColor="text1"/>
          <w:sz w:val="19"/>
          <w:szCs w:val="19"/>
        </w:rPr>
      </w:pPr>
      <w:r w:rsidRPr="00F2517E">
        <w:rPr>
          <w:rFonts w:ascii="Frutiger-Roman" w:hAnsi="Frutiger-Roman" w:cs="Frutiger-Roman"/>
          <w:i/>
          <w:color w:val="000000" w:themeColor="text1"/>
          <w:sz w:val="19"/>
          <w:szCs w:val="19"/>
        </w:rPr>
        <w:t>set out clearly the purpose of each of the compliance and enforcement tools and when they will be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517E" w:rsidTr="00DE5A8F">
        <w:tc>
          <w:tcPr>
            <w:tcW w:w="9242" w:type="dxa"/>
            <w:shd w:val="clear" w:color="auto" w:fill="C6D9F1" w:themeFill="text2" w:themeFillTint="33"/>
          </w:tcPr>
          <w:p w:rsidR="00F2517E" w:rsidRDefault="00F2517E" w:rsidP="00DE5A8F">
            <w:r w:rsidRPr="00BE69DF">
              <w:rPr>
                <w:b/>
              </w:rPr>
              <w:t>R</w:t>
            </w:r>
            <w:r>
              <w:rPr>
                <w:b/>
              </w:rPr>
              <w:t>ecommendation r</w:t>
            </w:r>
            <w:r w:rsidRPr="00BE69DF">
              <w:rPr>
                <w:b/>
              </w:rPr>
              <w:t>esponse:</w:t>
            </w:r>
            <w:r>
              <w:rPr>
                <w:b/>
              </w:rPr>
              <w:t xml:space="preserve"> </w:t>
            </w:r>
            <w:r>
              <w:t>Supported</w:t>
            </w:r>
          </w:p>
          <w:p w:rsidR="00F2517E" w:rsidRDefault="00F2517E" w:rsidP="00DE5A8F"/>
          <w:p w:rsidR="0021528C" w:rsidRDefault="00D116B8">
            <w:pPr>
              <w:rPr>
                <w:color w:val="FF0000"/>
              </w:rPr>
            </w:pPr>
            <w:r>
              <w:t>In consultation with OHSAC, t</w:t>
            </w:r>
            <w:r w:rsidR="001E6DB9">
              <w:t xml:space="preserve">he </w:t>
            </w:r>
            <w:r w:rsidR="00632BE5">
              <w:t>WorkSafe compliance and enforcement policy</w:t>
            </w:r>
            <w:r w:rsidR="001E6DB9">
              <w:t xml:space="preserve"> </w:t>
            </w:r>
            <w:r w:rsidR="00D04771">
              <w:t>will</w:t>
            </w:r>
            <w:r w:rsidR="007F4AB5">
              <w:t xml:space="preserve"> be </w:t>
            </w:r>
            <w:r w:rsidR="009C0DA6" w:rsidRPr="00BD7F28">
              <w:t>refreshed</w:t>
            </w:r>
            <w:r>
              <w:t xml:space="preserve"> </w:t>
            </w:r>
            <w:r w:rsidR="002A19B5">
              <w:t xml:space="preserve">to clarify </w:t>
            </w:r>
            <w:r w:rsidR="00344528">
              <w:t xml:space="preserve">its </w:t>
            </w:r>
            <w:r w:rsidR="0016495B">
              <w:t xml:space="preserve">underpinning </w:t>
            </w:r>
            <w:r w:rsidR="002A19B5">
              <w:t xml:space="preserve">principles and </w:t>
            </w:r>
            <w:r w:rsidR="00344528">
              <w:t xml:space="preserve">ensure it continues to be </w:t>
            </w:r>
            <w:r w:rsidR="002A19B5">
              <w:t>align</w:t>
            </w:r>
            <w:r w:rsidR="00344528">
              <w:t>ed</w:t>
            </w:r>
            <w:r w:rsidR="002A19B5">
              <w:t xml:space="preserve"> with current regulatory practice</w:t>
            </w:r>
            <w:r w:rsidR="00B84D19">
              <w:t>. This will</w:t>
            </w:r>
            <w:r w:rsidR="002A19B5">
              <w:t xml:space="preserve"> include outlining the purpose </w:t>
            </w:r>
            <w:r w:rsidR="00344528">
              <w:t xml:space="preserve">and use </w:t>
            </w:r>
            <w:r w:rsidR="002A19B5">
              <w:t>of the compliance and enforcement tools available to WorkSafe</w:t>
            </w:r>
            <w:r>
              <w:t>,</w:t>
            </w:r>
            <w:r w:rsidR="00344528">
              <w:t xml:space="preserve"> modernising its language and style and e</w:t>
            </w:r>
            <w:r>
              <w:t>nabling</w:t>
            </w:r>
            <w:r w:rsidR="0067095F">
              <w:t xml:space="preserve"> those principles to be</w:t>
            </w:r>
            <w:r>
              <w:t xml:space="preserve"> </w:t>
            </w:r>
            <w:r w:rsidR="00B84D19">
              <w:t>monitor</w:t>
            </w:r>
            <w:r w:rsidR="0067095F">
              <w:t>ed</w:t>
            </w:r>
            <w:r w:rsidR="002A19B5">
              <w:t xml:space="preserve">. </w:t>
            </w:r>
            <w:r w:rsidR="00F4212B">
              <w:t>The policy will be updated by June 2018.</w:t>
            </w:r>
          </w:p>
          <w:p w:rsidR="00207192" w:rsidRDefault="00207192" w:rsidP="003624F8"/>
        </w:tc>
      </w:tr>
    </w:tbl>
    <w:p w:rsidR="00F2517E" w:rsidRDefault="00F2517E" w:rsidP="00F2517E">
      <w:pPr>
        <w:autoSpaceDE w:val="0"/>
        <w:autoSpaceDN w:val="0"/>
        <w:adjustRightInd w:val="0"/>
        <w:rPr>
          <w:rFonts w:ascii="Frutiger-Roman" w:hAnsi="Frutiger-Roman" w:cs="Frutiger-Roman"/>
          <w:i/>
          <w:color w:val="000000" w:themeColor="text1"/>
          <w:sz w:val="19"/>
          <w:szCs w:val="19"/>
        </w:rPr>
      </w:pPr>
    </w:p>
    <w:p w:rsidR="00FD044D" w:rsidRPr="00FD044D" w:rsidRDefault="00FD044D" w:rsidP="00FD044D">
      <w:pPr>
        <w:rPr>
          <w:b/>
          <w:i/>
        </w:rPr>
      </w:pPr>
      <w:r w:rsidRPr="00FD044D">
        <w:rPr>
          <w:b/>
          <w:i/>
        </w:rPr>
        <w:t>Recommendation 4</w:t>
      </w:r>
    </w:p>
    <w:p w:rsidR="00FD044D" w:rsidRDefault="00FD044D" w:rsidP="00FD044D">
      <w:pPr>
        <w:autoSpaceDE w:val="0"/>
        <w:autoSpaceDN w:val="0"/>
        <w:adjustRightInd w:val="0"/>
        <w:rPr>
          <w:rFonts w:ascii="Frutiger-Roman" w:hAnsi="Frutiger-Roman" w:cs="Frutiger-Roman"/>
          <w:i/>
          <w:sz w:val="19"/>
          <w:szCs w:val="19"/>
        </w:rPr>
      </w:pPr>
      <w:r w:rsidRPr="00FD044D">
        <w:rPr>
          <w:rFonts w:ascii="Frutiger-Roman" w:hAnsi="Frutiger-Roman" w:cs="Frutiger-Roman"/>
          <w:i/>
          <w:sz w:val="19"/>
          <w:szCs w:val="19"/>
        </w:rPr>
        <w:t xml:space="preserve">That WorkSafe publishes an annual OHS compliance and enforcement plan that sets out its strategic compliance and enforcement </w:t>
      </w:r>
      <w:r>
        <w:rPr>
          <w:rFonts w:ascii="Frutiger-Roman" w:hAnsi="Frutiger-Roman" w:cs="Frutiger-Roman"/>
          <w:i/>
          <w:sz w:val="19"/>
          <w:szCs w:val="19"/>
        </w:rPr>
        <w:t xml:space="preserve">priorities, </w:t>
      </w:r>
      <w:r w:rsidRPr="00FD044D">
        <w:rPr>
          <w:rFonts w:ascii="Frutiger-Roman" w:hAnsi="Frutiger-Roman" w:cs="Frutiger-Roman"/>
          <w:i/>
          <w:sz w:val="19"/>
          <w:szCs w:val="19"/>
        </w:rPr>
        <w:t>activities and performance targets.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D044D" w:rsidTr="00DE5A8F">
        <w:tc>
          <w:tcPr>
            <w:tcW w:w="9242" w:type="dxa"/>
            <w:shd w:val="clear" w:color="auto" w:fill="C6D9F1" w:themeFill="text2" w:themeFillTint="33"/>
          </w:tcPr>
          <w:p w:rsidR="00FD044D" w:rsidRDefault="00FD044D" w:rsidP="00DE5A8F">
            <w:r w:rsidRPr="00BE69DF">
              <w:rPr>
                <w:b/>
              </w:rPr>
              <w:t>R</w:t>
            </w:r>
            <w:r>
              <w:rPr>
                <w:b/>
              </w:rPr>
              <w:t>ecommendation r</w:t>
            </w:r>
            <w:r w:rsidRPr="00BE69DF">
              <w:rPr>
                <w:b/>
              </w:rPr>
              <w:t>esponse:</w:t>
            </w:r>
            <w:r>
              <w:rPr>
                <w:b/>
              </w:rPr>
              <w:t xml:space="preserve"> </w:t>
            </w:r>
            <w:r>
              <w:t>Supported</w:t>
            </w:r>
          </w:p>
          <w:p w:rsidR="00FD044D" w:rsidRDefault="00FD044D" w:rsidP="00FD044D"/>
          <w:p w:rsidR="00FD044D" w:rsidRDefault="005E591B" w:rsidP="00FD044D">
            <w:r>
              <w:t xml:space="preserve">The publication of </w:t>
            </w:r>
            <w:r w:rsidR="00344528">
              <w:t xml:space="preserve">an </w:t>
            </w:r>
            <w:r>
              <w:t xml:space="preserve">OHS compliance and enforcement plan is supported. </w:t>
            </w:r>
            <w:r w:rsidR="00FD044D">
              <w:t xml:space="preserve">WorkSafe </w:t>
            </w:r>
            <w:r w:rsidR="00CB1D7A">
              <w:t>publi</w:t>
            </w:r>
            <w:r w:rsidR="00D04771">
              <w:t>sh</w:t>
            </w:r>
            <w:r w:rsidR="00CB1D7A">
              <w:t xml:space="preserve">es its strategic and organisational priorities </w:t>
            </w:r>
            <w:r w:rsidR="00344528">
              <w:t xml:space="preserve">annually </w:t>
            </w:r>
            <w:r w:rsidR="00CB1D7A">
              <w:t xml:space="preserve">in </w:t>
            </w:r>
            <w:r w:rsidR="0055356A">
              <w:t xml:space="preserve">its </w:t>
            </w:r>
            <w:r w:rsidR="00CB1D7A">
              <w:t xml:space="preserve">corporate plan. WorkSafe </w:t>
            </w:r>
            <w:r w:rsidR="00FD044D">
              <w:t xml:space="preserve">will provide </w:t>
            </w:r>
            <w:r w:rsidR="00264A57">
              <w:t xml:space="preserve">additional </w:t>
            </w:r>
            <w:r w:rsidR="00FD044D">
              <w:t xml:space="preserve">detail on its strategic compliance and enforcement priorities, activities and performance targets </w:t>
            </w:r>
            <w:r w:rsidR="00A475C5">
              <w:t xml:space="preserve">in </w:t>
            </w:r>
            <w:r w:rsidR="00FD044D">
              <w:t xml:space="preserve">its </w:t>
            </w:r>
            <w:r w:rsidR="00F4212B">
              <w:t>2018/19</w:t>
            </w:r>
            <w:r w:rsidR="00F4212B" w:rsidRPr="005E591B">
              <w:t xml:space="preserve"> </w:t>
            </w:r>
            <w:r w:rsidR="00F31EA5">
              <w:t>C</w:t>
            </w:r>
            <w:r w:rsidR="00FD044D" w:rsidRPr="005E591B">
              <w:t xml:space="preserve">orporate </w:t>
            </w:r>
            <w:r w:rsidR="00F31EA5">
              <w:t>P</w:t>
            </w:r>
            <w:r w:rsidR="00FD044D" w:rsidRPr="005E591B">
              <w:t>lan</w:t>
            </w:r>
            <w:r w:rsidR="00A475C5">
              <w:t>. Th</w:t>
            </w:r>
            <w:r w:rsidR="00FD044D">
              <w:t>is will expand</w:t>
            </w:r>
            <w:r w:rsidR="00344528">
              <w:t xml:space="preserve"> upon the </w:t>
            </w:r>
            <w:r w:rsidR="00FD044D">
              <w:t xml:space="preserve">information currently provided </w:t>
            </w:r>
            <w:r>
              <w:t>to the Victorian community</w:t>
            </w:r>
            <w:r w:rsidR="00A475C5">
              <w:t>.</w:t>
            </w:r>
          </w:p>
          <w:p w:rsidR="00FD044D" w:rsidRDefault="00FD044D"/>
        </w:tc>
      </w:tr>
    </w:tbl>
    <w:p w:rsidR="00FD044D" w:rsidRPr="00FD044D" w:rsidRDefault="00FD044D" w:rsidP="00FD044D">
      <w:pPr>
        <w:autoSpaceDE w:val="0"/>
        <w:autoSpaceDN w:val="0"/>
        <w:adjustRightInd w:val="0"/>
        <w:rPr>
          <w:rFonts w:ascii="Frutiger-Roman" w:hAnsi="Frutiger-Roman" w:cs="Frutiger-Roman"/>
          <w:i/>
          <w:sz w:val="19"/>
          <w:szCs w:val="19"/>
        </w:rPr>
      </w:pPr>
    </w:p>
    <w:p w:rsidR="00CE07CB" w:rsidRDefault="00CE07CB">
      <w:pPr>
        <w:rPr>
          <w:b/>
          <w:i/>
        </w:rPr>
      </w:pPr>
      <w:r>
        <w:rPr>
          <w:b/>
          <w:i/>
        </w:rPr>
        <w:br w:type="page"/>
      </w:r>
    </w:p>
    <w:p w:rsidR="00A475C5" w:rsidRPr="00A475C5" w:rsidRDefault="00A475C5" w:rsidP="00A475C5">
      <w:pPr>
        <w:rPr>
          <w:b/>
          <w:i/>
        </w:rPr>
      </w:pPr>
      <w:r w:rsidRPr="00A475C5">
        <w:rPr>
          <w:b/>
          <w:i/>
        </w:rPr>
        <w:lastRenderedPageBreak/>
        <w:t>Recommendation 5</w:t>
      </w:r>
    </w:p>
    <w:p w:rsidR="00A475C5" w:rsidRPr="00A475C5" w:rsidRDefault="00A475C5" w:rsidP="00A475C5">
      <w:pPr>
        <w:autoSpaceDE w:val="0"/>
        <w:autoSpaceDN w:val="0"/>
        <w:adjustRightInd w:val="0"/>
        <w:rPr>
          <w:rFonts w:ascii="Frutiger-Roman" w:hAnsi="Frutiger-Roman" w:cs="Frutiger-Roman"/>
          <w:i/>
          <w:sz w:val="19"/>
          <w:szCs w:val="19"/>
        </w:rPr>
      </w:pPr>
      <w:r w:rsidRPr="00A475C5">
        <w:rPr>
          <w:rFonts w:ascii="Frutiger-Roman" w:hAnsi="Frutiger-Roman" w:cs="Frutiger-Roman"/>
          <w:i/>
          <w:sz w:val="19"/>
          <w:szCs w:val="19"/>
        </w:rPr>
        <w:t xml:space="preserve">That the Victorian Government considers developing regulations to enable infringement notices to be used as one of the suite of compliance and enforcement tools.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475C5" w:rsidTr="00DE5A8F">
        <w:tc>
          <w:tcPr>
            <w:tcW w:w="9242" w:type="dxa"/>
            <w:shd w:val="clear" w:color="auto" w:fill="C6D9F1" w:themeFill="text2" w:themeFillTint="33"/>
          </w:tcPr>
          <w:p w:rsidR="00A475C5" w:rsidRDefault="00A475C5" w:rsidP="00DE5A8F">
            <w:r w:rsidRPr="00BE69DF">
              <w:rPr>
                <w:b/>
              </w:rPr>
              <w:t>R</w:t>
            </w:r>
            <w:r>
              <w:rPr>
                <w:b/>
              </w:rPr>
              <w:t>ecommendation r</w:t>
            </w:r>
            <w:r w:rsidRPr="00BE69DF">
              <w:rPr>
                <w:b/>
              </w:rPr>
              <w:t>esponse:</w:t>
            </w:r>
            <w:r>
              <w:rPr>
                <w:b/>
              </w:rPr>
              <w:t xml:space="preserve"> </w:t>
            </w:r>
            <w:r w:rsidR="00F51AD1">
              <w:t>S</w:t>
            </w:r>
            <w:r>
              <w:t>upported</w:t>
            </w:r>
            <w:r w:rsidR="009E130C">
              <w:t xml:space="preserve"> in principle</w:t>
            </w:r>
          </w:p>
          <w:p w:rsidR="00A475C5" w:rsidRDefault="00A475C5" w:rsidP="004F471E">
            <w:pPr>
              <w:pStyle w:val="ListParagraph"/>
              <w:ind w:left="0"/>
            </w:pPr>
          </w:p>
          <w:p w:rsidR="00D16EB6" w:rsidRDefault="00F51AD1" w:rsidP="006C3855">
            <w:pPr>
              <w:pStyle w:val="ListParagraph"/>
              <w:ind w:left="0"/>
            </w:pPr>
            <w:r>
              <w:t xml:space="preserve">The OHS Act contains provisions allowing an infringement notice scheme to be prescribed by regulations. To date, Victoria has not adopted regulations to enable this power. Infringement notices are a common feature of regulatory schemes and are part of the model Work Health and Safety (WHS) laws. The Government will consider offences for which infringement notices may be used and consider the use of infringement notices </w:t>
            </w:r>
            <w:r w:rsidR="006C3855">
              <w:t xml:space="preserve">to improve health and safety outcomes in Victoria. </w:t>
            </w:r>
          </w:p>
          <w:p w:rsidR="006C3855" w:rsidRDefault="006C3855" w:rsidP="006C3855">
            <w:pPr>
              <w:pStyle w:val="ListParagraph"/>
              <w:ind w:left="0"/>
            </w:pPr>
          </w:p>
          <w:p w:rsidR="006C0C1E" w:rsidRDefault="006C0C1E" w:rsidP="00E61DD2">
            <w:pPr>
              <w:pStyle w:val="ListParagraph"/>
              <w:ind w:left="0"/>
            </w:pPr>
          </w:p>
        </w:tc>
      </w:tr>
    </w:tbl>
    <w:p w:rsidR="00FD044D" w:rsidRDefault="00FD044D" w:rsidP="00F2517E">
      <w:pPr>
        <w:autoSpaceDE w:val="0"/>
        <w:autoSpaceDN w:val="0"/>
        <w:adjustRightInd w:val="0"/>
        <w:rPr>
          <w:rFonts w:ascii="Frutiger-Roman" w:hAnsi="Frutiger-Roman" w:cs="Frutiger-Roman"/>
          <w:i/>
          <w:color w:val="000000" w:themeColor="text1"/>
          <w:sz w:val="19"/>
          <w:szCs w:val="19"/>
        </w:rPr>
      </w:pPr>
    </w:p>
    <w:p w:rsidR="00293548" w:rsidRPr="00293548" w:rsidRDefault="00293548" w:rsidP="00293548">
      <w:pPr>
        <w:rPr>
          <w:b/>
          <w:i/>
        </w:rPr>
      </w:pPr>
      <w:r w:rsidRPr="00293548">
        <w:rPr>
          <w:b/>
          <w:i/>
        </w:rPr>
        <w:t>Recommendation 6</w:t>
      </w:r>
    </w:p>
    <w:p w:rsidR="00293548" w:rsidRDefault="00293548" w:rsidP="00293548">
      <w:pPr>
        <w:autoSpaceDE w:val="0"/>
        <w:autoSpaceDN w:val="0"/>
        <w:adjustRightInd w:val="0"/>
        <w:rPr>
          <w:rFonts w:ascii="Frutiger-Roman" w:hAnsi="Frutiger-Roman" w:cs="Frutiger-Roman"/>
          <w:color w:val="000000" w:themeColor="text1"/>
          <w:sz w:val="19"/>
          <w:szCs w:val="19"/>
        </w:rPr>
      </w:pPr>
      <w:r w:rsidRPr="00293548">
        <w:rPr>
          <w:rFonts w:ascii="Frutiger-Roman" w:hAnsi="Frutiger-Roman" w:cs="Frutiger-Roman"/>
          <w:i/>
          <w:sz w:val="19"/>
          <w:szCs w:val="19"/>
        </w:rPr>
        <w:t>That WorkSafe updates its Enforceable Undertakings (EU) Policy to clearly specify when it is appropriate to consider an EU and the range of content options to be included in an EU to achieve the compliance and enforcement outcomes sought.</w:t>
      </w:r>
      <w:r w:rsidRPr="00853925">
        <w:rPr>
          <w:rFonts w:ascii="Frutiger-Roman" w:hAnsi="Frutiger-Roman" w:cs="Frutiger-Roman"/>
          <w:color w:val="000000" w:themeColor="text1"/>
          <w:sz w:val="19"/>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93548" w:rsidTr="00DE5A8F">
        <w:tc>
          <w:tcPr>
            <w:tcW w:w="9242" w:type="dxa"/>
            <w:shd w:val="clear" w:color="auto" w:fill="C6D9F1" w:themeFill="text2" w:themeFillTint="33"/>
          </w:tcPr>
          <w:p w:rsidR="00293548" w:rsidRDefault="00293548" w:rsidP="00DE5A8F">
            <w:r w:rsidRPr="00BE69DF">
              <w:rPr>
                <w:b/>
              </w:rPr>
              <w:t>R</w:t>
            </w:r>
            <w:r>
              <w:rPr>
                <w:b/>
              </w:rPr>
              <w:t>ecommendation r</w:t>
            </w:r>
            <w:r w:rsidRPr="00BE69DF">
              <w:rPr>
                <w:b/>
              </w:rPr>
              <w:t>esponse:</w:t>
            </w:r>
            <w:r>
              <w:rPr>
                <w:b/>
              </w:rPr>
              <w:t xml:space="preserve"> </w:t>
            </w:r>
            <w:r>
              <w:t>Supported</w:t>
            </w:r>
          </w:p>
          <w:p w:rsidR="00293548" w:rsidRDefault="00293548" w:rsidP="00293548">
            <w:pPr>
              <w:pStyle w:val="ListParagraph"/>
              <w:ind w:left="360"/>
            </w:pPr>
          </w:p>
          <w:p w:rsidR="00230597" w:rsidRDefault="00EB3E1E" w:rsidP="004F471E">
            <w:pPr>
              <w:pStyle w:val="ListParagraph"/>
              <w:ind w:left="0"/>
            </w:pPr>
            <w:r>
              <w:t xml:space="preserve">Updating the enforceable undertakings policy is supported. </w:t>
            </w:r>
            <w:r w:rsidR="00C23C47">
              <w:t>The current enforceable undertakings policy outlines how enforceable undertakings</w:t>
            </w:r>
            <w:r w:rsidR="001C3D8F">
              <w:t xml:space="preserve"> can be used within the compliance and enforcement framework and the relevant </w:t>
            </w:r>
            <w:r w:rsidR="002E4B75">
              <w:t>circumstances</w:t>
            </w:r>
            <w:r w:rsidR="00230597">
              <w:t xml:space="preserve"> when an </w:t>
            </w:r>
            <w:r w:rsidR="00757AA1">
              <w:t xml:space="preserve">enforceable undertaking </w:t>
            </w:r>
            <w:r w:rsidR="00230597">
              <w:t>will be considered</w:t>
            </w:r>
            <w:r w:rsidR="00C23C47">
              <w:t xml:space="preserve">. WorkSafe will continue to ensure that the policy is kept up to date and relevant </w:t>
            </w:r>
            <w:r>
              <w:t xml:space="preserve">as part of </w:t>
            </w:r>
            <w:r w:rsidR="00230597">
              <w:t>its</w:t>
            </w:r>
            <w:r w:rsidR="00492951">
              <w:t xml:space="preserve"> ongoing</w:t>
            </w:r>
            <w:r w:rsidR="00230597">
              <w:t xml:space="preserve"> periodic </w:t>
            </w:r>
            <w:r>
              <w:t>review</w:t>
            </w:r>
            <w:r w:rsidR="00492951">
              <w:t>s</w:t>
            </w:r>
            <w:r>
              <w:t>.</w:t>
            </w:r>
          </w:p>
          <w:p w:rsidR="00293548" w:rsidRDefault="00293548">
            <w:pPr>
              <w:pStyle w:val="ListParagraph"/>
              <w:ind w:left="0"/>
            </w:pPr>
          </w:p>
        </w:tc>
      </w:tr>
    </w:tbl>
    <w:p w:rsidR="00293548" w:rsidRDefault="00293548" w:rsidP="00293548">
      <w:pPr>
        <w:autoSpaceDE w:val="0"/>
        <w:autoSpaceDN w:val="0"/>
        <w:adjustRightInd w:val="0"/>
        <w:rPr>
          <w:rFonts w:ascii="Frutiger-Roman" w:hAnsi="Frutiger-Roman" w:cs="Frutiger-Roman"/>
          <w:color w:val="000000" w:themeColor="text1"/>
          <w:sz w:val="19"/>
          <w:szCs w:val="19"/>
        </w:rPr>
      </w:pPr>
    </w:p>
    <w:p w:rsidR="00CE07CB" w:rsidRDefault="00CE07CB">
      <w:pPr>
        <w:rPr>
          <w:b/>
          <w:i/>
        </w:rPr>
      </w:pPr>
      <w:r>
        <w:rPr>
          <w:b/>
          <w:i/>
        </w:rPr>
        <w:br w:type="page"/>
      </w:r>
    </w:p>
    <w:p w:rsidR="00293548" w:rsidRPr="00293548" w:rsidRDefault="00293548" w:rsidP="00293548">
      <w:pPr>
        <w:rPr>
          <w:b/>
          <w:i/>
        </w:rPr>
      </w:pPr>
      <w:r w:rsidRPr="00293548">
        <w:rPr>
          <w:b/>
          <w:i/>
        </w:rPr>
        <w:lastRenderedPageBreak/>
        <w:t>Recommendation 7</w:t>
      </w:r>
    </w:p>
    <w:p w:rsidR="00293548" w:rsidRPr="00293548" w:rsidRDefault="00293548" w:rsidP="00293548">
      <w:pPr>
        <w:autoSpaceDE w:val="0"/>
        <w:autoSpaceDN w:val="0"/>
        <w:adjustRightInd w:val="0"/>
        <w:rPr>
          <w:rFonts w:ascii="Frutiger-Roman" w:hAnsi="Frutiger-Roman" w:cs="Frutiger-Roman"/>
          <w:i/>
          <w:sz w:val="19"/>
          <w:szCs w:val="19"/>
        </w:rPr>
      </w:pPr>
      <w:r w:rsidRPr="00293548">
        <w:rPr>
          <w:rFonts w:ascii="Frutiger-Roman" w:hAnsi="Frutiger-Roman" w:cs="Frutiger-Roman"/>
          <w:i/>
          <w:sz w:val="19"/>
          <w:szCs w:val="19"/>
        </w:rPr>
        <w:t>That WorkSafe:</w:t>
      </w:r>
    </w:p>
    <w:p w:rsidR="00293548" w:rsidRPr="00293548" w:rsidRDefault="00293548" w:rsidP="00293548">
      <w:pPr>
        <w:pStyle w:val="ListParagraph"/>
        <w:numPr>
          <w:ilvl w:val="0"/>
          <w:numId w:val="9"/>
        </w:numPr>
        <w:autoSpaceDE w:val="0"/>
        <w:autoSpaceDN w:val="0"/>
        <w:adjustRightInd w:val="0"/>
        <w:ind w:left="284" w:hanging="218"/>
        <w:rPr>
          <w:rFonts w:ascii="Frutiger-Roman" w:hAnsi="Frutiger-Roman" w:cs="Frutiger-Roman"/>
          <w:i/>
          <w:sz w:val="19"/>
          <w:szCs w:val="19"/>
        </w:rPr>
      </w:pPr>
      <w:r w:rsidRPr="00293548">
        <w:rPr>
          <w:rFonts w:ascii="Frutiger-Roman" w:hAnsi="Frutiger-Roman" w:cs="Frutiger-Roman"/>
          <w:i/>
          <w:sz w:val="19"/>
          <w:szCs w:val="19"/>
        </w:rPr>
        <w:t>updates and broadens its current policy on the handling of section 131 requests</w:t>
      </w:r>
    </w:p>
    <w:p w:rsidR="00293548" w:rsidRPr="00293548" w:rsidRDefault="00293548" w:rsidP="00293548">
      <w:pPr>
        <w:pStyle w:val="ListParagraph"/>
        <w:numPr>
          <w:ilvl w:val="0"/>
          <w:numId w:val="9"/>
        </w:numPr>
        <w:autoSpaceDE w:val="0"/>
        <w:autoSpaceDN w:val="0"/>
        <w:adjustRightInd w:val="0"/>
        <w:ind w:left="284" w:hanging="218"/>
        <w:rPr>
          <w:rFonts w:ascii="Frutiger-Roman" w:hAnsi="Frutiger-Roman" w:cs="Frutiger-Roman"/>
          <w:i/>
          <w:sz w:val="19"/>
          <w:szCs w:val="19"/>
        </w:rPr>
      </w:pPr>
      <w:r w:rsidRPr="00293548">
        <w:rPr>
          <w:rFonts w:ascii="Frutiger-Roman" w:hAnsi="Frutiger-Roman" w:cs="Frutiger-Roman"/>
          <w:i/>
          <w:sz w:val="19"/>
          <w:szCs w:val="19"/>
        </w:rPr>
        <w:t>develops a process to ensure lessons from section 131 requests that lead to prosecution action are used to inform future decision-making</w:t>
      </w:r>
    </w:p>
    <w:p w:rsidR="00293548" w:rsidRPr="00293548" w:rsidRDefault="00293548" w:rsidP="00293548">
      <w:pPr>
        <w:pStyle w:val="ListParagraph"/>
        <w:numPr>
          <w:ilvl w:val="0"/>
          <w:numId w:val="9"/>
        </w:numPr>
        <w:autoSpaceDE w:val="0"/>
        <w:autoSpaceDN w:val="0"/>
        <w:adjustRightInd w:val="0"/>
        <w:ind w:left="284" w:hanging="218"/>
        <w:rPr>
          <w:rFonts w:ascii="Frutiger-Roman" w:hAnsi="Frutiger-Roman" w:cs="Frutiger-Roman"/>
          <w:i/>
          <w:sz w:val="19"/>
          <w:szCs w:val="19"/>
        </w:rPr>
      </w:pPr>
      <w:r w:rsidRPr="00293548">
        <w:rPr>
          <w:rFonts w:ascii="Frutiger-Roman" w:hAnsi="Frutiger-Roman" w:cs="Frutiger-Roman"/>
          <w:i/>
          <w:sz w:val="19"/>
          <w:szCs w:val="19"/>
        </w:rPr>
        <w:t>commits to reporting on the outcomes and progress of section 131 requests across reporting years, to include timeframes to complete investigations initiated, as well as explaining why it had not met the statutory timeframe when this occurs.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93548" w:rsidTr="00DE5A8F">
        <w:tc>
          <w:tcPr>
            <w:tcW w:w="9242" w:type="dxa"/>
            <w:shd w:val="clear" w:color="auto" w:fill="C6D9F1" w:themeFill="text2" w:themeFillTint="33"/>
          </w:tcPr>
          <w:p w:rsidR="00293548" w:rsidRDefault="00293548" w:rsidP="00DE5A8F">
            <w:r w:rsidRPr="00BE69DF">
              <w:rPr>
                <w:b/>
              </w:rPr>
              <w:t>R</w:t>
            </w:r>
            <w:r>
              <w:rPr>
                <w:b/>
              </w:rPr>
              <w:t>ecommendation r</w:t>
            </w:r>
            <w:r w:rsidRPr="00BE69DF">
              <w:rPr>
                <w:b/>
              </w:rPr>
              <w:t>esponse:</w:t>
            </w:r>
            <w:r>
              <w:rPr>
                <w:b/>
              </w:rPr>
              <w:t xml:space="preserve"> </w:t>
            </w:r>
            <w:r>
              <w:t>Supported</w:t>
            </w:r>
          </w:p>
          <w:p w:rsidR="002341E5" w:rsidRDefault="002341E5" w:rsidP="002341E5"/>
          <w:p w:rsidR="00CB1D7A" w:rsidRDefault="00637997" w:rsidP="00293548">
            <w:pPr>
              <w:pStyle w:val="ListParagraph"/>
              <w:ind w:left="0"/>
            </w:pPr>
            <w:r>
              <w:t xml:space="preserve">Enhanced public reporting on the progress of section 131 requests is supported and will be included in WorkSafe’s </w:t>
            </w:r>
            <w:r w:rsidR="002E116D">
              <w:t>201</w:t>
            </w:r>
            <w:r w:rsidR="00D06887">
              <w:t>8</w:t>
            </w:r>
            <w:r w:rsidR="002E116D">
              <w:t xml:space="preserve"> A</w:t>
            </w:r>
            <w:r>
              <w:t xml:space="preserve">nnual </w:t>
            </w:r>
            <w:r w:rsidR="002E116D">
              <w:t>R</w:t>
            </w:r>
            <w:r>
              <w:t>eport. A</w:t>
            </w:r>
            <w:r w:rsidR="00CB1D7A">
              <w:t>mendments to</w:t>
            </w:r>
            <w:r>
              <w:t xml:space="preserve"> the</w:t>
            </w:r>
            <w:r w:rsidR="00CB1D7A">
              <w:t xml:space="preserve"> policy on section 131 requests</w:t>
            </w:r>
            <w:r>
              <w:t xml:space="preserve"> </w:t>
            </w:r>
            <w:r w:rsidR="0069354F">
              <w:t xml:space="preserve">and </w:t>
            </w:r>
            <w:r w:rsidR="009F7DEE">
              <w:t xml:space="preserve">a </w:t>
            </w:r>
            <w:r w:rsidR="0069354F">
              <w:t xml:space="preserve">process </w:t>
            </w:r>
            <w:r w:rsidR="009F7DEE">
              <w:t xml:space="preserve">to ensure </w:t>
            </w:r>
            <w:r w:rsidR="0069354F">
              <w:t>lessons lear</w:t>
            </w:r>
            <w:r w:rsidR="009F7DEE">
              <w:t>nt</w:t>
            </w:r>
            <w:r w:rsidR="0069354F">
              <w:t xml:space="preserve"> </w:t>
            </w:r>
            <w:r w:rsidR="009F7DEE">
              <w:t xml:space="preserve">are </w:t>
            </w:r>
            <w:r>
              <w:t>also supported</w:t>
            </w:r>
            <w:r w:rsidR="00CB1D7A">
              <w:t>.</w:t>
            </w:r>
          </w:p>
          <w:p w:rsidR="009F7DEE" w:rsidRDefault="009F7DEE" w:rsidP="00293548">
            <w:pPr>
              <w:pStyle w:val="ListParagraph"/>
              <w:ind w:left="0"/>
            </w:pPr>
          </w:p>
          <w:p w:rsidR="002341E5" w:rsidRDefault="002341E5" w:rsidP="002341E5">
            <w:r>
              <w:t xml:space="preserve">As part of its response to </w:t>
            </w:r>
            <w:r w:rsidRPr="00792D24">
              <w:t xml:space="preserve">the </w:t>
            </w:r>
            <w:r w:rsidRPr="00F818F8">
              <w:t>Inquiry into the CFA Training College at Fiskville final report</w:t>
            </w:r>
            <w:r w:rsidRPr="00792D24">
              <w:t xml:space="preserve">, the </w:t>
            </w:r>
            <w:r w:rsidR="003E4025">
              <w:t>G</w:t>
            </w:r>
            <w:r>
              <w:t xml:space="preserve">overnment has committed to review the current legislation and practices around section 131 requests. This work is currently being conducted. </w:t>
            </w:r>
          </w:p>
          <w:p w:rsidR="00293548" w:rsidRDefault="00293548" w:rsidP="00F92AD8"/>
        </w:tc>
      </w:tr>
    </w:tbl>
    <w:p w:rsidR="00293548" w:rsidRDefault="00293548" w:rsidP="00F2517E">
      <w:pPr>
        <w:autoSpaceDE w:val="0"/>
        <w:autoSpaceDN w:val="0"/>
        <w:adjustRightInd w:val="0"/>
        <w:rPr>
          <w:rFonts w:ascii="Frutiger-Roman" w:hAnsi="Frutiger-Roman" w:cs="Frutiger-Roman"/>
          <w:i/>
          <w:color w:val="000000" w:themeColor="text1"/>
          <w:sz w:val="19"/>
          <w:szCs w:val="19"/>
        </w:rPr>
      </w:pPr>
    </w:p>
    <w:p w:rsidR="003574D3" w:rsidRPr="003574D3" w:rsidRDefault="003574D3" w:rsidP="003574D3">
      <w:pPr>
        <w:rPr>
          <w:b/>
          <w:i/>
        </w:rPr>
      </w:pPr>
      <w:r w:rsidRPr="003574D3">
        <w:rPr>
          <w:b/>
          <w:i/>
        </w:rPr>
        <w:t>Recommendation 8</w:t>
      </w:r>
    </w:p>
    <w:p w:rsidR="003574D3" w:rsidRDefault="003574D3" w:rsidP="003574D3">
      <w:pPr>
        <w:autoSpaceDE w:val="0"/>
        <w:autoSpaceDN w:val="0"/>
        <w:adjustRightInd w:val="0"/>
        <w:rPr>
          <w:rFonts w:ascii="Frutiger-Roman" w:hAnsi="Frutiger-Roman" w:cs="Frutiger-Roman"/>
          <w:color w:val="0063A5"/>
          <w:sz w:val="19"/>
          <w:szCs w:val="19"/>
        </w:rPr>
      </w:pPr>
      <w:r w:rsidRPr="003574D3">
        <w:rPr>
          <w:rFonts w:ascii="Frutiger-Roman" w:hAnsi="Frutiger-Roman" w:cs="Frutiger-Roman"/>
          <w:i/>
          <w:sz w:val="19"/>
          <w:szCs w:val="19"/>
        </w:rPr>
        <w:t>That the WorkSafe General Prosecution Guidelines be maintained as a stand-alone document and be amended to refer to the Victorian DPP Prosecutions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574D3" w:rsidTr="00DE5A8F">
        <w:tc>
          <w:tcPr>
            <w:tcW w:w="9242" w:type="dxa"/>
            <w:shd w:val="clear" w:color="auto" w:fill="C6D9F1" w:themeFill="text2" w:themeFillTint="33"/>
          </w:tcPr>
          <w:p w:rsidR="003574D3" w:rsidRDefault="003574D3" w:rsidP="00DE5A8F">
            <w:r w:rsidRPr="00BE69DF">
              <w:rPr>
                <w:b/>
              </w:rPr>
              <w:t>R</w:t>
            </w:r>
            <w:r>
              <w:rPr>
                <w:b/>
              </w:rPr>
              <w:t>ecommendation r</w:t>
            </w:r>
            <w:r w:rsidRPr="00BE69DF">
              <w:rPr>
                <w:b/>
              </w:rPr>
              <w:t>esponse:</w:t>
            </w:r>
            <w:r>
              <w:rPr>
                <w:b/>
              </w:rPr>
              <w:t xml:space="preserve"> </w:t>
            </w:r>
            <w:r>
              <w:t>Supported</w:t>
            </w:r>
          </w:p>
          <w:p w:rsidR="003574D3" w:rsidRDefault="003574D3" w:rsidP="00DE5A8F"/>
          <w:p w:rsidR="00F0243B" w:rsidRDefault="00F0243B" w:rsidP="003574D3">
            <w:r>
              <w:t>This r</w:t>
            </w:r>
            <w:r w:rsidR="003574D3">
              <w:t xml:space="preserve">evision to </w:t>
            </w:r>
            <w:r>
              <w:t xml:space="preserve">the </w:t>
            </w:r>
            <w:r w:rsidR="003574D3">
              <w:t>general prosecution guidelines</w:t>
            </w:r>
            <w:r>
              <w:t xml:space="preserve"> is supported</w:t>
            </w:r>
            <w:r w:rsidR="003574D3">
              <w:t xml:space="preserve">. Implementation of this recommendation was completed in March 2017. </w:t>
            </w:r>
            <w:r w:rsidR="00BD7F28">
              <w:t xml:space="preserve">The revised </w:t>
            </w:r>
            <w:r w:rsidR="00F10F67">
              <w:t>guidelines are</w:t>
            </w:r>
            <w:r w:rsidR="00BD7F28">
              <w:t xml:space="preserve"> available on the WorkSafe website.</w:t>
            </w:r>
          </w:p>
          <w:p w:rsidR="003574D3" w:rsidRDefault="003574D3"/>
        </w:tc>
      </w:tr>
    </w:tbl>
    <w:p w:rsidR="007A615B" w:rsidRDefault="007A615B" w:rsidP="003574D3">
      <w:pPr>
        <w:rPr>
          <w:b/>
          <w:i/>
        </w:rPr>
      </w:pPr>
    </w:p>
    <w:p w:rsidR="00991B33" w:rsidRDefault="00991B33">
      <w:pPr>
        <w:rPr>
          <w:rFonts w:asciiTheme="majorHAnsi" w:eastAsiaTheme="majorEastAsia" w:hAnsiTheme="majorHAnsi" w:cstheme="majorBidi"/>
          <w:b/>
          <w:bCs/>
          <w:color w:val="365F91" w:themeColor="accent1" w:themeShade="BF"/>
          <w:sz w:val="28"/>
          <w:szCs w:val="28"/>
        </w:rPr>
      </w:pPr>
      <w:r>
        <w:br w:type="page"/>
      </w:r>
    </w:p>
    <w:p w:rsidR="007A615B" w:rsidRDefault="007A615B" w:rsidP="007A615B">
      <w:pPr>
        <w:pStyle w:val="Heading1"/>
        <w:ind w:left="720" w:hanging="720"/>
      </w:pPr>
      <w:bookmarkStart w:id="8" w:name="_Toc498607018"/>
      <w:r>
        <w:lastRenderedPageBreak/>
        <w:t>5</w:t>
      </w:r>
      <w:r>
        <w:tab/>
        <w:t>How WorkSafe plans and targets its compliance and enforcement activities</w:t>
      </w:r>
      <w:bookmarkEnd w:id="8"/>
    </w:p>
    <w:p w:rsidR="00991B33" w:rsidRDefault="00991B33" w:rsidP="003574D3">
      <w:pPr>
        <w:rPr>
          <w:b/>
          <w:i/>
        </w:rPr>
      </w:pPr>
    </w:p>
    <w:p w:rsidR="003574D3" w:rsidRPr="003574D3" w:rsidRDefault="003574D3" w:rsidP="003574D3">
      <w:pPr>
        <w:rPr>
          <w:b/>
          <w:i/>
        </w:rPr>
      </w:pPr>
      <w:r w:rsidRPr="003574D3">
        <w:rPr>
          <w:b/>
          <w:i/>
        </w:rPr>
        <w:t>Recommendation 9</w:t>
      </w:r>
    </w:p>
    <w:p w:rsidR="003574D3" w:rsidRPr="003574D3" w:rsidRDefault="003574D3" w:rsidP="003574D3">
      <w:pPr>
        <w:autoSpaceDE w:val="0"/>
        <w:autoSpaceDN w:val="0"/>
        <w:adjustRightInd w:val="0"/>
        <w:rPr>
          <w:rFonts w:ascii="Frutiger-Roman" w:hAnsi="Frutiger-Roman" w:cs="Frutiger-Roman"/>
          <w:i/>
          <w:sz w:val="19"/>
          <w:szCs w:val="19"/>
        </w:rPr>
      </w:pPr>
      <w:r w:rsidRPr="003574D3">
        <w:rPr>
          <w:rFonts w:ascii="Frutiger-Roman" w:hAnsi="Frutiger-Roman" w:cs="Frutiger-Roman"/>
          <w:i/>
          <w:sz w:val="19"/>
          <w:szCs w:val="19"/>
        </w:rPr>
        <w:t>That WorkSafe enhances its engagement with stakeholders, consistent with the Stakeholder Engagement Framework, and gains their input into development of strategies and programs to address identified risks and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574D3" w:rsidTr="00DE5A8F">
        <w:tc>
          <w:tcPr>
            <w:tcW w:w="9242" w:type="dxa"/>
            <w:shd w:val="clear" w:color="auto" w:fill="C6D9F1" w:themeFill="text2" w:themeFillTint="33"/>
          </w:tcPr>
          <w:p w:rsidR="003574D3" w:rsidRDefault="003574D3" w:rsidP="00DE5A8F">
            <w:r w:rsidRPr="00BE69DF">
              <w:rPr>
                <w:b/>
              </w:rPr>
              <w:t>R</w:t>
            </w:r>
            <w:r>
              <w:rPr>
                <w:b/>
              </w:rPr>
              <w:t>ecommendation r</w:t>
            </w:r>
            <w:r w:rsidRPr="00BE69DF">
              <w:rPr>
                <w:b/>
              </w:rPr>
              <w:t>esponse:</w:t>
            </w:r>
            <w:r>
              <w:rPr>
                <w:b/>
              </w:rPr>
              <w:t xml:space="preserve"> </w:t>
            </w:r>
            <w:r>
              <w:t xml:space="preserve">Supported </w:t>
            </w:r>
          </w:p>
          <w:p w:rsidR="003574D3" w:rsidRDefault="003574D3" w:rsidP="00DE5A8F"/>
          <w:p w:rsidR="00EC4D20" w:rsidRDefault="00F0243B" w:rsidP="00DE5A8F">
            <w:r>
              <w:t>An enhanced approach</w:t>
            </w:r>
            <w:r w:rsidR="0069354F">
              <w:t xml:space="preserve"> to </w:t>
            </w:r>
            <w:r>
              <w:t xml:space="preserve">stakeholder engagement is supported. </w:t>
            </w:r>
            <w:r w:rsidR="003574D3">
              <w:t>In September 2016</w:t>
            </w:r>
            <w:r w:rsidR="00EC4D20">
              <w:t>,</w:t>
            </w:r>
            <w:r w:rsidR="003574D3">
              <w:t xml:space="preserve"> Work</w:t>
            </w:r>
            <w:r w:rsidR="00A76884">
              <w:t>S</w:t>
            </w:r>
            <w:r w:rsidR="003574D3">
              <w:t xml:space="preserve">afe launched its </w:t>
            </w:r>
            <w:r w:rsidR="003574D3" w:rsidRPr="00B06F19">
              <w:t>Stakeholder Engagement Framework</w:t>
            </w:r>
            <w:r w:rsidR="003574D3">
              <w:t xml:space="preserve"> (the Framework)</w:t>
            </w:r>
            <w:r w:rsidR="00EC4D20">
              <w:t xml:space="preserve"> which </w:t>
            </w:r>
            <w:r>
              <w:t>restates WorkSafe’s commitment to stakeholder engagement</w:t>
            </w:r>
            <w:r w:rsidR="003574D3">
              <w:t>.</w:t>
            </w:r>
            <w:r w:rsidR="00EC4D20">
              <w:t xml:space="preserve"> The Framework makes public its guiding principles and processes to engage with stakeholders and has been fully implemented across WorkSafe.  </w:t>
            </w:r>
            <w:r w:rsidR="003574D3">
              <w:t xml:space="preserve"> </w:t>
            </w:r>
          </w:p>
          <w:p w:rsidR="00F0243B" w:rsidRDefault="00F0243B" w:rsidP="00DE5A8F"/>
          <w:p w:rsidR="00F0243B" w:rsidRDefault="00F0243B" w:rsidP="00DE5A8F">
            <w:r>
              <w:t>WorkSafe is committed to continuous improvement in the way it consults with stakeholders to improve safety outcomes for Victoria</w:t>
            </w:r>
            <w:r w:rsidR="0067095F">
              <w:t>ns</w:t>
            </w:r>
            <w:r>
              <w:t>.</w:t>
            </w:r>
            <w:r w:rsidR="005E5A65">
              <w:t xml:space="preserve"> </w:t>
            </w:r>
          </w:p>
          <w:p w:rsidR="009955D8" w:rsidRDefault="009955D8"/>
        </w:tc>
      </w:tr>
    </w:tbl>
    <w:p w:rsidR="00293548" w:rsidRDefault="00293548" w:rsidP="00F2517E">
      <w:pPr>
        <w:autoSpaceDE w:val="0"/>
        <w:autoSpaceDN w:val="0"/>
        <w:adjustRightInd w:val="0"/>
        <w:rPr>
          <w:rFonts w:ascii="Frutiger-Roman" w:hAnsi="Frutiger-Roman" w:cs="Frutiger-Roman"/>
          <w:i/>
          <w:color w:val="000000" w:themeColor="text1"/>
          <w:sz w:val="19"/>
          <w:szCs w:val="19"/>
        </w:rPr>
      </w:pPr>
    </w:p>
    <w:p w:rsidR="006708AD" w:rsidRPr="006708AD" w:rsidRDefault="006708AD" w:rsidP="006708AD">
      <w:pPr>
        <w:rPr>
          <w:rFonts w:ascii="Frutiger-Roman" w:hAnsi="Frutiger-Roman" w:cs="Frutiger-Roman"/>
          <w:b/>
          <w:i/>
          <w:sz w:val="19"/>
          <w:szCs w:val="19"/>
        </w:rPr>
      </w:pPr>
      <w:r>
        <w:rPr>
          <w:rFonts w:ascii="Frutiger-Roman" w:hAnsi="Frutiger-Roman" w:cs="Frutiger-Roman"/>
          <w:b/>
          <w:i/>
          <w:sz w:val="19"/>
          <w:szCs w:val="19"/>
        </w:rPr>
        <w:t xml:space="preserve">Recommendation </w:t>
      </w:r>
      <w:r w:rsidRPr="006708AD">
        <w:rPr>
          <w:rFonts w:ascii="Frutiger-Roman" w:hAnsi="Frutiger-Roman" w:cs="Frutiger-Roman"/>
          <w:b/>
          <w:i/>
          <w:sz w:val="19"/>
          <w:szCs w:val="19"/>
        </w:rPr>
        <w:t>10</w:t>
      </w:r>
    </w:p>
    <w:p w:rsidR="006708AD" w:rsidRPr="006708AD" w:rsidRDefault="006708AD" w:rsidP="006708AD">
      <w:pPr>
        <w:autoSpaceDE w:val="0"/>
        <w:autoSpaceDN w:val="0"/>
        <w:adjustRightInd w:val="0"/>
        <w:rPr>
          <w:rFonts w:ascii="Frutiger-Roman" w:hAnsi="Frutiger-Roman" w:cs="Frutiger-Roman"/>
          <w:i/>
          <w:sz w:val="19"/>
          <w:szCs w:val="19"/>
        </w:rPr>
      </w:pPr>
      <w:r w:rsidRPr="006708AD">
        <w:rPr>
          <w:rFonts w:ascii="Frutiger-Roman" w:hAnsi="Frutiger-Roman" w:cs="Frutiger-Roman"/>
          <w:i/>
          <w:sz w:val="19"/>
          <w:szCs w:val="19"/>
        </w:rPr>
        <w:t>That WorkSafe publishes an OHS research agenda which clearly identifies WorkSafe’s research priorities and outlines how the research is linked to the achievement of WorkSafe’s strategic priorities. WorkSafe should focus on translating research outcomes into practice. Where possible</w:t>
      </w:r>
      <w:r w:rsidR="00893B32">
        <w:rPr>
          <w:rFonts w:ascii="Frutiger-Roman" w:hAnsi="Frutiger-Roman" w:cs="Frutiger-Roman"/>
          <w:i/>
          <w:sz w:val="19"/>
          <w:szCs w:val="19"/>
        </w:rPr>
        <w:t>,</w:t>
      </w:r>
      <w:r w:rsidRPr="006708AD">
        <w:rPr>
          <w:rFonts w:ascii="Frutiger-Roman" w:hAnsi="Frutiger-Roman" w:cs="Frutiger-Roman"/>
          <w:i/>
          <w:sz w:val="19"/>
          <w:szCs w:val="19"/>
        </w:rPr>
        <w:t xml:space="preserve"> completed research should be made publicly available to contribute to the knowledge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708AD" w:rsidTr="00DE5A8F">
        <w:tc>
          <w:tcPr>
            <w:tcW w:w="9242" w:type="dxa"/>
            <w:shd w:val="clear" w:color="auto" w:fill="C6D9F1" w:themeFill="text2" w:themeFillTint="33"/>
          </w:tcPr>
          <w:p w:rsidR="006708AD" w:rsidRDefault="006708AD" w:rsidP="00DE5A8F">
            <w:r w:rsidRPr="00BE69DF">
              <w:rPr>
                <w:b/>
              </w:rPr>
              <w:t>R</w:t>
            </w:r>
            <w:r>
              <w:rPr>
                <w:b/>
              </w:rPr>
              <w:t>ecommendation r</w:t>
            </w:r>
            <w:r w:rsidRPr="00BE69DF">
              <w:rPr>
                <w:b/>
              </w:rPr>
              <w:t>esponse:</w:t>
            </w:r>
            <w:r>
              <w:rPr>
                <w:b/>
              </w:rPr>
              <w:t xml:space="preserve"> </w:t>
            </w:r>
            <w:r>
              <w:t xml:space="preserve">Supported </w:t>
            </w:r>
          </w:p>
          <w:p w:rsidR="006708AD" w:rsidRDefault="006708AD" w:rsidP="006708AD"/>
          <w:p w:rsidR="000377B6" w:rsidRDefault="00EC4D20" w:rsidP="00494629">
            <w:r>
              <w:t xml:space="preserve">WorkSafe </w:t>
            </w:r>
            <w:r w:rsidR="00080C09">
              <w:t xml:space="preserve">currently </w:t>
            </w:r>
            <w:r>
              <w:t xml:space="preserve">facilitates research into a range of OHS </w:t>
            </w:r>
            <w:r w:rsidR="00DD709C">
              <w:t>topics to inform its strategic priorities</w:t>
            </w:r>
            <w:r w:rsidR="0067095F">
              <w:t xml:space="preserve"> and this will continue</w:t>
            </w:r>
            <w:r w:rsidR="00DD709C">
              <w:t xml:space="preserve">. </w:t>
            </w:r>
          </w:p>
          <w:p w:rsidR="009A1D1C" w:rsidRDefault="009A1D1C" w:rsidP="00494629"/>
          <w:p w:rsidR="006C3855" w:rsidRDefault="006C3855" w:rsidP="006C3855">
            <w:r>
              <w:t xml:space="preserve">WorkSafe’s current research partner, the Institute for Safety Compensation and Recovery Research (ISCRR), makes its research publically available from the ISCRR web site: </w:t>
            </w:r>
            <w:r w:rsidRPr="00371AFC">
              <w:t xml:space="preserve"> </w:t>
            </w:r>
            <w:hyperlink r:id="rId9" w:history="1">
              <w:r w:rsidRPr="00B7282C">
                <w:rPr>
                  <w:rStyle w:val="Hyperlink"/>
                </w:rPr>
                <w:t>www.iscrr.com.au/workplace-health-and-safety</w:t>
              </w:r>
            </w:hyperlink>
            <w:r>
              <w:t>. Research undertaken by ISCRR aligns with WorkSafe’s strategic priorities and includes research into hazardous manual handling and prevention of falls from height.</w:t>
            </w:r>
          </w:p>
          <w:p w:rsidR="006C3855" w:rsidRDefault="006C3855" w:rsidP="006C3855"/>
          <w:p w:rsidR="00494629" w:rsidRDefault="00397072" w:rsidP="00494629">
            <w:r w:rsidRPr="00397072">
              <w:t xml:space="preserve">WorkSafe’s new long term strategy </w:t>
            </w:r>
            <w:r w:rsidR="009E1BA4" w:rsidRPr="00397072">
              <w:t>reaffirms</w:t>
            </w:r>
            <w:r w:rsidRPr="00397072">
              <w:t xml:space="preserve"> the importance of research and anticipates the development of a research roadmap which will articulate WorkSafe's vision for research, outline the "big research questions"</w:t>
            </w:r>
            <w:r w:rsidR="00F90E03">
              <w:t>,</w:t>
            </w:r>
            <w:r w:rsidRPr="00397072">
              <w:t xml:space="preserve"> address key knowledge gaps</w:t>
            </w:r>
            <w:r w:rsidR="00F90E03">
              <w:t xml:space="preserve"> and aligned with </w:t>
            </w:r>
            <w:r w:rsidR="003E4025">
              <w:t xml:space="preserve">WorkSafe’s </w:t>
            </w:r>
            <w:r w:rsidR="00F90E03">
              <w:t xml:space="preserve">strategic </w:t>
            </w:r>
            <w:r w:rsidR="00F83095">
              <w:t>priorities</w:t>
            </w:r>
            <w:r w:rsidRPr="00397072">
              <w:t>. There will be a focus on the translation of research outcomes into practical assessment tools, information, and guidance for duty holders and others.</w:t>
            </w:r>
            <w:r w:rsidR="001806DD">
              <w:t xml:space="preserve"> Publication of the research agenda and phased delivery will commence in 2018.</w:t>
            </w:r>
          </w:p>
          <w:p w:rsidR="00DD709C" w:rsidRDefault="00DD709C" w:rsidP="006708AD"/>
          <w:p w:rsidR="006C0C1E" w:rsidRDefault="006C0C1E"/>
        </w:tc>
      </w:tr>
    </w:tbl>
    <w:p w:rsidR="00486A67" w:rsidRDefault="00486A67">
      <w:pPr>
        <w:rPr>
          <w:rFonts w:ascii="Frutiger-Roman" w:hAnsi="Frutiger-Roman" w:cs="Frutiger-Roman"/>
          <w:b/>
          <w:i/>
          <w:sz w:val="19"/>
          <w:szCs w:val="19"/>
        </w:rPr>
      </w:pPr>
    </w:p>
    <w:p w:rsidR="003863F8" w:rsidRDefault="003863F8">
      <w:pPr>
        <w:rPr>
          <w:rFonts w:ascii="Frutiger-Roman" w:hAnsi="Frutiger-Roman" w:cs="Frutiger-Roman"/>
          <w:b/>
          <w:i/>
          <w:sz w:val="19"/>
          <w:szCs w:val="19"/>
        </w:rPr>
      </w:pPr>
      <w:r>
        <w:rPr>
          <w:rFonts w:ascii="Frutiger-Roman" w:hAnsi="Frutiger-Roman" w:cs="Frutiger-Roman"/>
          <w:b/>
          <w:i/>
          <w:sz w:val="19"/>
          <w:szCs w:val="19"/>
        </w:rPr>
        <w:br w:type="page"/>
      </w:r>
    </w:p>
    <w:p w:rsidR="006708AD" w:rsidRPr="00CA056C" w:rsidRDefault="006708AD" w:rsidP="00CA056C">
      <w:pPr>
        <w:rPr>
          <w:rFonts w:ascii="Frutiger-Roman" w:hAnsi="Frutiger-Roman" w:cs="Frutiger-Roman"/>
          <w:b/>
          <w:i/>
          <w:sz w:val="19"/>
          <w:szCs w:val="19"/>
        </w:rPr>
      </w:pPr>
      <w:r w:rsidRPr="00CA056C">
        <w:rPr>
          <w:rFonts w:ascii="Frutiger-Roman" w:hAnsi="Frutiger-Roman" w:cs="Frutiger-Roman"/>
          <w:b/>
          <w:i/>
          <w:sz w:val="19"/>
          <w:szCs w:val="19"/>
        </w:rPr>
        <w:lastRenderedPageBreak/>
        <w:t>Recommendation 11</w:t>
      </w:r>
    </w:p>
    <w:p w:rsidR="006708AD" w:rsidRPr="006708AD" w:rsidRDefault="006708AD" w:rsidP="006708AD">
      <w:pPr>
        <w:autoSpaceDE w:val="0"/>
        <w:autoSpaceDN w:val="0"/>
        <w:adjustRightInd w:val="0"/>
        <w:rPr>
          <w:rFonts w:ascii="Frutiger-Roman" w:hAnsi="Frutiger-Roman" w:cs="Frutiger-Roman"/>
          <w:i/>
          <w:sz w:val="19"/>
          <w:szCs w:val="19"/>
        </w:rPr>
      </w:pPr>
      <w:r w:rsidRPr="006708AD">
        <w:rPr>
          <w:rFonts w:ascii="Frutiger-Roman" w:hAnsi="Frutiger-Roman" w:cs="Frutiger-Roman"/>
          <w:i/>
          <w:sz w:val="19"/>
          <w:szCs w:val="19"/>
        </w:rPr>
        <w:t>That WorkSafe implements a formal process for evaluation of its strategic interventions, which includes ongoing monitoring of performance and outcome measures (established at project commencement) and concludes with a documented review of intervention effectiveness.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A056C" w:rsidTr="00DE5A8F">
        <w:tc>
          <w:tcPr>
            <w:tcW w:w="9242" w:type="dxa"/>
            <w:shd w:val="clear" w:color="auto" w:fill="C6D9F1" w:themeFill="text2" w:themeFillTint="33"/>
          </w:tcPr>
          <w:p w:rsidR="00CA056C" w:rsidRDefault="00CA056C" w:rsidP="00CA056C">
            <w:r w:rsidRPr="00BE69DF">
              <w:rPr>
                <w:b/>
              </w:rPr>
              <w:t>R</w:t>
            </w:r>
            <w:r>
              <w:rPr>
                <w:b/>
              </w:rPr>
              <w:t>ecommendation r</w:t>
            </w:r>
            <w:r w:rsidRPr="00BE69DF">
              <w:rPr>
                <w:b/>
              </w:rPr>
              <w:t>esponse:</w:t>
            </w:r>
            <w:r>
              <w:rPr>
                <w:b/>
              </w:rPr>
              <w:t xml:space="preserve"> </w:t>
            </w:r>
            <w:r>
              <w:t xml:space="preserve">Supported </w:t>
            </w:r>
          </w:p>
          <w:p w:rsidR="00CA056C" w:rsidRDefault="00CA056C" w:rsidP="00CA056C"/>
          <w:p w:rsidR="007E0DAF" w:rsidRDefault="007E0DAF" w:rsidP="007E0DAF">
            <w:r>
              <w:t xml:space="preserve">Monitoring and evaluation of strategic interventions is critical to ensuring that improvements are integrated into future programs. </w:t>
            </w:r>
          </w:p>
          <w:p w:rsidR="007E0DAF" w:rsidRDefault="007E0DAF" w:rsidP="007E0DAF"/>
          <w:p w:rsidR="007E0DAF" w:rsidRDefault="007E0DAF" w:rsidP="007E0DAF">
            <w:r>
              <w:t xml:space="preserve">WorkSafe takes a continuous improvement approach to all of its activities and this includes ensuring </w:t>
            </w:r>
            <w:r w:rsidR="009E1BA4">
              <w:t>lessons learnt</w:t>
            </w:r>
            <w:r>
              <w:t xml:space="preserve"> from project and program outcomes are captured and incorporated into the design of future programs. WorkSafe implemented an evaluation framework in 2015 and applies this to strategic OHS initiatives.</w:t>
            </w:r>
          </w:p>
          <w:p w:rsidR="007E0DAF" w:rsidRDefault="007E0DAF" w:rsidP="007E0DAF"/>
          <w:p w:rsidR="000159B6" w:rsidRDefault="007E0DAF" w:rsidP="007E0DAF">
            <w:r>
              <w:t>There is an opportunity to build on this framework and ensure a systematic approach to monitoring and evaluation of strategic initiatives</w:t>
            </w:r>
            <w:r w:rsidR="009E1BA4">
              <w:t>;</w:t>
            </w:r>
            <w:r>
              <w:t xml:space="preserve"> this is recognised i</w:t>
            </w:r>
            <w:r w:rsidR="005A5402">
              <w:t>n</w:t>
            </w:r>
            <w:r>
              <w:t xml:space="preserve"> the work that is underway to develop WorkSafe’s next long term strategy. Improved identification, targeting, monitoring and evaluation of strategic initiatives using better integrated and interrelated data, analytics and improved risk analysis will be fundamental to the strategy’s success.  </w:t>
            </w:r>
          </w:p>
          <w:p w:rsidR="007E0DAF" w:rsidRDefault="007E0DAF" w:rsidP="007E0DAF"/>
        </w:tc>
      </w:tr>
    </w:tbl>
    <w:p w:rsidR="006708AD" w:rsidRDefault="006708AD" w:rsidP="00F2517E">
      <w:pPr>
        <w:autoSpaceDE w:val="0"/>
        <w:autoSpaceDN w:val="0"/>
        <w:adjustRightInd w:val="0"/>
        <w:rPr>
          <w:rFonts w:ascii="Frutiger-Roman" w:hAnsi="Frutiger-Roman" w:cs="Frutiger-Roman"/>
          <w:i/>
          <w:color w:val="000000" w:themeColor="text1"/>
          <w:sz w:val="19"/>
          <w:szCs w:val="19"/>
        </w:rPr>
      </w:pPr>
    </w:p>
    <w:p w:rsidR="00C42C99" w:rsidRDefault="00C42C9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7A615B" w:rsidRPr="007A615B" w:rsidRDefault="007A615B" w:rsidP="00991B33">
      <w:pPr>
        <w:pStyle w:val="Heading1"/>
      </w:pPr>
      <w:bookmarkStart w:id="9" w:name="_Toc498607019"/>
      <w:r>
        <w:lastRenderedPageBreak/>
        <w:t>6</w:t>
      </w:r>
      <w:r>
        <w:tab/>
      </w:r>
      <w:r w:rsidRPr="007A615B">
        <w:t>WorkSafe’s compliance and enforcement activities</w:t>
      </w:r>
      <w:bookmarkEnd w:id="9"/>
    </w:p>
    <w:p w:rsidR="00991B33" w:rsidRDefault="00991B33" w:rsidP="00D00967">
      <w:pPr>
        <w:rPr>
          <w:rFonts w:ascii="Frutiger-Roman" w:hAnsi="Frutiger-Roman" w:cs="Frutiger-Roman"/>
          <w:b/>
          <w:i/>
          <w:sz w:val="19"/>
          <w:szCs w:val="19"/>
        </w:rPr>
      </w:pPr>
    </w:p>
    <w:p w:rsidR="00D00967" w:rsidRPr="00D00967" w:rsidRDefault="00D00967" w:rsidP="00D00967">
      <w:pPr>
        <w:rPr>
          <w:rFonts w:ascii="Frutiger-Roman" w:hAnsi="Frutiger-Roman" w:cs="Frutiger-Roman"/>
          <w:b/>
          <w:i/>
          <w:sz w:val="19"/>
          <w:szCs w:val="19"/>
        </w:rPr>
      </w:pPr>
      <w:r w:rsidRPr="00D00967">
        <w:rPr>
          <w:rFonts w:ascii="Frutiger-Roman" w:hAnsi="Frutiger-Roman" w:cs="Frutiger-Roman"/>
          <w:b/>
          <w:i/>
          <w:sz w:val="19"/>
          <w:szCs w:val="19"/>
        </w:rPr>
        <w:t>Recommendation 12</w:t>
      </w:r>
    </w:p>
    <w:p w:rsidR="00D00967" w:rsidRPr="00D00967" w:rsidRDefault="00D00967" w:rsidP="00D00967">
      <w:pPr>
        <w:autoSpaceDE w:val="0"/>
        <w:autoSpaceDN w:val="0"/>
        <w:adjustRightInd w:val="0"/>
        <w:rPr>
          <w:rFonts w:ascii="Frutiger-Roman" w:hAnsi="Frutiger-Roman" w:cs="Frutiger-Roman"/>
          <w:i/>
          <w:sz w:val="19"/>
          <w:szCs w:val="19"/>
        </w:rPr>
      </w:pPr>
      <w:r w:rsidRPr="00D00967">
        <w:rPr>
          <w:rFonts w:ascii="Frutiger-Roman" w:hAnsi="Frutiger-Roman" w:cs="Frutiger-Roman"/>
          <w:i/>
          <w:sz w:val="19"/>
          <w:szCs w:val="19"/>
        </w:rPr>
        <w:t>That WorkSafe urgently upgrades its website and broadens the range of targeted compliance assistance information available to duty 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00967" w:rsidTr="00DE5A8F">
        <w:tc>
          <w:tcPr>
            <w:tcW w:w="9242" w:type="dxa"/>
            <w:shd w:val="clear" w:color="auto" w:fill="C6D9F1" w:themeFill="text2" w:themeFillTint="33"/>
          </w:tcPr>
          <w:p w:rsidR="00D00967" w:rsidRDefault="00D00967" w:rsidP="00DE5A8F">
            <w:r w:rsidRPr="00BE69DF">
              <w:rPr>
                <w:b/>
              </w:rPr>
              <w:t>R</w:t>
            </w:r>
            <w:r>
              <w:rPr>
                <w:b/>
              </w:rPr>
              <w:t>ecommendation r</w:t>
            </w:r>
            <w:r w:rsidRPr="00BE69DF">
              <w:rPr>
                <w:b/>
              </w:rPr>
              <w:t>esponse:</w:t>
            </w:r>
            <w:r>
              <w:rPr>
                <w:b/>
              </w:rPr>
              <w:t xml:space="preserve"> </w:t>
            </w:r>
            <w:r>
              <w:t xml:space="preserve">Supported </w:t>
            </w:r>
          </w:p>
          <w:p w:rsidR="00D00967" w:rsidRDefault="00D00967" w:rsidP="00DE5A8F"/>
          <w:p w:rsidR="007E0DAF" w:rsidRDefault="007E0DAF" w:rsidP="007E0DAF">
            <w:r>
              <w:t xml:space="preserve">Work to upgrade WorkSafe’s website has commenced and improved usability and accessibility of information are the primary aim of the design enhancements. The first phase of the website upgrade </w:t>
            </w:r>
            <w:r w:rsidR="003E4025">
              <w:t xml:space="preserve">was </w:t>
            </w:r>
            <w:r>
              <w:t>completed in March 2017</w:t>
            </w:r>
            <w:r w:rsidR="003E4025">
              <w:t xml:space="preserve"> and</w:t>
            </w:r>
            <w:r>
              <w:t xml:space="preserve"> simplified the home page, main landing pages, updated information about insurance and claims and improved search and navigation.  Ongoing improvements will be made to the website over the next year</w:t>
            </w:r>
            <w:r w:rsidR="009A1D1C">
              <w:t xml:space="preserve"> to make it easier for people to find the information they need</w:t>
            </w:r>
            <w:r>
              <w:t xml:space="preserve">. </w:t>
            </w:r>
          </w:p>
          <w:p w:rsidR="007E0DAF" w:rsidRDefault="007E0DAF" w:rsidP="007E0DAF"/>
          <w:p w:rsidR="00D00967" w:rsidRDefault="007E0DAF" w:rsidP="006C3855">
            <w:r>
              <w:t>Better targeting and tailoring of compliance assistance and information</w:t>
            </w:r>
            <w:r w:rsidR="009E1BA4">
              <w:t>,</w:t>
            </w:r>
            <w:r>
              <w:t xml:space="preserve"> and ensuring that the information sought by employers and workers is accessible in a format - and through a channel that is convenient and effective </w:t>
            </w:r>
            <w:r w:rsidR="009E1BA4">
              <w:t xml:space="preserve">- </w:t>
            </w:r>
            <w:r>
              <w:t>is a major focus for WorkSafe</w:t>
            </w:r>
            <w:r w:rsidR="009E1BA4">
              <w:t>. T</w:t>
            </w:r>
            <w:r>
              <w:t xml:space="preserve">his will continue as implementation of its new strategy progresses. </w:t>
            </w:r>
          </w:p>
        </w:tc>
      </w:tr>
    </w:tbl>
    <w:p w:rsidR="00D00967" w:rsidRDefault="00D00967" w:rsidP="00F2517E">
      <w:pPr>
        <w:autoSpaceDE w:val="0"/>
        <w:autoSpaceDN w:val="0"/>
        <w:adjustRightInd w:val="0"/>
        <w:rPr>
          <w:rFonts w:ascii="Frutiger-Roman" w:hAnsi="Frutiger-Roman" w:cs="Frutiger-Roman"/>
          <w:i/>
          <w:color w:val="000000" w:themeColor="text1"/>
          <w:sz w:val="19"/>
          <w:szCs w:val="19"/>
        </w:rPr>
      </w:pPr>
    </w:p>
    <w:p w:rsidR="00584020" w:rsidRPr="00C7670F" w:rsidRDefault="00584020" w:rsidP="00C7670F">
      <w:pPr>
        <w:rPr>
          <w:rFonts w:ascii="Frutiger-Roman" w:hAnsi="Frutiger-Roman" w:cs="Frutiger-Roman"/>
          <w:b/>
          <w:i/>
          <w:sz w:val="19"/>
          <w:szCs w:val="19"/>
        </w:rPr>
      </w:pPr>
      <w:r w:rsidRPr="00C7670F">
        <w:rPr>
          <w:rFonts w:ascii="Frutiger-Roman" w:hAnsi="Frutiger-Roman" w:cs="Frutiger-Roman"/>
          <w:b/>
          <w:i/>
          <w:sz w:val="19"/>
          <w:szCs w:val="19"/>
        </w:rPr>
        <w:t>Recommendation 13</w:t>
      </w:r>
    </w:p>
    <w:p w:rsidR="00584020" w:rsidRPr="00584020" w:rsidRDefault="00584020" w:rsidP="00584020">
      <w:pPr>
        <w:autoSpaceDE w:val="0"/>
        <w:autoSpaceDN w:val="0"/>
        <w:adjustRightInd w:val="0"/>
        <w:rPr>
          <w:rFonts w:ascii="Frutiger-Roman" w:hAnsi="Frutiger-Roman" w:cs="Frutiger-Roman"/>
          <w:i/>
          <w:sz w:val="19"/>
          <w:szCs w:val="19"/>
        </w:rPr>
      </w:pPr>
      <w:r w:rsidRPr="00584020">
        <w:rPr>
          <w:rFonts w:ascii="Frutiger-Roman" w:hAnsi="Frutiger-Roman" w:cs="Frutiger-Roman"/>
          <w:i/>
          <w:sz w:val="19"/>
          <w:szCs w:val="19"/>
        </w:rPr>
        <w:t>That WorkSafe:</w:t>
      </w:r>
    </w:p>
    <w:p w:rsidR="00584020" w:rsidRPr="00C7670F" w:rsidRDefault="00584020" w:rsidP="00C7670F">
      <w:pPr>
        <w:pStyle w:val="ListParagraph"/>
        <w:numPr>
          <w:ilvl w:val="0"/>
          <w:numId w:val="14"/>
        </w:numPr>
        <w:autoSpaceDE w:val="0"/>
        <w:autoSpaceDN w:val="0"/>
        <w:adjustRightInd w:val="0"/>
        <w:rPr>
          <w:rFonts w:ascii="Frutiger-Roman" w:hAnsi="Frutiger-Roman" w:cs="Frutiger-Roman"/>
          <w:i/>
          <w:sz w:val="19"/>
          <w:szCs w:val="19"/>
        </w:rPr>
      </w:pPr>
      <w:r w:rsidRPr="00C7670F">
        <w:rPr>
          <w:rFonts w:ascii="Frutiger-Roman" w:hAnsi="Frutiger-Roman" w:cs="Frutiger-Roman"/>
          <w:i/>
          <w:sz w:val="19"/>
          <w:szCs w:val="19"/>
        </w:rPr>
        <w:t>establishes a training sub group of the SRG to examine and report to OHSAC on ways to improve access to training for managers and supervisors</w:t>
      </w:r>
    </w:p>
    <w:p w:rsidR="00584020" w:rsidRPr="00C7670F" w:rsidRDefault="00584020" w:rsidP="00C7670F">
      <w:pPr>
        <w:pStyle w:val="ListParagraph"/>
        <w:numPr>
          <w:ilvl w:val="0"/>
          <w:numId w:val="14"/>
        </w:numPr>
        <w:autoSpaceDE w:val="0"/>
        <w:autoSpaceDN w:val="0"/>
        <w:adjustRightInd w:val="0"/>
        <w:rPr>
          <w:rFonts w:ascii="Frutiger-Roman" w:hAnsi="Frutiger-Roman" w:cs="Frutiger-Roman"/>
          <w:i/>
          <w:sz w:val="19"/>
          <w:szCs w:val="19"/>
        </w:rPr>
      </w:pPr>
      <w:r w:rsidRPr="00C7670F">
        <w:rPr>
          <w:rFonts w:ascii="Frutiger-Roman" w:hAnsi="Frutiger-Roman" w:cs="Frutiger-Roman"/>
          <w:i/>
          <w:sz w:val="19"/>
          <w:szCs w:val="19"/>
        </w:rPr>
        <w:t>ensures that all HSR and manager/supervisor OHS training includes information on WorkSafe’s compliance and enforcement policy and compliance and enforcement plans</w:t>
      </w:r>
    </w:p>
    <w:p w:rsidR="00584020" w:rsidRPr="00C7670F" w:rsidRDefault="00584020" w:rsidP="00C7670F">
      <w:pPr>
        <w:pStyle w:val="ListParagraph"/>
        <w:numPr>
          <w:ilvl w:val="0"/>
          <w:numId w:val="14"/>
        </w:numPr>
        <w:autoSpaceDE w:val="0"/>
        <w:autoSpaceDN w:val="0"/>
        <w:adjustRightInd w:val="0"/>
        <w:rPr>
          <w:rFonts w:ascii="Frutiger-Roman" w:hAnsi="Frutiger-Roman" w:cs="Frutiger-Roman"/>
          <w:i/>
          <w:color w:val="000000" w:themeColor="text1"/>
          <w:sz w:val="19"/>
          <w:szCs w:val="19"/>
        </w:rPr>
      </w:pPr>
      <w:r w:rsidRPr="00C7670F">
        <w:rPr>
          <w:rFonts w:ascii="Frutiger-Roman" w:hAnsi="Frutiger-Roman" w:cs="Frutiger-Roman"/>
          <w:i/>
          <w:sz w:val="19"/>
          <w:szCs w:val="19"/>
        </w:rPr>
        <w:t>publicly reports on their activities to implement the Australian Strategy priority to promote OHS capability</w:t>
      </w:r>
      <w:r w:rsidR="00893B32">
        <w:rPr>
          <w:rFonts w:ascii="Frutiger-Roman" w:hAnsi="Frutiger-Roman" w:cs="Frutiger-Roman"/>
          <w:i/>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7670F" w:rsidTr="00DE5A8F">
        <w:tc>
          <w:tcPr>
            <w:tcW w:w="9242" w:type="dxa"/>
            <w:shd w:val="clear" w:color="auto" w:fill="C6D9F1" w:themeFill="text2" w:themeFillTint="33"/>
          </w:tcPr>
          <w:p w:rsidR="00C7670F" w:rsidRDefault="00C7670F" w:rsidP="00DE5A8F">
            <w:r w:rsidRPr="00BE69DF">
              <w:rPr>
                <w:b/>
              </w:rPr>
              <w:t>R</w:t>
            </w:r>
            <w:r>
              <w:rPr>
                <w:b/>
              </w:rPr>
              <w:t>ecommendation r</w:t>
            </w:r>
            <w:r w:rsidRPr="00BE69DF">
              <w:rPr>
                <w:b/>
              </w:rPr>
              <w:t>esponse:</w:t>
            </w:r>
            <w:r>
              <w:rPr>
                <w:b/>
              </w:rPr>
              <w:t xml:space="preserve"> </w:t>
            </w:r>
            <w:r w:rsidR="00035486">
              <w:t xml:space="preserve">Supported </w:t>
            </w:r>
          </w:p>
          <w:p w:rsidR="0084335E" w:rsidRDefault="0084335E" w:rsidP="00DE5A8F"/>
          <w:p w:rsidR="00BD7F28" w:rsidRDefault="00BD7F28" w:rsidP="00BD7F28">
            <w:r>
              <w:t xml:space="preserve">Improving the OHS capability of employers, workers, and other duty holders is a key enabler of improved workplace safety in Victoria and will </w:t>
            </w:r>
            <w:r w:rsidR="00CD7EC0">
              <w:t xml:space="preserve">continue to </w:t>
            </w:r>
            <w:r w:rsidR="00985994">
              <w:t xml:space="preserve">be a </w:t>
            </w:r>
            <w:r>
              <w:t xml:space="preserve">focus </w:t>
            </w:r>
            <w:r w:rsidR="00CD7EC0">
              <w:t xml:space="preserve">for </w:t>
            </w:r>
            <w:r w:rsidR="005F5E8D">
              <w:t>WorkSafe</w:t>
            </w:r>
            <w:r>
              <w:t>.</w:t>
            </w:r>
          </w:p>
          <w:p w:rsidR="00BD7F28" w:rsidRDefault="00BD7F28" w:rsidP="00BD7F28"/>
          <w:p w:rsidR="00BD7F28" w:rsidRDefault="00BD7F28" w:rsidP="00BD7F28">
            <w:r>
              <w:t>The OHS Act requires WorkSafe to approve HSR training</w:t>
            </w:r>
            <w:r w:rsidR="003E4025">
              <w:t xml:space="preserve"> modules</w:t>
            </w:r>
            <w:r>
              <w:t xml:space="preserve"> </w:t>
            </w:r>
            <w:r w:rsidR="003E4025">
              <w:t>and HSR training providers.</w:t>
            </w:r>
            <w:r>
              <w:t xml:space="preserve"> </w:t>
            </w:r>
            <w:r w:rsidR="003E4025">
              <w:t xml:space="preserve"> </w:t>
            </w:r>
            <w:r>
              <w:t>While employers have a duty to ensure that their supervisors are appropriately trained and capable of fulfilling the role of supervisor and manager, WorkSafe has an important role to play in supporting improved OHS capability.</w:t>
            </w:r>
          </w:p>
          <w:p w:rsidR="00BD7F28" w:rsidRDefault="00BD7F28" w:rsidP="00BD7F28"/>
          <w:p w:rsidR="00BD7F28" w:rsidRDefault="00BD7F28" w:rsidP="00BD7F28">
            <w:r>
              <w:t xml:space="preserve">A representative sub-group of SRG on HSR training and capability has been engaged and input will be sought from this group on improving access to training for managers and supervisors. </w:t>
            </w:r>
            <w:r w:rsidR="00520654">
              <w:t>WorkSafe’s next long-term strategy</w:t>
            </w:r>
            <w:r>
              <w:t xml:space="preserve"> also aims to build the capability of Victorian businesses to focus on prevention in its broader sense. </w:t>
            </w:r>
          </w:p>
          <w:p w:rsidR="00BD7F28" w:rsidRDefault="00BD7F28" w:rsidP="00BD7F28"/>
          <w:p w:rsidR="00BD7F28" w:rsidRDefault="00BD7F28" w:rsidP="00BD7F28">
            <w:r>
              <w:t xml:space="preserve">Where WorkSafe approves </w:t>
            </w:r>
            <w:r w:rsidR="00F90E03">
              <w:t xml:space="preserve">HSR </w:t>
            </w:r>
            <w:r>
              <w:t>training, it will ensure the inclusion of information on its compliance and enforcement policy. WorkSafe will provide the new compliance and enforcement framework to</w:t>
            </w:r>
            <w:r w:rsidR="00520654">
              <w:t xml:space="preserve"> </w:t>
            </w:r>
            <w:r>
              <w:t>HSR training</w:t>
            </w:r>
            <w:r w:rsidR="00520654">
              <w:t xml:space="preserve"> providers</w:t>
            </w:r>
            <w:r>
              <w:t xml:space="preserve"> so that the information is provided as supplementary reading.</w:t>
            </w:r>
            <w:r w:rsidR="00AF08D4">
              <w:t xml:space="preserve"> The new compliance and enforcement framework will be available from July 2018.</w:t>
            </w:r>
          </w:p>
          <w:p w:rsidR="00BD7F28" w:rsidRDefault="00985994" w:rsidP="00BD7F28">
            <w:r>
              <w:t xml:space="preserve">As a member of </w:t>
            </w:r>
            <w:r w:rsidR="00BD7F28">
              <w:t>Safe Work Australia (SWA)</w:t>
            </w:r>
            <w:r>
              <w:t xml:space="preserve">, WorkSafe </w:t>
            </w:r>
            <w:r w:rsidR="00BD7F28">
              <w:t>will continue to contribute to SWA</w:t>
            </w:r>
            <w:r w:rsidR="003E4025">
              <w:t>’</w:t>
            </w:r>
            <w:r w:rsidR="00BD7F28">
              <w:t xml:space="preserve">s reporting </w:t>
            </w:r>
            <w:r w:rsidR="00BD7F28">
              <w:lastRenderedPageBreak/>
              <w:t xml:space="preserve">on the Australian </w:t>
            </w:r>
            <w:r w:rsidR="00DE493C">
              <w:t xml:space="preserve">Work Health and Safety </w:t>
            </w:r>
            <w:r w:rsidR="00BD7F28">
              <w:t>Strategy 2012-</w:t>
            </w:r>
            <w:r w:rsidR="00DE493C">
              <w:t>2022</w:t>
            </w:r>
            <w:r w:rsidR="00BD7F28">
              <w:t xml:space="preserve"> including the promotion of OHS capability. WorkSafe </w:t>
            </w:r>
            <w:r>
              <w:t>will continue to provide regular updates to</w:t>
            </w:r>
            <w:r w:rsidR="00BD7F28">
              <w:t xml:space="preserve"> OHSAC and SRG on its progress toward delivering the priorities outlined in the Australian Strategy including the promotion of OHS capability.</w:t>
            </w:r>
          </w:p>
          <w:p w:rsidR="00035486" w:rsidRDefault="00035486"/>
        </w:tc>
      </w:tr>
    </w:tbl>
    <w:p w:rsidR="00C7670F" w:rsidRDefault="00C7670F" w:rsidP="00C7670F">
      <w:pPr>
        <w:autoSpaceDE w:val="0"/>
        <w:autoSpaceDN w:val="0"/>
        <w:adjustRightInd w:val="0"/>
        <w:rPr>
          <w:rFonts w:ascii="Frutiger-Roman" w:hAnsi="Frutiger-Roman" w:cs="Frutiger-Roman"/>
          <w:i/>
          <w:color w:val="000000" w:themeColor="text1"/>
          <w:sz w:val="19"/>
          <w:szCs w:val="19"/>
        </w:rPr>
      </w:pPr>
    </w:p>
    <w:p w:rsidR="00A23554" w:rsidRPr="00A23554" w:rsidRDefault="00A23554" w:rsidP="00A23554">
      <w:pPr>
        <w:rPr>
          <w:rFonts w:ascii="Frutiger-Roman" w:hAnsi="Frutiger-Roman" w:cs="Frutiger-Roman"/>
          <w:b/>
          <w:i/>
          <w:sz w:val="19"/>
          <w:szCs w:val="19"/>
        </w:rPr>
      </w:pPr>
      <w:r w:rsidRPr="00A23554">
        <w:rPr>
          <w:rFonts w:ascii="Frutiger-Roman" w:hAnsi="Frutiger-Roman" w:cs="Frutiger-Roman"/>
          <w:b/>
          <w:i/>
          <w:sz w:val="19"/>
          <w:szCs w:val="19"/>
        </w:rPr>
        <w:t>Recommendation 14</w:t>
      </w:r>
    </w:p>
    <w:p w:rsidR="00A23554" w:rsidRPr="00A23554" w:rsidRDefault="00A23554" w:rsidP="00A23554">
      <w:pPr>
        <w:autoSpaceDE w:val="0"/>
        <w:autoSpaceDN w:val="0"/>
        <w:adjustRightInd w:val="0"/>
        <w:rPr>
          <w:rFonts w:ascii="Frutiger-Roman" w:hAnsi="Frutiger-Roman" w:cs="Frutiger-Roman"/>
          <w:i/>
          <w:sz w:val="19"/>
          <w:szCs w:val="19"/>
        </w:rPr>
      </w:pPr>
      <w:r w:rsidRPr="00A23554">
        <w:rPr>
          <w:rFonts w:ascii="Frutiger-Roman" w:hAnsi="Frutiger-Roman" w:cs="Frutiger-Roman"/>
          <w:i/>
          <w:sz w:val="19"/>
          <w:szCs w:val="19"/>
        </w:rPr>
        <w:t>That WorkSafe provides more operational focus to enforce the consultation provisions in the OHS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23554" w:rsidTr="00DE5A8F">
        <w:tc>
          <w:tcPr>
            <w:tcW w:w="9242" w:type="dxa"/>
            <w:shd w:val="clear" w:color="auto" w:fill="C6D9F1" w:themeFill="text2" w:themeFillTint="33"/>
          </w:tcPr>
          <w:p w:rsidR="00A23554" w:rsidRDefault="00A23554" w:rsidP="00DE5A8F">
            <w:r w:rsidRPr="00BE69DF">
              <w:rPr>
                <w:b/>
              </w:rPr>
              <w:t>R</w:t>
            </w:r>
            <w:r>
              <w:rPr>
                <w:b/>
              </w:rPr>
              <w:t>ecommendation r</w:t>
            </w:r>
            <w:r w:rsidRPr="00BE69DF">
              <w:rPr>
                <w:b/>
              </w:rPr>
              <w:t>esponse:</w:t>
            </w:r>
            <w:r>
              <w:rPr>
                <w:b/>
              </w:rPr>
              <w:t xml:space="preserve"> </w:t>
            </w:r>
            <w:r w:rsidRPr="00A23554">
              <w:t>S</w:t>
            </w:r>
            <w:r>
              <w:t xml:space="preserve">upported  </w:t>
            </w:r>
          </w:p>
          <w:p w:rsidR="00A23554" w:rsidRDefault="00A23554" w:rsidP="00DE5A8F"/>
          <w:p w:rsidR="00060FB2" w:rsidRDefault="00537EE2" w:rsidP="00DE5A8F">
            <w:r>
              <w:t>C</w:t>
            </w:r>
            <w:r w:rsidR="00A23554" w:rsidRPr="00A23554">
              <w:t xml:space="preserve">onsultation </w:t>
            </w:r>
            <w:r>
              <w:t>i</w:t>
            </w:r>
            <w:r w:rsidR="001C51A7">
              <w:t>s an essential process in</w:t>
            </w:r>
            <w:r w:rsidR="00A23554" w:rsidRPr="00A23554">
              <w:t xml:space="preserve"> </w:t>
            </w:r>
            <w:r w:rsidR="00E35BEB">
              <w:t>a</w:t>
            </w:r>
            <w:r w:rsidR="00E35BEB" w:rsidRPr="00A23554">
              <w:t xml:space="preserve"> </w:t>
            </w:r>
            <w:r w:rsidR="00A23554" w:rsidRPr="00A23554">
              <w:t>continuous improvement approach to OHS</w:t>
            </w:r>
            <w:r w:rsidR="00E35BEB">
              <w:t xml:space="preserve">; it </w:t>
            </w:r>
            <w:r>
              <w:t xml:space="preserve">is </w:t>
            </w:r>
            <w:r w:rsidR="001C51A7" w:rsidRPr="001C51A7">
              <w:t>a legal requirement</w:t>
            </w:r>
            <w:r w:rsidR="008263B8">
              <w:t xml:space="preserve"> and </w:t>
            </w:r>
            <w:r w:rsidR="001C51A7" w:rsidRPr="001C51A7">
              <w:t>an essential part of managing health and safety at work.</w:t>
            </w:r>
            <w:r w:rsidR="001C51A7">
              <w:t xml:space="preserve"> WorkSafe’s compliance and enforcement activities continually reinforce these messages</w:t>
            </w:r>
            <w:r w:rsidR="00EA48E5">
              <w:t xml:space="preserve"> to duty holders</w:t>
            </w:r>
            <w:r w:rsidR="001C51A7">
              <w:t xml:space="preserve">. </w:t>
            </w:r>
            <w:r w:rsidR="001C51A7" w:rsidRPr="00A23554">
              <w:t>WorkSafe’s operational procedures outline that a focus on consultation is integral to every workplace visit</w:t>
            </w:r>
            <w:r w:rsidR="001C51A7">
              <w:t xml:space="preserve"> undertaken by WorkSafe inspectors. This is </w:t>
            </w:r>
            <w:r w:rsidR="00C06208">
              <w:t>emphasised</w:t>
            </w:r>
            <w:r w:rsidR="001C51A7">
              <w:t xml:space="preserve"> through inspector training and WorkSafe’s quality assurance processes for workplace inspections. </w:t>
            </w:r>
            <w:r w:rsidR="00060FB2">
              <w:t>Fo</w:t>
            </w:r>
            <w:r w:rsidR="00060FB2" w:rsidRPr="00060FB2">
              <w:t xml:space="preserve">llowing on from </w:t>
            </w:r>
            <w:r w:rsidR="00060FB2">
              <w:t xml:space="preserve">the </w:t>
            </w:r>
            <w:r w:rsidR="00060FB2" w:rsidRPr="00060FB2">
              <w:t xml:space="preserve">training on the OHS Regulations 2017, </w:t>
            </w:r>
            <w:r w:rsidR="00060FB2">
              <w:t>WorkSafe is</w:t>
            </w:r>
            <w:r w:rsidR="00060FB2" w:rsidRPr="00060FB2">
              <w:t xml:space="preserve"> conducting Inspector Refresher Training for all inspectors including investigators. This training will cover </w:t>
            </w:r>
            <w:r w:rsidR="00D06887">
              <w:t xml:space="preserve">consultation along with </w:t>
            </w:r>
            <w:r w:rsidR="00060FB2">
              <w:t xml:space="preserve">a range of </w:t>
            </w:r>
            <w:r w:rsidR="00D06887">
              <w:t xml:space="preserve">other </w:t>
            </w:r>
            <w:r w:rsidR="00060FB2">
              <w:t>topics</w:t>
            </w:r>
            <w:r w:rsidR="00D06887">
              <w:t>.</w:t>
            </w:r>
            <w:r w:rsidR="00060FB2">
              <w:t xml:space="preserve"> </w:t>
            </w:r>
          </w:p>
          <w:p w:rsidR="00A81C80" w:rsidRDefault="00A81C80" w:rsidP="00DE5A8F"/>
          <w:p w:rsidR="00A23554" w:rsidRDefault="00A23554" w:rsidP="00DE5A8F">
            <w:r w:rsidRPr="00A23554">
              <w:t xml:space="preserve">WorkSafe’s public messaging and industry presentations </w:t>
            </w:r>
            <w:r w:rsidR="00C06208">
              <w:t>communicate the vital importance of</w:t>
            </w:r>
            <w:r w:rsidRPr="00A23554">
              <w:t xml:space="preserve"> consultation </w:t>
            </w:r>
            <w:r w:rsidR="00C06208">
              <w:t>in</w:t>
            </w:r>
            <w:r w:rsidRPr="00A23554">
              <w:t xml:space="preserve"> promoting health and safety</w:t>
            </w:r>
            <w:r w:rsidR="001C51A7">
              <w:t xml:space="preserve"> and a legal requirement for employers. </w:t>
            </w:r>
            <w:r w:rsidRPr="00A23554">
              <w:t xml:space="preserve">WorkSafe will </w:t>
            </w:r>
            <w:r w:rsidR="00537EE2">
              <w:t>continue</w:t>
            </w:r>
            <w:r w:rsidRPr="00A23554">
              <w:t xml:space="preserve"> to </w:t>
            </w:r>
            <w:r w:rsidR="00C06208">
              <w:t>emphasis</w:t>
            </w:r>
            <w:r w:rsidR="001F57BB" w:rsidRPr="00A23554">
              <w:t>e</w:t>
            </w:r>
            <w:r w:rsidRPr="00A23554">
              <w:t xml:space="preserve"> the importance of consultation with its inspectorate, industry and duty holders. </w:t>
            </w:r>
          </w:p>
          <w:p w:rsidR="00A23554" w:rsidRDefault="00A23554" w:rsidP="00DE5A8F"/>
        </w:tc>
      </w:tr>
    </w:tbl>
    <w:p w:rsidR="00C7670F" w:rsidRDefault="00C7670F" w:rsidP="00C7670F">
      <w:pPr>
        <w:autoSpaceDE w:val="0"/>
        <w:autoSpaceDN w:val="0"/>
        <w:adjustRightInd w:val="0"/>
        <w:rPr>
          <w:rFonts w:ascii="Frutiger-Roman" w:hAnsi="Frutiger-Roman" w:cs="Frutiger-Roman"/>
          <w:i/>
          <w:color w:val="000000" w:themeColor="text1"/>
          <w:sz w:val="19"/>
          <w:szCs w:val="19"/>
        </w:rPr>
      </w:pPr>
    </w:p>
    <w:p w:rsidR="00A23554" w:rsidRPr="00A23554" w:rsidRDefault="00A23554" w:rsidP="00A23554">
      <w:pPr>
        <w:rPr>
          <w:rFonts w:ascii="Frutiger-Roman" w:hAnsi="Frutiger-Roman" w:cs="Frutiger-Roman"/>
          <w:b/>
          <w:i/>
          <w:sz w:val="19"/>
          <w:szCs w:val="19"/>
        </w:rPr>
      </w:pPr>
      <w:r>
        <w:rPr>
          <w:rFonts w:ascii="Frutiger-Roman" w:hAnsi="Frutiger-Roman" w:cs="Frutiger-Roman"/>
          <w:b/>
          <w:i/>
          <w:sz w:val="19"/>
          <w:szCs w:val="19"/>
        </w:rPr>
        <w:t>Recommendation 15</w:t>
      </w:r>
    </w:p>
    <w:p w:rsidR="00A23554" w:rsidRPr="00A23554" w:rsidRDefault="00A23554" w:rsidP="00A23554">
      <w:pPr>
        <w:autoSpaceDE w:val="0"/>
        <w:autoSpaceDN w:val="0"/>
        <w:adjustRightInd w:val="0"/>
        <w:rPr>
          <w:rFonts w:ascii="Frutiger-Roman" w:hAnsi="Frutiger-Roman" w:cs="Frutiger-Roman"/>
          <w:i/>
          <w:sz w:val="19"/>
          <w:szCs w:val="19"/>
        </w:rPr>
      </w:pPr>
      <w:r w:rsidRPr="00A23554">
        <w:rPr>
          <w:rFonts w:ascii="Frutiger-Roman" w:hAnsi="Frutiger-Roman" w:cs="Frutiger-Roman"/>
          <w:i/>
          <w:sz w:val="19"/>
          <w:szCs w:val="19"/>
        </w:rPr>
        <w:t xml:space="preserve">That the Victorian Government considers amending the OHS Act to include an offence provision in relation to section 36.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23554" w:rsidTr="00DE5A8F">
        <w:tc>
          <w:tcPr>
            <w:tcW w:w="9242" w:type="dxa"/>
            <w:shd w:val="clear" w:color="auto" w:fill="C6D9F1" w:themeFill="text2" w:themeFillTint="33"/>
          </w:tcPr>
          <w:p w:rsidR="00A23554" w:rsidRDefault="00A23554" w:rsidP="00DE5A8F">
            <w:r w:rsidRPr="00BE69DF">
              <w:rPr>
                <w:b/>
              </w:rPr>
              <w:t>R</w:t>
            </w:r>
            <w:r>
              <w:rPr>
                <w:b/>
              </w:rPr>
              <w:t>ecommendation r</w:t>
            </w:r>
            <w:r w:rsidRPr="00BE69DF">
              <w:rPr>
                <w:b/>
              </w:rPr>
              <w:t>esponse:</w:t>
            </w:r>
            <w:r>
              <w:rPr>
                <w:b/>
              </w:rPr>
              <w:t xml:space="preserve"> </w:t>
            </w:r>
            <w:r w:rsidR="006B2C1B" w:rsidRPr="00853012">
              <w:t>S</w:t>
            </w:r>
            <w:r>
              <w:t>upport</w:t>
            </w:r>
            <w:r w:rsidR="007B59CE">
              <w:t>ed</w:t>
            </w:r>
            <w:r>
              <w:t xml:space="preserve">  </w:t>
            </w:r>
          </w:p>
          <w:p w:rsidR="00A23554" w:rsidRDefault="00A23554" w:rsidP="00DE5A8F"/>
          <w:p w:rsidR="007F321B" w:rsidRDefault="007F321B" w:rsidP="005A5402">
            <w:r>
              <w:t xml:space="preserve">Legal advice has confirmed that section 36 of the OHS Act is </w:t>
            </w:r>
            <w:r w:rsidRPr="00941F6D">
              <w:t>subject to a penalty</w:t>
            </w:r>
            <w:r>
              <w:t xml:space="preserve"> under section 35 of the OHS Act.</w:t>
            </w:r>
          </w:p>
          <w:p w:rsidR="007F321B" w:rsidRDefault="007F321B" w:rsidP="005A5402"/>
          <w:p w:rsidR="007F321B" w:rsidRDefault="003E4025" w:rsidP="005A5402">
            <w:r>
              <w:t xml:space="preserve">The Victorian Government will explore options to ensure that is it clear that the requirements under </w:t>
            </w:r>
            <w:r w:rsidR="00941F6D">
              <w:t>section 36</w:t>
            </w:r>
            <w:r>
              <w:t xml:space="preserve"> of the OHS Act which cover </w:t>
            </w:r>
            <w:r w:rsidR="00941F6D">
              <w:t>how employees are to be consulted</w:t>
            </w:r>
            <w:r>
              <w:t>, are expressly linked to</w:t>
            </w:r>
            <w:r w:rsidR="007F321B">
              <w:t xml:space="preserve"> the offence provision attached to the duty to consult employees to provide clarity to employees and employers.</w:t>
            </w:r>
          </w:p>
          <w:p w:rsidR="007F321B" w:rsidRDefault="007F321B" w:rsidP="005A5402"/>
          <w:p w:rsidR="00941F6D" w:rsidRDefault="00A81C80" w:rsidP="005A5402">
            <w:r>
              <w:t>The field operations manual</w:t>
            </w:r>
            <w:r w:rsidR="00227CDC">
              <w:t xml:space="preserve">, which is used by inspectors and investigators, </w:t>
            </w:r>
            <w:r>
              <w:t>will be updated to</w:t>
            </w:r>
            <w:r w:rsidR="008B02A8">
              <w:t xml:space="preserve"> </w:t>
            </w:r>
            <w:r w:rsidR="005A5402">
              <w:t>ensure that inspectors and investigators are aware penalties apply to section 36.</w:t>
            </w:r>
            <w:r w:rsidR="005A5402" w:rsidDel="005A5402">
              <w:t xml:space="preserve"> </w:t>
            </w:r>
          </w:p>
        </w:tc>
      </w:tr>
    </w:tbl>
    <w:p w:rsidR="00DA171C" w:rsidRDefault="00DA171C">
      <w:pPr>
        <w:rPr>
          <w:rFonts w:ascii="Frutiger-Roman" w:hAnsi="Frutiger-Roman" w:cs="Frutiger-Roman"/>
          <w:b/>
          <w:i/>
          <w:sz w:val="19"/>
          <w:szCs w:val="19"/>
        </w:rPr>
      </w:pPr>
    </w:p>
    <w:p w:rsidR="00A23554" w:rsidRPr="00A23554" w:rsidRDefault="00A23554" w:rsidP="00A23554">
      <w:pPr>
        <w:rPr>
          <w:rFonts w:ascii="Frutiger-Roman" w:hAnsi="Frutiger-Roman" w:cs="Frutiger-Roman"/>
          <w:b/>
          <w:i/>
          <w:sz w:val="19"/>
          <w:szCs w:val="19"/>
        </w:rPr>
      </w:pPr>
      <w:r w:rsidRPr="00A23554">
        <w:rPr>
          <w:rFonts w:ascii="Frutiger-Roman" w:hAnsi="Frutiger-Roman" w:cs="Frutiger-Roman"/>
          <w:b/>
          <w:i/>
          <w:sz w:val="19"/>
          <w:szCs w:val="19"/>
        </w:rPr>
        <w:t>Recommendation 16</w:t>
      </w:r>
    </w:p>
    <w:p w:rsidR="00A23554" w:rsidRPr="00D548C3" w:rsidRDefault="00A23554" w:rsidP="00A23554">
      <w:pPr>
        <w:autoSpaceDE w:val="0"/>
        <w:autoSpaceDN w:val="0"/>
        <w:adjustRightInd w:val="0"/>
        <w:rPr>
          <w:rFonts w:ascii="Frutiger-Roman" w:hAnsi="Frutiger-Roman" w:cs="Frutiger-Roman"/>
          <w:sz w:val="19"/>
          <w:szCs w:val="19"/>
        </w:rPr>
      </w:pPr>
      <w:r w:rsidRPr="00D548C3">
        <w:rPr>
          <w:rFonts w:ascii="Frutiger-Roman" w:hAnsi="Frutiger-Roman" w:cs="Frutiger-Roman"/>
          <w:sz w:val="19"/>
          <w:szCs w:val="19"/>
        </w:rPr>
        <w:t>That WorkSafe:</w:t>
      </w:r>
    </w:p>
    <w:p w:rsidR="00A23554" w:rsidRPr="009A2C19" w:rsidRDefault="00A23554" w:rsidP="00A23554">
      <w:pPr>
        <w:pStyle w:val="ListParagraph"/>
        <w:numPr>
          <w:ilvl w:val="0"/>
          <w:numId w:val="16"/>
        </w:numPr>
        <w:autoSpaceDE w:val="0"/>
        <w:autoSpaceDN w:val="0"/>
        <w:adjustRightInd w:val="0"/>
        <w:rPr>
          <w:rFonts w:ascii="Frutiger-Roman" w:hAnsi="Frutiger-Roman" w:cs="Frutiger-Roman"/>
          <w:color w:val="0070C0"/>
          <w:sz w:val="19"/>
          <w:szCs w:val="19"/>
        </w:rPr>
      </w:pPr>
      <w:r w:rsidRPr="009A2C19">
        <w:rPr>
          <w:rFonts w:ascii="Frutiger-Roman" w:hAnsi="Frutiger-Roman" w:cs="Frutiger-Roman"/>
          <w:sz w:val="19"/>
          <w:szCs w:val="19"/>
        </w:rPr>
        <w:t>increases its focus on strategic workplace visits</w:t>
      </w:r>
    </w:p>
    <w:p w:rsidR="00A23554" w:rsidRPr="00D548C3" w:rsidRDefault="00A23554" w:rsidP="00A23554">
      <w:pPr>
        <w:pStyle w:val="ListParagraph"/>
        <w:numPr>
          <w:ilvl w:val="0"/>
          <w:numId w:val="16"/>
        </w:numPr>
        <w:autoSpaceDE w:val="0"/>
        <w:autoSpaceDN w:val="0"/>
        <w:adjustRightInd w:val="0"/>
        <w:rPr>
          <w:rFonts w:ascii="Frutiger-Roman" w:hAnsi="Frutiger-Roman" w:cs="Frutiger-Roman"/>
          <w:sz w:val="19"/>
          <w:szCs w:val="19"/>
        </w:rPr>
      </w:pPr>
      <w:r w:rsidRPr="00D548C3">
        <w:rPr>
          <w:rFonts w:ascii="Frutiger-Roman" w:hAnsi="Frutiger-Roman" w:cs="Frutiger-Roman"/>
          <w:sz w:val="19"/>
          <w:szCs w:val="19"/>
        </w:rPr>
        <w:t>increases the use of compliance tools to address strategic risks</w:t>
      </w:r>
    </w:p>
    <w:p w:rsidR="00A23554" w:rsidRPr="00D548C3" w:rsidRDefault="00A23554" w:rsidP="00A23554">
      <w:pPr>
        <w:pStyle w:val="ListParagraph"/>
        <w:numPr>
          <w:ilvl w:val="0"/>
          <w:numId w:val="16"/>
        </w:numPr>
        <w:autoSpaceDE w:val="0"/>
        <w:autoSpaceDN w:val="0"/>
        <w:adjustRightInd w:val="0"/>
        <w:rPr>
          <w:rFonts w:ascii="Frutiger-Roman" w:hAnsi="Frutiger-Roman" w:cs="Frutiger-Roman"/>
          <w:sz w:val="19"/>
          <w:szCs w:val="19"/>
        </w:rPr>
      </w:pPr>
      <w:r w:rsidRPr="00D548C3">
        <w:rPr>
          <w:rFonts w:ascii="Frutiger-Roman" w:hAnsi="Frutiger-Roman" w:cs="Frutiger-Roman"/>
          <w:sz w:val="19"/>
          <w:szCs w:val="19"/>
        </w:rPr>
        <w:t>increases the use of risk control plans and collects data to ensure it can report on the use of this tool</w:t>
      </w:r>
    </w:p>
    <w:p w:rsidR="00A23554" w:rsidRPr="00A23554" w:rsidRDefault="00A23554" w:rsidP="00A23554">
      <w:pPr>
        <w:pStyle w:val="ListParagraph"/>
        <w:numPr>
          <w:ilvl w:val="0"/>
          <w:numId w:val="16"/>
        </w:numPr>
        <w:autoSpaceDE w:val="0"/>
        <w:autoSpaceDN w:val="0"/>
        <w:adjustRightInd w:val="0"/>
        <w:rPr>
          <w:rFonts w:ascii="Frutiger-Roman" w:hAnsi="Frutiger-Roman" w:cs="Frutiger-Roman"/>
          <w:i/>
          <w:color w:val="000000" w:themeColor="text1"/>
          <w:sz w:val="19"/>
          <w:szCs w:val="19"/>
        </w:rPr>
      </w:pPr>
      <w:r w:rsidRPr="00A23554">
        <w:rPr>
          <w:rFonts w:ascii="Frutiger-Roman" w:hAnsi="Frutiger-Roman" w:cs="Frutiger-Roman"/>
          <w:sz w:val="19"/>
          <w:szCs w:val="19"/>
        </w:rPr>
        <w:lastRenderedPageBreak/>
        <w:t>reinforces the appropriate use of voluntary compliance</w:t>
      </w:r>
    </w:p>
    <w:p w:rsidR="00A23554" w:rsidRPr="00DE5A8F" w:rsidRDefault="00A23554" w:rsidP="00A23554">
      <w:pPr>
        <w:pStyle w:val="ListParagraph"/>
        <w:numPr>
          <w:ilvl w:val="0"/>
          <w:numId w:val="16"/>
        </w:numPr>
        <w:autoSpaceDE w:val="0"/>
        <w:autoSpaceDN w:val="0"/>
        <w:adjustRightInd w:val="0"/>
        <w:rPr>
          <w:rFonts w:ascii="Frutiger-Roman" w:hAnsi="Frutiger-Roman" w:cs="Frutiger-Roman"/>
          <w:i/>
          <w:color w:val="000000" w:themeColor="text1"/>
          <w:sz w:val="19"/>
          <w:szCs w:val="19"/>
        </w:rPr>
      </w:pPr>
      <w:r w:rsidRPr="00A23554">
        <w:rPr>
          <w:rFonts w:ascii="Frutiger-Roman" w:hAnsi="Frutiger-Roman" w:cs="Frutiger-Roman"/>
          <w:sz w:val="19"/>
          <w:szCs w:val="19"/>
        </w:rPr>
        <w:t>reports on the use of voluntary compliance and the circumstances in which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E5A8F" w:rsidTr="00DE5A8F">
        <w:tc>
          <w:tcPr>
            <w:tcW w:w="9242" w:type="dxa"/>
            <w:shd w:val="clear" w:color="auto" w:fill="C6D9F1" w:themeFill="text2" w:themeFillTint="33"/>
          </w:tcPr>
          <w:p w:rsidR="00DE5A8F" w:rsidRDefault="00DE5A8F" w:rsidP="00DE5A8F">
            <w:r w:rsidRPr="00BE69DF">
              <w:rPr>
                <w:b/>
              </w:rPr>
              <w:t>R</w:t>
            </w:r>
            <w:r>
              <w:rPr>
                <w:b/>
              </w:rPr>
              <w:t>ecommendation r</w:t>
            </w:r>
            <w:r w:rsidRPr="00BE69DF">
              <w:rPr>
                <w:b/>
              </w:rPr>
              <w:t>esponse:</w:t>
            </w:r>
            <w:r>
              <w:rPr>
                <w:b/>
              </w:rPr>
              <w:t xml:space="preserve"> </w:t>
            </w:r>
            <w:r w:rsidRPr="00DE5A8F">
              <w:t>S</w:t>
            </w:r>
            <w:r>
              <w:t xml:space="preserve">upported in </w:t>
            </w:r>
            <w:r w:rsidR="009D1C0C">
              <w:t>part</w:t>
            </w:r>
          </w:p>
          <w:p w:rsidR="00DE5A8F" w:rsidRDefault="00DE5A8F" w:rsidP="00DE5A8F"/>
          <w:p w:rsidR="002A27F8" w:rsidRDefault="002A27F8">
            <w:r w:rsidRPr="002A27F8">
              <w:t xml:space="preserve">The use of strategic workplace visits and other compliance tools to address strategic risks is supported. </w:t>
            </w:r>
            <w:r w:rsidR="00B25A0E">
              <w:t>WorkSafe’s new long-term strategy will support an increased focus on strategic activities.</w:t>
            </w:r>
          </w:p>
          <w:p w:rsidR="002A27F8" w:rsidRPr="002A27F8" w:rsidRDefault="002A27F8"/>
          <w:p w:rsidR="002A27F8" w:rsidRDefault="00735D53" w:rsidP="00227CDC">
            <w:r>
              <w:t>S</w:t>
            </w:r>
            <w:r w:rsidR="002A27F8" w:rsidRPr="002A27F8">
              <w:t xml:space="preserve">trategic workplace visits play </w:t>
            </w:r>
            <w:r>
              <w:t xml:space="preserve">an important role </w:t>
            </w:r>
            <w:r w:rsidR="002A27F8" w:rsidRPr="002A27F8">
              <w:t xml:space="preserve">in achieving WorkSafe’s strategic priorities and ensuring workplace safety. </w:t>
            </w:r>
            <w:r w:rsidR="002A27F8" w:rsidRPr="004F471E">
              <w:t xml:space="preserve">WorkSafe’s compliance and enforcement activities are part of its ‘constructive compliance’ approach, which combines positive motivators and deterrents </w:t>
            </w:r>
            <w:r w:rsidR="00227CDC">
              <w:t>that help to</w:t>
            </w:r>
            <w:r w:rsidR="00227CDC" w:rsidRPr="004F471E">
              <w:t xml:space="preserve"> </w:t>
            </w:r>
            <w:r w:rsidR="002A27F8" w:rsidRPr="004F471E">
              <w:t xml:space="preserve">change behaviour and improve workplace health and safety. This approach recognises that the right tools need to be used for the right circumstances. </w:t>
            </w:r>
            <w:r>
              <w:t xml:space="preserve">Voluntary compliance can be an appropriate tool to </w:t>
            </w:r>
            <w:r w:rsidRPr="00227CDC">
              <w:t>use</w:t>
            </w:r>
            <w:r>
              <w:t xml:space="preserve"> when a breach is observed and can be remedied immediately.  </w:t>
            </w:r>
            <w:r w:rsidR="00B4691E">
              <w:t>Risk control plans are a selective tool that can be used to closely monitor compliance behaviour in complex scenarios.</w:t>
            </w:r>
            <w:r>
              <w:t xml:space="preserve"> WorkSafe’s quality assurance process helps to assess whether its compliance tools are being used appropriately.</w:t>
            </w:r>
          </w:p>
          <w:p w:rsidR="00227CDC" w:rsidRDefault="00227CDC" w:rsidP="00B4691E"/>
          <w:p w:rsidR="00B25A0E" w:rsidRDefault="002A27F8" w:rsidP="00B25A0E">
            <w:r w:rsidRPr="002A27F8">
              <w:t xml:space="preserve">Insights into employer compliance behaviour are key to </w:t>
            </w:r>
            <w:r w:rsidR="00F6324B">
              <w:t>achieving</w:t>
            </w:r>
            <w:r w:rsidR="00F6324B" w:rsidRPr="002A27F8">
              <w:t xml:space="preserve"> </w:t>
            </w:r>
            <w:r w:rsidR="00F6324B">
              <w:t>constructive compliance</w:t>
            </w:r>
            <w:r w:rsidRPr="002A27F8">
              <w:t xml:space="preserve">. </w:t>
            </w:r>
            <w:r w:rsidR="00735D53">
              <w:t xml:space="preserve">Better use of data, </w:t>
            </w:r>
            <w:r w:rsidR="00735D53" w:rsidRPr="002A27F8">
              <w:t>analytics and risk analysis</w:t>
            </w:r>
            <w:r w:rsidR="00735D53">
              <w:t xml:space="preserve"> is a key foundation of WorkSafe’s next strategy.</w:t>
            </w:r>
            <w:r w:rsidRPr="002A27F8">
              <w:t xml:space="preserve"> In the short term WorkSafe will maintain its increased inspectorate presence and continue to focus on strategic targeting. </w:t>
            </w:r>
            <w:r w:rsidR="00B25A0E">
              <w:t xml:space="preserve">It will </w:t>
            </w:r>
            <w:r w:rsidR="00227CDC">
              <w:t xml:space="preserve">also </w:t>
            </w:r>
            <w:r w:rsidR="00B25A0E">
              <w:t xml:space="preserve">ensure </w:t>
            </w:r>
            <w:r w:rsidR="00227CDC">
              <w:t xml:space="preserve">that </w:t>
            </w:r>
            <w:r w:rsidR="00B25A0E">
              <w:t xml:space="preserve">inspectors are trained </w:t>
            </w:r>
            <w:r w:rsidR="005A5402">
              <w:t xml:space="preserve">and supported to </w:t>
            </w:r>
            <w:r w:rsidR="00B25A0E">
              <w:t>select and use the most appropriate compliance tools for the circumstances</w:t>
            </w:r>
            <w:r w:rsidR="00227CDC">
              <w:t xml:space="preserve"> they are presented with</w:t>
            </w:r>
            <w:r w:rsidR="00B25A0E">
              <w:t>.</w:t>
            </w:r>
          </w:p>
          <w:p w:rsidR="002A27F8" w:rsidRDefault="002A27F8" w:rsidP="002A27F8"/>
          <w:p w:rsidR="002A27F8" w:rsidRDefault="002A27F8" w:rsidP="002A27F8">
            <w:r>
              <w:t xml:space="preserve">WorkSafe </w:t>
            </w:r>
            <w:r w:rsidR="000C6C08">
              <w:t xml:space="preserve">will continue to provide data on </w:t>
            </w:r>
            <w:r>
              <w:t xml:space="preserve">inspectorate </w:t>
            </w:r>
            <w:r w:rsidR="000C6C08">
              <w:t xml:space="preserve">operational activity </w:t>
            </w:r>
            <w:r>
              <w:t xml:space="preserve">to OHSAC and </w:t>
            </w:r>
            <w:r w:rsidR="00735D53">
              <w:t xml:space="preserve">the OHS </w:t>
            </w:r>
            <w:r>
              <w:t xml:space="preserve">SRG </w:t>
            </w:r>
            <w:r w:rsidR="00F6324B">
              <w:t xml:space="preserve">containing </w:t>
            </w:r>
            <w:r>
              <w:t xml:space="preserve">a breakdown of compliance activity including notices issued and voluntary compliances. Compliance activity is also reported in </w:t>
            </w:r>
            <w:r w:rsidR="007F321B">
              <w:t>WorkSafe’s A</w:t>
            </w:r>
            <w:r>
              <w:t xml:space="preserve">nnual </w:t>
            </w:r>
            <w:r w:rsidR="007F321B">
              <w:t>R</w:t>
            </w:r>
            <w:r>
              <w:t xml:space="preserve">eport. </w:t>
            </w:r>
          </w:p>
          <w:p w:rsidR="00B4691E" w:rsidRDefault="00B4691E" w:rsidP="00B4691E"/>
        </w:tc>
      </w:tr>
    </w:tbl>
    <w:p w:rsidR="00DA171C" w:rsidRDefault="00DA171C" w:rsidP="00DE5A8F">
      <w:pPr>
        <w:rPr>
          <w:rFonts w:ascii="Frutiger-Roman" w:hAnsi="Frutiger-Roman" w:cs="Frutiger-Roman"/>
          <w:b/>
          <w:i/>
          <w:sz w:val="19"/>
          <w:szCs w:val="19"/>
        </w:rPr>
      </w:pPr>
    </w:p>
    <w:p w:rsidR="00DE5A8F" w:rsidRPr="00DE5A8F" w:rsidRDefault="00DE5A8F" w:rsidP="00DE5A8F">
      <w:pPr>
        <w:rPr>
          <w:rFonts w:ascii="Frutiger-Roman" w:hAnsi="Frutiger-Roman" w:cs="Frutiger-Roman"/>
          <w:b/>
          <w:i/>
          <w:sz w:val="19"/>
          <w:szCs w:val="19"/>
        </w:rPr>
      </w:pPr>
      <w:r w:rsidRPr="00DE5A8F">
        <w:rPr>
          <w:rFonts w:ascii="Frutiger-Roman" w:hAnsi="Frutiger-Roman" w:cs="Frutiger-Roman"/>
          <w:b/>
          <w:i/>
          <w:sz w:val="19"/>
          <w:szCs w:val="19"/>
        </w:rPr>
        <w:t>Recommendation 17</w:t>
      </w:r>
    </w:p>
    <w:p w:rsidR="00DE5A8F" w:rsidRPr="00DE5A8F" w:rsidRDefault="00DE5A8F" w:rsidP="00DE5A8F">
      <w:p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That WorkSafe improves the value of the use of inspection resources by:</w:t>
      </w:r>
    </w:p>
    <w:p w:rsidR="00DE5A8F" w:rsidRPr="00DE5A8F" w:rsidRDefault="00DE5A8F" w:rsidP="00DE5A8F">
      <w:pPr>
        <w:pStyle w:val="ListParagraph"/>
        <w:numPr>
          <w:ilvl w:val="0"/>
          <w:numId w:val="18"/>
        </w:num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continuing to ensure that inspectors have the capability to address complex priority hazards such as manual handling and psychosocial hazards, including the appropriate use of notices</w:t>
      </w:r>
    </w:p>
    <w:p w:rsidR="00DE5A8F" w:rsidRPr="00DE5A8F" w:rsidRDefault="00DE5A8F" w:rsidP="00DE5A8F">
      <w:pPr>
        <w:pStyle w:val="ListParagraph"/>
        <w:numPr>
          <w:ilvl w:val="0"/>
          <w:numId w:val="18"/>
        </w:numPr>
        <w:autoSpaceDE w:val="0"/>
        <w:autoSpaceDN w:val="0"/>
        <w:adjustRightInd w:val="0"/>
        <w:rPr>
          <w:rFonts w:ascii="Frutiger-Roman" w:hAnsi="Frutiger-Roman" w:cs="Frutiger-Roman"/>
          <w:i/>
          <w:color w:val="000000" w:themeColor="text1"/>
          <w:sz w:val="19"/>
          <w:szCs w:val="19"/>
        </w:rPr>
      </w:pPr>
      <w:r w:rsidRPr="00DE5A8F">
        <w:rPr>
          <w:rFonts w:ascii="Frutiger-Roman" w:hAnsi="Frutiger-Roman" w:cs="Frutiger-Roman"/>
          <w:i/>
          <w:sz w:val="19"/>
          <w:szCs w:val="19"/>
        </w:rPr>
        <w:t>publishing inspector checklists to better inform duty holders about WorkSafe’s priorities, compliance requirements and what to expect</w:t>
      </w:r>
    </w:p>
    <w:p w:rsidR="00DE5A8F" w:rsidRPr="00DE5A8F" w:rsidRDefault="00DE5A8F" w:rsidP="00DE5A8F">
      <w:pPr>
        <w:pStyle w:val="ListParagraph"/>
        <w:numPr>
          <w:ilvl w:val="0"/>
          <w:numId w:val="18"/>
        </w:numPr>
        <w:autoSpaceDE w:val="0"/>
        <w:autoSpaceDN w:val="0"/>
        <w:adjustRightInd w:val="0"/>
        <w:rPr>
          <w:rFonts w:ascii="Frutiger-Roman" w:hAnsi="Frutiger-Roman" w:cs="Frutiger-Roman"/>
          <w:i/>
          <w:color w:val="000000" w:themeColor="text1"/>
          <w:sz w:val="19"/>
          <w:szCs w:val="19"/>
        </w:rPr>
      </w:pPr>
      <w:r w:rsidRPr="00DE5A8F">
        <w:rPr>
          <w:rFonts w:ascii="Frutiger-Roman" w:hAnsi="Frutiger-Roman" w:cs="Frutiger-Roman"/>
          <w:i/>
          <w:sz w:val="19"/>
          <w:szCs w:val="19"/>
        </w:rPr>
        <w:t>ensuring that lessons learnt from internal review and quality assurance are used to continue to improve the use of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E5A8F" w:rsidTr="00DE5A8F">
        <w:tc>
          <w:tcPr>
            <w:tcW w:w="9242" w:type="dxa"/>
            <w:shd w:val="clear" w:color="auto" w:fill="C6D9F1" w:themeFill="text2" w:themeFillTint="33"/>
          </w:tcPr>
          <w:p w:rsidR="00DE5A8F" w:rsidRDefault="00DE5A8F" w:rsidP="00DE5A8F">
            <w:r w:rsidRPr="00BE69DF">
              <w:rPr>
                <w:b/>
              </w:rPr>
              <w:t>R</w:t>
            </w:r>
            <w:r>
              <w:rPr>
                <w:b/>
              </w:rPr>
              <w:t>ecommendation r</w:t>
            </w:r>
            <w:r w:rsidRPr="00BE69DF">
              <w:rPr>
                <w:b/>
              </w:rPr>
              <w:t>esponse:</w:t>
            </w:r>
            <w:r>
              <w:rPr>
                <w:b/>
              </w:rPr>
              <w:t xml:space="preserve"> </w:t>
            </w:r>
            <w:r w:rsidRPr="00DE5A8F">
              <w:t>S</w:t>
            </w:r>
            <w:r>
              <w:t xml:space="preserve">upported </w:t>
            </w:r>
          </w:p>
          <w:p w:rsidR="00DE5A8F" w:rsidRDefault="00DE5A8F" w:rsidP="00DE5A8F"/>
          <w:p w:rsidR="00C711DA" w:rsidRDefault="00614339" w:rsidP="00C711DA">
            <w:r>
              <w:t>WorkSafe is committed to continuing to ensure that its inspectors have the capacity to address complex hazards and to use the appropriate tools</w:t>
            </w:r>
            <w:r w:rsidR="007F321B">
              <w:t xml:space="preserve"> through strategic planning, prevention program development, resource allocation and </w:t>
            </w:r>
            <w:r w:rsidR="00E543F8">
              <w:t xml:space="preserve">its extensive </w:t>
            </w:r>
            <w:r w:rsidR="007F321B">
              <w:t xml:space="preserve">inspector training </w:t>
            </w:r>
            <w:r w:rsidR="00E543F8">
              <w:t xml:space="preserve">program and </w:t>
            </w:r>
            <w:r w:rsidR="007F321B">
              <w:t xml:space="preserve">future capability development. </w:t>
            </w:r>
          </w:p>
          <w:p w:rsidR="00614339" w:rsidRDefault="00614339" w:rsidP="00DE5A8F"/>
          <w:p w:rsidR="00614339" w:rsidRDefault="007F321B" w:rsidP="00614339">
            <w:r>
              <w:t xml:space="preserve">WorkSafe will continue to </w:t>
            </w:r>
            <w:r w:rsidR="00614339">
              <w:t xml:space="preserve">enhance its approach to </w:t>
            </w:r>
            <w:r>
              <w:t xml:space="preserve">improving inspector’s </w:t>
            </w:r>
            <w:r w:rsidR="00614339">
              <w:t xml:space="preserve">ongoing capability by </w:t>
            </w:r>
            <w:r>
              <w:t xml:space="preserve">using </w:t>
            </w:r>
            <w:r w:rsidR="00614339">
              <w:t xml:space="preserve">simulation based coaching </w:t>
            </w:r>
            <w:r>
              <w:t xml:space="preserve">to </w:t>
            </w:r>
            <w:r w:rsidR="00614339">
              <w:t xml:space="preserve">focus on developing and improving </w:t>
            </w:r>
            <w:r>
              <w:t xml:space="preserve">inspector </w:t>
            </w:r>
            <w:r w:rsidR="00614339">
              <w:t>behavioural competencies</w:t>
            </w:r>
            <w:r>
              <w:t>.</w:t>
            </w:r>
          </w:p>
          <w:p w:rsidR="00FB78BB" w:rsidRDefault="00FB78BB" w:rsidP="00DE5A8F"/>
          <w:p w:rsidR="00C711DA" w:rsidRPr="00F92AD8" w:rsidRDefault="000C6C08" w:rsidP="00DE5A8F">
            <w:pPr>
              <w:rPr>
                <w:color w:val="FF0000"/>
              </w:rPr>
            </w:pPr>
            <w:r>
              <w:t>WorkSafe</w:t>
            </w:r>
            <w:r w:rsidR="007F321B">
              <w:t xml:space="preserve"> will also continue to </w:t>
            </w:r>
            <w:r>
              <w:t>work towards</w:t>
            </w:r>
            <w:r w:rsidR="00C711DA">
              <w:t xml:space="preserve"> more</w:t>
            </w:r>
            <w:r w:rsidR="009B1031">
              <w:t xml:space="preserve"> client-centric,</w:t>
            </w:r>
            <w:r w:rsidR="00C711DA">
              <w:t xml:space="preserve"> tailored products, services and </w:t>
            </w:r>
            <w:r w:rsidR="00C711DA">
              <w:lastRenderedPageBreak/>
              <w:t xml:space="preserve">support for the needs of the broad range of duty holders in Victoria. </w:t>
            </w:r>
            <w:r w:rsidR="00A8010F">
              <w:t xml:space="preserve">This </w:t>
            </w:r>
            <w:r w:rsidR="007F321B">
              <w:t xml:space="preserve">will </w:t>
            </w:r>
            <w:r w:rsidR="00C711DA">
              <w:t>include</w:t>
            </w:r>
            <w:r w:rsidR="00A8010F">
              <w:t xml:space="preserve"> making tools such as guidance, injury hotspots, and </w:t>
            </w:r>
            <w:r w:rsidR="00D06887">
              <w:t xml:space="preserve">some </w:t>
            </w:r>
            <w:r w:rsidR="00A8010F">
              <w:t xml:space="preserve">inspector checklists available to duty holders. </w:t>
            </w:r>
            <w:r w:rsidR="00CE426A">
              <w:t>It will also evolve the technology</w:t>
            </w:r>
            <w:r w:rsidR="00C711DA">
              <w:t xml:space="preserve"> </w:t>
            </w:r>
            <w:r w:rsidR="00CE426A">
              <w:t>used by WorkSafe</w:t>
            </w:r>
            <w:r w:rsidR="005B60A6">
              <w:t>,</w:t>
            </w:r>
            <w:r w:rsidR="00CE426A">
              <w:t xml:space="preserve"> enabling </w:t>
            </w:r>
            <w:r w:rsidR="00A8010F">
              <w:t xml:space="preserve">inspectors </w:t>
            </w:r>
            <w:r w:rsidR="00CE426A">
              <w:t xml:space="preserve">to be more effective in their interactions with the workplace. </w:t>
            </w:r>
            <w:r w:rsidR="003E3622" w:rsidRPr="00F92AD8">
              <w:t>WorkSafe will provide an opportunity for stakeholder input about its future business model and how it can work better.</w:t>
            </w:r>
          </w:p>
          <w:p w:rsidR="00D81539" w:rsidRDefault="00D81539" w:rsidP="00DE5A8F"/>
          <w:p w:rsidR="00DE5A8F" w:rsidRDefault="003C41FC">
            <w:r>
              <w:t>WorkSafe uses a quality assurance process for its inspectorate and lessons learn</w:t>
            </w:r>
            <w:r w:rsidR="0087258C">
              <w:t>t</w:t>
            </w:r>
            <w:r>
              <w:t xml:space="preserve"> from that process are regularly communicated to inspectors and their team leaders. </w:t>
            </w:r>
            <w:r w:rsidR="00D81539">
              <w:t>WorkSafe is currently implementing improvements in the way that it communicates lessons learn</w:t>
            </w:r>
            <w:r w:rsidR="0087258C">
              <w:t>t</w:t>
            </w:r>
            <w:r w:rsidR="00D81539">
              <w:t xml:space="preserve"> from internal review decisions across the inspectorate in line with its </w:t>
            </w:r>
            <w:r>
              <w:t>continuous improvement approach</w:t>
            </w:r>
            <w:r w:rsidR="00D81539">
              <w:t xml:space="preserve">. </w:t>
            </w:r>
            <w:r w:rsidR="009F6586">
              <w:t xml:space="preserve"> </w:t>
            </w:r>
          </w:p>
          <w:p w:rsidR="009F6586" w:rsidRDefault="009F6586" w:rsidP="009F6586"/>
        </w:tc>
      </w:tr>
    </w:tbl>
    <w:p w:rsidR="00DE5A8F" w:rsidRDefault="00DE5A8F" w:rsidP="00DE5A8F">
      <w:pPr>
        <w:autoSpaceDE w:val="0"/>
        <w:autoSpaceDN w:val="0"/>
        <w:adjustRightInd w:val="0"/>
        <w:rPr>
          <w:rFonts w:ascii="Frutiger-Roman" w:hAnsi="Frutiger-Roman" w:cs="Frutiger-Roman"/>
          <w:i/>
          <w:color w:val="000000" w:themeColor="text1"/>
          <w:sz w:val="19"/>
          <w:szCs w:val="19"/>
        </w:rPr>
      </w:pPr>
    </w:p>
    <w:p w:rsidR="00DE5A8F" w:rsidRPr="00DE5A8F" w:rsidRDefault="00DE5A8F" w:rsidP="00DE5A8F">
      <w:pPr>
        <w:rPr>
          <w:rFonts w:ascii="Frutiger-Roman" w:hAnsi="Frutiger-Roman" w:cs="Frutiger-Roman"/>
          <w:b/>
          <w:i/>
          <w:sz w:val="19"/>
          <w:szCs w:val="19"/>
        </w:rPr>
      </w:pPr>
      <w:r w:rsidRPr="00DE5A8F">
        <w:rPr>
          <w:rFonts w:ascii="Frutiger-Roman" w:hAnsi="Frutiger-Roman" w:cs="Frutiger-Roman"/>
          <w:b/>
          <w:i/>
          <w:sz w:val="19"/>
          <w:szCs w:val="19"/>
        </w:rPr>
        <w:t>Recommendation 18</w:t>
      </w:r>
    </w:p>
    <w:p w:rsidR="00DE5A8F" w:rsidRDefault="00DE5A8F" w:rsidP="00DE5A8F">
      <w:p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That WorkSafe undertakes more strategic prosecutions.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E5A8F" w:rsidTr="00DE5A8F">
        <w:tc>
          <w:tcPr>
            <w:tcW w:w="9242" w:type="dxa"/>
            <w:shd w:val="clear" w:color="auto" w:fill="C6D9F1" w:themeFill="text2" w:themeFillTint="33"/>
          </w:tcPr>
          <w:p w:rsidR="00DE5A8F" w:rsidRDefault="00DE5A8F" w:rsidP="00DE5A8F">
            <w:r w:rsidRPr="00BE69DF">
              <w:rPr>
                <w:b/>
              </w:rPr>
              <w:t>R</w:t>
            </w:r>
            <w:r>
              <w:rPr>
                <w:b/>
              </w:rPr>
              <w:t>ecommendation r</w:t>
            </w:r>
            <w:r w:rsidRPr="00BE69DF">
              <w:rPr>
                <w:b/>
              </w:rPr>
              <w:t>esponse:</w:t>
            </w:r>
            <w:r>
              <w:rPr>
                <w:b/>
              </w:rPr>
              <w:t xml:space="preserve"> </w:t>
            </w:r>
            <w:r w:rsidRPr="00DE5A8F">
              <w:t>S</w:t>
            </w:r>
            <w:r>
              <w:t xml:space="preserve">upported </w:t>
            </w:r>
          </w:p>
          <w:p w:rsidR="00081269" w:rsidRPr="00DE0AE3" w:rsidRDefault="00081269" w:rsidP="00DE5A8F"/>
          <w:p w:rsidR="0090666D" w:rsidRDefault="00081269" w:rsidP="0090666D">
            <w:r>
              <w:t>WorkSafe</w:t>
            </w:r>
            <w:r w:rsidR="000C471B">
              <w:t xml:space="preserve"> will commence measuring and reporting on the alignment of prosecutions with strategic priorities</w:t>
            </w:r>
            <w:r w:rsidR="00E9516A">
              <w:t xml:space="preserve"> based on the greatest risks to workplace safety</w:t>
            </w:r>
            <w:r w:rsidR="00F6324B">
              <w:t>.</w:t>
            </w:r>
            <w:r w:rsidR="00E543F8">
              <w:t xml:space="preserve"> WorkSafe will</w:t>
            </w:r>
            <w:r w:rsidR="00F6324B">
              <w:t xml:space="preserve"> </w:t>
            </w:r>
            <w:r w:rsidR="00E543F8">
              <w:t>i</w:t>
            </w:r>
            <w:r w:rsidR="00DE0AE3">
              <w:t>mprove</w:t>
            </w:r>
            <w:r w:rsidR="00E543F8">
              <w:t xml:space="preserve"> the </w:t>
            </w:r>
            <w:r w:rsidR="00DE0AE3">
              <w:t xml:space="preserve">use of </w:t>
            </w:r>
            <w:r w:rsidR="00420104" w:rsidRPr="0078464A">
              <w:t>data</w:t>
            </w:r>
            <w:r w:rsidR="0078464A">
              <w:t xml:space="preserve"> and</w:t>
            </w:r>
            <w:r w:rsidR="00420104" w:rsidRPr="0078464A">
              <w:t xml:space="preserve"> anal</w:t>
            </w:r>
            <w:r w:rsidR="0078464A">
              <w:t xml:space="preserve">ytics </w:t>
            </w:r>
            <w:r w:rsidR="00E543F8">
              <w:t>through its</w:t>
            </w:r>
            <w:r w:rsidR="00A8010F">
              <w:t xml:space="preserve"> next long term strategy </w:t>
            </w:r>
            <w:r w:rsidR="00E543F8">
              <w:t xml:space="preserve">to identify priority areas and </w:t>
            </w:r>
            <w:r w:rsidR="00A8010F">
              <w:t>support better measurement and reporting of the effectiveness of prosecutions as a strategic tool</w:t>
            </w:r>
            <w:r w:rsidR="00420104" w:rsidRPr="0078464A">
              <w:t>.</w:t>
            </w:r>
          </w:p>
          <w:p w:rsidR="0090666D" w:rsidRDefault="0090666D" w:rsidP="0090666D">
            <w:r>
              <w:t xml:space="preserve">WorkSafe acknowledges the importance of a strategic approach to prosecuting and </w:t>
            </w:r>
            <w:r w:rsidR="00E153C8">
              <w:t xml:space="preserve">the </w:t>
            </w:r>
            <w:r>
              <w:t>strong deterrence value</w:t>
            </w:r>
            <w:r w:rsidR="00E153C8">
              <w:t xml:space="preserve"> they provide</w:t>
            </w:r>
            <w:r>
              <w:t>. WorkSafe has increased its investigation resources</w:t>
            </w:r>
            <w:r w:rsidR="00B87519">
              <w:t xml:space="preserve"> and </w:t>
            </w:r>
            <w:r w:rsidR="00B87519" w:rsidRPr="004F471E">
              <w:t>WorkSafe’s strategic priorities</w:t>
            </w:r>
            <w:r w:rsidR="00B87519">
              <w:t xml:space="preserve"> will continue to</w:t>
            </w:r>
            <w:r w:rsidR="00B87519" w:rsidRPr="004F471E">
              <w:t xml:space="preserve"> inform all </w:t>
            </w:r>
            <w:r w:rsidR="00B87519">
              <w:t xml:space="preserve">of </w:t>
            </w:r>
            <w:r w:rsidR="00B87519" w:rsidRPr="004F471E">
              <w:t>its prosecution decisions</w:t>
            </w:r>
            <w:r w:rsidR="00B87519">
              <w:t>.</w:t>
            </w:r>
          </w:p>
          <w:p w:rsidR="00DE5A8F" w:rsidRDefault="00DE5A8F"/>
        </w:tc>
      </w:tr>
    </w:tbl>
    <w:p w:rsidR="00DE5A8F" w:rsidRDefault="00DE5A8F" w:rsidP="00DE5A8F">
      <w:pPr>
        <w:rPr>
          <w:rFonts w:ascii="Frutiger-Roman" w:hAnsi="Frutiger-Roman" w:cs="Frutiger-Roman"/>
          <w:color w:val="0070C0"/>
          <w:sz w:val="19"/>
          <w:szCs w:val="19"/>
        </w:rPr>
      </w:pPr>
    </w:p>
    <w:p w:rsidR="00725BE0" w:rsidRDefault="00725BE0" w:rsidP="00DE5A8F">
      <w:pPr>
        <w:rPr>
          <w:rFonts w:ascii="Frutiger-Roman" w:hAnsi="Frutiger-Roman" w:cs="Frutiger-Roman"/>
          <w:b/>
          <w:i/>
          <w:sz w:val="19"/>
          <w:szCs w:val="19"/>
        </w:rPr>
      </w:pPr>
      <w:r>
        <w:rPr>
          <w:rFonts w:ascii="Frutiger-Roman" w:hAnsi="Frutiger-Roman" w:cs="Frutiger-Roman"/>
          <w:b/>
          <w:i/>
          <w:sz w:val="19"/>
          <w:szCs w:val="19"/>
        </w:rPr>
        <w:br w:type="page"/>
      </w:r>
    </w:p>
    <w:p w:rsidR="00DE5A8F" w:rsidRPr="00DE5A8F" w:rsidRDefault="00DE5A8F" w:rsidP="00DE5A8F">
      <w:pPr>
        <w:rPr>
          <w:rFonts w:ascii="Frutiger-Roman" w:hAnsi="Frutiger-Roman" w:cs="Frutiger-Roman"/>
          <w:b/>
          <w:i/>
          <w:sz w:val="19"/>
          <w:szCs w:val="19"/>
        </w:rPr>
      </w:pPr>
      <w:r w:rsidRPr="00DE5A8F">
        <w:rPr>
          <w:rFonts w:ascii="Frutiger-Roman" w:hAnsi="Frutiger-Roman" w:cs="Frutiger-Roman"/>
          <w:b/>
          <w:i/>
          <w:sz w:val="19"/>
          <w:szCs w:val="19"/>
        </w:rPr>
        <w:lastRenderedPageBreak/>
        <w:t>Recommendation 19</w:t>
      </w:r>
    </w:p>
    <w:p w:rsidR="00DE5A8F" w:rsidRPr="00DE5A8F" w:rsidRDefault="00DE5A8F" w:rsidP="00DE5A8F">
      <w:p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That WorkSafe reports on the use of its enforcement actions in more detail including:</w:t>
      </w:r>
    </w:p>
    <w:p w:rsidR="00DE5A8F" w:rsidRPr="00DE5A8F" w:rsidRDefault="00DE5A8F" w:rsidP="00DE5A8F">
      <w:pPr>
        <w:pStyle w:val="ListParagraph"/>
        <w:numPr>
          <w:ilvl w:val="0"/>
          <w:numId w:val="20"/>
        </w:num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use of letters of caution, consideration should be given to establishing a register of letters of caution issued, to whom and for what alleged offence</w:t>
      </w:r>
    </w:p>
    <w:p w:rsidR="00DE5A8F" w:rsidRPr="00DE5A8F" w:rsidRDefault="00DE5A8F" w:rsidP="00DE5A8F">
      <w:pPr>
        <w:pStyle w:val="ListParagraph"/>
        <w:numPr>
          <w:ilvl w:val="0"/>
          <w:numId w:val="20"/>
        </w:numPr>
        <w:autoSpaceDE w:val="0"/>
        <w:autoSpaceDN w:val="0"/>
        <w:adjustRightInd w:val="0"/>
        <w:rPr>
          <w:rFonts w:ascii="Frutiger-Roman" w:hAnsi="Frutiger-Roman" w:cs="Frutiger-Roman"/>
          <w:i/>
          <w:color w:val="0070C0"/>
          <w:sz w:val="19"/>
          <w:szCs w:val="19"/>
        </w:rPr>
      </w:pPr>
      <w:r w:rsidRPr="00DE5A8F">
        <w:rPr>
          <w:rFonts w:ascii="Frutiger-Roman" w:hAnsi="Frutiger-Roman" w:cs="Frutiger-Roman"/>
          <w:i/>
          <w:sz w:val="19"/>
          <w:szCs w:val="19"/>
        </w:rPr>
        <w:t>whether letters of caution, enforceable undertakings and prosecutions focus on strategic priority industries and hazards</w:t>
      </w:r>
    </w:p>
    <w:p w:rsidR="00DE5A8F" w:rsidRPr="00DE5A8F" w:rsidRDefault="00DE5A8F" w:rsidP="00DE5A8F">
      <w:pPr>
        <w:pStyle w:val="ListParagraph"/>
        <w:numPr>
          <w:ilvl w:val="0"/>
          <w:numId w:val="20"/>
        </w:numPr>
        <w:autoSpaceDE w:val="0"/>
        <w:autoSpaceDN w:val="0"/>
        <w:adjustRightInd w:val="0"/>
        <w:rPr>
          <w:rFonts w:ascii="Frutiger-Roman" w:hAnsi="Frutiger-Roman" w:cs="Frutiger-Roman"/>
          <w:i/>
          <w:color w:val="0070C0"/>
          <w:sz w:val="19"/>
          <w:szCs w:val="19"/>
        </w:rPr>
      </w:pPr>
      <w:r w:rsidRPr="00DE5A8F">
        <w:rPr>
          <w:rFonts w:ascii="Frutiger-Roman" w:hAnsi="Frutiger-Roman" w:cs="Frutiger-Roman"/>
          <w:i/>
          <w:sz w:val="19"/>
          <w:szCs w:val="19"/>
        </w:rPr>
        <w:t>supporting duty holders to learn from incidents and prosecutions by providing better information about the event and what could have been done to eliminate or reduce the risks.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E5A8F" w:rsidTr="00DE5A8F">
        <w:tc>
          <w:tcPr>
            <w:tcW w:w="9242" w:type="dxa"/>
            <w:shd w:val="clear" w:color="auto" w:fill="C6D9F1" w:themeFill="text2" w:themeFillTint="33"/>
          </w:tcPr>
          <w:p w:rsidR="00DE5A8F" w:rsidRDefault="00DE5A8F" w:rsidP="00DE5A8F">
            <w:r w:rsidRPr="00BE69DF">
              <w:rPr>
                <w:b/>
              </w:rPr>
              <w:t>R</w:t>
            </w:r>
            <w:r>
              <w:rPr>
                <w:b/>
              </w:rPr>
              <w:t>ecommendation r</w:t>
            </w:r>
            <w:r w:rsidRPr="00BE69DF">
              <w:rPr>
                <w:b/>
              </w:rPr>
              <w:t>esponse:</w:t>
            </w:r>
            <w:r>
              <w:rPr>
                <w:b/>
              </w:rPr>
              <w:t xml:space="preserve"> </w:t>
            </w:r>
            <w:r w:rsidRPr="00DE5A8F">
              <w:t>S</w:t>
            </w:r>
            <w:r>
              <w:t xml:space="preserve">upported in </w:t>
            </w:r>
            <w:r w:rsidR="00EE3935">
              <w:t>part</w:t>
            </w:r>
          </w:p>
          <w:p w:rsidR="00DE5A8F" w:rsidRDefault="00DE5A8F" w:rsidP="00DE5A8F"/>
          <w:p w:rsidR="00A81747" w:rsidRDefault="00081269" w:rsidP="00A81747">
            <w:r>
              <w:t xml:space="preserve">WorkSafe </w:t>
            </w:r>
            <w:r w:rsidR="000A7104">
              <w:t xml:space="preserve">will continue to </w:t>
            </w:r>
            <w:r>
              <w:t xml:space="preserve">report </w:t>
            </w:r>
            <w:r w:rsidR="000A7104">
              <w:t xml:space="preserve">annually </w:t>
            </w:r>
            <w:r w:rsidR="00542743">
              <w:t>on the number of</w:t>
            </w:r>
            <w:r>
              <w:t xml:space="preserve"> letters of caution</w:t>
            </w:r>
            <w:r w:rsidR="00542743">
              <w:t xml:space="preserve"> issued</w:t>
            </w:r>
            <w:r>
              <w:t xml:space="preserve"> </w:t>
            </w:r>
            <w:r w:rsidR="00A81747">
              <w:t>and will expand it</w:t>
            </w:r>
            <w:r w:rsidR="003863F8">
              <w:t>’</w:t>
            </w:r>
            <w:r w:rsidR="00A81747">
              <w:t xml:space="preserve">s reporting on enforceable </w:t>
            </w:r>
            <w:r w:rsidR="00024322">
              <w:t>undertakings</w:t>
            </w:r>
            <w:r>
              <w:t xml:space="preserve">. </w:t>
            </w:r>
            <w:r w:rsidR="000A7104">
              <w:t>As l</w:t>
            </w:r>
            <w:r w:rsidR="00A81747">
              <w:t>etters of caution do not constitute a conviction</w:t>
            </w:r>
            <w:r w:rsidR="000D1808">
              <w:t>,</w:t>
            </w:r>
            <w:r w:rsidR="000A7104">
              <w:t xml:space="preserve"> </w:t>
            </w:r>
            <w:r w:rsidR="00E543F8">
              <w:t xml:space="preserve">WorkSafe is required to preserve </w:t>
            </w:r>
            <w:r w:rsidR="000A7104">
              <w:t>anonymity i</w:t>
            </w:r>
            <w:r w:rsidR="00B80B49">
              <w:t>n</w:t>
            </w:r>
            <w:r w:rsidR="000A7104">
              <w:t xml:space="preserve"> reporting.  </w:t>
            </w:r>
          </w:p>
          <w:p w:rsidR="00A81747" w:rsidRDefault="00A81747" w:rsidP="00DE5A8F"/>
          <w:p w:rsidR="00DE5A8F" w:rsidRDefault="00DE5A8F" w:rsidP="00DE5A8F">
            <w:r w:rsidRPr="004A2D00">
              <w:t>WorkSafe will</w:t>
            </w:r>
            <w:r w:rsidR="00081269" w:rsidRPr="004A2D00">
              <w:t xml:space="preserve"> </w:t>
            </w:r>
            <w:r w:rsidR="000A7104">
              <w:t xml:space="preserve">report annually on </w:t>
            </w:r>
            <w:r w:rsidRPr="004A2D00">
              <w:t xml:space="preserve">whether </w:t>
            </w:r>
            <w:r w:rsidR="00D666FD" w:rsidRPr="009C2F3E">
              <w:t>completed</w:t>
            </w:r>
            <w:r w:rsidRPr="009C2F3E">
              <w:t xml:space="preserve"> prosecutions are aligned with </w:t>
            </w:r>
            <w:r w:rsidR="000A7104">
              <w:t xml:space="preserve">its </w:t>
            </w:r>
            <w:r w:rsidRPr="009C2F3E">
              <w:t>strategic priorities</w:t>
            </w:r>
            <w:r w:rsidR="00D666FD" w:rsidRPr="009C2F3E">
              <w:t xml:space="preserve">. WorkSafe </w:t>
            </w:r>
            <w:r w:rsidR="00D666FD">
              <w:t xml:space="preserve">will also </w:t>
            </w:r>
            <w:r w:rsidR="00293D94">
              <w:t>update stakeholder</w:t>
            </w:r>
            <w:r w:rsidR="000A7104">
              <w:t>s</w:t>
            </w:r>
            <w:r w:rsidR="00293D94">
              <w:t xml:space="preserve"> </w:t>
            </w:r>
            <w:r w:rsidR="00D666FD">
              <w:t xml:space="preserve">on </w:t>
            </w:r>
            <w:r w:rsidR="000A7104">
              <w:t xml:space="preserve">how enforcement activity performance data is </w:t>
            </w:r>
            <w:r w:rsidR="00D666FD">
              <w:t>alig</w:t>
            </w:r>
            <w:r w:rsidR="000A7104">
              <w:t>ned</w:t>
            </w:r>
            <w:r w:rsidR="00D666FD">
              <w:t xml:space="preserve"> with strategic priorities. </w:t>
            </w:r>
          </w:p>
          <w:p w:rsidR="00736AA8" w:rsidRDefault="00736AA8" w:rsidP="00DE5A8F"/>
          <w:p w:rsidR="00DE5A8F" w:rsidRDefault="000A7104">
            <w:r>
              <w:t>Further s</w:t>
            </w:r>
            <w:r w:rsidR="00736AA8">
              <w:t xml:space="preserve">upport </w:t>
            </w:r>
            <w:r>
              <w:t xml:space="preserve">will be </w:t>
            </w:r>
            <w:r w:rsidR="00081269">
              <w:t xml:space="preserve">provided to </w:t>
            </w:r>
            <w:r w:rsidR="00736AA8">
              <w:t>duty holders</w:t>
            </w:r>
            <w:r w:rsidR="00081269">
              <w:t xml:space="preserve"> so </w:t>
            </w:r>
            <w:r w:rsidR="00736AA8">
              <w:t xml:space="preserve">that </w:t>
            </w:r>
            <w:r w:rsidR="000D1808">
              <w:t xml:space="preserve">lessons </w:t>
            </w:r>
            <w:r w:rsidR="00736AA8">
              <w:t>learn</w:t>
            </w:r>
            <w:r w:rsidR="000D1808">
              <w:t>t</w:t>
            </w:r>
            <w:r w:rsidR="00736AA8">
              <w:t xml:space="preserve"> from incidents and prosecutions</w:t>
            </w:r>
            <w:r>
              <w:t xml:space="preserve"> can be realised</w:t>
            </w:r>
            <w:r w:rsidR="00081269">
              <w:t>, for example,</w:t>
            </w:r>
            <w:r w:rsidR="00736AA8">
              <w:t xml:space="preserve"> by</w:t>
            </w:r>
            <w:r w:rsidR="00DE5A8F">
              <w:t xml:space="preserve"> includ</w:t>
            </w:r>
            <w:r w:rsidR="00736AA8">
              <w:t>ing</w:t>
            </w:r>
            <w:r w:rsidR="00DE5A8F">
              <w:t xml:space="preserve"> information</w:t>
            </w:r>
            <w:r w:rsidR="0041424A">
              <w:t xml:space="preserve"> in</w:t>
            </w:r>
            <w:r w:rsidR="00DE5A8F">
              <w:t xml:space="preserve"> </w:t>
            </w:r>
            <w:r w:rsidR="0041424A">
              <w:t xml:space="preserve">future media releases </w:t>
            </w:r>
            <w:r w:rsidR="00DE5A8F">
              <w:t xml:space="preserve">on specific </w:t>
            </w:r>
            <w:r w:rsidR="00D666FD">
              <w:t xml:space="preserve">solutions for </w:t>
            </w:r>
            <w:r w:rsidR="00DE5A8F">
              <w:t>hazard</w:t>
            </w:r>
            <w:r w:rsidR="00D666FD">
              <w:t xml:space="preserve">s that </w:t>
            </w:r>
            <w:r w:rsidR="0028317E">
              <w:t>caused</w:t>
            </w:r>
            <w:r w:rsidR="00D666FD">
              <w:t xml:space="preserve"> incidents</w:t>
            </w:r>
            <w:r w:rsidR="00DE5A8F">
              <w:t>.</w:t>
            </w:r>
          </w:p>
          <w:p w:rsidR="00DE5A8F" w:rsidRDefault="00DE5A8F"/>
        </w:tc>
      </w:tr>
    </w:tbl>
    <w:p w:rsidR="00DE5A8F" w:rsidRDefault="00DE5A8F" w:rsidP="00DE5A8F">
      <w:pPr>
        <w:autoSpaceDE w:val="0"/>
        <w:autoSpaceDN w:val="0"/>
        <w:adjustRightInd w:val="0"/>
        <w:rPr>
          <w:rFonts w:ascii="Frutiger-Roman" w:hAnsi="Frutiger-Roman" w:cs="Frutiger-Roman"/>
          <w:i/>
          <w:color w:val="000000" w:themeColor="text1"/>
          <w:sz w:val="19"/>
          <w:szCs w:val="19"/>
        </w:rPr>
      </w:pPr>
    </w:p>
    <w:p w:rsidR="00DE5A8F" w:rsidRPr="00DE5A8F" w:rsidRDefault="00DE5A8F" w:rsidP="00DE5A8F">
      <w:pPr>
        <w:rPr>
          <w:rFonts w:ascii="Frutiger-Roman" w:hAnsi="Frutiger-Roman" w:cs="Frutiger-Roman"/>
          <w:b/>
          <w:i/>
          <w:sz w:val="19"/>
          <w:szCs w:val="19"/>
        </w:rPr>
      </w:pPr>
      <w:r w:rsidRPr="00DE5A8F">
        <w:rPr>
          <w:rFonts w:ascii="Frutiger-Roman" w:hAnsi="Frutiger-Roman" w:cs="Frutiger-Roman"/>
          <w:b/>
          <w:i/>
          <w:sz w:val="19"/>
          <w:szCs w:val="19"/>
        </w:rPr>
        <w:t>Recommendation 20</w:t>
      </w:r>
    </w:p>
    <w:p w:rsidR="00DE5A8F" w:rsidRPr="00DE5A8F" w:rsidRDefault="00DE5A8F" w:rsidP="00DE5A8F">
      <w:pPr>
        <w:autoSpaceDE w:val="0"/>
        <w:autoSpaceDN w:val="0"/>
        <w:adjustRightInd w:val="0"/>
        <w:rPr>
          <w:rFonts w:ascii="Frutiger-Roman" w:hAnsi="Frutiger-Roman" w:cs="Frutiger-Roman"/>
          <w:i/>
          <w:sz w:val="19"/>
          <w:szCs w:val="19"/>
        </w:rPr>
      </w:pPr>
      <w:r w:rsidRPr="00DE5A8F">
        <w:rPr>
          <w:rFonts w:ascii="Frutiger-Roman" w:hAnsi="Frutiger-Roman" w:cs="Frutiger-Roman"/>
          <w:i/>
          <w:sz w:val="19"/>
          <w:szCs w:val="19"/>
        </w:rPr>
        <w:t>That WorkSafe makes better use of prosecution outcomes to drive OHS compliance.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A615B" w:rsidTr="00FB78BB">
        <w:tc>
          <w:tcPr>
            <w:tcW w:w="9242" w:type="dxa"/>
            <w:shd w:val="clear" w:color="auto" w:fill="C6D9F1" w:themeFill="text2" w:themeFillTint="33"/>
          </w:tcPr>
          <w:p w:rsidR="0028317E" w:rsidRDefault="007A615B" w:rsidP="007A615B">
            <w:r w:rsidRPr="00BE69DF">
              <w:rPr>
                <w:b/>
              </w:rPr>
              <w:t>R</w:t>
            </w:r>
            <w:r>
              <w:rPr>
                <w:b/>
              </w:rPr>
              <w:t>ecommendation r</w:t>
            </w:r>
            <w:r w:rsidRPr="00BE69DF">
              <w:rPr>
                <w:b/>
              </w:rPr>
              <w:t>esponse:</w:t>
            </w:r>
            <w:r>
              <w:rPr>
                <w:b/>
              </w:rPr>
              <w:t xml:space="preserve"> </w:t>
            </w:r>
            <w:r w:rsidRPr="00DE5A8F">
              <w:t>S</w:t>
            </w:r>
            <w:r>
              <w:t xml:space="preserve">upported  </w:t>
            </w:r>
          </w:p>
          <w:p w:rsidR="0028317E" w:rsidRDefault="0028317E" w:rsidP="007A615B"/>
          <w:p w:rsidR="00736AA8" w:rsidRDefault="00E543F8" w:rsidP="007A615B">
            <w:r>
              <w:t xml:space="preserve">WorkSafe uses </w:t>
            </w:r>
            <w:r w:rsidR="00736AA8">
              <w:t xml:space="preserve">prosecution outcomes </w:t>
            </w:r>
            <w:r>
              <w:t xml:space="preserve">as a key tool </w:t>
            </w:r>
            <w:r w:rsidR="00736AA8">
              <w:t>to drive OHS compliance</w:t>
            </w:r>
            <w:r>
              <w:t xml:space="preserve"> by publishing </w:t>
            </w:r>
            <w:r w:rsidR="00467614">
              <w:t xml:space="preserve">prosecution results </w:t>
            </w:r>
            <w:r>
              <w:t xml:space="preserve">in a public </w:t>
            </w:r>
            <w:r w:rsidR="00467614">
              <w:t>database</w:t>
            </w:r>
            <w:r>
              <w:t xml:space="preserve">, its Annual Report, and through </w:t>
            </w:r>
            <w:r w:rsidR="00736AA8">
              <w:t xml:space="preserve">media releases </w:t>
            </w:r>
            <w:r>
              <w:t xml:space="preserve">and case studies used in OHS education activities. </w:t>
            </w:r>
          </w:p>
          <w:p w:rsidR="003863F8" w:rsidRDefault="003863F8" w:rsidP="007A615B"/>
          <w:p w:rsidR="00892753" w:rsidRDefault="00892753" w:rsidP="00892753">
            <w:r>
              <w:rPr>
                <w:rFonts w:ascii="Helv" w:hAnsi="Helv" w:cs="Helv"/>
                <w:color w:val="000000"/>
                <w:sz w:val="20"/>
                <w:szCs w:val="20"/>
              </w:rPr>
              <w:t xml:space="preserve">Concurrently with the response to Recommendation 19, WorkSafe will also use media releases more effectively to highlight successful prosecutions and provide more safety information to duty holders </w:t>
            </w:r>
            <w:r>
              <w:t>on specific solutions for hazards that caused incidents.</w:t>
            </w:r>
          </w:p>
          <w:p w:rsidR="00892753" w:rsidRDefault="00892753" w:rsidP="007A615B"/>
          <w:p w:rsidR="00892753" w:rsidRDefault="00892753" w:rsidP="007A615B"/>
          <w:p w:rsidR="007A615B" w:rsidRDefault="00E43B0F" w:rsidP="00B80B49">
            <w:r>
              <w:t xml:space="preserve"> </w:t>
            </w:r>
            <w:r w:rsidR="00ED32C1">
              <w:t xml:space="preserve">In </w:t>
            </w:r>
            <w:r w:rsidR="00736AA8">
              <w:t>the longer</w:t>
            </w:r>
            <w:r w:rsidR="00D35CE7">
              <w:t>-</w:t>
            </w:r>
            <w:r w:rsidR="00736AA8">
              <w:t xml:space="preserve">term </w:t>
            </w:r>
            <w:r w:rsidR="002B34F3">
              <w:t xml:space="preserve">more sophisticated </w:t>
            </w:r>
            <w:r w:rsidR="00736AA8">
              <w:t xml:space="preserve">analysis and </w:t>
            </w:r>
            <w:r w:rsidR="00ED32C1">
              <w:t xml:space="preserve">specific </w:t>
            </w:r>
            <w:r w:rsidR="00736AA8">
              <w:t xml:space="preserve">reporting </w:t>
            </w:r>
            <w:r w:rsidR="00ED32C1">
              <w:t xml:space="preserve">on workplaces will help WorkSafe to determine </w:t>
            </w:r>
            <w:r w:rsidR="00B80B49">
              <w:t xml:space="preserve">how to tailor the use of prosecution outcomes and safety information to specific duty holders and workplaces. </w:t>
            </w:r>
          </w:p>
        </w:tc>
      </w:tr>
    </w:tbl>
    <w:p w:rsidR="00DE5A8F" w:rsidRDefault="00DE5A8F" w:rsidP="00DE5A8F">
      <w:pPr>
        <w:autoSpaceDE w:val="0"/>
        <w:autoSpaceDN w:val="0"/>
        <w:adjustRightInd w:val="0"/>
        <w:rPr>
          <w:rFonts w:ascii="Frutiger-Roman" w:hAnsi="Frutiger-Roman" w:cs="Frutiger-Roman"/>
          <w:i/>
          <w:color w:val="000000" w:themeColor="text1"/>
          <w:sz w:val="19"/>
          <w:szCs w:val="19"/>
        </w:rPr>
      </w:pPr>
    </w:p>
    <w:p w:rsidR="004A2D00" w:rsidRDefault="004A2D00">
      <w:pPr>
        <w:rPr>
          <w:rFonts w:ascii="Frutiger-Roman" w:hAnsi="Frutiger-Roman" w:cs="Frutiger-Roman"/>
          <w:b/>
          <w:i/>
          <w:sz w:val="19"/>
          <w:szCs w:val="19"/>
        </w:rPr>
      </w:pPr>
      <w:r>
        <w:rPr>
          <w:rFonts w:ascii="Frutiger-Roman" w:hAnsi="Frutiger-Roman" w:cs="Frutiger-Roman"/>
          <w:b/>
          <w:i/>
          <w:sz w:val="19"/>
          <w:szCs w:val="19"/>
        </w:rPr>
        <w:br w:type="page"/>
      </w:r>
    </w:p>
    <w:p w:rsidR="007A615B" w:rsidRPr="007A615B" w:rsidRDefault="007A615B" w:rsidP="007A615B">
      <w:pPr>
        <w:rPr>
          <w:rFonts w:ascii="Frutiger-Roman" w:hAnsi="Frutiger-Roman" w:cs="Frutiger-Roman"/>
          <w:b/>
          <w:i/>
          <w:sz w:val="19"/>
          <w:szCs w:val="19"/>
        </w:rPr>
      </w:pPr>
      <w:r w:rsidRPr="007A615B">
        <w:rPr>
          <w:rFonts w:ascii="Frutiger-Roman" w:hAnsi="Frutiger-Roman" w:cs="Frutiger-Roman"/>
          <w:b/>
          <w:i/>
          <w:sz w:val="19"/>
          <w:szCs w:val="19"/>
        </w:rPr>
        <w:lastRenderedPageBreak/>
        <w:t>Recommendation 21</w:t>
      </w:r>
    </w:p>
    <w:p w:rsidR="007A615B" w:rsidRPr="007A615B" w:rsidRDefault="007A615B" w:rsidP="007A615B">
      <w:pPr>
        <w:rPr>
          <w:rFonts w:ascii="Frutiger-Roman" w:hAnsi="Frutiger-Roman" w:cs="Frutiger-Roman"/>
          <w:i/>
          <w:sz w:val="19"/>
          <w:szCs w:val="19"/>
        </w:rPr>
      </w:pPr>
      <w:r w:rsidRPr="007A615B">
        <w:rPr>
          <w:rFonts w:ascii="Frutiger-Roman" w:hAnsi="Frutiger-Roman" w:cs="Frutiger-Roman"/>
          <w:i/>
          <w:sz w:val="19"/>
          <w:szCs w:val="19"/>
        </w:rPr>
        <w:t>That WorkSafe develops a methodology to monitor and report on its performance on joint regulatory approaches.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A615B" w:rsidTr="00FB78BB">
        <w:tc>
          <w:tcPr>
            <w:tcW w:w="9242" w:type="dxa"/>
            <w:shd w:val="clear" w:color="auto" w:fill="C6D9F1" w:themeFill="text2" w:themeFillTint="33"/>
          </w:tcPr>
          <w:p w:rsidR="007A615B" w:rsidRPr="004F471E" w:rsidRDefault="007A615B" w:rsidP="00FB78BB">
            <w:pPr>
              <w:rPr>
                <w:b/>
              </w:rPr>
            </w:pPr>
            <w:r w:rsidRPr="00537EE2">
              <w:rPr>
                <w:b/>
              </w:rPr>
              <w:t xml:space="preserve">Recommendation response: </w:t>
            </w:r>
            <w:r w:rsidRPr="004F471E">
              <w:t xml:space="preserve">Supported </w:t>
            </w:r>
          </w:p>
          <w:p w:rsidR="007A615B" w:rsidRDefault="007A615B" w:rsidP="00FB78BB"/>
          <w:p w:rsidR="00D75A7C" w:rsidRDefault="00D75A7C" w:rsidP="00FB78BB">
            <w:r>
              <w:t xml:space="preserve">WorkSafe recognises </w:t>
            </w:r>
            <w:r w:rsidR="00214E7C">
              <w:t>the importance of working with other regulators</w:t>
            </w:r>
            <w:r w:rsidR="00AA0602">
              <w:t xml:space="preserve"> and </w:t>
            </w:r>
            <w:r w:rsidR="00214E7C">
              <w:t xml:space="preserve">uses Memorandum of Understanding </w:t>
            </w:r>
            <w:r w:rsidR="00FC0047">
              <w:t xml:space="preserve">(MoU) </w:t>
            </w:r>
            <w:r w:rsidR="00AA0602">
              <w:t xml:space="preserve">to document how WorkSafe will share information and collaborate with other regulators in performing its functions. </w:t>
            </w:r>
            <w:r w:rsidR="00FC0047">
              <w:t xml:space="preserve">WorkSafe </w:t>
            </w:r>
            <w:r w:rsidR="00D6427C">
              <w:t xml:space="preserve">monitors the commitments made by the parties to the MoUs to support the implementation of the MoUs. </w:t>
            </w:r>
          </w:p>
          <w:p w:rsidR="00AD251B" w:rsidRDefault="00AD251B" w:rsidP="00FB78BB"/>
          <w:p w:rsidR="006A402E" w:rsidRDefault="006A402E" w:rsidP="007A615B">
            <w:r>
              <w:t xml:space="preserve">WorkSafe </w:t>
            </w:r>
            <w:r w:rsidR="00CD7EC0">
              <w:t>will continue to regularly report on</w:t>
            </w:r>
            <w:r>
              <w:t xml:space="preserve"> its performance to OHSAC and SRG on joint regulatory programs</w:t>
            </w:r>
            <w:r w:rsidR="00FC0047">
              <w:t xml:space="preserve">. WorkSafe will explore options for enhancing reporting on joint regulatory approaches </w:t>
            </w:r>
            <w:r>
              <w:t xml:space="preserve">and it will include a new section on joint activities in </w:t>
            </w:r>
            <w:r w:rsidR="0093734E">
              <w:t>the 201</w:t>
            </w:r>
            <w:r w:rsidR="00FC0047">
              <w:t>8</w:t>
            </w:r>
            <w:r w:rsidR="0093734E">
              <w:t xml:space="preserve"> A</w:t>
            </w:r>
            <w:r>
              <w:t xml:space="preserve">nnual </w:t>
            </w:r>
            <w:r w:rsidR="0093734E">
              <w:t>R</w:t>
            </w:r>
            <w:r>
              <w:t>eport.</w:t>
            </w:r>
          </w:p>
          <w:p w:rsidR="0093734E" w:rsidRDefault="0093734E"/>
        </w:tc>
      </w:tr>
    </w:tbl>
    <w:p w:rsidR="00725BE0" w:rsidRDefault="00725BE0" w:rsidP="007A615B">
      <w:pPr>
        <w:rPr>
          <w:rFonts w:ascii="Frutiger-Roman" w:hAnsi="Frutiger-Roman" w:cs="Frutiger-Roman"/>
          <w:b/>
          <w:i/>
          <w:sz w:val="19"/>
          <w:szCs w:val="19"/>
        </w:rPr>
      </w:pPr>
    </w:p>
    <w:p w:rsidR="007A615B" w:rsidRPr="007A615B" w:rsidRDefault="007A615B" w:rsidP="007A615B">
      <w:pPr>
        <w:rPr>
          <w:rFonts w:ascii="Frutiger-Roman" w:hAnsi="Frutiger-Roman" w:cs="Frutiger-Roman"/>
          <w:b/>
          <w:i/>
          <w:sz w:val="19"/>
          <w:szCs w:val="19"/>
        </w:rPr>
      </w:pPr>
      <w:r w:rsidRPr="007A615B">
        <w:rPr>
          <w:rFonts w:ascii="Frutiger-Roman" w:hAnsi="Frutiger-Roman" w:cs="Frutiger-Roman"/>
          <w:b/>
          <w:i/>
          <w:sz w:val="19"/>
          <w:szCs w:val="19"/>
        </w:rPr>
        <w:t>Recommendation 2</w:t>
      </w:r>
      <w:r>
        <w:rPr>
          <w:rFonts w:ascii="Frutiger-Roman" w:hAnsi="Frutiger-Roman" w:cs="Frutiger-Roman"/>
          <w:b/>
          <w:i/>
          <w:sz w:val="19"/>
          <w:szCs w:val="19"/>
        </w:rPr>
        <w:t>2</w:t>
      </w:r>
    </w:p>
    <w:p w:rsidR="007A615B" w:rsidRPr="007A615B" w:rsidRDefault="007A615B" w:rsidP="007A615B">
      <w:pPr>
        <w:autoSpaceDE w:val="0"/>
        <w:autoSpaceDN w:val="0"/>
        <w:adjustRightInd w:val="0"/>
        <w:rPr>
          <w:rFonts w:ascii="Frutiger-Roman" w:hAnsi="Frutiger-Roman" w:cs="Frutiger-Roman"/>
          <w:i/>
          <w:sz w:val="19"/>
          <w:szCs w:val="19"/>
        </w:rPr>
      </w:pPr>
      <w:r w:rsidRPr="007A615B">
        <w:rPr>
          <w:rFonts w:ascii="Frutiger-Roman" w:hAnsi="Frutiger-Roman" w:cs="Frutiger-Roman"/>
          <w:i/>
          <w:sz w:val="19"/>
          <w:szCs w:val="19"/>
        </w:rPr>
        <w:t>That WorkSafe ensures the active involvement of stakeholders, through OHSAC, in the development and implementation</w:t>
      </w:r>
      <w:r>
        <w:rPr>
          <w:rFonts w:ascii="Frutiger-Roman" w:hAnsi="Frutiger-Roman" w:cs="Frutiger-Roman"/>
          <w:i/>
          <w:sz w:val="19"/>
          <w:szCs w:val="19"/>
        </w:rPr>
        <w:t xml:space="preserve"> </w:t>
      </w:r>
      <w:r w:rsidRPr="007A615B">
        <w:rPr>
          <w:rFonts w:ascii="Frutiger-Roman" w:hAnsi="Frutiger-Roman" w:cs="Frutiger-Roman"/>
          <w:i/>
          <w:sz w:val="19"/>
          <w:szCs w:val="19"/>
        </w:rPr>
        <w:t>of national initiatives.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A615B" w:rsidTr="00FB78BB">
        <w:tc>
          <w:tcPr>
            <w:tcW w:w="9242" w:type="dxa"/>
            <w:shd w:val="clear" w:color="auto" w:fill="C6D9F1" w:themeFill="text2" w:themeFillTint="33"/>
          </w:tcPr>
          <w:p w:rsidR="007A615B" w:rsidRDefault="007A615B" w:rsidP="00FB78BB">
            <w:r w:rsidRPr="00BE69DF">
              <w:rPr>
                <w:b/>
              </w:rPr>
              <w:t>R</w:t>
            </w:r>
            <w:r>
              <w:rPr>
                <w:b/>
              </w:rPr>
              <w:t>ecommendation r</w:t>
            </w:r>
            <w:r w:rsidRPr="00BE69DF">
              <w:rPr>
                <w:b/>
              </w:rPr>
              <w:t>esponse:</w:t>
            </w:r>
            <w:r>
              <w:rPr>
                <w:b/>
              </w:rPr>
              <w:t xml:space="preserve"> </w:t>
            </w:r>
            <w:r w:rsidRPr="00DE5A8F">
              <w:t>S</w:t>
            </w:r>
            <w:r>
              <w:t xml:space="preserve">upported </w:t>
            </w:r>
          </w:p>
          <w:p w:rsidR="00C35A8B" w:rsidRDefault="00C35A8B" w:rsidP="00FB78BB"/>
          <w:p w:rsidR="00C53F36" w:rsidRDefault="00CD7EC0" w:rsidP="00C53F36">
            <w:r>
              <w:t>The i</w:t>
            </w:r>
            <w:r w:rsidR="00C35A8B">
              <w:t xml:space="preserve">nvolvement of stakeholders in developing and implementing national initiatives is </w:t>
            </w:r>
            <w:r>
              <w:t xml:space="preserve">important and </w:t>
            </w:r>
            <w:r w:rsidR="00C53F36">
              <w:t xml:space="preserve">WorkSafe will continue to actively involve stakeholders, through OHSAC, in the development and implementation of national initiatives that are part of Safe Work Australia's (SWA) programs.  </w:t>
            </w:r>
          </w:p>
          <w:p w:rsidR="00CD7EC0" w:rsidRDefault="00CD7EC0" w:rsidP="00C53F36"/>
          <w:p w:rsidR="00C53F36" w:rsidRDefault="00C53F36" w:rsidP="00C53F36">
            <w:r>
              <w:t xml:space="preserve">WorkSafe </w:t>
            </w:r>
            <w:r w:rsidR="00CD7EC0">
              <w:t>will continue to provide information on SWA programs to SR</w:t>
            </w:r>
            <w:r w:rsidR="00612F99">
              <w:t>G</w:t>
            </w:r>
            <w:r>
              <w:t xml:space="preserve"> meeting</w:t>
            </w:r>
            <w:r w:rsidR="00CC46CB">
              <w:t>s</w:t>
            </w:r>
            <w:r w:rsidR="00612F99">
              <w:t xml:space="preserve"> and will continue to regula</w:t>
            </w:r>
            <w:r>
              <w:t>rly engage with OHSAC on national initiatives.</w:t>
            </w:r>
          </w:p>
          <w:p w:rsidR="00C53F36" w:rsidRDefault="00C53F36"/>
        </w:tc>
      </w:tr>
    </w:tbl>
    <w:p w:rsidR="007A615B" w:rsidRDefault="007A615B" w:rsidP="00DE5A8F">
      <w:pPr>
        <w:autoSpaceDE w:val="0"/>
        <w:autoSpaceDN w:val="0"/>
        <w:adjustRightInd w:val="0"/>
        <w:rPr>
          <w:rFonts w:ascii="Frutiger-Roman" w:hAnsi="Frutiger-Roman" w:cs="Frutiger-Roman"/>
          <w:i/>
          <w:color w:val="000000" w:themeColor="text1"/>
          <w:sz w:val="19"/>
          <w:szCs w:val="19"/>
        </w:rPr>
      </w:pPr>
    </w:p>
    <w:p w:rsidR="00C42C99" w:rsidRDefault="00C42C99">
      <w:pPr>
        <w:rPr>
          <w:rFonts w:asciiTheme="majorHAnsi" w:eastAsiaTheme="majorEastAsia" w:hAnsiTheme="majorHAnsi" w:cstheme="majorBidi"/>
          <w:b/>
          <w:bCs/>
          <w:color w:val="365F91" w:themeColor="accent1" w:themeShade="BF"/>
          <w:sz w:val="28"/>
          <w:szCs w:val="28"/>
        </w:rPr>
      </w:pPr>
    </w:p>
    <w:sectPr w:rsidR="00C42C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F8" w:rsidRDefault="00E543F8" w:rsidP="00A10D52">
      <w:pPr>
        <w:spacing w:after="0" w:line="240" w:lineRule="auto"/>
      </w:pPr>
      <w:r>
        <w:separator/>
      </w:r>
    </w:p>
  </w:endnote>
  <w:endnote w:type="continuationSeparator" w:id="0">
    <w:p w:rsidR="00E543F8" w:rsidRDefault="00E543F8" w:rsidP="00A1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8" w:rsidRDefault="00E5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15358"/>
      <w:docPartObj>
        <w:docPartGallery w:val="Page Numbers (Bottom of Page)"/>
        <w:docPartUnique/>
      </w:docPartObj>
    </w:sdtPr>
    <w:sdtEndPr>
      <w:rPr>
        <w:noProof/>
      </w:rPr>
    </w:sdtEndPr>
    <w:sdtContent>
      <w:p w:rsidR="00E543F8" w:rsidRDefault="00E543F8">
        <w:pPr>
          <w:pStyle w:val="Footer"/>
          <w:jc w:val="right"/>
        </w:pPr>
        <w:r>
          <w:fldChar w:fldCharType="begin"/>
        </w:r>
        <w:r>
          <w:instrText xml:space="preserve"> PAGE   \* MERGEFORMAT </w:instrText>
        </w:r>
        <w:r>
          <w:fldChar w:fldCharType="separate"/>
        </w:r>
        <w:r w:rsidR="00474540">
          <w:rPr>
            <w:noProof/>
          </w:rPr>
          <w:t>1</w:t>
        </w:r>
        <w:r>
          <w:rPr>
            <w:noProof/>
          </w:rPr>
          <w:fldChar w:fldCharType="end"/>
        </w:r>
      </w:p>
    </w:sdtContent>
  </w:sdt>
  <w:p w:rsidR="00E543F8" w:rsidRDefault="00E54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8" w:rsidRDefault="00E5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F8" w:rsidRDefault="00E543F8" w:rsidP="00A10D52">
      <w:pPr>
        <w:spacing w:after="0" w:line="240" w:lineRule="auto"/>
      </w:pPr>
      <w:r>
        <w:separator/>
      </w:r>
    </w:p>
  </w:footnote>
  <w:footnote w:type="continuationSeparator" w:id="0">
    <w:p w:rsidR="00E543F8" w:rsidRDefault="00E543F8" w:rsidP="00A1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8" w:rsidRDefault="00E5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8" w:rsidRDefault="00E5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8" w:rsidRDefault="00E5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72B"/>
    <w:multiLevelType w:val="hybridMultilevel"/>
    <w:tmpl w:val="57E462D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0A19CE"/>
    <w:multiLevelType w:val="hybridMultilevel"/>
    <w:tmpl w:val="2A9E5586"/>
    <w:lvl w:ilvl="0" w:tplc="0C090001">
      <w:start w:val="1"/>
      <w:numFmt w:val="bullet"/>
      <w:lvlText w:val=""/>
      <w:lvlJc w:val="left"/>
      <w:pPr>
        <w:ind w:left="772" w:hanging="360"/>
      </w:pPr>
      <w:rPr>
        <w:rFonts w:ascii="Symbol" w:hAnsi="Symbol"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2">
    <w:nsid w:val="079214C0"/>
    <w:multiLevelType w:val="hybridMultilevel"/>
    <w:tmpl w:val="57EEAA58"/>
    <w:lvl w:ilvl="0" w:tplc="317E3F42">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AB6A01"/>
    <w:multiLevelType w:val="hybridMultilevel"/>
    <w:tmpl w:val="C8F8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4664"/>
    <w:multiLevelType w:val="hybridMultilevel"/>
    <w:tmpl w:val="65B2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A9519F"/>
    <w:multiLevelType w:val="hybridMultilevel"/>
    <w:tmpl w:val="145C5F9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
    <w:nsid w:val="17025780"/>
    <w:multiLevelType w:val="hybridMultilevel"/>
    <w:tmpl w:val="F9002C52"/>
    <w:lvl w:ilvl="0" w:tplc="AFDE6C36">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A73701D"/>
    <w:multiLevelType w:val="hybridMultilevel"/>
    <w:tmpl w:val="B2D89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A52BC0"/>
    <w:multiLevelType w:val="hybridMultilevel"/>
    <w:tmpl w:val="207EE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2840F1"/>
    <w:multiLevelType w:val="hybridMultilevel"/>
    <w:tmpl w:val="36F481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40445C"/>
    <w:multiLevelType w:val="hybridMultilevel"/>
    <w:tmpl w:val="71E6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FD61BD"/>
    <w:multiLevelType w:val="hybridMultilevel"/>
    <w:tmpl w:val="754C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205A48"/>
    <w:multiLevelType w:val="hybridMultilevel"/>
    <w:tmpl w:val="207EE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BA6EC4"/>
    <w:multiLevelType w:val="hybridMultilevel"/>
    <w:tmpl w:val="49A24F7A"/>
    <w:lvl w:ilvl="0" w:tplc="4F12C37A">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0E7154B"/>
    <w:multiLevelType w:val="hybridMultilevel"/>
    <w:tmpl w:val="3D46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43581A"/>
    <w:multiLevelType w:val="hybridMultilevel"/>
    <w:tmpl w:val="207EE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603D0D"/>
    <w:multiLevelType w:val="hybridMultilevel"/>
    <w:tmpl w:val="D65073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E94BB2"/>
    <w:multiLevelType w:val="hybridMultilevel"/>
    <w:tmpl w:val="5F5A6318"/>
    <w:lvl w:ilvl="0" w:tplc="317E3F42">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A0B4868"/>
    <w:multiLevelType w:val="hybridMultilevel"/>
    <w:tmpl w:val="D25A6ED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8E76BE"/>
    <w:multiLevelType w:val="hybridMultilevel"/>
    <w:tmpl w:val="77C6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DB7316"/>
    <w:multiLevelType w:val="hybridMultilevel"/>
    <w:tmpl w:val="BC522D88"/>
    <w:lvl w:ilvl="0" w:tplc="317E3F42">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F247100"/>
    <w:multiLevelType w:val="hybridMultilevel"/>
    <w:tmpl w:val="A1189B8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BF22BF4"/>
    <w:multiLevelType w:val="hybridMultilevel"/>
    <w:tmpl w:val="D29C3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178146A"/>
    <w:multiLevelType w:val="hybridMultilevel"/>
    <w:tmpl w:val="C0CE2AFE"/>
    <w:lvl w:ilvl="0" w:tplc="317E3F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85513F"/>
    <w:multiLevelType w:val="hybridMultilevel"/>
    <w:tmpl w:val="145418C4"/>
    <w:lvl w:ilvl="0" w:tplc="922E95FC">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EB57214"/>
    <w:multiLevelType w:val="hybridMultilevel"/>
    <w:tmpl w:val="7AD6FC9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3AE1B67"/>
    <w:multiLevelType w:val="hybridMultilevel"/>
    <w:tmpl w:val="02ACFF8C"/>
    <w:lvl w:ilvl="0" w:tplc="57663D82">
      <w:start w:val="1"/>
      <w:numFmt w:val="bullet"/>
      <w:lvlText w:val="•"/>
      <w:lvlJc w:val="left"/>
      <w:pPr>
        <w:tabs>
          <w:tab w:val="num" w:pos="720"/>
        </w:tabs>
        <w:ind w:left="720" w:hanging="360"/>
      </w:pPr>
      <w:rPr>
        <w:rFonts w:ascii="Arial" w:hAnsi="Arial" w:hint="default"/>
      </w:rPr>
    </w:lvl>
    <w:lvl w:ilvl="1" w:tplc="1164856E" w:tentative="1">
      <w:start w:val="1"/>
      <w:numFmt w:val="bullet"/>
      <w:lvlText w:val="•"/>
      <w:lvlJc w:val="left"/>
      <w:pPr>
        <w:tabs>
          <w:tab w:val="num" w:pos="1440"/>
        </w:tabs>
        <w:ind w:left="1440" w:hanging="360"/>
      </w:pPr>
      <w:rPr>
        <w:rFonts w:ascii="Arial" w:hAnsi="Arial" w:hint="default"/>
      </w:rPr>
    </w:lvl>
    <w:lvl w:ilvl="2" w:tplc="41D04850" w:tentative="1">
      <w:start w:val="1"/>
      <w:numFmt w:val="bullet"/>
      <w:lvlText w:val="•"/>
      <w:lvlJc w:val="left"/>
      <w:pPr>
        <w:tabs>
          <w:tab w:val="num" w:pos="2160"/>
        </w:tabs>
        <w:ind w:left="2160" w:hanging="360"/>
      </w:pPr>
      <w:rPr>
        <w:rFonts w:ascii="Arial" w:hAnsi="Arial" w:hint="default"/>
      </w:rPr>
    </w:lvl>
    <w:lvl w:ilvl="3" w:tplc="78D4CBB4" w:tentative="1">
      <w:start w:val="1"/>
      <w:numFmt w:val="bullet"/>
      <w:lvlText w:val="•"/>
      <w:lvlJc w:val="left"/>
      <w:pPr>
        <w:tabs>
          <w:tab w:val="num" w:pos="2880"/>
        </w:tabs>
        <w:ind w:left="2880" w:hanging="360"/>
      </w:pPr>
      <w:rPr>
        <w:rFonts w:ascii="Arial" w:hAnsi="Arial" w:hint="default"/>
      </w:rPr>
    </w:lvl>
    <w:lvl w:ilvl="4" w:tplc="43B27810" w:tentative="1">
      <w:start w:val="1"/>
      <w:numFmt w:val="bullet"/>
      <w:lvlText w:val="•"/>
      <w:lvlJc w:val="left"/>
      <w:pPr>
        <w:tabs>
          <w:tab w:val="num" w:pos="3600"/>
        </w:tabs>
        <w:ind w:left="3600" w:hanging="360"/>
      </w:pPr>
      <w:rPr>
        <w:rFonts w:ascii="Arial" w:hAnsi="Arial" w:hint="default"/>
      </w:rPr>
    </w:lvl>
    <w:lvl w:ilvl="5" w:tplc="645C882C" w:tentative="1">
      <w:start w:val="1"/>
      <w:numFmt w:val="bullet"/>
      <w:lvlText w:val="•"/>
      <w:lvlJc w:val="left"/>
      <w:pPr>
        <w:tabs>
          <w:tab w:val="num" w:pos="4320"/>
        </w:tabs>
        <w:ind w:left="4320" w:hanging="360"/>
      </w:pPr>
      <w:rPr>
        <w:rFonts w:ascii="Arial" w:hAnsi="Arial" w:hint="default"/>
      </w:rPr>
    </w:lvl>
    <w:lvl w:ilvl="6" w:tplc="A1FCAC96" w:tentative="1">
      <w:start w:val="1"/>
      <w:numFmt w:val="bullet"/>
      <w:lvlText w:val="•"/>
      <w:lvlJc w:val="left"/>
      <w:pPr>
        <w:tabs>
          <w:tab w:val="num" w:pos="5040"/>
        </w:tabs>
        <w:ind w:left="5040" w:hanging="360"/>
      </w:pPr>
      <w:rPr>
        <w:rFonts w:ascii="Arial" w:hAnsi="Arial" w:hint="default"/>
      </w:rPr>
    </w:lvl>
    <w:lvl w:ilvl="7" w:tplc="90905B08" w:tentative="1">
      <w:start w:val="1"/>
      <w:numFmt w:val="bullet"/>
      <w:lvlText w:val="•"/>
      <w:lvlJc w:val="left"/>
      <w:pPr>
        <w:tabs>
          <w:tab w:val="num" w:pos="5760"/>
        </w:tabs>
        <w:ind w:left="5760" w:hanging="360"/>
      </w:pPr>
      <w:rPr>
        <w:rFonts w:ascii="Arial" w:hAnsi="Arial" w:hint="default"/>
      </w:rPr>
    </w:lvl>
    <w:lvl w:ilvl="8" w:tplc="AD90FF86" w:tentative="1">
      <w:start w:val="1"/>
      <w:numFmt w:val="bullet"/>
      <w:lvlText w:val="•"/>
      <w:lvlJc w:val="left"/>
      <w:pPr>
        <w:tabs>
          <w:tab w:val="num" w:pos="6480"/>
        </w:tabs>
        <w:ind w:left="6480" w:hanging="360"/>
      </w:pPr>
      <w:rPr>
        <w:rFonts w:ascii="Arial" w:hAnsi="Arial" w:hint="default"/>
      </w:rPr>
    </w:lvl>
  </w:abstractNum>
  <w:abstractNum w:abstractNumId="27">
    <w:nsid w:val="781E7624"/>
    <w:multiLevelType w:val="hybridMultilevel"/>
    <w:tmpl w:val="796A6036"/>
    <w:lvl w:ilvl="0" w:tplc="317E3F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27"/>
  </w:num>
  <w:num w:numId="4">
    <w:abstractNumId w:val="12"/>
  </w:num>
  <w:num w:numId="5">
    <w:abstractNumId w:val="6"/>
  </w:num>
  <w:num w:numId="6">
    <w:abstractNumId w:val="1"/>
  </w:num>
  <w:num w:numId="7">
    <w:abstractNumId w:val="5"/>
  </w:num>
  <w:num w:numId="8">
    <w:abstractNumId w:val="10"/>
  </w:num>
  <w:num w:numId="9">
    <w:abstractNumId w:val="20"/>
  </w:num>
  <w:num w:numId="10">
    <w:abstractNumId w:val="22"/>
  </w:num>
  <w:num w:numId="11">
    <w:abstractNumId w:val="26"/>
  </w:num>
  <w:num w:numId="12">
    <w:abstractNumId w:val="19"/>
  </w:num>
  <w:num w:numId="13">
    <w:abstractNumId w:val="21"/>
  </w:num>
  <w:num w:numId="14">
    <w:abstractNumId w:val="23"/>
  </w:num>
  <w:num w:numId="15">
    <w:abstractNumId w:val="24"/>
  </w:num>
  <w:num w:numId="16">
    <w:abstractNumId w:val="2"/>
  </w:num>
  <w:num w:numId="17">
    <w:abstractNumId w:val="9"/>
  </w:num>
  <w:num w:numId="18">
    <w:abstractNumId w:val="17"/>
  </w:num>
  <w:num w:numId="19">
    <w:abstractNumId w:val="0"/>
  </w:num>
  <w:num w:numId="20">
    <w:abstractNumId w:val="13"/>
  </w:num>
  <w:num w:numId="21">
    <w:abstractNumId w:val="15"/>
  </w:num>
  <w:num w:numId="22">
    <w:abstractNumId w:val="18"/>
  </w:num>
  <w:num w:numId="23">
    <w:abstractNumId w:val="4"/>
  </w:num>
  <w:num w:numId="24">
    <w:abstractNumId w:val="11"/>
  </w:num>
  <w:num w:numId="25">
    <w:abstractNumId w:val="3"/>
  </w:num>
  <w:num w:numId="26">
    <w:abstractNumId w:val="7"/>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E0"/>
    <w:rsid w:val="00004A41"/>
    <w:rsid w:val="00014A18"/>
    <w:rsid w:val="000159B6"/>
    <w:rsid w:val="00015A32"/>
    <w:rsid w:val="00024322"/>
    <w:rsid w:val="00031F2C"/>
    <w:rsid w:val="00035486"/>
    <w:rsid w:val="00035E01"/>
    <w:rsid w:val="000377B6"/>
    <w:rsid w:val="00054E97"/>
    <w:rsid w:val="00060FB2"/>
    <w:rsid w:val="00073FB5"/>
    <w:rsid w:val="00076CAE"/>
    <w:rsid w:val="00080C09"/>
    <w:rsid w:val="00081269"/>
    <w:rsid w:val="000A7104"/>
    <w:rsid w:val="000C471B"/>
    <w:rsid w:val="000C6C08"/>
    <w:rsid w:val="000C72B6"/>
    <w:rsid w:val="000C7AB7"/>
    <w:rsid w:val="000D1808"/>
    <w:rsid w:val="000D7D01"/>
    <w:rsid w:val="000E7EEE"/>
    <w:rsid w:val="000F786D"/>
    <w:rsid w:val="001020F6"/>
    <w:rsid w:val="00104B46"/>
    <w:rsid w:val="0010694A"/>
    <w:rsid w:val="00110AC1"/>
    <w:rsid w:val="001141AE"/>
    <w:rsid w:val="0012398C"/>
    <w:rsid w:val="00126B09"/>
    <w:rsid w:val="00127476"/>
    <w:rsid w:val="00141FF6"/>
    <w:rsid w:val="0014517F"/>
    <w:rsid w:val="0016495B"/>
    <w:rsid w:val="0017015C"/>
    <w:rsid w:val="0017237D"/>
    <w:rsid w:val="0017705F"/>
    <w:rsid w:val="001806DD"/>
    <w:rsid w:val="00180A3D"/>
    <w:rsid w:val="001834BD"/>
    <w:rsid w:val="001849AA"/>
    <w:rsid w:val="00186D0F"/>
    <w:rsid w:val="00187741"/>
    <w:rsid w:val="001A4A8C"/>
    <w:rsid w:val="001A4C73"/>
    <w:rsid w:val="001B3253"/>
    <w:rsid w:val="001C3D8F"/>
    <w:rsid w:val="001C51A7"/>
    <w:rsid w:val="001C5AFB"/>
    <w:rsid w:val="001C6B6E"/>
    <w:rsid w:val="001D3FBB"/>
    <w:rsid w:val="001E1CA6"/>
    <w:rsid w:val="001E6DB9"/>
    <w:rsid w:val="001F57BB"/>
    <w:rsid w:val="00200A04"/>
    <w:rsid w:val="002024BF"/>
    <w:rsid w:val="002041B3"/>
    <w:rsid w:val="002062A6"/>
    <w:rsid w:val="00207192"/>
    <w:rsid w:val="0021165E"/>
    <w:rsid w:val="00214E7C"/>
    <w:rsid w:val="0021528C"/>
    <w:rsid w:val="00227CDC"/>
    <w:rsid w:val="00230597"/>
    <w:rsid w:val="002341E5"/>
    <w:rsid w:val="0026019C"/>
    <w:rsid w:val="00264A57"/>
    <w:rsid w:val="0028317E"/>
    <w:rsid w:val="00283D61"/>
    <w:rsid w:val="00293548"/>
    <w:rsid w:val="00293D94"/>
    <w:rsid w:val="002A19B5"/>
    <w:rsid w:val="002A27F8"/>
    <w:rsid w:val="002A6B1E"/>
    <w:rsid w:val="002B34F3"/>
    <w:rsid w:val="002C0549"/>
    <w:rsid w:val="002C561C"/>
    <w:rsid w:val="002C5ED0"/>
    <w:rsid w:val="002D1E4D"/>
    <w:rsid w:val="002D2F82"/>
    <w:rsid w:val="002E116D"/>
    <w:rsid w:val="002E4B75"/>
    <w:rsid w:val="002F5905"/>
    <w:rsid w:val="00311E36"/>
    <w:rsid w:val="003170C4"/>
    <w:rsid w:val="00341B29"/>
    <w:rsid w:val="00344528"/>
    <w:rsid w:val="0034517E"/>
    <w:rsid w:val="00345B90"/>
    <w:rsid w:val="00347FCF"/>
    <w:rsid w:val="003574D3"/>
    <w:rsid w:val="00357721"/>
    <w:rsid w:val="00357A55"/>
    <w:rsid w:val="003624F8"/>
    <w:rsid w:val="00364091"/>
    <w:rsid w:val="00367B00"/>
    <w:rsid w:val="00370027"/>
    <w:rsid w:val="00371AFC"/>
    <w:rsid w:val="0038599C"/>
    <w:rsid w:val="003863F8"/>
    <w:rsid w:val="00397072"/>
    <w:rsid w:val="003B2095"/>
    <w:rsid w:val="003B67AE"/>
    <w:rsid w:val="003B7921"/>
    <w:rsid w:val="003C41FC"/>
    <w:rsid w:val="003C7249"/>
    <w:rsid w:val="003C7EC3"/>
    <w:rsid w:val="003D45FB"/>
    <w:rsid w:val="003E1EE6"/>
    <w:rsid w:val="003E3622"/>
    <w:rsid w:val="003E4025"/>
    <w:rsid w:val="003E43C9"/>
    <w:rsid w:val="003F317E"/>
    <w:rsid w:val="003F6E0F"/>
    <w:rsid w:val="004136A4"/>
    <w:rsid w:val="00413954"/>
    <w:rsid w:val="0041424A"/>
    <w:rsid w:val="00420104"/>
    <w:rsid w:val="004332B0"/>
    <w:rsid w:val="00436B64"/>
    <w:rsid w:val="00442574"/>
    <w:rsid w:val="00443108"/>
    <w:rsid w:val="004473A5"/>
    <w:rsid w:val="00467614"/>
    <w:rsid w:val="00474540"/>
    <w:rsid w:val="0047508D"/>
    <w:rsid w:val="00485BFE"/>
    <w:rsid w:val="00486A67"/>
    <w:rsid w:val="00492951"/>
    <w:rsid w:val="00494629"/>
    <w:rsid w:val="004A2D00"/>
    <w:rsid w:val="004A3F02"/>
    <w:rsid w:val="004D3723"/>
    <w:rsid w:val="004D492C"/>
    <w:rsid w:val="004E39B4"/>
    <w:rsid w:val="004E6BC5"/>
    <w:rsid w:val="004F24F5"/>
    <w:rsid w:val="004F471E"/>
    <w:rsid w:val="004F478D"/>
    <w:rsid w:val="005060A1"/>
    <w:rsid w:val="005068A9"/>
    <w:rsid w:val="00511424"/>
    <w:rsid w:val="00520654"/>
    <w:rsid w:val="00530E33"/>
    <w:rsid w:val="00537EE2"/>
    <w:rsid w:val="00542743"/>
    <w:rsid w:val="0055356A"/>
    <w:rsid w:val="00575359"/>
    <w:rsid w:val="00584020"/>
    <w:rsid w:val="0059294A"/>
    <w:rsid w:val="005A0761"/>
    <w:rsid w:val="005A1BF6"/>
    <w:rsid w:val="005A5402"/>
    <w:rsid w:val="005B60A6"/>
    <w:rsid w:val="005B7502"/>
    <w:rsid w:val="005B774D"/>
    <w:rsid w:val="005C70AE"/>
    <w:rsid w:val="005D2CEE"/>
    <w:rsid w:val="005D3184"/>
    <w:rsid w:val="005E591B"/>
    <w:rsid w:val="005E5A65"/>
    <w:rsid w:val="005F3448"/>
    <w:rsid w:val="005F3CB9"/>
    <w:rsid w:val="005F5E8D"/>
    <w:rsid w:val="006059A3"/>
    <w:rsid w:val="00605F3A"/>
    <w:rsid w:val="00612F99"/>
    <w:rsid w:val="00614339"/>
    <w:rsid w:val="00616D94"/>
    <w:rsid w:val="006227DD"/>
    <w:rsid w:val="00622B22"/>
    <w:rsid w:val="00632BE5"/>
    <w:rsid w:val="00632F9F"/>
    <w:rsid w:val="00637997"/>
    <w:rsid w:val="00642787"/>
    <w:rsid w:val="006553F8"/>
    <w:rsid w:val="00657065"/>
    <w:rsid w:val="00663849"/>
    <w:rsid w:val="006708AD"/>
    <w:rsid w:val="0067095F"/>
    <w:rsid w:val="006746B8"/>
    <w:rsid w:val="0069354F"/>
    <w:rsid w:val="006A402E"/>
    <w:rsid w:val="006B2C1B"/>
    <w:rsid w:val="006C0C1E"/>
    <w:rsid w:val="006C318F"/>
    <w:rsid w:val="006C3855"/>
    <w:rsid w:val="006E1856"/>
    <w:rsid w:val="006E7882"/>
    <w:rsid w:val="006F05C5"/>
    <w:rsid w:val="00705FBE"/>
    <w:rsid w:val="00712C80"/>
    <w:rsid w:val="00725BE0"/>
    <w:rsid w:val="00735D53"/>
    <w:rsid w:val="00736AA8"/>
    <w:rsid w:val="00746571"/>
    <w:rsid w:val="00757AA1"/>
    <w:rsid w:val="00763408"/>
    <w:rsid w:val="00771F04"/>
    <w:rsid w:val="0078464A"/>
    <w:rsid w:val="00791EB1"/>
    <w:rsid w:val="00792D24"/>
    <w:rsid w:val="007A615B"/>
    <w:rsid w:val="007B59CE"/>
    <w:rsid w:val="007C188B"/>
    <w:rsid w:val="007D2A6F"/>
    <w:rsid w:val="007E0DAF"/>
    <w:rsid w:val="007F321B"/>
    <w:rsid w:val="007F4AB5"/>
    <w:rsid w:val="007F6131"/>
    <w:rsid w:val="0080195C"/>
    <w:rsid w:val="00810783"/>
    <w:rsid w:val="008118AD"/>
    <w:rsid w:val="0082414B"/>
    <w:rsid w:val="008263B8"/>
    <w:rsid w:val="008314A6"/>
    <w:rsid w:val="00840951"/>
    <w:rsid w:val="00840FDD"/>
    <w:rsid w:val="0084335E"/>
    <w:rsid w:val="00853012"/>
    <w:rsid w:val="00871539"/>
    <w:rsid w:val="0087258C"/>
    <w:rsid w:val="00892753"/>
    <w:rsid w:val="00893B32"/>
    <w:rsid w:val="0089441C"/>
    <w:rsid w:val="008B02A8"/>
    <w:rsid w:val="008B03C0"/>
    <w:rsid w:val="008C0CE6"/>
    <w:rsid w:val="008D6ACF"/>
    <w:rsid w:val="0090666D"/>
    <w:rsid w:val="00921EB1"/>
    <w:rsid w:val="00925760"/>
    <w:rsid w:val="0093734E"/>
    <w:rsid w:val="00941E2B"/>
    <w:rsid w:val="00941F6D"/>
    <w:rsid w:val="00973CCE"/>
    <w:rsid w:val="00983FCF"/>
    <w:rsid w:val="00985994"/>
    <w:rsid w:val="00991B33"/>
    <w:rsid w:val="009955D8"/>
    <w:rsid w:val="009A0008"/>
    <w:rsid w:val="009A010E"/>
    <w:rsid w:val="009A1D1C"/>
    <w:rsid w:val="009B1031"/>
    <w:rsid w:val="009C0DA6"/>
    <w:rsid w:val="009C2F3E"/>
    <w:rsid w:val="009C4ADD"/>
    <w:rsid w:val="009D1C0C"/>
    <w:rsid w:val="009D26F3"/>
    <w:rsid w:val="009E130C"/>
    <w:rsid w:val="009E1BA4"/>
    <w:rsid w:val="009E4B9C"/>
    <w:rsid w:val="009F0251"/>
    <w:rsid w:val="009F6586"/>
    <w:rsid w:val="009F7B98"/>
    <w:rsid w:val="009F7DEE"/>
    <w:rsid w:val="00A07533"/>
    <w:rsid w:val="00A109B4"/>
    <w:rsid w:val="00A10D52"/>
    <w:rsid w:val="00A12BE3"/>
    <w:rsid w:val="00A134C5"/>
    <w:rsid w:val="00A142C9"/>
    <w:rsid w:val="00A175D7"/>
    <w:rsid w:val="00A23554"/>
    <w:rsid w:val="00A2735B"/>
    <w:rsid w:val="00A30310"/>
    <w:rsid w:val="00A31C37"/>
    <w:rsid w:val="00A365CE"/>
    <w:rsid w:val="00A41A6D"/>
    <w:rsid w:val="00A44031"/>
    <w:rsid w:val="00A475C5"/>
    <w:rsid w:val="00A56DAA"/>
    <w:rsid w:val="00A71467"/>
    <w:rsid w:val="00A721C3"/>
    <w:rsid w:val="00A76884"/>
    <w:rsid w:val="00A8010F"/>
    <w:rsid w:val="00A81747"/>
    <w:rsid w:val="00A81C80"/>
    <w:rsid w:val="00A92C04"/>
    <w:rsid w:val="00AA0602"/>
    <w:rsid w:val="00AA67E3"/>
    <w:rsid w:val="00AA6EFD"/>
    <w:rsid w:val="00AC5949"/>
    <w:rsid w:val="00AD251B"/>
    <w:rsid w:val="00AD7AA7"/>
    <w:rsid w:val="00AE3EBC"/>
    <w:rsid w:val="00AF08D4"/>
    <w:rsid w:val="00AF4644"/>
    <w:rsid w:val="00AF7D75"/>
    <w:rsid w:val="00B02BF2"/>
    <w:rsid w:val="00B07697"/>
    <w:rsid w:val="00B10E4E"/>
    <w:rsid w:val="00B12FC2"/>
    <w:rsid w:val="00B154DE"/>
    <w:rsid w:val="00B25A0E"/>
    <w:rsid w:val="00B268F7"/>
    <w:rsid w:val="00B33087"/>
    <w:rsid w:val="00B361C5"/>
    <w:rsid w:val="00B43AE0"/>
    <w:rsid w:val="00B46917"/>
    <w:rsid w:val="00B4691E"/>
    <w:rsid w:val="00B76AB2"/>
    <w:rsid w:val="00B80B49"/>
    <w:rsid w:val="00B84D19"/>
    <w:rsid w:val="00B87519"/>
    <w:rsid w:val="00B95FFD"/>
    <w:rsid w:val="00BA1A67"/>
    <w:rsid w:val="00BA538C"/>
    <w:rsid w:val="00BB06EC"/>
    <w:rsid w:val="00BB63D5"/>
    <w:rsid w:val="00BC22FD"/>
    <w:rsid w:val="00BC238B"/>
    <w:rsid w:val="00BD16C0"/>
    <w:rsid w:val="00BD517C"/>
    <w:rsid w:val="00BD7252"/>
    <w:rsid w:val="00BD7F28"/>
    <w:rsid w:val="00BE04B2"/>
    <w:rsid w:val="00BE29E8"/>
    <w:rsid w:val="00BE33A2"/>
    <w:rsid w:val="00BE69DF"/>
    <w:rsid w:val="00BF735A"/>
    <w:rsid w:val="00C019F8"/>
    <w:rsid w:val="00C06208"/>
    <w:rsid w:val="00C11B73"/>
    <w:rsid w:val="00C12441"/>
    <w:rsid w:val="00C14A3A"/>
    <w:rsid w:val="00C22A62"/>
    <w:rsid w:val="00C23C47"/>
    <w:rsid w:val="00C32A70"/>
    <w:rsid w:val="00C35A8B"/>
    <w:rsid w:val="00C42C99"/>
    <w:rsid w:val="00C45B6A"/>
    <w:rsid w:val="00C53F36"/>
    <w:rsid w:val="00C554EB"/>
    <w:rsid w:val="00C56791"/>
    <w:rsid w:val="00C711DA"/>
    <w:rsid w:val="00C7670F"/>
    <w:rsid w:val="00C8749C"/>
    <w:rsid w:val="00C906EB"/>
    <w:rsid w:val="00CA056C"/>
    <w:rsid w:val="00CA2550"/>
    <w:rsid w:val="00CB16B5"/>
    <w:rsid w:val="00CB1D7A"/>
    <w:rsid w:val="00CC46CB"/>
    <w:rsid w:val="00CC7943"/>
    <w:rsid w:val="00CD7EC0"/>
    <w:rsid w:val="00CE07CB"/>
    <w:rsid w:val="00CE426A"/>
    <w:rsid w:val="00CE60CA"/>
    <w:rsid w:val="00CF6685"/>
    <w:rsid w:val="00D00967"/>
    <w:rsid w:val="00D04771"/>
    <w:rsid w:val="00D05A79"/>
    <w:rsid w:val="00D06887"/>
    <w:rsid w:val="00D10D9F"/>
    <w:rsid w:val="00D116B8"/>
    <w:rsid w:val="00D13C72"/>
    <w:rsid w:val="00D16EB6"/>
    <w:rsid w:val="00D33BBB"/>
    <w:rsid w:val="00D33C9B"/>
    <w:rsid w:val="00D35CE7"/>
    <w:rsid w:val="00D448B6"/>
    <w:rsid w:val="00D45773"/>
    <w:rsid w:val="00D50C24"/>
    <w:rsid w:val="00D6427C"/>
    <w:rsid w:val="00D662B5"/>
    <w:rsid w:val="00D666FD"/>
    <w:rsid w:val="00D7327B"/>
    <w:rsid w:val="00D75A7C"/>
    <w:rsid w:val="00D76960"/>
    <w:rsid w:val="00D81539"/>
    <w:rsid w:val="00DA171C"/>
    <w:rsid w:val="00DB0A2E"/>
    <w:rsid w:val="00DB4E8A"/>
    <w:rsid w:val="00DC1212"/>
    <w:rsid w:val="00DC2624"/>
    <w:rsid w:val="00DC7BC8"/>
    <w:rsid w:val="00DD709C"/>
    <w:rsid w:val="00DE0AE3"/>
    <w:rsid w:val="00DE493C"/>
    <w:rsid w:val="00DE5131"/>
    <w:rsid w:val="00DE5A8F"/>
    <w:rsid w:val="00DE6686"/>
    <w:rsid w:val="00DF4E13"/>
    <w:rsid w:val="00DF5FDF"/>
    <w:rsid w:val="00E020EF"/>
    <w:rsid w:val="00E0353E"/>
    <w:rsid w:val="00E05A62"/>
    <w:rsid w:val="00E07EE7"/>
    <w:rsid w:val="00E153C8"/>
    <w:rsid w:val="00E236B3"/>
    <w:rsid w:val="00E31249"/>
    <w:rsid w:val="00E327FB"/>
    <w:rsid w:val="00E35BEB"/>
    <w:rsid w:val="00E43B0F"/>
    <w:rsid w:val="00E543F8"/>
    <w:rsid w:val="00E55AB8"/>
    <w:rsid w:val="00E6160E"/>
    <w:rsid w:val="00E61DD2"/>
    <w:rsid w:val="00E74CF2"/>
    <w:rsid w:val="00E8789E"/>
    <w:rsid w:val="00E9516A"/>
    <w:rsid w:val="00EA48E5"/>
    <w:rsid w:val="00EA56AE"/>
    <w:rsid w:val="00EB3E1E"/>
    <w:rsid w:val="00EC4D20"/>
    <w:rsid w:val="00ED1387"/>
    <w:rsid w:val="00ED32C1"/>
    <w:rsid w:val="00ED7891"/>
    <w:rsid w:val="00EE3935"/>
    <w:rsid w:val="00EE7C7C"/>
    <w:rsid w:val="00EF7138"/>
    <w:rsid w:val="00F0243B"/>
    <w:rsid w:val="00F03370"/>
    <w:rsid w:val="00F10F1F"/>
    <w:rsid w:val="00F10F67"/>
    <w:rsid w:val="00F1474E"/>
    <w:rsid w:val="00F2517E"/>
    <w:rsid w:val="00F30245"/>
    <w:rsid w:val="00F3031B"/>
    <w:rsid w:val="00F31968"/>
    <w:rsid w:val="00F31EA5"/>
    <w:rsid w:val="00F40740"/>
    <w:rsid w:val="00F4212B"/>
    <w:rsid w:val="00F468BA"/>
    <w:rsid w:val="00F51AD1"/>
    <w:rsid w:val="00F6324B"/>
    <w:rsid w:val="00F71165"/>
    <w:rsid w:val="00F745CA"/>
    <w:rsid w:val="00F83095"/>
    <w:rsid w:val="00F90E03"/>
    <w:rsid w:val="00F92AD8"/>
    <w:rsid w:val="00F97E2C"/>
    <w:rsid w:val="00FA57B8"/>
    <w:rsid w:val="00FB78BB"/>
    <w:rsid w:val="00FC0047"/>
    <w:rsid w:val="00FC1DBC"/>
    <w:rsid w:val="00FC6ADD"/>
    <w:rsid w:val="00FD044D"/>
    <w:rsid w:val="00FE16A8"/>
    <w:rsid w:val="00FF5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B"/>
  </w:style>
  <w:style w:type="paragraph" w:styleId="Heading1">
    <w:name w:val="heading 1"/>
    <w:basedOn w:val="Normal"/>
    <w:next w:val="Normal"/>
    <w:link w:val="Heading1Char"/>
    <w:uiPriority w:val="9"/>
    <w:qFormat/>
    <w:rsid w:val="00B43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0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A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A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3A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A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5905"/>
    <w:pPr>
      <w:ind w:left="720"/>
      <w:contextualSpacing/>
    </w:pPr>
  </w:style>
  <w:style w:type="paragraph" w:styleId="Header">
    <w:name w:val="header"/>
    <w:basedOn w:val="Normal"/>
    <w:link w:val="HeaderChar"/>
    <w:uiPriority w:val="99"/>
    <w:unhideWhenUsed/>
    <w:rsid w:val="00A10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52"/>
  </w:style>
  <w:style w:type="paragraph" w:styleId="Footer">
    <w:name w:val="footer"/>
    <w:basedOn w:val="Normal"/>
    <w:link w:val="FooterChar"/>
    <w:uiPriority w:val="99"/>
    <w:unhideWhenUsed/>
    <w:rsid w:val="00A10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52"/>
  </w:style>
  <w:style w:type="table" w:styleId="TableGrid">
    <w:name w:val="Table Grid"/>
    <w:basedOn w:val="TableNormal"/>
    <w:uiPriority w:val="59"/>
    <w:rsid w:val="00BE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708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9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33"/>
    <w:rPr>
      <w:rFonts w:ascii="Tahoma" w:hAnsi="Tahoma" w:cs="Tahoma"/>
      <w:sz w:val="16"/>
      <w:szCs w:val="16"/>
    </w:rPr>
  </w:style>
  <w:style w:type="paragraph" w:styleId="TOCHeading">
    <w:name w:val="TOC Heading"/>
    <w:basedOn w:val="Heading1"/>
    <w:next w:val="Normal"/>
    <w:uiPriority w:val="39"/>
    <w:semiHidden/>
    <w:unhideWhenUsed/>
    <w:qFormat/>
    <w:rsid w:val="00991B33"/>
    <w:pPr>
      <w:outlineLvl w:val="9"/>
    </w:pPr>
    <w:rPr>
      <w:lang w:val="en-US" w:eastAsia="ja-JP"/>
    </w:rPr>
  </w:style>
  <w:style w:type="paragraph" w:styleId="TOC1">
    <w:name w:val="toc 1"/>
    <w:basedOn w:val="Normal"/>
    <w:next w:val="Normal"/>
    <w:autoRedefine/>
    <w:uiPriority w:val="39"/>
    <w:unhideWhenUsed/>
    <w:rsid w:val="00991B33"/>
    <w:pPr>
      <w:spacing w:after="100"/>
    </w:pPr>
  </w:style>
  <w:style w:type="paragraph" w:styleId="TOC2">
    <w:name w:val="toc 2"/>
    <w:basedOn w:val="Normal"/>
    <w:next w:val="Normal"/>
    <w:autoRedefine/>
    <w:uiPriority w:val="39"/>
    <w:unhideWhenUsed/>
    <w:rsid w:val="00991B33"/>
    <w:pPr>
      <w:spacing w:after="100"/>
      <w:ind w:left="220"/>
    </w:pPr>
  </w:style>
  <w:style w:type="character" w:styleId="Hyperlink">
    <w:name w:val="Hyperlink"/>
    <w:basedOn w:val="DefaultParagraphFont"/>
    <w:uiPriority w:val="99"/>
    <w:unhideWhenUsed/>
    <w:rsid w:val="00991B33"/>
    <w:rPr>
      <w:color w:val="0000FF" w:themeColor="hyperlink"/>
      <w:u w:val="single"/>
    </w:rPr>
  </w:style>
  <w:style w:type="character" w:styleId="CommentReference">
    <w:name w:val="annotation reference"/>
    <w:basedOn w:val="DefaultParagraphFont"/>
    <w:uiPriority w:val="99"/>
    <w:semiHidden/>
    <w:unhideWhenUsed/>
    <w:rsid w:val="00F4212B"/>
    <w:rPr>
      <w:sz w:val="16"/>
      <w:szCs w:val="16"/>
    </w:rPr>
  </w:style>
  <w:style w:type="paragraph" w:styleId="CommentText">
    <w:name w:val="annotation text"/>
    <w:basedOn w:val="Normal"/>
    <w:link w:val="CommentTextChar"/>
    <w:uiPriority w:val="99"/>
    <w:semiHidden/>
    <w:unhideWhenUsed/>
    <w:rsid w:val="00F4212B"/>
    <w:pPr>
      <w:spacing w:line="240" w:lineRule="auto"/>
    </w:pPr>
    <w:rPr>
      <w:sz w:val="20"/>
      <w:szCs w:val="20"/>
    </w:rPr>
  </w:style>
  <w:style w:type="character" w:customStyle="1" w:styleId="CommentTextChar">
    <w:name w:val="Comment Text Char"/>
    <w:basedOn w:val="DefaultParagraphFont"/>
    <w:link w:val="CommentText"/>
    <w:uiPriority w:val="99"/>
    <w:semiHidden/>
    <w:rsid w:val="00F4212B"/>
    <w:rPr>
      <w:sz w:val="20"/>
      <w:szCs w:val="20"/>
    </w:rPr>
  </w:style>
  <w:style w:type="paragraph" w:styleId="CommentSubject">
    <w:name w:val="annotation subject"/>
    <w:basedOn w:val="CommentText"/>
    <w:next w:val="CommentText"/>
    <w:link w:val="CommentSubjectChar"/>
    <w:uiPriority w:val="99"/>
    <w:semiHidden/>
    <w:unhideWhenUsed/>
    <w:rsid w:val="00F4212B"/>
    <w:rPr>
      <w:b/>
      <w:bCs/>
    </w:rPr>
  </w:style>
  <w:style w:type="character" w:customStyle="1" w:styleId="CommentSubjectChar">
    <w:name w:val="Comment Subject Char"/>
    <w:basedOn w:val="CommentTextChar"/>
    <w:link w:val="CommentSubject"/>
    <w:uiPriority w:val="99"/>
    <w:semiHidden/>
    <w:rsid w:val="00F421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5B"/>
  </w:style>
  <w:style w:type="paragraph" w:styleId="Heading1">
    <w:name w:val="heading 1"/>
    <w:basedOn w:val="Normal"/>
    <w:next w:val="Normal"/>
    <w:link w:val="Heading1Char"/>
    <w:uiPriority w:val="9"/>
    <w:qFormat/>
    <w:rsid w:val="00B43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0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A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A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3A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A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5905"/>
    <w:pPr>
      <w:ind w:left="720"/>
      <w:contextualSpacing/>
    </w:pPr>
  </w:style>
  <w:style w:type="paragraph" w:styleId="Header">
    <w:name w:val="header"/>
    <w:basedOn w:val="Normal"/>
    <w:link w:val="HeaderChar"/>
    <w:uiPriority w:val="99"/>
    <w:unhideWhenUsed/>
    <w:rsid w:val="00A10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52"/>
  </w:style>
  <w:style w:type="paragraph" w:styleId="Footer">
    <w:name w:val="footer"/>
    <w:basedOn w:val="Normal"/>
    <w:link w:val="FooterChar"/>
    <w:uiPriority w:val="99"/>
    <w:unhideWhenUsed/>
    <w:rsid w:val="00A10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52"/>
  </w:style>
  <w:style w:type="table" w:styleId="TableGrid">
    <w:name w:val="Table Grid"/>
    <w:basedOn w:val="TableNormal"/>
    <w:uiPriority w:val="59"/>
    <w:rsid w:val="00BE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708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9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33"/>
    <w:rPr>
      <w:rFonts w:ascii="Tahoma" w:hAnsi="Tahoma" w:cs="Tahoma"/>
      <w:sz w:val="16"/>
      <w:szCs w:val="16"/>
    </w:rPr>
  </w:style>
  <w:style w:type="paragraph" w:styleId="TOCHeading">
    <w:name w:val="TOC Heading"/>
    <w:basedOn w:val="Heading1"/>
    <w:next w:val="Normal"/>
    <w:uiPriority w:val="39"/>
    <w:semiHidden/>
    <w:unhideWhenUsed/>
    <w:qFormat/>
    <w:rsid w:val="00991B33"/>
    <w:pPr>
      <w:outlineLvl w:val="9"/>
    </w:pPr>
    <w:rPr>
      <w:lang w:val="en-US" w:eastAsia="ja-JP"/>
    </w:rPr>
  </w:style>
  <w:style w:type="paragraph" w:styleId="TOC1">
    <w:name w:val="toc 1"/>
    <w:basedOn w:val="Normal"/>
    <w:next w:val="Normal"/>
    <w:autoRedefine/>
    <w:uiPriority w:val="39"/>
    <w:unhideWhenUsed/>
    <w:rsid w:val="00991B33"/>
    <w:pPr>
      <w:spacing w:after="100"/>
    </w:pPr>
  </w:style>
  <w:style w:type="paragraph" w:styleId="TOC2">
    <w:name w:val="toc 2"/>
    <w:basedOn w:val="Normal"/>
    <w:next w:val="Normal"/>
    <w:autoRedefine/>
    <w:uiPriority w:val="39"/>
    <w:unhideWhenUsed/>
    <w:rsid w:val="00991B33"/>
    <w:pPr>
      <w:spacing w:after="100"/>
      <w:ind w:left="220"/>
    </w:pPr>
  </w:style>
  <w:style w:type="character" w:styleId="Hyperlink">
    <w:name w:val="Hyperlink"/>
    <w:basedOn w:val="DefaultParagraphFont"/>
    <w:uiPriority w:val="99"/>
    <w:unhideWhenUsed/>
    <w:rsid w:val="00991B33"/>
    <w:rPr>
      <w:color w:val="0000FF" w:themeColor="hyperlink"/>
      <w:u w:val="single"/>
    </w:rPr>
  </w:style>
  <w:style w:type="character" w:styleId="CommentReference">
    <w:name w:val="annotation reference"/>
    <w:basedOn w:val="DefaultParagraphFont"/>
    <w:uiPriority w:val="99"/>
    <w:semiHidden/>
    <w:unhideWhenUsed/>
    <w:rsid w:val="00F4212B"/>
    <w:rPr>
      <w:sz w:val="16"/>
      <w:szCs w:val="16"/>
    </w:rPr>
  </w:style>
  <w:style w:type="paragraph" w:styleId="CommentText">
    <w:name w:val="annotation text"/>
    <w:basedOn w:val="Normal"/>
    <w:link w:val="CommentTextChar"/>
    <w:uiPriority w:val="99"/>
    <w:semiHidden/>
    <w:unhideWhenUsed/>
    <w:rsid w:val="00F4212B"/>
    <w:pPr>
      <w:spacing w:line="240" w:lineRule="auto"/>
    </w:pPr>
    <w:rPr>
      <w:sz w:val="20"/>
      <w:szCs w:val="20"/>
    </w:rPr>
  </w:style>
  <w:style w:type="character" w:customStyle="1" w:styleId="CommentTextChar">
    <w:name w:val="Comment Text Char"/>
    <w:basedOn w:val="DefaultParagraphFont"/>
    <w:link w:val="CommentText"/>
    <w:uiPriority w:val="99"/>
    <w:semiHidden/>
    <w:rsid w:val="00F4212B"/>
    <w:rPr>
      <w:sz w:val="20"/>
      <w:szCs w:val="20"/>
    </w:rPr>
  </w:style>
  <w:style w:type="paragraph" w:styleId="CommentSubject">
    <w:name w:val="annotation subject"/>
    <w:basedOn w:val="CommentText"/>
    <w:next w:val="CommentText"/>
    <w:link w:val="CommentSubjectChar"/>
    <w:uiPriority w:val="99"/>
    <w:semiHidden/>
    <w:unhideWhenUsed/>
    <w:rsid w:val="00F4212B"/>
    <w:rPr>
      <w:b/>
      <w:bCs/>
    </w:rPr>
  </w:style>
  <w:style w:type="character" w:customStyle="1" w:styleId="CommentSubjectChar">
    <w:name w:val="Comment Subject Char"/>
    <w:basedOn w:val="CommentTextChar"/>
    <w:link w:val="CommentSubject"/>
    <w:uiPriority w:val="99"/>
    <w:semiHidden/>
    <w:rsid w:val="00F42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2033">
      <w:bodyDiv w:val="1"/>
      <w:marLeft w:val="0"/>
      <w:marRight w:val="0"/>
      <w:marTop w:val="0"/>
      <w:marBottom w:val="0"/>
      <w:divBdr>
        <w:top w:val="none" w:sz="0" w:space="0" w:color="auto"/>
        <w:left w:val="none" w:sz="0" w:space="0" w:color="auto"/>
        <w:bottom w:val="none" w:sz="0" w:space="0" w:color="auto"/>
        <w:right w:val="none" w:sz="0" w:space="0" w:color="auto"/>
      </w:divBdr>
      <w:divsChild>
        <w:div w:id="220096736">
          <w:marLeft w:val="288"/>
          <w:marRight w:val="0"/>
          <w:marTop w:val="0"/>
          <w:marBottom w:val="0"/>
          <w:divBdr>
            <w:top w:val="none" w:sz="0" w:space="0" w:color="auto"/>
            <w:left w:val="none" w:sz="0" w:space="0" w:color="auto"/>
            <w:bottom w:val="none" w:sz="0" w:space="0" w:color="auto"/>
            <w:right w:val="none" w:sz="0" w:space="0" w:color="auto"/>
          </w:divBdr>
        </w:div>
      </w:divsChild>
    </w:div>
    <w:div w:id="1566648995">
      <w:bodyDiv w:val="1"/>
      <w:marLeft w:val="0"/>
      <w:marRight w:val="0"/>
      <w:marTop w:val="0"/>
      <w:marBottom w:val="0"/>
      <w:divBdr>
        <w:top w:val="none" w:sz="0" w:space="0" w:color="auto"/>
        <w:left w:val="none" w:sz="0" w:space="0" w:color="auto"/>
        <w:bottom w:val="none" w:sz="0" w:space="0" w:color="auto"/>
        <w:right w:val="none" w:sz="0" w:space="0" w:color="auto"/>
      </w:divBdr>
    </w:div>
    <w:div w:id="1636251257">
      <w:bodyDiv w:val="1"/>
      <w:marLeft w:val="0"/>
      <w:marRight w:val="0"/>
      <w:marTop w:val="0"/>
      <w:marBottom w:val="0"/>
      <w:divBdr>
        <w:top w:val="none" w:sz="0" w:space="0" w:color="auto"/>
        <w:left w:val="none" w:sz="0" w:space="0" w:color="auto"/>
        <w:bottom w:val="none" w:sz="0" w:space="0" w:color="auto"/>
        <w:right w:val="none" w:sz="0" w:space="0" w:color="auto"/>
      </w:divBdr>
      <w:divsChild>
        <w:div w:id="277179814">
          <w:marLeft w:val="0"/>
          <w:marRight w:val="0"/>
          <w:marTop w:val="0"/>
          <w:marBottom w:val="0"/>
          <w:divBdr>
            <w:top w:val="none" w:sz="0" w:space="0" w:color="auto"/>
            <w:left w:val="none" w:sz="0" w:space="0" w:color="auto"/>
            <w:bottom w:val="none" w:sz="0" w:space="0" w:color="auto"/>
            <w:right w:val="none" w:sz="0" w:space="0" w:color="auto"/>
          </w:divBdr>
          <w:divsChild>
            <w:div w:id="1536042437">
              <w:marLeft w:val="0"/>
              <w:marRight w:val="0"/>
              <w:marTop w:val="0"/>
              <w:marBottom w:val="0"/>
              <w:divBdr>
                <w:top w:val="none" w:sz="0" w:space="0" w:color="auto"/>
                <w:left w:val="none" w:sz="0" w:space="0" w:color="auto"/>
                <w:bottom w:val="none" w:sz="0" w:space="0" w:color="auto"/>
                <w:right w:val="none" w:sz="0" w:space="0" w:color="auto"/>
              </w:divBdr>
              <w:divsChild>
                <w:div w:id="1145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6004">
          <w:marLeft w:val="0"/>
          <w:marRight w:val="0"/>
          <w:marTop w:val="0"/>
          <w:marBottom w:val="0"/>
          <w:divBdr>
            <w:top w:val="none" w:sz="0" w:space="0" w:color="auto"/>
            <w:left w:val="none" w:sz="0" w:space="0" w:color="auto"/>
            <w:bottom w:val="none" w:sz="0" w:space="0" w:color="auto"/>
            <w:right w:val="none" w:sz="0" w:space="0" w:color="auto"/>
          </w:divBdr>
          <w:divsChild>
            <w:div w:id="145515189">
              <w:marLeft w:val="0"/>
              <w:marRight w:val="0"/>
              <w:marTop w:val="0"/>
              <w:marBottom w:val="0"/>
              <w:divBdr>
                <w:top w:val="none" w:sz="0" w:space="0" w:color="auto"/>
                <w:left w:val="none" w:sz="0" w:space="0" w:color="auto"/>
                <w:bottom w:val="none" w:sz="0" w:space="0" w:color="auto"/>
                <w:right w:val="none" w:sz="0" w:space="0" w:color="auto"/>
              </w:divBdr>
              <w:divsChild>
                <w:div w:id="553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crr.com.au/workplace-health-and-safe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997F-23C4-48AF-B91B-3DAF3A5E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Barron</dc:creator>
  <cp:lastModifiedBy>Stephanie Mizzi</cp:lastModifiedBy>
  <cp:revision>2</cp:revision>
  <cp:lastPrinted>2017-11-16T03:48:00Z</cp:lastPrinted>
  <dcterms:created xsi:type="dcterms:W3CDTF">2017-12-18T23:19:00Z</dcterms:created>
  <dcterms:modified xsi:type="dcterms:W3CDTF">2017-12-18T23:19:00Z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4a29be18-d021-4eff-9765-8a7b61a10375</vt:lpwstr>
  </property>
  <property fmtid="{D5CDD505-2E9C-101B-9397-08002B2CF9AE}" pid="3" name="PSPFClassification">
    <vt:lpwstr>Do Not Mark</vt:lpwstr>
  </property>
</Properties>
</file>