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06" w:rsidRPr="005348E1" w:rsidRDefault="002856ED" w:rsidP="002856ED">
      <w:pPr>
        <w:pStyle w:val="Title"/>
        <w:rPr>
          <w:color w:val="auto"/>
        </w:rPr>
      </w:pPr>
      <w:bookmarkStart w:id="0" w:name="_GoBack"/>
      <w:bookmarkEnd w:id="0"/>
      <w:r w:rsidRPr="005348E1">
        <w:rPr>
          <w:color w:val="auto"/>
        </w:rPr>
        <w:t>Investment Lifecycle and High Value/High Risk Guidelines</w:t>
      </w:r>
    </w:p>
    <w:p w:rsidR="002856ED" w:rsidRDefault="002856ED" w:rsidP="002856ED"/>
    <w:p w:rsidR="002856ED" w:rsidRDefault="009B5A8E" w:rsidP="002856ED">
      <w:pPr>
        <w:pStyle w:val="Subtitle"/>
      </w:pPr>
      <w:r>
        <w:t>Realise</w:t>
      </w:r>
    </w:p>
    <w:p w:rsidR="00AF342B" w:rsidRDefault="00AF342B" w:rsidP="0034041F"/>
    <w:p w:rsidR="002856ED" w:rsidRDefault="002856ED" w:rsidP="0034041F">
      <w:pPr>
        <w:sectPr w:rsidR="002856ED" w:rsidSect="00A6088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155" w:right="1418" w:bottom="1985" w:left="1418" w:header="680" w:footer="454" w:gutter="0"/>
          <w:cols w:sep="1" w:space="567"/>
          <w:docGrid w:linePitch="360"/>
        </w:sectPr>
      </w:pPr>
    </w:p>
    <w:p w:rsidR="0034041F" w:rsidRDefault="0034041F" w:rsidP="002F2B06">
      <w:pPr>
        <w:spacing w:before="0" w:after="0"/>
      </w:pPr>
      <w:r>
        <w:lastRenderedPageBreak/>
        <w:t>The Secretary</w:t>
      </w:r>
    </w:p>
    <w:p w:rsidR="0034041F" w:rsidRDefault="0034041F" w:rsidP="002F2B06">
      <w:pPr>
        <w:spacing w:before="0" w:after="0"/>
      </w:pPr>
      <w:r>
        <w:t>Department of Treasury and Finance</w:t>
      </w:r>
    </w:p>
    <w:p w:rsidR="0034041F" w:rsidRDefault="0034041F" w:rsidP="002F2B06">
      <w:pPr>
        <w:spacing w:before="0" w:after="0"/>
      </w:pPr>
      <w:r>
        <w:t>1 Treasury Place</w:t>
      </w:r>
    </w:p>
    <w:p w:rsidR="0034041F" w:rsidRDefault="0034041F" w:rsidP="002F2B06">
      <w:pPr>
        <w:spacing w:before="0" w:after="0"/>
      </w:pPr>
      <w:r>
        <w:t>Melbourne Victoria 3002</w:t>
      </w:r>
    </w:p>
    <w:p w:rsidR="0034041F" w:rsidRDefault="0034041F" w:rsidP="002F2B06">
      <w:pPr>
        <w:spacing w:before="0" w:after="0"/>
      </w:pPr>
      <w:r>
        <w:t>Australia</w:t>
      </w:r>
    </w:p>
    <w:p w:rsidR="0034041F" w:rsidRDefault="0034041F" w:rsidP="002F2B06">
      <w:pPr>
        <w:spacing w:before="0" w:after="0"/>
      </w:pPr>
      <w:r>
        <w:t>Telephone: +61 3 9651 5111</w:t>
      </w:r>
    </w:p>
    <w:p w:rsidR="0034041F" w:rsidRDefault="0034041F" w:rsidP="002F2B06">
      <w:pPr>
        <w:spacing w:before="0" w:after="0"/>
      </w:pPr>
      <w:r>
        <w:t>Facsimile: +61 3 9651 5298</w:t>
      </w:r>
    </w:p>
    <w:p w:rsidR="0034041F" w:rsidRDefault="0034041F" w:rsidP="002F2B06">
      <w:pPr>
        <w:spacing w:before="0" w:after="0"/>
      </w:pPr>
      <w:r>
        <w:t>www.dtf.vic.gov.au</w:t>
      </w:r>
    </w:p>
    <w:p w:rsidR="0034041F" w:rsidRDefault="0034041F" w:rsidP="002F2B06">
      <w:pPr>
        <w:spacing w:before="0" w:after="0"/>
      </w:pPr>
    </w:p>
    <w:p w:rsidR="0034041F" w:rsidRDefault="0034041F" w:rsidP="002F2B06">
      <w:pPr>
        <w:spacing w:before="0" w:after="0"/>
      </w:pPr>
      <w:r>
        <w:t>Authorised by the Victorian Government</w:t>
      </w:r>
    </w:p>
    <w:p w:rsidR="0034041F" w:rsidRDefault="0034041F" w:rsidP="002F2B06">
      <w:pPr>
        <w:spacing w:before="0" w:after="0"/>
      </w:pPr>
      <w:r>
        <w:t>1 Treasury Place, Melbourne, 3002</w:t>
      </w:r>
    </w:p>
    <w:p w:rsidR="00B74051" w:rsidRDefault="00B74051" w:rsidP="002F2B06">
      <w:pPr>
        <w:spacing w:before="0" w:after="0"/>
      </w:pPr>
    </w:p>
    <w:p w:rsidR="00B74051" w:rsidRDefault="00B74051" w:rsidP="00B74051">
      <w:pPr>
        <w:spacing w:before="0" w:after="0"/>
      </w:pPr>
      <w:r>
        <w:t>ISBN 978-1-922045-95-9</w:t>
      </w:r>
    </w:p>
    <w:p w:rsidR="00B74051" w:rsidRDefault="00B74051" w:rsidP="00B74051">
      <w:pPr>
        <w:spacing w:before="0" w:after="0"/>
      </w:pPr>
      <w:r>
        <w:t>Published December 2012</w:t>
      </w:r>
    </w:p>
    <w:p w:rsidR="0034041F" w:rsidRDefault="0034041F" w:rsidP="002F2B06">
      <w:pPr>
        <w:spacing w:before="0" w:after="0"/>
      </w:pPr>
    </w:p>
    <w:p w:rsidR="0034041F" w:rsidRDefault="002F2B06" w:rsidP="002F2B06">
      <w:pPr>
        <w:spacing w:before="0" w:after="0"/>
      </w:pPr>
      <w:r>
        <w:t>© State of Victoria 2017</w:t>
      </w:r>
    </w:p>
    <w:p w:rsidR="0034041F" w:rsidRDefault="002F2B06" w:rsidP="0034041F">
      <w:r>
        <w:rPr>
          <w:rFonts w:cstheme="minorHAnsi"/>
          <w:noProof/>
          <w:lang w:eastAsia="en-AU"/>
        </w:rPr>
        <w:drawing>
          <wp:inline distT="0" distB="0" distL="0" distR="0" wp14:anchorId="023AAB8E" wp14:editId="1FD4084E">
            <wp:extent cx="1117460" cy="393651"/>
            <wp:effectExtent l="0" t="0" r="6985" b="698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34041F" w:rsidRDefault="0034041F" w:rsidP="0034041F">
      <w:r>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Treasury and Finance logo.</w:t>
      </w:r>
    </w:p>
    <w:p w:rsidR="0034041F" w:rsidRDefault="0034041F" w:rsidP="0034041F">
      <w:r>
        <w:t>Copyright queries may be directed to IPpolicy@dtf.vic.gov.au</w:t>
      </w:r>
    </w:p>
    <w:p w:rsidR="0034041F" w:rsidRDefault="0034041F" w:rsidP="0034041F">
      <w:r>
        <w:t xml:space="preserve">If you would like to receive this publication in an accessible format please email information@dtf.vic.gov.au </w:t>
      </w:r>
    </w:p>
    <w:p w:rsidR="002856ED" w:rsidRDefault="0034041F" w:rsidP="0034041F">
      <w:r>
        <w:t>This document is also available in PDF format at www.dtf.vic.gov.au</w:t>
      </w:r>
    </w:p>
    <w:p w:rsidR="002856ED" w:rsidRDefault="002856ED" w:rsidP="0034041F">
      <w:pPr>
        <w:sectPr w:rsidR="002856ED" w:rsidSect="002F2B06">
          <w:headerReference w:type="default" r:id="rId17"/>
          <w:footerReference w:type="even" r:id="rId18"/>
          <w:footerReference w:type="default" r:id="rId19"/>
          <w:pgSz w:w="11906" w:h="16838" w:code="9"/>
          <w:pgMar w:top="2155" w:right="1418" w:bottom="1985" w:left="1418" w:header="680" w:footer="454" w:gutter="0"/>
          <w:cols w:sep="1" w:space="567"/>
          <w:vAlign w:val="bottom"/>
          <w:docGrid w:linePitch="360"/>
        </w:sectPr>
      </w:pPr>
    </w:p>
    <w:p w:rsidR="00FF3B45" w:rsidRPr="008420DB" w:rsidRDefault="008420DB" w:rsidP="008420DB">
      <w:pPr>
        <w:pStyle w:val="SectionHeading"/>
      </w:pPr>
      <w:r>
        <w:lastRenderedPageBreak/>
        <w:t>Contents</w:t>
      </w:r>
    </w:p>
    <w:p w:rsidR="00AC58BD" w:rsidRDefault="001807D4">
      <w:pPr>
        <w:pStyle w:val="TOC1"/>
        <w:rPr>
          <w:rFonts w:asciiTheme="minorHAnsi" w:eastAsiaTheme="minorEastAsia" w:hAnsiTheme="minorHAnsi"/>
          <w:noProof/>
          <w:color w:val="auto"/>
          <w:spacing w:val="0"/>
          <w:sz w:val="22"/>
          <w:szCs w:val="22"/>
          <w:lang w:eastAsia="en-AU"/>
        </w:rPr>
      </w:pPr>
      <w:r>
        <w:rPr>
          <w:color w:val="53565A" w:themeColor="text2"/>
        </w:rPr>
        <w:fldChar w:fldCharType="begin"/>
      </w:r>
      <w:r>
        <w:instrText xml:space="preserve"> TOC \h \z \t " Heading 1 (#),1,Heading 1,1, Heading 2,2,Heading 2 (#),2" \* MERGEFORMAT </w:instrText>
      </w:r>
      <w:r>
        <w:rPr>
          <w:color w:val="53565A" w:themeColor="text2"/>
        </w:rPr>
        <w:fldChar w:fldCharType="separate"/>
      </w:r>
      <w:hyperlink w:anchor="_Toc499630188" w:history="1">
        <w:r w:rsidR="00AC58BD" w:rsidRPr="00037756">
          <w:rPr>
            <w:rStyle w:val="Hyperlink"/>
            <w:noProof/>
          </w:rPr>
          <w:t>1.</w:t>
        </w:r>
        <w:r w:rsidR="00AC58BD">
          <w:rPr>
            <w:rFonts w:asciiTheme="minorHAnsi" w:eastAsiaTheme="minorEastAsia" w:hAnsiTheme="minorHAnsi"/>
            <w:noProof/>
            <w:color w:val="auto"/>
            <w:spacing w:val="0"/>
            <w:sz w:val="22"/>
            <w:szCs w:val="22"/>
            <w:lang w:eastAsia="en-AU"/>
          </w:rPr>
          <w:tab/>
        </w:r>
        <w:r w:rsidR="00AC58BD" w:rsidRPr="00037756">
          <w:rPr>
            <w:rStyle w:val="Hyperlink"/>
            <w:noProof/>
          </w:rPr>
          <w:t>Introduction</w:t>
        </w:r>
        <w:r w:rsidR="00AC58BD">
          <w:rPr>
            <w:noProof/>
            <w:webHidden/>
          </w:rPr>
          <w:tab/>
        </w:r>
        <w:r w:rsidR="00AC58BD">
          <w:rPr>
            <w:noProof/>
            <w:webHidden/>
          </w:rPr>
          <w:fldChar w:fldCharType="begin"/>
        </w:r>
        <w:r w:rsidR="00AC58BD">
          <w:rPr>
            <w:noProof/>
            <w:webHidden/>
          </w:rPr>
          <w:instrText xml:space="preserve"> PAGEREF _Toc499630188 \h </w:instrText>
        </w:r>
        <w:r w:rsidR="00AC58BD">
          <w:rPr>
            <w:noProof/>
            <w:webHidden/>
          </w:rPr>
        </w:r>
        <w:r w:rsidR="00AC58BD">
          <w:rPr>
            <w:noProof/>
            <w:webHidden/>
          </w:rPr>
          <w:fldChar w:fldCharType="separate"/>
        </w:r>
        <w:r w:rsidR="00AC58BD">
          <w:rPr>
            <w:noProof/>
            <w:webHidden/>
          </w:rPr>
          <w:t>1</w:t>
        </w:r>
        <w:r w:rsidR="00AC58BD">
          <w:rPr>
            <w:noProof/>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89" w:history="1">
        <w:r w:rsidR="00AC58BD" w:rsidRPr="00037756">
          <w:rPr>
            <w:rStyle w:val="Hyperlink"/>
          </w:rPr>
          <w:t>1.1</w:t>
        </w:r>
        <w:r w:rsidR="00AC58BD">
          <w:rPr>
            <w:rFonts w:asciiTheme="minorHAnsi" w:eastAsiaTheme="minorEastAsia" w:hAnsiTheme="minorHAnsi"/>
            <w:spacing w:val="0"/>
            <w:sz w:val="22"/>
            <w:szCs w:val="22"/>
            <w:lang w:eastAsia="en-AU"/>
          </w:rPr>
          <w:tab/>
        </w:r>
        <w:r w:rsidR="00AC58BD" w:rsidRPr="00037756">
          <w:rPr>
            <w:rStyle w:val="Hyperlink"/>
          </w:rPr>
          <w:t>Purpose of this stage</w:t>
        </w:r>
        <w:r w:rsidR="00AC58BD">
          <w:rPr>
            <w:webHidden/>
          </w:rPr>
          <w:tab/>
        </w:r>
        <w:r w:rsidR="00AC58BD">
          <w:rPr>
            <w:webHidden/>
          </w:rPr>
          <w:fldChar w:fldCharType="begin"/>
        </w:r>
        <w:r w:rsidR="00AC58BD">
          <w:rPr>
            <w:webHidden/>
          </w:rPr>
          <w:instrText xml:space="preserve"> PAGEREF _Toc499630189 \h </w:instrText>
        </w:r>
        <w:r w:rsidR="00AC58BD">
          <w:rPr>
            <w:webHidden/>
          </w:rPr>
        </w:r>
        <w:r w:rsidR="00AC58BD">
          <w:rPr>
            <w:webHidden/>
          </w:rPr>
          <w:fldChar w:fldCharType="separate"/>
        </w:r>
        <w:r w:rsidR="00AC58BD">
          <w:rPr>
            <w:webHidden/>
          </w:rPr>
          <w:t>1</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90" w:history="1">
        <w:r w:rsidR="00AC58BD" w:rsidRPr="00037756">
          <w:rPr>
            <w:rStyle w:val="Hyperlink"/>
          </w:rPr>
          <w:t>1.2</w:t>
        </w:r>
        <w:r w:rsidR="00AC58BD">
          <w:rPr>
            <w:rFonts w:asciiTheme="minorHAnsi" w:eastAsiaTheme="minorEastAsia" w:hAnsiTheme="minorHAnsi"/>
            <w:spacing w:val="0"/>
            <w:sz w:val="22"/>
            <w:szCs w:val="22"/>
            <w:lang w:eastAsia="en-AU"/>
          </w:rPr>
          <w:tab/>
        </w:r>
        <w:r w:rsidR="00AC58BD" w:rsidRPr="00037756">
          <w:rPr>
            <w:rStyle w:val="Hyperlink"/>
          </w:rPr>
          <w:t>How to use this guideline</w:t>
        </w:r>
        <w:r w:rsidR="00AC58BD">
          <w:rPr>
            <w:webHidden/>
          </w:rPr>
          <w:tab/>
        </w:r>
        <w:r w:rsidR="00AC58BD">
          <w:rPr>
            <w:webHidden/>
          </w:rPr>
          <w:fldChar w:fldCharType="begin"/>
        </w:r>
        <w:r w:rsidR="00AC58BD">
          <w:rPr>
            <w:webHidden/>
          </w:rPr>
          <w:instrText xml:space="preserve"> PAGEREF _Toc499630190 \h </w:instrText>
        </w:r>
        <w:r w:rsidR="00AC58BD">
          <w:rPr>
            <w:webHidden/>
          </w:rPr>
        </w:r>
        <w:r w:rsidR="00AC58BD">
          <w:rPr>
            <w:webHidden/>
          </w:rPr>
          <w:fldChar w:fldCharType="separate"/>
        </w:r>
        <w:r w:rsidR="00AC58BD">
          <w:rPr>
            <w:webHidden/>
          </w:rPr>
          <w:t>2</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91" w:history="1">
        <w:r w:rsidR="00AC58BD" w:rsidRPr="00037756">
          <w:rPr>
            <w:rStyle w:val="Hyperlink"/>
          </w:rPr>
          <w:t>1.3</w:t>
        </w:r>
        <w:r w:rsidR="00AC58BD">
          <w:rPr>
            <w:rFonts w:asciiTheme="minorHAnsi" w:eastAsiaTheme="minorEastAsia" w:hAnsiTheme="minorHAnsi"/>
            <w:spacing w:val="0"/>
            <w:sz w:val="22"/>
            <w:szCs w:val="22"/>
            <w:lang w:eastAsia="en-AU"/>
          </w:rPr>
          <w:tab/>
        </w:r>
        <w:r w:rsidR="00AC58BD" w:rsidRPr="00037756">
          <w:rPr>
            <w:rStyle w:val="Hyperlink"/>
          </w:rPr>
          <w:t>Purpose of investment evaluation</w:t>
        </w:r>
        <w:r w:rsidR="00AC58BD">
          <w:rPr>
            <w:webHidden/>
          </w:rPr>
          <w:tab/>
        </w:r>
        <w:r w:rsidR="00AC58BD">
          <w:rPr>
            <w:webHidden/>
          </w:rPr>
          <w:fldChar w:fldCharType="begin"/>
        </w:r>
        <w:r w:rsidR="00AC58BD">
          <w:rPr>
            <w:webHidden/>
          </w:rPr>
          <w:instrText xml:space="preserve"> PAGEREF _Toc499630191 \h </w:instrText>
        </w:r>
        <w:r w:rsidR="00AC58BD">
          <w:rPr>
            <w:webHidden/>
          </w:rPr>
        </w:r>
        <w:r w:rsidR="00AC58BD">
          <w:rPr>
            <w:webHidden/>
          </w:rPr>
          <w:fldChar w:fldCharType="separate"/>
        </w:r>
        <w:r w:rsidR="00AC58BD">
          <w:rPr>
            <w:webHidden/>
          </w:rPr>
          <w:t>2</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92" w:history="1">
        <w:r w:rsidR="00AC58BD" w:rsidRPr="00037756">
          <w:rPr>
            <w:rStyle w:val="Hyperlink"/>
          </w:rPr>
          <w:t>1.4</w:t>
        </w:r>
        <w:r w:rsidR="00AC58BD">
          <w:rPr>
            <w:rFonts w:asciiTheme="minorHAnsi" w:eastAsiaTheme="minorEastAsia" w:hAnsiTheme="minorHAnsi"/>
            <w:spacing w:val="0"/>
            <w:sz w:val="22"/>
            <w:szCs w:val="22"/>
            <w:lang w:eastAsia="en-AU"/>
          </w:rPr>
          <w:tab/>
        </w:r>
        <w:r w:rsidR="00AC58BD" w:rsidRPr="00037756">
          <w:rPr>
            <w:rStyle w:val="Hyperlink"/>
          </w:rPr>
          <w:t>Who benefits from an investment evaluation?</w:t>
        </w:r>
        <w:r w:rsidR="00AC58BD">
          <w:rPr>
            <w:webHidden/>
          </w:rPr>
          <w:tab/>
        </w:r>
        <w:r w:rsidR="00AC58BD">
          <w:rPr>
            <w:webHidden/>
          </w:rPr>
          <w:fldChar w:fldCharType="begin"/>
        </w:r>
        <w:r w:rsidR="00AC58BD">
          <w:rPr>
            <w:webHidden/>
          </w:rPr>
          <w:instrText xml:space="preserve"> PAGEREF _Toc499630192 \h </w:instrText>
        </w:r>
        <w:r w:rsidR="00AC58BD">
          <w:rPr>
            <w:webHidden/>
          </w:rPr>
        </w:r>
        <w:r w:rsidR="00AC58BD">
          <w:rPr>
            <w:webHidden/>
          </w:rPr>
          <w:fldChar w:fldCharType="separate"/>
        </w:r>
        <w:r w:rsidR="00AC58BD">
          <w:rPr>
            <w:webHidden/>
          </w:rPr>
          <w:t>3</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93" w:history="1">
        <w:r w:rsidR="00AC58BD" w:rsidRPr="00037756">
          <w:rPr>
            <w:rStyle w:val="Hyperlink"/>
          </w:rPr>
          <w:t>1.5</w:t>
        </w:r>
        <w:r w:rsidR="00AC58BD">
          <w:rPr>
            <w:rFonts w:asciiTheme="minorHAnsi" w:eastAsiaTheme="minorEastAsia" w:hAnsiTheme="minorHAnsi"/>
            <w:spacing w:val="0"/>
            <w:sz w:val="22"/>
            <w:szCs w:val="22"/>
            <w:lang w:eastAsia="en-AU"/>
          </w:rPr>
          <w:tab/>
        </w:r>
        <w:r w:rsidR="00AC58BD" w:rsidRPr="00037756">
          <w:rPr>
            <w:rStyle w:val="Hyperlink"/>
          </w:rPr>
          <w:t>When should an investment be evaluated?</w:t>
        </w:r>
        <w:r w:rsidR="00AC58BD">
          <w:rPr>
            <w:webHidden/>
          </w:rPr>
          <w:tab/>
        </w:r>
        <w:r w:rsidR="00AC58BD">
          <w:rPr>
            <w:webHidden/>
          </w:rPr>
          <w:fldChar w:fldCharType="begin"/>
        </w:r>
        <w:r w:rsidR="00AC58BD">
          <w:rPr>
            <w:webHidden/>
          </w:rPr>
          <w:instrText xml:space="preserve"> PAGEREF _Toc499630193 \h </w:instrText>
        </w:r>
        <w:r w:rsidR="00AC58BD">
          <w:rPr>
            <w:webHidden/>
          </w:rPr>
        </w:r>
        <w:r w:rsidR="00AC58BD">
          <w:rPr>
            <w:webHidden/>
          </w:rPr>
          <w:fldChar w:fldCharType="separate"/>
        </w:r>
        <w:r w:rsidR="00AC58BD">
          <w:rPr>
            <w:webHidden/>
          </w:rPr>
          <w:t>3</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94" w:history="1">
        <w:r w:rsidR="00AC58BD" w:rsidRPr="00037756">
          <w:rPr>
            <w:rStyle w:val="Hyperlink"/>
          </w:rPr>
          <w:t>1.6</w:t>
        </w:r>
        <w:r w:rsidR="00AC58BD">
          <w:rPr>
            <w:rFonts w:asciiTheme="minorHAnsi" w:eastAsiaTheme="minorEastAsia" w:hAnsiTheme="minorHAnsi"/>
            <w:spacing w:val="0"/>
            <w:sz w:val="22"/>
            <w:szCs w:val="22"/>
            <w:lang w:eastAsia="en-AU"/>
          </w:rPr>
          <w:tab/>
        </w:r>
        <w:r w:rsidR="00AC58BD" w:rsidRPr="00037756">
          <w:rPr>
            <w:rStyle w:val="Hyperlink"/>
          </w:rPr>
          <w:t>Who should carry out the evaluation?</w:t>
        </w:r>
        <w:r w:rsidR="00AC58BD">
          <w:rPr>
            <w:webHidden/>
          </w:rPr>
          <w:tab/>
        </w:r>
        <w:r w:rsidR="00AC58BD">
          <w:rPr>
            <w:webHidden/>
          </w:rPr>
          <w:fldChar w:fldCharType="begin"/>
        </w:r>
        <w:r w:rsidR="00AC58BD">
          <w:rPr>
            <w:webHidden/>
          </w:rPr>
          <w:instrText xml:space="preserve"> PAGEREF _Toc499630194 \h </w:instrText>
        </w:r>
        <w:r w:rsidR="00AC58BD">
          <w:rPr>
            <w:webHidden/>
          </w:rPr>
        </w:r>
        <w:r w:rsidR="00AC58BD">
          <w:rPr>
            <w:webHidden/>
          </w:rPr>
          <w:fldChar w:fldCharType="separate"/>
        </w:r>
        <w:r w:rsidR="00AC58BD">
          <w:rPr>
            <w:webHidden/>
          </w:rPr>
          <w:t>4</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95" w:history="1">
        <w:r w:rsidR="00AC58BD" w:rsidRPr="00037756">
          <w:rPr>
            <w:rStyle w:val="Hyperlink"/>
          </w:rPr>
          <w:t>1.7</w:t>
        </w:r>
        <w:r w:rsidR="00AC58BD">
          <w:rPr>
            <w:rFonts w:asciiTheme="minorHAnsi" w:eastAsiaTheme="minorEastAsia" w:hAnsiTheme="minorHAnsi"/>
            <w:spacing w:val="0"/>
            <w:sz w:val="22"/>
            <w:szCs w:val="22"/>
            <w:lang w:eastAsia="en-AU"/>
          </w:rPr>
          <w:tab/>
        </w:r>
        <w:r w:rsidR="00AC58BD" w:rsidRPr="00037756">
          <w:rPr>
            <w:rStyle w:val="Hyperlink"/>
          </w:rPr>
          <w:t>Realising investment benefits</w:t>
        </w:r>
        <w:r w:rsidR="00AC58BD">
          <w:rPr>
            <w:webHidden/>
          </w:rPr>
          <w:tab/>
        </w:r>
        <w:r w:rsidR="00AC58BD">
          <w:rPr>
            <w:webHidden/>
          </w:rPr>
          <w:fldChar w:fldCharType="begin"/>
        </w:r>
        <w:r w:rsidR="00AC58BD">
          <w:rPr>
            <w:webHidden/>
          </w:rPr>
          <w:instrText xml:space="preserve"> PAGEREF _Toc499630195 \h </w:instrText>
        </w:r>
        <w:r w:rsidR="00AC58BD">
          <w:rPr>
            <w:webHidden/>
          </w:rPr>
        </w:r>
        <w:r w:rsidR="00AC58BD">
          <w:rPr>
            <w:webHidden/>
          </w:rPr>
          <w:fldChar w:fldCharType="separate"/>
        </w:r>
        <w:r w:rsidR="00AC58BD">
          <w:rPr>
            <w:webHidden/>
          </w:rPr>
          <w:t>4</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96" w:history="1">
        <w:r w:rsidR="00AC58BD" w:rsidRPr="00037756">
          <w:rPr>
            <w:rStyle w:val="Hyperlink"/>
          </w:rPr>
          <w:t>1.8</w:t>
        </w:r>
        <w:r w:rsidR="00AC58BD">
          <w:rPr>
            <w:rFonts w:asciiTheme="minorHAnsi" w:eastAsiaTheme="minorEastAsia" w:hAnsiTheme="minorHAnsi"/>
            <w:spacing w:val="0"/>
            <w:sz w:val="22"/>
            <w:szCs w:val="22"/>
            <w:lang w:eastAsia="en-AU"/>
          </w:rPr>
          <w:tab/>
        </w:r>
        <w:r w:rsidR="00AC58BD" w:rsidRPr="00037756">
          <w:rPr>
            <w:rStyle w:val="Hyperlink"/>
          </w:rPr>
          <w:t>Use of the Investment Management Standard (IMS) during this stage</w:t>
        </w:r>
        <w:r w:rsidR="00AC58BD">
          <w:rPr>
            <w:webHidden/>
          </w:rPr>
          <w:tab/>
        </w:r>
        <w:r w:rsidR="00AC58BD">
          <w:rPr>
            <w:webHidden/>
          </w:rPr>
          <w:fldChar w:fldCharType="begin"/>
        </w:r>
        <w:r w:rsidR="00AC58BD">
          <w:rPr>
            <w:webHidden/>
          </w:rPr>
          <w:instrText xml:space="preserve"> PAGEREF _Toc499630196 \h </w:instrText>
        </w:r>
        <w:r w:rsidR="00AC58BD">
          <w:rPr>
            <w:webHidden/>
          </w:rPr>
        </w:r>
        <w:r w:rsidR="00AC58BD">
          <w:rPr>
            <w:webHidden/>
          </w:rPr>
          <w:fldChar w:fldCharType="separate"/>
        </w:r>
        <w:r w:rsidR="00AC58BD">
          <w:rPr>
            <w:webHidden/>
          </w:rPr>
          <w:t>5</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97" w:history="1">
        <w:r w:rsidR="00AC58BD" w:rsidRPr="00037756">
          <w:rPr>
            <w:rStyle w:val="Hyperlink"/>
          </w:rPr>
          <w:t>1.9</w:t>
        </w:r>
        <w:r w:rsidR="00AC58BD">
          <w:rPr>
            <w:rFonts w:asciiTheme="minorHAnsi" w:eastAsiaTheme="minorEastAsia" w:hAnsiTheme="minorHAnsi"/>
            <w:spacing w:val="0"/>
            <w:sz w:val="22"/>
            <w:szCs w:val="22"/>
            <w:lang w:eastAsia="en-AU"/>
          </w:rPr>
          <w:tab/>
        </w:r>
        <w:r w:rsidR="00AC58BD" w:rsidRPr="00037756">
          <w:rPr>
            <w:rStyle w:val="Hyperlink"/>
          </w:rPr>
          <w:t>HVHR and Gateway review requirements</w:t>
        </w:r>
        <w:r w:rsidR="00AC58BD">
          <w:rPr>
            <w:webHidden/>
          </w:rPr>
          <w:tab/>
        </w:r>
        <w:r w:rsidR="00AC58BD">
          <w:rPr>
            <w:webHidden/>
          </w:rPr>
          <w:fldChar w:fldCharType="begin"/>
        </w:r>
        <w:r w:rsidR="00AC58BD">
          <w:rPr>
            <w:webHidden/>
          </w:rPr>
          <w:instrText xml:space="preserve"> PAGEREF _Toc499630197 \h </w:instrText>
        </w:r>
        <w:r w:rsidR="00AC58BD">
          <w:rPr>
            <w:webHidden/>
          </w:rPr>
        </w:r>
        <w:r w:rsidR="00AC58BD">
          <w:rPr>
            <w:webHidden/>
          </w:rPr>
          <w:fldChar w:fldCharType="separate"/>
        </w:r>
        <w:r w:rsidR="00AC58BD">
          <w:rPr>
            <w:webHidden/>
          </w:rPr>
          <w:t>7</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98" w:history="1">
        <w:r w:rsidR="00AC58BD" w:rsidRPr="00037756">
          <w:rPr>
            <w:rStyle w:val="Hyperlink"/>
          </w:rPr>
          <w:t>1.10</w:t>
        </w:r>
        <w:r w:rsidR="00AC58BD">
          <w:rPr>
            <w:rFonts w:asciiTheme="minorHAnsi" w:eastAsiaTheme="minorEastAsia" w:hAnsiTheme="minorHAnsi"/>
            <w:spacing w:val="0"/>
            <w:sz w:val="22"/>
            <w:szCs w:val="22"/>
            <w:lang w:eastAsia="en-AU"/>
          </w:rPr>
          <w:tab/>
        </w:r>
        <w:r w:rsidR="00AC58BD" w:rsidRPr="00037756">
          <w:rPr>
            <w:rStyle w:val="Hyperlink"/>
          </w:rPr>
          <w:t>ICT project requirements</w:t>
        </w:r>
        <w:r w:rsidR="00AC58BD">
          <w:rPr>
            <w:webHidden/>
          </w:rPr>
          <w:tab/>
        </w:r>
        <w:r w:rsidR="00AC58BD">
          <w:rPr>
            <w:webHidden/>
          </w:rPr>
          <w:fldChar w:fldCharType="begin"/>
        </w:r>
        <w:r w:rsidR="00AC58BD">
          <w:rPr>
            <w:webHidden/>
          </w:rPr>
          <w:instrText xml:space="preserve"> PAGEREF _Toc499630198 \h </w:instrText>
        </w:r>
        <w:r w:rsidR="00AC58BD">
          <w:rPr>
            <w:webHidden/>
          </w:rPr>
        </w:r>
        <w:r w:rsidR="00AC58BD">
          <w:rPr>
            <w:webHidden/>
          </w:rPr>
          <w:fldChar w:fldCharType="separate"/>
        </w:r>
        <w:r w:rsidR="00AC58BD">
          <w:rPr>
            <w:webHidden/>
          </w:rPr>
          <w:t>7</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199" w:history="1">
        <w:r w:rsidR="00AC58BD" w:rsidRPr="00037756">
          <w:rPr>
            <w:rStyle w:val="Hyperlink"/>
          </w:rPr>
          <w:t>1.11</w:t>
        </w:r>
        <w:r w:rsidR="00AC58BD">
          <w:rPr>
            <w:rFonts w:asciiTheme="minorHAnsi" w:eastAsiaTheme="minorEastAsia" w:hAnsiTheme="minorHAnsi"/>
            <w:spacing w:val="0"/>
            <w:sz w:val="22"/>
            <w:szCs w:val="22"/>
            <w:lang w:eastAsia="en-AU"/>
          </w:rPr>
          <w:tab/>
        </w:r>
        <w:r w:rsidR="00AC58BD" w:rsidRPr="00037756">
          <w:rPr>
            <w:rStyle w:val="Hyperlink"/>
          </w:rPr>
          <w:t>Dealing with investment uncertainty</w:t>
        </w:r>
        <w:r w:rsidR="00AC58BD">
          <w:rPr>
            <w:webHidden/>
          </w:rPr>
          <w:tab/>
        </w:r>
        <w:r w:rsidR="00AC58BD">
          <w:rPr>
            <w:webHidden/>
          </w:rPr>
          <w:fldChar w:fldCharType="begin"/>
        </w:r>
        <w:r w:rsidR="00AC58BD">
          <w:rPr>
            <w:webHidden/>
          </w:rPr>
          <w:instrText xml:space="preserve"> PAGEREF _Toc499630199 \h </w:instrText>
        </w:r>
        <w:r w:rsidR="00AC58BD">
          <w:rPr>
            <w:webHidden/>
          </w:rPr>
        </w:r>
        <w:r w:rsidR="00AC58BD">
          <w:rPr>
            <w:webHidden/>
          </w:rPr>
          <w:fldChar w:fldCharType="separate"/>
        </w:r>
        <w:r w:rsidR="00AC58BD">
          <w:rPr>
            <w:webHidden/>
          </w:rPr>
          <w:t>7</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00" w:history="1">
        <w:r w:rsidR="00AC58BD" w:rsidRPr="00037756">
          <w:rPr>
            <w:rStyle w:val="Hyperlink"/>
          </w:rPr>
          <w:t>1.12</w:t>
        </w:r>
        <w:r w:rsidR="00AC58BD">
          <w:rPr>
            <w:rFonts w:asciiTheme="minorHAnsi" w:eastAsiaTheme="minorEastAsia" w:hAnsiTheme="minorHAnsi"/>
            <w:spacing w:val="0"/>
            <w:sz w:val="22"/>
            <w:szCs w:val="22"/>
            <w:lang w:eastAsia="en-AU"/>
          </w:rPr>
          <w:tab/>
        </w:r>
        <w:r w:rsidR="00AC58BD" w:rsidRPr="00037756">
          <w:rPr>
            <w:rStyle w:val="Hyperlink"/>
          </w:rPr>
          <w:t>Value Creation and Capture Framework</w:t>
        </w:r>
        <w:r w:rsidR="00AC58BD">
          <w:rPr>
            <w:webHidden/>
          </w:rPr>
          <w:tab/>
        </w:r>
        <w:r w:rsidR="00AC58BD">
          <w:rPr>
            <w:webHidden/>
          </w:rPr>
          <w:fldChar w:fldCharType="begin"/>
        </w:r>
        <w:r w:rsidR="00AC58BD">
          <w:rPr>
            <w:webHidden/>
          </w:rPr>
          <w:instrText xml:space="preserve"> PAGEREF _Toc499630200 \h </w:instrText>
        </w:r>
        <w:r w:rsidR="00AC58BD">
          <w:rPr>
            <w:webHidden/>
          </w:rPr>
        </w:r>
        <w:r w:rsidR="00AC58BD">
          <w:rPr>
            <w:webHidden/>
          </w:rPr>
          <w:fldChar w:fldCharType="separate"/>
        </w:r>
        <w:r w:rsidR="00AC58BD">
          <w:rPr>
            <w:webHidden/>
          </w:rPr>
          <w:t>9</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01" w:history="1">
        <w:r w:rsidR="00AC58BD" w:rsidRPr="00037756">
          <w:rPr>
            <w:rStyle w:val="Hyperlink"/>
          </w:rPr>
          <w:t>1.13</w:t>
        </w:r>
        <w:r w:rsidR="00AC58BD">
          <w:rPr>
            <w:rFonts w:asciiTheme="minorHAnsi" w:eastAsiaTheme="minorEastAsia" w:hAnsiTheme="minorHAnsi"/>
            <w:spacing w:val="0"/>
            <w:sz w:val="22"/>
            <w:szCs w:val="22"/>
            <w:lang w:eastAsia="en-AU"/>
          </w:rPr>
          <w:tab/>
        </w:r>
        <w:r w:rsidR="00AC58BD" w:rsidRPr="00037756">
          <w:rPr>
            <w:rStyle w:val="Hyperlink"/>
            <w:i/>
          </w:rPr>
          <w:t>Climate Change Act 2017</w:t>
        </w:r>
        <w:r w:rsidR="00AC58BD" w:rsidRPr="00037756">
          <w:rPr>
            <w:rStyle w:val="Hyperlink"/>
          </w:rPr>
          <w:t xml:space="preserve"> and related climate change initiatives</w:t>
        </w:r>
        <w:r w:rsidR="00AC58BD">
          <w:rPr>
            <w:webHidden/>
          </w:rPr>
          <w:tab/>
        </w:r>
        <w:r w:rsidR="00AC58BD">
          <w:rPr>
            <w:webHidden/>
          </w:rPr>
          <w:fldChar w:fldCharType="begin"/>
        </w:r>
        <w:r w:rsidR="00AC58BD">
          <w:rPr>
            <w:webHidden/>
          </w:rPr>
          <w:instrText xml:space="preserve"> PAGEREF _Toc499630201 \h </w:instrText>
        </w:r>
        <w:r w:rsidR="00AC58BD">
          <w:rPr>
            <w:webHidden/>
          </w:rPr>
        </w:r>
        <w:r w:rsidR="00AC58BD">
          <w:rPr>
            <w:webHidden/>
          </w:rPr>
          <w:fldChar w:fldCharType="separate"/>
        </w:r>
        <w:r w:rsidR="00AC58BD">
          <w:rPr>
            <w:webHidden/>
          </w:rPr>
          <w:t>10</w:t>
        </w:r>
        <w:r w:rsidR="00AC58BD">
          <w:rPr>
            <w:webHidden/>
          </w:rPr>
          <w:fldChar w:fldCharType="end"/>
        </w:r>
      </w:hyperlink>
    </w:p>
    <w:p w:rsidR="00AC58BD" w:rsidRDefault="0060350E">
      <w:pPr>
        <w:pStyle w:val="TOC1"/>
        <w:rPr>
          <w:rFonts w:asciiTheme="minorHAnsi" w:eastAsiaTheme="minorEastAsia" w:hAnsiTheme="minorHAnsi"/>
          <w:noProof/>
          <w:color w:val="auto"/>
          <w:spacing w:val="0"/>
          <w:sz w:val="22"/>
          <w:szCs w:val="22"/>
          <w:lang w:eastAsia="en-AU"/>
        </w:rPr>
      </w:pPr>
      <w:hyperlink w:anchor="_Toc499630202" w:history="1">
        <w:r w:rsidR="00AC58BD" w:rsidRPr="00037756">
          <w:rPr>
            <w:rStyle w:val="Hyperlink"/>
            <w:noProof/>
          </w:rPr>
          <w:t>2.</w:t>
        </w:r>
        <w:r w:rsidR="00AC58BD">
          <w:rPr>
            <w:rFonts w:asciiTheme="minorHAnsi" w:eastAsiaTheme="minorEastAsia" w:hAnsiTheme="minorHAnsi"/>
            <w:noProof/>
            <w:color w:val="auto"/>
            <w:spacing w:val="0"/>
            <w:sz w:val="22"/>
            <w:szCs w:val="22"/>
            <w:lang w:eastAsia="en-AU"/>
          </w:rPr>
          <w:tab/>
        </w:r>
        <w:r w:rsidR="00AC58BD" w:rsidRPr="00037756">
          <w:rPr>
            <w:rStyle w:val="Hyperlink"/>
            <w:noProof/>
          </w:rPr>
          <w:t>The evaluation process</w:t>
        </w:r>
        <w:r w:rsidR="00AC58BD">
          <w:rPr>
            <w:noProof/>
            <w:webHidden/>
          </w:rPr>
          <w:tab/>
        </w:r>
        <w:r w:rsidR="00AC58BD">
          <w:rPr>
            <w:noProof/>
            <w:webHidden/>
          </w:rPr>
          <w:fldChar w:fldCharType="begin"/>
        </w:r>
        <w:r w:rsidR="00AC58BD">
          <w:rPr>
            <w:noProof/>
            <w:webHidden/>
          </w:rPr>
          <w:instrText xml:space="preserve"> PAGEREF _Toc499630202 \h </w:instrText>
        </w:r>
        <w:r w:rsidR="00AC58BD">
          <w:rPr>
            <w:noProof/>
            <w:webHidden/>
          </w:rPr>
        </w:r>
        <w:r w:rsidR="00AC58BD">
          <w:rPr>
            <w:noProof/>
            <w:webHidden/>
          </w:rPr>
          <w:fldChar w:fldCharType="separate"/>
        </w:r>
        <w:r w:rsidR="00AC58BD">
          <w:rPr>
            <w:noProof/>
            <w:webHidden/>
          </w:rPr>
          <w:t>11</w:t>
        </w:r>
        <w:r w:rsidR="00AC58BD">
          <w:rPr>
            <w:noProof/>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03" w:history="1">
        <w:r w:rsidR="00AC58BD" w:rsidRPr="00037756">
          <w:rPr>
            <w:rStyle w:val="Hyperlink"/>
          </w:rPr>
          <w:t>2.1</w:t>
        </w:r>
        <w:r w:rsidR="00AC58BD">
          <w:rPr>
            <w:rFonts w:asciiTheme="minorHAnsi" w:eastAsiaTheme="minorEastAsia" w:hAnsiTheme="minorHAnsi"/>
            <w:spacing w:val="0"/>
            <w:sz w:val="22"/>
            <w:szCs w:val="22"/>
            <w:lang w:eastAsia="en-AU"/>
          </w:rPr>
          <w:tab/>
        </w:r>
        <w:r w:rsidR="00AC58BD" w:rsidRPr="00037756">
          <w:rPr>
            <w:rStyle w:val="Hyperlink"/>
          </w:rPr>
          <w:t>Scope and scale</w:t>
        </w:r>
        <w:r w:rsidR="00AC58BD">
          <w:rPr>
            <w:webHidden/>
          </w:rPr>
          <w:tab/>
        </w:r>
        <w:r w:rsidR="00AC58BD">
          <w:rPr>
            <w:webHidden/>
          </w:rPr>
          <w:fldChar w:fldCharType="begin"/>
        </w:r>
        <w:r w:rsidR="00AC58BD">
          <w:rPr>
            <w:webHidden/>
          </w:rPr>
          <w:instrText xml:space="preserve"> PAGEREF _Toc499630203 \h </w:instrText>
        </w:r>
        <w:r w:rsidR="00AC58BD">
          <w:rPr>
            <w:webHidden/>
          </w:rPr>
        </w:r>
        <w:r w:rsidR="00AC58BD">
          <w:rPr>
            <w:webHidden/>
          </w:rPr>
          <w:fldChar w:fldCharType="separate"/>
        </w:r>
        <w:r w:rsidR="00AC58BD">
          <w:rPr>
            <w:webHidden/>
          </w:rPr>
          <w:t>11</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04" w:history="1">
        <w:r w:rsidR="00AC58BD" w:rsidRPr="00037756">
          <w:rPr>
            <w:rStyle w:val="Hyperlink"/>
          </w:rPr>
          <w:t>2.2</w:t>
        </w:r>
        <w:r w:rsidR="00AC58BD">
          <w:rPr>
            <w:rFonts w:asciiTheme="minorHAnsi" w:eastAsiaTheme="minorEastAsia" w:hAnsiTheme="minorHAnsi"/>
            <w:spacing w:val="0"/>
            <w:sz w:val="22"/>
            <w:szCs w:val="22"/>
            <w:lang w:eastAsia="en-AU"/>
          </w:rPr>
          <w:tab/>
        </w:r>
        <w:r w:rsidR="00AC58BD" w:rsidRPr="00037756">
          <w:rPr>
            <w:rStyle w:val="Hyperlink"/>
          </w:rPr>
          <w:t>Determine the methodology</w:t>
        </w:r>
        <w:r w:rsidR="00AC58BD">
          <w:rPr>
            <w:webHidden/>
          </w:rPr>
          <w:tab/>
        </w:r>
        <w:r w:rsidR="00AC58BD">
          <w:rPr>
            <w:webHidden/>
          </w:rPr>
          <w:fldChar w:fldCharType="begin"/>
        </w:r>
        <w:r w:rsidR="00AC58BD">
          <w:rPr>
            <w:webHidden/>
          </w:rPr>
          <w:instrText xml:space="preserve"> PAGEREF _Toc499630204 \h </w:instrText>
        </w:r>
        <w:r w:rsidR="00AC58BD">
          <w:rPr>
            <w:webHidden/>
          </w:rPr>
        </w:r>
        <w:r w:rsidR="00AC58BD">
          <w:rPr>
            <w:webHidden/>
          </w:rPr>
          <w:fldChar w:fldCharType="separate"/>
        </w:r>
        <w:r w:rsidR="00AC58BD">
          <w:rPr>
            <w:webHidden/>
          </w:rPr>
          <w:t>12</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05" w:history="1">
        <w:r w:rsidR="00AC58BD" w:rsidRPr="00037756">
          <w:rPr>
            <w:rStyle w:val="Hyperlink"/>
          </w:rPr>
          <w:t>2.3</w:t>
        </w:r>
        <w:r w:rsidR="00AC58BD">
          <w:rPr>
            <w:rFonts w:asciiTheme="minorHAnsi" w:eastAsiaTheme="minorEastAsia" w:hAnsiTheme="minorHAnsi"/>
            <w:spacing w:val="0"/>
            <w:sz w:val="22"/>
            <w:szCs w:val="22"/>
            <w:lang w:eastAsia="en-AU"/>
          </w:rPr>
          <w:tab/>
        </w:r>
        <w:r w:rsidR="00AC58BD" w:rsidRPr="00037756">
          <w:rPr>
            <w:rStyle w:val="Hyperlink"/>
          </w:rPr>
          <w:t>Identify major issues and findings</w:t>
        </w:r>
        <w:r w:rsidR="00AC58BD">
          <w:rPr>
            <w:webHidden/>
          </w:rPr>
          <w:tab/>
        </w:r>
        <w:r w:rsidR="00AC58BD">
          <w:rPr>
            <w:webHidden/>
          </w:rPr>
          <w:fldChar w:fldCharType="begin"/>
        </w:r>
        <w:r w:rsidR="00AC58BD">
          <w:rPr>
            <w:webHidden/>
          </w:rPr>
          <w:instrText xml:space="preserve"> PAGEREF _Toc499630205 \h </w:instrText>
        </w:r>
        <w:r w:rsidR="00AC58BD">
          <w:rPr>
            <w:webHidden/>
          </w:rPr>
        </w:r>
        <w:r w:rsidR="00AC58BD">
          <w:rPr>
            <w:webHidden/>
          </w:rPr>
          <w:fldChar w:fldCharType="separate"/>
        </w:r>
        <w:r w:rsidR="00AC58BD">
          <w:rPr>
            <w:webHidden/>
          </w:rPr>
          <w:t>14</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06" w:history="1">
        <w:r w:rsidR="00AC58BD" w:rsidRPr="00037756">
          <w:rPr>
            <w:rStyle w:val="Hyperlink"/>
          </w:rPr>
          <w:t>2.4</w:t>
        </w:r>
        <w:r w:rsidR="00AC58BD">
          <w:rPr>
            <w:rFonts w:asciiTheme="minorHAnsi" w:eastAsiaTheme="minorEastAsia" w:hAnsiTheme="minorHAnsi"/>
            <w:spacing w:val="0"/>
            <w:sz w:val="22"/>
            <w:szCs w:val="22"/>
            <w:lang w:eastAsia="en-AU"/>
          </w:rPr>
          <w:tab/>
        </w:r>
        <w:r w:rsidR="00AC58BD" w:rsidRPr="00037756">
          <w:rPr>
            <w:rStyle w:val="Hyperlink"/>
          </w:rPr>
          <w:t>Capture lessons learned</w:t>
        </w:r>
        <w:r w:rsidR="00AC58BD">
          <w:rPr>
            <w:webHidden/>
          </w:rPr>
          <w:tab/>
        </w:r>
        <w:r w:rsidR="00AC58BD">
          <w:rPr>
            <w:webHidden/>
          </w:rPr>
          <w:fldChar w:fldCharType="begin"/>
        </w:r>
        <w:r w:rsidR="00AC58BD">
          <w:rPr>
            <w:webHidden/>
          </w:rPr>
          <w:instrText xml:space="preserve"> PAGEREF _Toc499630206 \h </w:instrText>
        </w:r>
        <w:r w:rsidR="00AC58BD">
          <w:rPr>
            <w:webHidden/>
          </w:rPr>
        </w:r>
        <w:r w:rsidR="00AC58BD">
          <w:rPr>
            <w:webHidden/>
          </w:rPr>
          <w:fldChar w:fldCharType="separate"/>
        </w:r>
        <w:r w:rsidR="00AC58BD">
          <w:rPr>
            <w:webHidden/>
          </w:rPr>
          <w:t>14</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07" w:history="1">
        <w:r w:rsidR="00AC58BD" w:rsidRPr="00037756">
          <w:rPr>
            <w:rStyle w:val="Hyperlink"/>
          </w:rPr>
          <w:t>2.5</w:t>
        </w:r>
        <w:r w:rsidR="00AC58BD">
          <w:rPr>
            <w:rFonts w:asciiTheme="minorHAnsi" w:eastAsiaTheme="minorEastAsia" w:hAnsiTheme="minorHAnsi"/>
            <w:spacing w:val="0"/>
            <w:sz w:val="22"/>
            <w:szCs w:val="22"/>
            <w:lang w:eastAsia="en-AU"/>
          </w:rPr>
          <w:tab/>
        </w:r>
        <w:r w:rsidR="00AC58BD" w:rsidRPr="00037756">
          <w:rPr>
            <w:rStyle w:val="Hyperlink"/>
          </w:rPr>
          <w:t>Recommendations</w:t>
        </w:r>
        <w:r w:rsidR="00AC58BD">
          <w:rPr>
            <w:webHidden/>
          </w:rPr>
          <w:tab/>
        </w:r>
        <w:r w:rsidR="00AC58BD">
          <w:rPr>
            <w:webHidden/>
          </w:rPr>
          <w:fldChar w:fldCharType="begin"/>
        </w:r>
        <w:r w:rsidR="00AC58BD">
          <w:rPr>
            <w:webHidden/>
          </w:rPr>
          <w:instrText xml:space="preserve"> PAGEREF _Toc499630207 \h </w:instrText>
        </w:r>
        <w:r w:rsidR="00AC58BD">
          <w:rPr>
            <w:webHidden/>
          </w:rPr>
        </w:r>
        <w:r w:rsidR="00AC58BD">
          <w:rPr>
            <w:webHidden/>
          </w:rPr>
          <w:fldChar w:fldCharType="separate"/>
        </w:r>
        <w:r w:rsidR="00AC58BD">
          <w:rPr>
            <w:webHidden/>
          </w:rPr>
          <w:t>16</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08" w:history="1">
        <w:r w:rsidR="00AC58BD" w:rsidRPr="00037756">
          <w:rPr>
            <w:rStyle w:val="Hyperlink"/>
          </w:rPr>
          <w:t>2.6</w:t>
        </w:r>
        <w:r w:rsidR="00AC58BD">
          <w:rPr>
            <w:rFonts w:asciiTheme="minorHAnsi" w:eastAsiaTheme="minorEastAsia" w:hAnsiTheme="minorHAnsi"/>
            <w:spacing w:val="0"/>
            <w:sz w:val="22"/>
            <w:szCs w:val="22"/>
            <w:lang w:eastAsia="en-AU"/>
          </w:rPr>
          <w:tab/>
        </w:r>
        <w:r w:rsidR="00AC58BD" w:rsidRPr="00037756">
          <w:rPr>
            <w:rStyle w:val="Hyperlink"/>
          </w:rPr>
          <w:t>Investment evaluation template</w:t>
        </w:r>
        <w:r w:rsidR="00AC58BD">
          <w:rPr>
            <w:webHidden/>
          </w:rPr>
          <w:tab/>
        </w:r>
        <w:r w:rsidR="00AC58BD">
          <w:rPr>
            <w:webHidden/>
          </w:rPr>
          <w:fldChar w:fldCharType="begin"/>
        </w:r>
        <w:r w:rsidR="00AC58BD">
          <w:rPr>
            <w:webHidden/>
          </w:rPr>
          <w:instrText xml:space="preserve"> PAGEREF _Toc499630208 \h </w:instrText>
        </w:r>
        <w:r w:rsidR="00AC58BD">
          <w:rPr>
            <w:webHidden/>
          </w:rPr>
        </w:r>
        <w:r w:rsidR="00AC58BD">
          <w:rPr>
            <w:webHidden/>
          </w:rPr>
          <w:fldChar w:fldCharType="separate"/>
        </w:r>
        <w:r w:rsidR="00AC58BD">
          <w:rPr>
            <w:webHidden/>
          </w:rPr>
          <w:t>16</w:t>
        </w:r>
        <w:r w:rsidR="00AC58BD">
          <w:rPr>
            <w:webHidden/>
          </w:rPr>
          <w:fldChar w:fldCharType="end"/>
        </w:r>
      </w:hyperlink>
    </w:p>
    <w:p w:rsidR="00AC58BD" w:rsidRDefault="0060350E">
      <w:pPr>
        <w:pStyle w:val="TOC1"/>
        <w:rPr>
          <w:rFonts w:asciiTheme="minorHAnsi" w:eastAsiaTheme="minorEastAsia" w:hAnsiTheme="minorHAnsi"/>
          <w:noProof/>
          <w:color w:val="auto"/>
          <w:spacing w:val="0"/>
          <w:sz w:val="22"/>
          <w:szCs w:val="22"/>
          <w:lang w:eastAsia="en-AU"/>
        </w:rPr>
      </w:pPr>
      <w:hyperlink w:anchor="_Toc499630209" w:history="1">
        <w:r w:rsidR="00AC58BD" w:rsidRPr="00037756">
          <w:rPr>
            <w:rStyle w:val="Hyperlink"/>
            <w:noProof/>
          </w:rPr>
          <w:t>Appendix A: Background information</w:t>
        </w:r>
        <w:r w:rsidR="00AC58BD">
          <w:rPr>
            <w:noProof/>
            <w:webHidden/>
          </w:rPr>
          <w:tab/>
        </w:r>
        <w:r w:rsidR="00AC58BD">
          <w:rPr>
            <w:noProof/>
            <w:webHidden/>
          </w:rPr>
          <w:fldChar w:fldCharType="begin"/>
        </w:r>
        <w:r w:rsidR="00AC58BD">
          <w:rPr>
            <w:noProof/>
            <w:webHidden/>
          </w:rPr>
          <w:instrText xml:space="preserve"> PAGEREF _Toc499630209 \h </w:instrText>
        </w:r>
        <w:r w:rsidR="00AC58BD">
          <w:rPr>
            <w:noProof/>
            <w:webHidden/>
          </w:rPr>
        </w:r>
        <w:r w:rsidR="00AC58BD">
          <w:rPr>
            <w:noProof/>
            <w:webHidden/>
          </w:rPr>
          <w:fldChar w:fldCharType="separate"/>
        </w:r>
        <w:r w:rsidR="00AC58BD">
          <w:rPr>
            <w:noProof/>
            <w:webHidden/>
          </w:rPr>
          <w:t>18</w:t>
        </w:r>
        <w:r w:rsidR="00AC58BD">
          <w:rPr>
            <w:noProof/>
            <w:webHidden/>
          </w:rPr>
          <w:fldChar w:fldCharType="end"/>
        </w:r>
      </w:hyperlink>
    </w:p>
    <w:p w:rsidR="00AC58BD" w:rsidRDefault="0060350E">
      <w:pPr>
        <w:pStyle w:val="TOC1"/>
        <w:rPr>
          <w:rFonts w:asciiTheme="minorHAnsi" w:eastAsiaTheme="minorEastAsia" w:hAnsiTheme="minorHAnsi"/>
          <w:noProof/>
          <w:color w:val="auto"/>
          <w:spacing w:val="0"/>
          <w:sz w:val="22"/>
          <w:szCs w:val="22"/>
          <w:lang w:eastAsia="en-AU"/>
        </w:rPr>
      </w:pPr>
      <w:hyperlink w:anchor="_Toc499630210" w:history="1">
        <w:r w:rsidR="00AC58BD" w:rsidRPr="00037756">
          <w:rPr>
            <w:rStyle w:val="Hyperlink"/>
            <w:noProof/>
          </w:rPr>
          <w:t>Appendix B: Specific issues</w:t>
        </w:r>
        <w:r w:rsidR="00AC58BD">
          <w:rPr>
            <w:noProof/>
            <w:webHidden/>
          </w:rPr>
          <w:tab/>
        </w:r>
        <w:r w:rsidR="00AC58BD">
          <w:rPr>
            <w:noProof/>
            <w:webHidden/>
          </w:rPr>
          <w:fldChar w:fldCharType="begin"/>
        </w:r>
        <w:r w:rsidR="00AC58BD">
          <w:rPr>
            <w:noProof/>
            <w:webHidden/>
          </w:rPr>
          <w:instrText xml:space="preserve"> PAGEREF _Toc499630210 \h </w:instrText>
        </w:r>
        <w:r w:rsidR="00AC58BD">
          <w:rPr>
            <w:noProof/>
            <w:webHidden/>
          </w:rPr>
        </w:r>
        <w:r w:rsidR="00AC58BD">
          <w:rPr>
            <w:noProof/>
            <w:webHidden/>
          </w:rPr>
          <w:fldChar w:fldCharType="separate"/>
        </w:r>
        <w:r w:rsidR="00AC58BD">
          <w:rPr>
            <w:noProof/>
            <w:webHidden/>
          </w:rPr>
          <w:t>19</w:t>
        </w:r>
        <w:r w:rsidR="00AC58BD">
          <w:rPr>
            <w:noProof/>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11" w:history="1">
        <w:r w:rsidR="00AC58BD" w:rsidRPr="00037756">
          <w:rPr>
            <w:rStyle w:val="Hyperlink"/>
          </w:rPr>
          <w:t>Evaluating against the business case</w:t>
        </w:r>
        <w:r w:rsidR="00AC58BD">
          <w:rPr>
            <w:webHidden/>
          </w:rPr>
          <w:tab/>
        </w:r>
        <w:r w:rsidR="00AC58BD">
          <w:rPr>
            <w:webHidden/>
          </w:rPr>
          <w:fldChar w:fldCharType="begin"/>
        </w:r>
        <w:r w:rsidR="00AC58BD">
          <w:rPr>
            <w:webHidden/>
          </w:rPr>
          <w:instrText xml:space="preserve"> PAGEREF _Toc499630211 \h </w:instrText>
        </w:r>
        <w:r w:rsidR="00AC58BD">
          <w:rPr>
            <w:webHidden/>
          </w:rPr>
        </w:r>
        <w:r w:rsidR="00AC58BD">
          <w:rPr>
            <w:webHidden/>
          </w:rPr>
          <w:fldChar w:fldCharType="separate"/>
        </w:r>
        <w:r w:rsidR="00AC58BD">
          <w:rPr>
            <w:webHidden/>
          </w:rPr>
          <w:t>19</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12" w:history="1">
        <w:r w:rsidR="00AC58BD" w:rsidRPr="00037756">
          <w:rPr>
            <w:rStyle w:val="Hyperlink"/>
          </w:rPr>
          <w:t>Evaluating the procurement stage</w:t>
        </w:r>
        <w:r w:rsidR="00AC58BD">
          <w:rPr>
            <w:webHidden/>
          </w:rPr>
          <w:tab/>
        </w:r>
        <w:r w:rsidR="00AC58BD">
          <w:rPr>
            <w:webHidden/>
          </w:rPr>
          <w:fldChar w:fldCharType="begin"/>
        </w:r>
        <w:r w:rsidR="00AC58BD">
          <w:rPr>
            <w:webHidden/>
          </w:rPr>
          <w:instrText xml:space="preserve"> PAGEREF _Toc499630212 \h </w:instrText>
        </w:r>
        <w:r w:rsidR="00AC58BD">
          <w:rPr>
            <w:webHidden/>
          </w:rPr>
        </w:r>
        <w:r w:rsidR="00AC58BD">
          <w:rPr>
            <w:webHidden/>
          </w:rPr>
          <w:fldChar w:fldCharType="separate"/>
        </w:r>
        <w:r w:rsidR="00AC58BD">
          <w:rPr>
            <w:webHidden/>
          </w:rPr>
          <w:t>19</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13" w:history="1">
        <w:r w:rsidR="00AC58BD" w:rsidRPr="00037756">
          <w:rPr>
            <w:rStyle w:val="Hyperlink"/>
          </w:rPr>
          <w:t>Evaluating the construction/implementation stage</w:t>
        </w:r>
        <w:r w:rsidR="00AC58BD">
          <w:rPr>
            <w:webHidden/>
          </w:rPr>
          <w:tab/>
        </w:r>
        <w:r w:rsidR="00AC58BD">
          <w:rPr>
            <w:webHidden/>
          </w:rPr>
          <w:fldChar w:fldCharType="begin"/>
        </w:r>
        <w:r w:rsidR="00AC58BD">
          <w:rPr>
            <w:webHidden/>
          </w:rPr>
          <w:instrText xml:space="preserve"> PAGEREF _Toc499630213 \h </w:instrText>
        </w:r>
        <w:r w:rsidR="00AC58BD">
          <w:rPr>
            <w:webHidden/>
          </w:rPr>
        </w:r>
        <w:r w:rsidR="00AC58BD">
          <w:rPr>
            <w:webHidden/>
          </w:rPr>
          <w:fldChar w:fldCharType="separate"/>
        </w:r>
        <w:r w:rsidR="00AC58BD">
          <w:rPr>
            <w:webHidden/>
          </w:rPr>
          <w:t>20</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14" w:history="1">
        <w:r w:rsidR="00AC58BD" w:rsidRPr="00037756">
          <w:rPr>
            <w:rStyle w:val="Hyperlink"/>
          </w:rPr>
          <w:t>Evaluating the post-implementation phase</w:t>
        </w:r>
        <w:r w:rsidR="00AC58BD">
          <w:rPr>
            <w:webHidden/>
          </w:rPr>
          <w:tab/>
        </w:r>
        <w:r w:rsidR="00AC58BD">
          <w:rPr>
            <w:webHidden/>
          </w:rPr>
          <w:fldChar w:fldCharType="begin"/>
        </w:r>
        <w:r w:rsidR="00AC58BD">
          <w:rPr>
            <w:webHidden/>
          </w:rPr>
          <w:instrText xml:space="preserve"> PAGEREF _Toc499630214 \h </w:instrText>
        </w:r>
        <w:r w:rsidR="00AC58BD">
          <w:rPr>
            <w:webHidden/>
          </w:rPr>
        </w:r>
        <w:r w:rsidR="00AC58BD">
          <w:rPr>
            <w:webHidden/>
          </w:rPr>
          <w:fldChar w:fldCharType="separate"/>
        </w:r>
        <w:r w:rsidR="00AC58BD">
          <w:rPr>
            <w:webHidden/>
          </w:rPr>
          <w:t>20</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15" w:history="1">
        <w:r w:rsidR="00AC58BD" w:rsidRPr="00037756">
          <w:rPr>
            <w:rStyle w:val="Hyperlink"/>
          </w:rPr>
          <w:t>Evaluating the contract</w:t>
        </w:r>
        <w:r w:rsidR="00AC58BD">
          <w:rPr>
            <w:webHidden/>
          </w:rPr>
          <w:tab/>
        </w:r>
        <w:r w:rsidR="00AC58BD">
          <w:rPr>
            <w:webHidden/>
          </w:rPr>
          <w:fldChar w:fldCharType="begin"/>
        </w:r>
        <w:r w:rsidR="00AC58BD">
          <w:rPr>
            <w:webHidden/>
          </w:rPr>
          <w:instrText xml:space="preserve"> PAGEREF _Toc499630215 \h </w:instrText>
        </w:r>
        <w:r w:rsidR="00AC58BD">
          <w:rPr>
            <w:webHidden/>
          </w:rPr>
        </w:r>
        <w:r w:rsidR="00AC58BD">
          <w:rPr>
            <w:webHidden/>
          </w:rPr>
          <w:fldChar w:fldCharType="separate"/>
        </w:r>
        <w:r w:rsidR="00AC58BD">
          <w:rPr>
            <w:webHidden/>
          </w:rPr>
          <w:t>21</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16" w:history="1">
        <w:r w:rsidR="00AC58BD" w:rsidRPr="00037756">
          <w:rPr>
            <w:rStyle w:val="Hyperlink"/>
          </w:rPr>
          <w:t>Evaluating contractor performance</w:t>
        </w:r>
        <w:r w:rsidR="00AC58BD">
          <w:rPr>
            <w:webHidden/>
          </w:rPr>
          <w:tab/>
        </w:r>
        <w:r w:rsidR="00AC58BD">
          <w:rPr>
            <w:webHidden/>
          </w:rPr>
          <w:fldChar w:fldCharType="begin"/>
        </w:r>
        <w:r w:rsidR="00AC58BD">
          <w:rPr>
            <w:webHidden/>
          </w:rPr>
          <w:instrText xml:space="preserve"> PAGEREF _Toc499630216 \h </w:instrText>
        </w:r>
        <w:r w:rsidR="00AC58BD">
          <w:rPr>
            <w:webHidden/>
          </w:rPr>
        </w:r>
        <w:r w:rsidR="00AC58BD">
          <w:rPr>
            <w:webHidden/>
          </w:rPr>
          <w:fldChar w:fldCharType="separate"/>
        </w:r>
        <w:r w:rsidR="00AC58BD">
          <w:rPr>
            <w:webHidden/>
          </w:rPr>
          <w:t>21</w:t>
        </w:r>
        <w:r w:rsidR="00AC58BD">
          <w:rPr>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17" w:history="1">
        <w:r w:rsidR="00AC58BD" w:rsidRPr="00037756">
          <w:rPr>
            <w:rStyle w:val="Hyperlink"/>
          </w:rPr>
          <w:t>Evaluating the operations and maintenance performance</w:t>
        </w:r>
        <w:r w:rsidR="00AC58BD">
          <w:rPr>
            <w:webHidden/>
          </w:rPr>
          <w:tab/>
        </w:r>
        <w:r w:rsidR="00AC58BD">
          <w:rPr>
            <w:webHidden/>
          </w:rPr>
          <w:fldChar w:fldCharType="begin"/>
        </w:r>
        <w:r w:rsidR="00AC58BD">
          <w:rPr>
            <w:webHidden/>
          </w:rPr>
          <w:instrText xml:space="preserve"> PAGEREF _Toc499630217 \h </w:instrText>
        </w:r>
        <w:r w:rsidR="00AC58BD">
          <w:rPr>
            <w:webHidden/>
          </w:rPr>
        </w:r>
        <w:r w:rsidR="00AC58BD">
          <w:rPr>
            <w:webHidden/>
          </w:rPr>
          <w:fldChar w:fldCharType="separate"/>
        </w:r>
        <w:r w:rsidR="00AC58BD">
          <w:rPr>
            <w:webHidden/>
          </w:rPr>
          <w:t>21</w:t>
        </w:r>
        <w:r w:rsidR="00AC58BD">
          <w:rPr>
            <w:webHidden/>
          </w:rPr>
          <w:fldChar w:fldCharType="end"/>
        </w:r>
      </w:hyperlink>
    </w:p>
    <w:p w:rsidR="00AC58BD" w:rsidRDefault="0060350E">
      <w:pPr>
        <w:pStyle w:val="TOC1"/>
        <w:rPr>
          <w:rFonts w:asciiTheme="minorHAnsi" w:eastAsiaTheme="minorEastAsia" w:hAnsiTheme="minorHAnsi"/>
          <w:noProof/>
          <w:color w:val="auto"/>
          <w:spacing w:val="0"/>
          <w:sz w:val="22"/>
          <w:szCs w:val="22"/>
          <w:lang w:eastAsia="en-AU"/>
        </w:rPr>
      </w:pPr>
      <w:hyperlink w:anchor="_Toc499630218" w:history="1">
        <w:r w:rsidR="00AC58BD" w:rsidRPr="00037756">
          <w:rPr>
            <w:rStyle w:val="Hyperlink"/>
            <w:noProof/>
          </w:rPr>
          <w:t>Appendix C: Investment evaluation template</w:t>
        </w:r>
        <w:r w:rsidR="00AC58BD">
          <w:rPr>
            <w:noProof/>
            <w:webHidden/>
          </w:rPr>
          <w:tab/>
        </w:r>
        <w:r w:rsidR="00AC58BD">
          <w:rPr>
            <w:noProof/>
            <w:webHidden/>
          </w:rPr>
          <w:fldChar w:fldCharType="begin"/>
        </w:r>
        <w:r w:rsidR="00AC58BD">
          <w:rPr>
            <w:noProof/>
            <w:webHidden/>
          </w:rPr>
          <w:instrText xml:space="preserve"> PAGEREF _Toc499630218 \h </w:instrText>
        </w:r>
        <w:r w:rsidR="00AC58BD">
          <w:rPr>
            <w:noProof/>
            <w:webHidden/>
          </w:rPr>
        </w:r>
        <w:r w:rsidR="00AC58BD">
          <w:rPr>
            <w:noProof/>
            <w:webHidden/>
          </w:rPr>
          <w:fldChar w:fldCharType="separate"/>
        </w:r>
        <w:r w:rsidR="00AC58BD">
          <w:rPr>
            <w:noProof/>
            <w:webHidden/>
          </w:rPr>
          <w:t>23</w:t>
        </w:r>
        <w:r w:rsidR="00AC58BD">
          <w:rPr>
            <w:noProof/>
            <w:webHidden/>
          </w:rPr>
          <w:fldChar w:fldCharType="end"/>
        </w:r>
      </w:hyperlink>
    </w:p>
    <w:p w:rsidR="00AC58BD" w:rsidRDefault="0060350E">
      <w:pPr>
        <w:pStyle w:val="TOC1"/>
        <w:rPr>
          <w:rFonts w:asciiTheme="minorHAnsi" w:eastAsiaTheme="minorEastAsia" w:hAnsiTheme="minorHAnsi"/>
          <w:noProof/>
          <w:color w:val="auto"/>
          <w:spacing w:val="0"/>
          <w:sz w:val="22"/>
          <w:szCs w:val="22"/>
          <w:lang w:eastAsia="en-AU"/>
        </w:rPr>
      </w:pPr>
      <w:hyperlink w:anchor="_Toc499630219" w:history="1">
        <w:r w:rsidR="00AC58BD" w:rsidRPr="00037756">
          <w:rPr>
            <w:rStyle w:val="Hyperlink"/>
            <w:noProof/>
          </w:rPr>
          <w:t>Appendix D: Gate 6 requirements</w:t>
        </w:r>
        <w:r w:rsidR="00AC58BD">
          <w:rPr>
            <w:noProof/>
            <w:webHidden/>
          </w:rPr>
          <w:tab/>
        </w:r>
        <w:r w:rsidR="00AC58BD">
          <w:rPr>
            <w:noProof/>
            <w:webHidden/>
          </w:rPr>
          <w:fldChar w:fldCharType="begin"/>
        </w:r>
        <w:r w:rsidR="00AC58BD">
          <w:rPr>
            <w:noProof/>
            <w:webHidden/>
          </w:rPr>
          <w:instrText xml:space="preserve"> PAGEREF _Toc499630219 \h </w:instrText>
        </w:r>
        <w:r w:rsidR="00AC58BD">
          <w:rPr>
            <w:noProof/>
            <w:webHidden/>
          </w:rPr>
        </w:r>
        <w:r w:rsidR="00AC58BD">
          <w:rPr>
            <w:noProof/>
            <w:webHidden/>
          </w:rPr>
          <w:fldChar w:fldCharType="separate"/>
        </w:r>
        <w:r w:rsidR="00AC58BD">
          <w:rPr>
            <w:noProof/>
            <w:webHidden/>
          </w:rPr>
          <w:t>25</w:t>
        </w:r>
        <w:r w:rsidR="00AC58BD">
          <w:rPr>
            <w:noProof/>
            <w:webHidden/>
          </w:rPr>
          <w:fldChar w:fldCharType="end"/>
        </w:r>
      </w:hyperlink>
    </w:p>
    <w:p w:rsidR="00AC58BD" w:rsidRDefault="0060350E">
      <w:pPr>
        <w:pStyle w:val="TOC2"/>
        <w:rPr>
          <w:rFonts w:asciiTheme="minorHAnsi" w:eastAsiaTheme="minorEastAsia" w:hAnsiTheme="minorHAnsi"/>
          <w:spacing w:val="0"/>
          <w:sz w:val="22"/>
          <w:szCs w:val="22"/>
          <w:lang w:eastAsia="en-AU"/>
        </w:rPr>
      </w:pPr>
      <w:hyperlink w:anchor="_Toc499630220" w:history="1">
        <w:r w:rsidR="00AC58BD" w:rsidRPr="00037756">
          <w:rPr>
            <w:rStyle w:val="Hyperlink"/>
          </w:rPr>
          <w:t>Gateway Review Gate 6: Benefits Evaluation</w:t>
        </w:r>
        <w:r w:rsidR="00AC58BD">
          <w:rPr>
            <w:webHidden/>
          </w:rPr>
          <w:tab/>
        </w:r>
        <w:r w:rsidR="00AC58BD">
          <w:rPr>
            <w:webHidden/>
          </w:rPr>
          <w:fldChar w:fldCharType="begin"/>
        </w:r>
        <w:r w:rsidR="00AC58BD">
          <w:rPr>
            <w:webHidden/>
          </w:rPr>
          <w:instrText xml:space="preserve"> PAGEREF _Toc499630220 \h </w:instrText>
        </w:r>
        <w:r w:rsidR="00AC58BD">
          <w:rPr>
            <w:webHidden/>
          </w:rPr>
        </w:r>
        <w:r w:rsidR="00AC58BD">
          <w:rPr>
            <w:webHidden/>
          </w:rPr>
          <w:fldChar w:fldCharType="separate"/>
        </w:r>
        <w:r w:rsidR="00AC58BD">
          <w:rPr>
            <w:webHidden/>
          </w:rPr>
          <w:t>25</w:t>
        </w:r>
        <w:r w:rsidR="00AC58BD">
          <w:rPr>
            <w:webHidden/>
          </w:rPr>
          <w:fldChar w:fldCharType="end"/>
        </w:r>
      </w:hyperlink>
    </w:p>
    <w:p w:rsidR="00CA29CB" w:rsidRDefault="001807D4" w:rsidP="00A171DC">
      <w:r>
        <w:fldChar w:fldCharType="end"/>
      </w:r>
    </w:p>
    <w:p w:rsidR="00CA29CB" w:rsidRDefault="00CA29CB" w:rsidP="00A171DC"/>
    <w:p w:rsidR="0034041F" w:rsidRDefault="0034041F" w:rsidP="00A171DC">
      <w:pPr>
        <w:sectPr w:rsidR="0034041F" w:rsidSect="00F419F5">
          <w:headerReference w:type="default" r:id="rId20"/>
          <w:footerReference w:type="default" r:id="rId21"/>
          <w:type w:val="oddPage"/>
          <w:pgSz w:w="11906" w:h="16838" w:code="9"/>
          <w:pgMar w:top="1418" w:right="1418" w:bottom="1418" w:left="1985" w:header="680" w:footer="454" w:gutter="0"/>
          <w:pgNumType w:fmt="lowerRoman" w:start="1"/>
          <w:cols w:sep="1" w:space="567"/>
          <w:docGrid w:linePitch="360"/>
        </w:sectPr>
      </w:pPr>
    </w:p>
    <w:p w:rsidR="00703143" w:rsidRDefault="00703143" w:rsidP="009E44B2">
      <w:pPr>
        <w:pStyle w:val="Heading1"/>
      </w:pPr>
      <w:bookmarkStart w:id="1" w:name="_Toc499630188"/>
      <w:r>
        <w:lastRenderedPageBreak/>
        <w:t>Introduction</w:t>
      </w:r>
      <w:bookmarkEnd w:id="1"/>
    </w:p>
    <w:p w:rsidR="00703143" w:rsidRPr="00B74051" w:rsidRDefault="00703143" w:rsidP="00703143">
      <w:pPr>
        <w:rPr>
          <w:rStyle w:val="Emphasis"/>
        </w:rPr>
      </w:pPr>
      <w:r w:rsidRPr="00B74051">
        <w:rPr>
          <w:rStyle w:val="Emphasis"/>
        </w:rPr>
        <w:t>Learning from the journey and celebrating the achievements</w:t>
      </w:r>
    </w:p>
    <w:p w:rsidR="00703143" w:rsidRDefault="00703143" w:rsidP="009E44B2">
      <w:pPr>
        <w:pStyle w:val="Heading2"/>
      </w:pPr>
      <w:bookmarkStart w:id="2" w:name="_Toc499630189"/>
      <w:r>
        <w:t>Purpose of this stage</w:t>
      </w:r>
      <w:bookmarkEnd w:id="2"/>
    </w:p>
    <w:p w:rsidR="00703143" w:rsidRDefault="00703143" w:rsidP="00703143">
      <w:r>
        <w:t>This guideline addresses Stage 5: Realise of the investment lifecycle. Realising the benefits of an investment is the important final stage of an investment’s lifecycle. The realise stage allows departments to evaluate the extent to which the planned benefits have been delivered and where necessary highlights actions that need to be taken to achieve maximum benefit realisation. It also provides an opportunity to assess how well a project has been planned, procured and implemented.</w:t>
      </w:r>
    </w:p>
    <w:p w:rsidR="00703143" w:rsidRDefault="00703143" w:rsidP="00703143">
      <w:r>
        <w:t xml:space="preserve">This stage involves conducting a post-implementation review, sometimes called the ‘investment evaluation’ phase of the investment lifecycle. It is applicable to any completed investment. Equally important at this stage is to reflect, document and communicate the lessons learned so that future planning and design of similar investments can be informed. </w:t>
      </w:r>
    </w:p>
    <w:p w:rsidR="00CC1EF2" w:rsidRDefault="0076540B" w:rsidP="00276C55">
      <w:pPr>
        <w:pStyle w:val="Caption"/>
      </w:pPr>
      <w:r>
        <w:t xml:space="preserve">Figure </w:t>
      </w:r>
      <w:r w:rsidR="0060350E">
        <w:fldChar w:fldCharType="begin"/>
      </w:r>
      <w:r w:rsidR="0060350E">
        <w:instrText xml:space="preserve"> SEQ Figure \* ARABIC </w:instrText>
      </w:r>
      <w:r w:rsidR="0060350E">
        <w:fldChar w:fldCharType="separate"/>
      </w:r>
      <w:r w:rsidR="00684DA6">
        <w:rPr>
          <w:noProof/>
        </w:rPr>
        <w:t>1</w:t>
      </w:r>
      <w:r w:rsidR="0060350E">
        <w:rPr>
          <w:noProof/>
        </w:rPr>
        <w:fldChar w:fldCharType="end"/>
      </w:r>
      <w:r w:rsidR="00B74051">
        <w:t>: The Investment Lifecycle is set out in five key stages. This guideline outlines the fifth stage ‘Realise’</w:t>
      </w:r>
    </w:p>
    <w:p w:rsidR="00276C55" w:rsidRPr="00276C55" w:rsidRDefault="00276C55" w:rsidP="00276C55"/>
    <w:tbl>
      <w:tblPr>
        <w:tblStyle w:val="DTFTextTable"/>
        <w:tblW w:w="9063" w:type="dxa"/>
        <w:tblInd w:w="-38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433"/>
        <w:gridCol w:w="1726"/>
        <w:gridCol w:w="1726"/>
        <w:gridCol w:w="1726"/>
        <w:gridCol w:w="1726"/>
        <w:gridCol w:w="1726"/>
      </w:tblGrid>
      <w:tr w:rsidR="00CC1EF2" w:rsidRPr="008E1140" w:rsidTr="00192BB8">
        <w:trPr>
          <w:trHeight w:val="1134"/>
        </w:trPr>
        <w:tc>
          <w:tcPr>
            <w:tcW w:w="427"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extDirection w:val="btLr"/>
          </w:tcPr>
          <w:p w:rsidR="00CC1EF2" w:rsidRPr="00E86733" w:rsidRDefault="00CC1EF2" w:rsidP="00192BB8">
            <w:pPr>
              <w:spacing w:before="60"/>
              <w:ind w:left="113" w:right="113"/>
              <w:jc w:val="center"/>
              <w:rPr>
                <w:b/>
                <w:sz w:val="14"/>
                <w:szCs w:val="14"/>
              </w:rPr>
            </w:pPr>
          </w:p>
        </w:tc>
        <w:tc>
          <w:tcPr>
            <w:tcW w:w="1700" w:type="dxa"/>
            <w:tcBorders>
              <w:right w:val="nil"/>
            </w:tcBorders>
            <w:shd w:val="clear" w:color="auto" w:fill="auto"/>
          </w:tcPr>
          <w:p w:rsidR="00CC1EF2" w:rsidRPr="00755DCB" w:rsidRDefault="00CC1EF2" w:rsidP="00192BB8">
            <w:pPr>
              <w:spacing w:before="60"/>
              <w:rPr>
                <w:sz w:val="14"/>
                <w:szCs w:val="14"/>
              </w:rPr>
            </w:pPr>
            <w:r>
              <w:rPr>
                <w:i/>
                <w:noProof/>
                <w:sz w:val="14"/>
                <w:szCs w:val="14"/>
                <w:lang w:eastAsia="en-AU"/>
              </w:rPr>
              <w:drawing>
                <wp:inline distT="0" distB="0" distL="0" distR="0" wp14:anchorId="3BE4650C" wp14:editId="44055C72">
                  <wp:extent cx="1042952" cy="775070"/>
                  <wp:effectExtent l="0" t="0" r="5080" b="635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2952" cy="775070"/>
                          </a:xfrm>
                          <a:prstGeom prst="rect">
                            <a:avLst/>
                          </a:prstGeom>
                        </pic:spPr>
                      </pic:pic>
                    </a:graphicData>
                  </a:graphic>
                </wp:inline>
              </w:drawing>
            </w:r>
          </w:p>
        </w:tc>
        <w:tc>
          <w:tcPr>
            <w:tcW w:w="1700" w:type="dxa"/>
            <w:shd w:val="clear" w:color="auto" w:fill="auto"/>
          </w:tcPr>
          <w:p w:rsidR="00CC1EF2" w:rsidRPr="00755DCB" w:rsidRDefault="00CC1EF2" w:rsidP="00192BB8">
            <w:pPr>
              <w:spacing w:before="60"/>
              <w:ind w:left="22"/>
              <w:rPr>
                <w:sz w:val="14"/>
                <w:szCs w:val="14"/>
              </w:rPr>
            </w:pPr>
            <w:r>
              <w:rPr>
                <w:i/>
                <w:noProof/>
                <w:sz w:val="14"/>
                <w:szCs w:val="14"/>
                <w:lang w:eastAsia="en-AU"/>
              </w:rPr>
              <w:drawing>
                <wp:inline distT="0" distB="0" distL="0" distR="0" wp14:anchorId="1CB84826" wp14:editId="64B49F43">
                  <wp:extent cx="1042416" cy="769402"/>
                  <wp:effectExtent l="0" t="0" r="5715" b="0"/>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42416" cy="769402"/>
                          </a:xfrm>
                          <a:prstGeom prst="rect">
                            <a:avLst/>
                          </a:prstGeom>
                        </pic:spPr>
                      </pic:pic>
                    </a:graphicData>
                  </a:graphic>
                </wp:inline>
              </w:drawing>
            </w:r>
          </w:p>
        </w:tc>
        <w:tc>
          <w:tcPr>
            <w:tcW w:w="1700" w:type="dxa"/>
            <w:shd w:val="clear" w:color="auto" w:fill="auto"/>
          </w:tcPr>
          <w:p w:rsidR="00CC1EF2" w:rsidRPr="00755DCB" w:rsidRDefault="00CC1EF2" w:rsidP="00192BB8">
            <w:pPr>
              <w:spacing w:before="60"/>
              <w:ind w:left="22"/>
              <w:rPr>
                <w:sz w:val="14"/>
                <w:szCs w:val="14"/>
              </w:rPr>
            </w:pPr>
            <w:r>
              <w:rPr>
                <w:i/>
                <w:noProof/>
                <w:sz w:val="14"/>
                <w:szCs w:val="14"/>
                <w:lang w:eastAsia="en-AU"/>
              </w:rPr>
              <w:drawing>
                <wp:inline distT="0" distB="0" distL="0" distR="0" wp14:anchorId="004EB5CB" wp14:editId="66A0E82A">
                  <wp:extent cx="1042416" cy="777240"/>
                  <wp:effectExtent l="0" t="0" r="5715" b="3810"/>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01-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42416" cy="777240"/>
                          </a:xfrm>
                          <a:prstGeom prst="rect">
                            <a:avLst/>
                          </a:prstGeom>
                        </pic:spPr>
                      </pic:pic>
                    </a:graphicData>
                  </a:graphic>
                </wp:inline>
              </w:drawing>
            </w:r>
          </w:p>
        </w:tc>
        <w:tc>
          <w:tcPr>
            <w:tcW w:w="1700" w:type="dxa"/>
            <w:shd w:val="clear" w:color="auto" w:fill="auto"/>
          </w:tcPr>
          <w:p w:rsidR="00CC1EF2" w:rsidRPr="00755DCB" w:rsidRDefault="00CC1EF2" w:rsidP="00192BB8">
            <w:pPr>
              <w:spacing w:before="60"/>
              <w:ind w:left="22"/>
              <w:rPr>
                <w:sz w:val="14"/>
                <w:szCs w:val="14"/>
              </w:rPr>
            </w:pPr>
            <w:r>
              <w:rPr>
                <w:i/>
                <w:noProof/>
                <w:sz w:val="14"/>
                <w:szCs w:val="14"/>
                <w:lang w:eastAsia="en-AU"/>
              </w:rPr>
              <w:drawing>
                <wp:inline distT="0" distB="0" distL="0" distR="0" wp14:anchorId="45F76EAC" wp14:editId="405D956D">
                  <wp:extent cx="1042416" cy="777240"/>
                  <wp:effectExtent l="0" t="0" r="5715" b="3810"/>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1-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2416" cy="777240"/>
                          </a:xfrm>
                          <a:prstGeom prst="rect">
                            <a:avLst/>
                          </a:prstGeom>
                        </pic:spPr>
                      </pic:pic>
                    </a:graphicData>
                  </a:graphic>
                </wp:inline>
              </w:drawing>
            </w:r>
          </w:p>
        </w:tc>
        <w:tc>
          <w:tcPr>
            <w:tcW w:w="1700" w:type="dxa"/>
            <w:shd w:val="clear" w:color="auto" w:fill="auto"/>
          </w:tcPr>
          <w:p w:rsidR="00CC1EF2" w:rsidRPr="00755DCB" w:rsidRDefault="00CC1EF2" w:rsidP="00192BB8">
            <w:pPr>
              <w:spacing w:before="60"/>
              <w:rPr>
                <w:sz w:val="14"/>
                <w:szCs w:val="14"/>
              </w:rPr>
            </w:pPr>
            <w:r>
              <w:rPr>
                <w:i/>
                <w:noProof/>
                <w:sz w:val="14"/>
                <w:szCs w:val="14"/>
                <w:lang w:eastAsia="en-AU"/>
              </w:rPr>
              <w:drawing>
                <wp:inline distT="0" distB="0" distL="0" distR="0" wp14:anchorId="613A4160" wp14:editId="12EAE45B">
                  <wp:extent cx="1042415" cy="774672"/>
                  <wp:effectExtent l="0" t="0" r="5715" b="698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0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42415" cy="774672"/>
                          </a:xfrm>
                          <a:prstGeom prst="rect">
                            <a:avLst/>
                          </a:prstGeom>
                        </pic:spPr>
                      </pic:pic>
                    </a:graphicData>
                  </a:graphic>
                </wp:inline>
              </w:drawing>
            </w:r>
          </w:p>
        </w:tc>
      </w:tr>
    </w:tbl>
    <w:p w:rsidR="00CC1EF2" w:rsidRPr="008E1140" w:rsidRDefault="00CC1EF2" w:rsidP="00CC1EF2">
      <w:pPr>
        <w:pStyle w:val="Spacer"/>
      </w:pPr>
    </w:p>
    <w:tbl>
      <w:tblPr>
        <w:tblStyle w:val="DTFTextTable"/>
        <w:tblW w:w="9063" w:type="dxa"/>
        <w:tblCellSpacing w:w="7" w:type="dxa"/>
        <w:tblInd w:w="-3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447"/>
        <w:gridCol w:w="1712"/>
        <w:gridCol w:w="14"/>
        <w:gridCol w:w="1700"/>
        <w:gridCol w:w="20"/>
        <w:gridCol w:w="1691"/>
        <w:gridCol w:w="14"/>
        <w:gridCol w:w="19"/>
        <w:gridCol w:w="1682"/>
        <w:gridCol w:w="19"/>
        <w:gridCol w:w="21"/>
        <w:gridCol w:w="1673"/>
        <w:gridCol w:w="20"/>
        <w:gridCol w:w="31"/>
      </w:tblGrid>
      <w:tr w:rsidR="00CC1EF2" w:rsidRPr="00755DCB" w:rsidTr="00CC1EF2">
        <w:trPr>
          <w:cantSplit w:val="0"/>
          <w:tblCellSpacing w:w="7" w:type="dxa"/>
        </w:trPr>
        <w:tc>
          <w:tcPr>
            <w:tcW w:w="426" w:type="dxa"/>
            <w:tcBorders>
              <w:top w:val="single" w:sz="4" w:space="0" w:color="FFFFFF" w:themeColor="background1"/>
            </w:tcBorders>
            <w:shd w:val="clear" w:color="auto" w:fill="auto"/>
          </w:tcPr>
          <w:p w:rsidR="00CC1EF2" w:rsidRPr="00755DCB" w:rsidRDefault="00CC1EF2" w:rsidP="00192BB8">
            <w:pPr>
              <w:spacing w:before="60"/>
              <w:rPr>
                <w:b/>
                <w:color w:val="FFFFFF" w:themeColor="background1"/>
              </w:rPr>
            </w:pPr>
          </w:p>
        </w:tc>
        <w:tc>
          <w:tcPr>
            <w:tcW w:w="1712" w:type="dxa"/>
            <w:gridSpan w:val="2"/>
            <w:tcBorders>
              <w:top w:val="single" w:sz="4" w:space="0" w:color="FFFFFF" w:themeColor="background1"/>
            </w:tcBorders>
            <w:shd w:val="clear" w:color="auto" w:fill="7F7F7F" w:themeFill="text1" w:themeFillTint="80"/>
          </w:tcPr>
          <w:p w:rsidR="00CC1EF2" w:rsidRPr="008E1787" w:rsidRDefault="00CC1EF2" w:rsidP="00192BB8">
            <w:pPr>
              <w:spacing w:before="60"/>
              <w:rPr>
                <w:b/>
                <w:i/>
                <w:color w:val="FFFFFF" w:themeColor="background1"/>
              </w:rPr>
            </w:pPr>
            <w:r w:rsidRPr="008E1787">
              <w:rPr>
                <w:b/>
                <w:i/>
                <w:color w:val="FFFFFF" w:themeColor="background1"/>
              </w:rPr>
              <w:t>Conceptualise</w:t>
            </w:r>
          </w:p>
        </w:tc>
        <w:tc>
          <w:tcPr>
            <w:tcW w:w="1706" w:type="dxa"/>
            <w:gridSpan w:val="2"/>
            <w:tcBorders>
              <w:top w:val="single" w:sz="4" w:space="0" w:color="FFFFFF" w:themeColor="background1"/>
            </w:tcBorders>
            <w:shd w:val="clear" w:color="auto" w:fill="7F7F7F" w:themeFill="text1" w:themeFillTint="80"/>
          </w:tcPr>
          <w:p w:rsidR="00CC1EF2" w:rsidRPr="008E1787" w:rsidRDefault="00CC1EF2" w:rsidP="00192BB8">
            <w:pPr>
              <w:spacing w:before="60"/>
              <w:rPr>
                <w:b/>
                <w:i/>
                <w:color w:val="FFFFFF" w:themeColor="background1"/>
              </w:rPr>
            </w:pPr>
            <w:r w:rsidRPr="008E1787">
              <w:rPr>
                <w:b/>
                <w:i/>
                <w:color w:val="FFFFFF" w:themeColor="background1"/>
              </w:rPr>
              <w:t>Prove</w:t>
            </w:r>
          </w:p>
        </w:tc>
        <w:tc>
          <w:tcPr>
            <w:tcW w:w="1710" w:type="dxa"/>
            <w:gridSpan w:val="3"/>
            <w:tcBorders>
              <w:top w:val="single" w:sz="4" w:space="0" w:color="FFFFFF" w:themeColor="background1"/>
            </w:tcBorders>
            <w:shd w:val="clear" w:color="auto" w:fill="7F7F7F" w:themeFill="text1" w:themeFillTint="80"/>
          </w:tcPr>
          <w:p w:rsidR="00CC1EF2" w:rsidRPr="008E1787" w:rsidRDefault="00CC1EF2" w:rsidP="00192BB8">
            <w:pPr>
              <w:spacing w:before="60"/>
              <w:rPr>
                <w:b/>
                <w:i/>
                <w:color w:val="FFFFFF" w:themeColor="background1"/>
              </w:rPr>
            </w:pPr>
            <w:r w:rsidRPr="008E1787">
              <w:rPr>
                <w:b/>
                <w:i/>
                <w:color w:val="FFFFFF" w:themeColor="background1"/>
              </w:rPr>
              <w:t>Procure</w:t>
            </w:r>
          </w:p>
        </w:tc>
        <w:tc>
          <w:tcPr>
            <w:tcW w:w="1708" w:type="dxa"/>
            <w:gridSpan w:val="3"/>
            <w:tcBorders>
              <w:top w:val="single" w:sz="4" w:space="0" w:color="FFFFFF" w:themeColor="background1"/>
            </w:tcBorders>
            <w:shd w:val="clear" w:color="auto" w:fill="7F7F7F" w:themeFill="text1" w:themeFillTint="80"/>
          </w:tcPr>
          <w:p w:rsidR="00CC1EF2" w:rsidRPr="008E1787" w:rsidRDefault="00CC1EF2" w:rsidP="00192BB8">
            <w:pPr>
              <w:spacing w:before="60"/>
              <w:rPr>
                <w:b/>
                <w:i/>
                <w:color w:val="FFFFFF" w:themeColor="background1"/>
              </w:rPr>
            </w:pPr>
            <w:r w:rsidRPr="008E1787">
              <w:rPr>
                <w:b/>
                <w:i/>
                <w:color w:val="FFFFFF" w:themeColor="background1"/>
              </w:rPr>
              <w:t>Implement</w:t>
            </w:r>
          </w:p>
        </w:tc>
        <w:tc>
          <w:tcPr>
            <w:tcW w:w="1703" w:type="dxa"/>
            <w:gridSpan w:val="3"/>
            <w:tcBorders>
              <w:top w:val="single" w:sz="4" w:space="0" w:color="FFFFFF" w:themeColor="background1"/>
            </w:tcBorders>
            <w:shd w:val="clear" w:color="auto" w:fill="F6BE00" w:themeFill="accent1"/>
          </w:tcPr>
          <w:p w:rsidR="00CC1EF2" w:rsidRPr="008E1787" w:rsidRDefault="00CC1EF2" w:rsidP="00192BB8">
            <w:pPr>
              <w:spacing w:before="60"/>
              <w:rPr>
                <w:b/>
                <w:i/>
                <w:color w:val="FFFFFF" w:themeColor="background1"/>
              </w:rPr>
            </w:pPr>
            <w:r w:rsidRPr="008E1787">
              <w:rPr>
                <w:b/>
                <w:i/>
                <w:color w:val="FFFFFF" w:themeColor="background1"/>
              </w:rPr>
              <w:t>Realise</w:t>
            </w:r>
          </w:p>
        </w:tc>
      </w:tr>
      <w:tr w:rsidR="00CC1EF2" w:rsidRPr="008E1140" w:rsidTr="00CC1EF2">
        <w:trPr>
          <w:cantSplit w:val="0"/>
          <w:tblCellSpacing w:w="7" w:type="dxa"/>
        </w:trPr>
        <w:tc>
          <w:tcPr>
            <w:tcW w:w="426" w:type="dxa"/>
            <w:tcBorders>
              <w:top w:val="single" w:sz="18" w:space="0" w:color="FFFFFF" w:themeColor="background1"/>
              <w:left w:val="single" w:sz="8" w:space="0" w:color="FFFFFF" w:themeColor="background1"/>
              <w:bottom w:val="single" w:sz="8" w:space="0" w:color="FFFFFF" w:themeColor="background1"/>
              <w:right w:val="nil"/>
            </w:tcBorders>
            <w:shd w:val="clear" w:color="auto" w:fill="auto"/>
          </w:tcPr>
          <w:p w:rsidR="00CC1EF2" w:rsidRPr="00755DCB" w:rsidRDefault="00CC1EF2" w:rsidP="00192BB8">
            <w:pPr>
              <w:spacing w:before="60"/>
              <w:rPr>
                <w:sz w:val="14"/>
                <w:szCs w:val="14"/>
              </w:rPr>
            </w:pPr>
          </w:p>
        </w:tc>
        <w:tc>
          <w:tcPr>
            <w:tcW w:w="1712" w:type="dxa"/>
            <w:gridSpan w:val="2"/>
            <w:tcBorders>
              <w:bottom w:val="single" w:sz="8" w:space="0" w:color="FFFFFF" w:themeColor="background1"/>
            </w:tcBorders>
            <w:shd w:val="clear" w:color="auto" w:fill="F2F2F2" w:themeFill="background1" w:themeFillShade="F2"/>
          </w:tcPr>
          <w:p w:rsidR="00CC1EF2" w:rsidRPr="008E1787" w:rsidRDefault="00CC1EF2" w:rsidP="00192BB8">
            <w:pPr>
              <w:spacing w:before="60"/>
              <w:rPr>
                <w:i/>
                <w:sz w:val="14"/>
                <w:szCs w:val="14"/>
              </w:rPr>
            </w:pPr>
            <w:r w:rsidRPr="008E1787">
              <w:rPr>
                <w:i/>
                <w:sz w:val="14"/>
                <w:szCs w:val="14"/>
              </w:rPr>
              <w:t>Establish a clear need, define likely benefits and explore interventions</w:t>
            </w:r>
          </w:p>
        </w:tc>
        <w:tc>
          <w:tcPr>
            <w:tcW w:w="1706" w:type="dxa"/>
            <w:gridSpan w:val="2"/>
            <w:tcBorders>
              <w:bottom w:val="single" w:sz="8" w:space="0" w:color="FFFFFF" w:themeColor="background1"/>
            </w:tcBorders>
            <w:shd w:val="clear" w:color="auto" w:fill="F2F2F2" w:themeFill="background1" w:themeFillShade="F2"/>
          </w:tcPr>
          <w:p w:rsidR="00CC1EF2" w:rsidRPr="008E1787" w:rsidRDefault="00CC1EF2" w:rsidP="00192BB8">
            <w:pPr>
              <w:spacing w:before="60"/>
              <w:rPr>
                <w:i/>
                <w:sz w:val="14"/>
                <w:szCs w:val="14"/>
              </w:rPr>
            </w:pPr>
            <w:r w:rsidRPr="008E1787">
              <w:rPr>
                <w:i/>
                <w:sz w:val="14"/>
                <w:szCs w:val="14"/>
              </w:rPr>
              <w:t>Explore project options and estimate costs to validate value for money and viability</w:t>
            </w:r>
          </w:p>
        </w:tc>
        <w:tc>
          <w:tcPr>
            <w:tcW w:w="1710" w:type="dxa"/>
            <w:gridSpan w:val="3"/>
            <w:tcBorders>
              <w:bottom w:val="single" w:sz="8" w:space="0" w:color="FFFFFF" w:themeColor="background1"/>
            </w:tcBorders>
            <w:shd w:val="clear" w:color="auto" w:fill="F2F2F2" w:themeFill="background1" w:themeFillShade="F2"/>
          </w:tcPr>
          <w:p w:rsidR="00CC1EF2" w:rsidRPr="008E1787" w:rsidRDefault="00CC1EF2" w:rsidP="00192BB8">
            <w:pPr>
              <w:spacing w:before="60"/>
              <w:rPr>
                <w:i/>
                <w:sz w:val="14"/>
                <w:szCs w:val="14"/>
              </w:rPr>
            </w:pPr>
            <w:r w:rsidRPr="008E1787">
              <w:rPr>
                <w:i/>
                <w:sz w:val="14"/>
                <w:szCs w:val="14"/>
              </w:rPr>
              <w:t>Finalise procurement plan, specify requirements, engage the market and award contract</w:t>
            </w:r>
          </w:p>
        </w:tc>
        <w:tc>
          <w:tcPr>
            <w:tcW w:w="1708" w:type="dxa"/>
            <w:gridSpan w:val="3"/>
            <w:tcBorders>
              <w:bottom w:val="single" w:sz="8" w:space="0" w:color="FFFFFF" w:themeColor="background1"/>
            </w:tcBorders>
            <w:shd w:val="clear" w:color="auto" w:fill="F2F2F2" w:themeFill="background1" w:themeFillShade="F2"/>
          </w:tcPr>
          <w:p w:rsidR="00CC1EF2" w:rsidRPr="008E1787" w:rsidRDefault="00CC1EF2" w:rsidP="00192BB8">
            <w:pPr>
              <w:spacing w:before="60"/>
              <w:rPr>
                <w:i/>
                <w:sz w:val="14"/>
                <w:szCs w:val="14"/>
              </w:rPr>
            </w:pPr>
            <w:r w:rsidRPr="008E1787">
              <w:rPr>
                <w:i/>
                <w:sz w:val="14"/>
                <w:szCs w:val="14"/>
              </w:rPr>
              <w:t>Implement solution and transition to normal business</w:t>
            </w:r>
          </w:p>
        </w:tc>
        <w:tc>
          <w:tcPr>
            <w:tcW w:w="1703" w:type="dxa"/>
            <w:gridSpan w:val="3"/>
            <w:tcBorders>
              <w:bottom w:val="single" w:sz="8" w:space="0" w:color="FFFFFF" w:themeColor="background1"/>
            </w:tcBorders>
            <w:shd w:val="clear" w:color="auto" w:fill="FEF7D3" w:themeFill="accent2" w:themeFillTint="33"/>
          </w:tcPr>
          <w:p w:rsidR="00CC1EF2" w:rsidRPr="008E1787" w:rsidRDefault="00CC1EF2" w:rsidP="00192BB8">
            <w:pPr>
              <w:spacing w:before="60"/>
              <w:rPr>
                <w:i/>
                <w:sz w:val="14"/>
                <w:szCs w:val="14"/>
              </w:rPr>
            </w:pPr>
            <w:r w:rsidRPr="008E1787">
              <w:rPr>
                <w:i/>
                <w:sz w:val="14"/>
                <w:szCs w:val="14"/>
              </w:rPr>
              <w:t>Measure the success of the investment</w:t>
            </w:r>
          </w:p>
        </w:tc>
      </w:tr>
      <w:tr w:rsidR="00CC1EF2" w:rsidRPr="00724986" w:rsidTr="00CC1EF2">
        <w:trPr>
          <w:cantSplit w:val="0"/>
          <w:tblCellSpacing w:w="7" w:type="dxa"/>
        </w:trPr>
        <w:tc>
          <w:tcPr>
            <w:tcW w:w="426"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cPr>
          <w:p w:rsidR="00CC1EF2" w:rsidRPr="00724986" w:rsidRDefault="00CC1EF2" w:rsidP="00192BB8">
            <w:pPr>
              <w:spacing w:before="60"/>
              <w:rPr>
                <w:b/>
                <w:sz w:val="10"/>
                <w:szCs w:val="10"/>
              </w:rPr>
            </w:pPr>
          </w:p>
        </w:tc>
        <w:tc>
          <w:tcPr>
            <w:tcW w:w="1712" w:type="dxa"/>
            <w:gridSpan w:val="2"/>
            <w:shd w:val="clear" w:color="auto" w:fill="F2F2F2" w:themeFill="background1" w:themeFillShade="F2"/>
          </w:tcPr>
          <w:p w:rsidR="00CC1EF2" w:rsidRPr="00724986" w:rsidRDefault="00CC1EF2" w:rsidP="00192BB8">
            <w:pPr>
              <w:spacing w:before="60"/>
              <w:rPr>
                <w:b/>
                <w:i/>
                <w:sz w:val="10"/>
                <w:szCs w:val="10"/>
              </w:rPr>
            </w:pPr>
            <w:r w:rsidRPr="00724986">
              <w:rPr>
                <w:b/>
                <w:sz w:val="10"/>
                <w:szCs w:val="10"/>
              </w:rPr>
              <w:sym w:font="Wingdings 3" w:char="F075"/>
            </w:r>
            <w:r w:rsidRPr="00724986">
              <w:rPr>
                <w:b/>
                <w:i/>
                <w:sz w:val="10"/>
                <w:szCs w:val="10"/>
              </w:rPr>
              <w:t xml:space="preserve"> Confirm the need</w:t>
            </w:r>
          </w:p>
        </w:tc>
        <w:tc>
          <w:tcPr>
            <w:tcW w:w="1706" w:type="dxa"/>
            <w:gridSpan w:val="2"/>
            <w:shd w:val="clear" w:color="auto" w:fill="F2F2F2" w:themeFill="background1" w:themeFillShade="F2"/>
          </w:tcPr>
          <w:p w:rsidR="00CC1EF2" w:rsidRPr="00724986" w:rsidRDefault="00CC1EF2" w:rsidP="00192BB8">
            <w:pPr>
              <w:spacing w:before="60"/>
              <w:rPr>
                <w:b/>
                <w:i/>
                <w:sz w:val="10"/>
                <w:szCs w:val="10"/>
              </w:rPr>
            </w:pPr>
            <w:r w:rsidRPr="00724986">
              <w:rPr>
                <w:b/>
                <w:sz w:val="10"/>
                <w:szCs w:val="10"/>
              </w:rPr>
              <w:sym w:font="Wingdings 3" w:char="F075"/>
            </w:r>
            <w:r w:rsidRPr="00724986">
              <w:rPr>
                <w:b/>
                <w:i/>
                <w:sz w:val="10"/>
                <w:szCs w:val="10"/>
              </w:rPr>
              <w:t xml:space="preserve"> Recommend an investment</w:t>
            </w:r>
          </w:p>
        </w:tc>
        <w:tc>
          <w:tcPr>
            <w:tcW w:w="1710" w:type="dxa"/>
            <w:gridSpan w:val="3"/>
            <w:shd w:val="clear" w:color="auto" w:fill="F2F2F2" w:themeFill="background1" w:themeFillShade="F2"/>
          </w:tcPr>
          <w:p w:rsidR="00CC1EF2" w:rsidRPr="00724986" w:rsidRDefault="00CC1EF2" w:rsidP="00192BB8">
            <w:pPr>
              <w:spacing w:before="60"/>
              <w:rPr>
                <w:b/>
                <w:i/>
                <w:sz w:val="10"/>
                <w:szCs w:val="10"/>
              </w:rPr>
            </w:pPr>
            <w:r w:rsidRPr="00724986">
              <w:rPr>
                <w:b/>
                <w:sz w:val="10"/>
                <w:szCs w:val="10"/>
              </w:rPr>
              <w:sym w:font="Wingdings 3" w:char="F075"/>
            </w:r>
            <w:r w:rsidRPr="00724986">
              <w:rPr>
                <w:b/>
                <w:i/>
                <w:sz w:val="10"/>
                <w:szCs w:val="10"/>
              </w:rPr>
              <w:t xml:space="preserve"> Award a contract</w:t>
            </w:r>
          </w:p>
        </w:tc>
        <w:tc>
          <w:tcPr>
            <w:tcW w:w="1708" w:type="dxa"/>
            <w:gridSpan w:val="3"/>
            <w:shd w:val="clear" w:color="auto" w:fill="F2F2F2" w:themeFill="background1" w:themeFillShade="F2"/>
          </w:tcPr>
          <w:p w:rsidR="00CC1EF2" w:rsidRPr="00724986" w:rsidRDefault="00CC1EF2" w:rsidP="00192BB8">
            <w:pPr>
              <w:spacing w:before="60"/>
              <w:rPr>
                <w:b/>
                <w:i/>
                <w:sz w:val="10"/>
                <w:szCs w:val="10"/>
              </w:rPr>
            </w:pPr>
            <w:r w:rsidRPr="00724986">
              <w:rPr>
                <w:b/>
                <w:sz w:val="10"/>
                <w:szCs w:val="10"/>
              </w:rPr>
              <w:sym w:font="Wingdings 3" w:char="F075"/>
            </w:r>
            <w:r w:rsidRPr="00724986">
              <w:rPr>
                <w:b/>
                <w:i/>
                <w:sz w:val="10"/>
                <w:szCs w:val="10"/>
              </w:rPr>
              <w:t xml:space="preserve"> Deliver the solution</w:t>
            </w:r>
          </w:p>
        </w:tc>
        <w:tc>
          <w:tcPr>
            <w:tcW w:w="1703" w:type="dxa"/>
            <w:gridSpan w:val="3"/>
            <w:shd w:val="clear" w:color="auto" w:fill="FEF7D3" w:themeFill="accent2" w:themeFillTint="33"/>
          </w:tcPr>
          <w:p w:rsidR="00CC1EF2" w:rsidRPr="00724986" w:rsidRDefault="00CC1EF2" w:rsidP="00192BB8">
            <w:pPr>
              <w:spacing w:before="60"/>
              <w:rPr>
                <w:b/>
                <w:i/>
                <w:sz w:val="10"/>
                <w:szCs w:val="10"/>
              </w:rPr>
            </w:pPr>
            <w:r w:rsidRPr="00724986">
              <w:rPr>
                <w:b/>
                <w:sz w:val="10"/>
                <w:szCs w:val="10"/>
              </w:rPr>
              <w:sym w:font="Wingdings 3" w:char="F075"/>
            </w:r>
            <w:r w:rsidRPr="00724986">
              <w:rPr>
                <w:b/>
                <w:i/>
                <w:sz w:val="10"/>
                <w:szCs w:val="10"/>
              </w:rPr>
              <w:t xml:space="preserve"> Deliver the benefits</w:t>
            </w:r>
          </w:p>
        </w:tc>
      </w:tr>
      <w:tr w:rsidR="00CC1EF2" w:rsidRPr="008E1140" w:rsidTr="00CC1EF2">
        <w:trPr>
          <w:trHeight w:val="1134"/>
          <w:tblCellSpacing w:w="7" w:type="dxa"/>
        </w:trPr>
        <w:tc>
          <w:tcPr>
            <w:tcW w:w="426"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textDirection w:val="btLr"/>
          </w:tcPr>
          <w:p w:rsidR="00CC1EF2" w:rsidRPr="00E86733" w:rsidRDefault="00CC1EF2" w:rsidP="00192BB8">
            <w:pPr>
              <w:spacing w:before="60"/>
              <w:ind w:left="113" w:right="113"/>
              <w:jc w:val="center"/>
              <w:rPr>
                <w:b/>
                <w:sz w:val="14"/>
                <w:szCs w:val="14"/>
              </w:rPr>
            </w:pPr>
            <w:r w:rsidRPr="00E86733">
              <w:rPr>
                <w:b/>
                <w:sz w:val="14"/>
                <w:szCs w:val="14"/>
              </w:rPr>
              <w:t>Outputs</w:t>
            </w:r>
          </w:p>
        </w:tc>
        <w:tc>
          <w:tcPr>
            <w:tcW w:w="1712" w:type="dxa"/>
            <w:gridSpan w:val="2"/>
            <w:shd w:val="clear" w:color="auto" w:fill="F2F2F2" w:themeFill="background1" w:themeFillShade="F2"/>
          </w:tcPr>
          <w:p w:rsidR="00CC1EF2" w:rsidRDefault="00CC1EF2" w:rsidP="00192BB8">
            <w:pPr>
              <w:spacing w:before="60"/>
              <w:rPr>
                <w:sz w:val="14"/>
                <w:szCs w:val="14"/>
              </w:rPr>
            </w:pPr>
            <w:r>
              <w:rPr>
                <w:sz w:val="14"/>
                <w:szCs w:val="14"/>
              </w:rPr>
              <w:t>Strategic assessment (non</w:t>
            </w:r>
            <w:r>
              <w:rPr>
                <w:sz w:val="14"/>
                <w:szCs w:val="14"/>
              </w:rPr>
              <w:noBreakHyphen/>
              <w:t>High Value/High Risk)</w:t>
            </w:r>
          </w:p>
          <w:p w:rsidR="00CC1EF2" w:rsidRPr="00755DCB" w:rsidRDefault="00CC1EF2" w:rsidP="00192BB8">
            <w:pPr>
              <w:spacing w:before="60"/>
              <w:rPr>
                <w:sz w:val="14"/>
                <w:szCs w:val="14"/>
              </w:rPr>
            </w:pPr>
            <w:r>
              <w:rPr>
                <w:sz w:val="14"/>
                <w:szCs w:val="14"/>
              </w:rPr>
              <w:t>Preliminary business case (if High Value/High Risk</w:t>
            </w:r>
          </w:p>
        </w:tc>
        <w:tc>
          <w:tcPr>
            <w:tcW w:w="1706" w:type="dxa"/>
            <w:gridSpan w:val="2"/>
            <w:shd w:val="clear" w:color="auto" w:fill="F2F2F2" w:themeFill="background1" w:themeFillShade="F2"/>
          </w:tcPr>
          <w:p w:rsidR="00CC1EF2" w:rsidRDefault="00CC1EF2" w:rsidP="00192BB8">
            <w:pPr>
              <w:spacing w:before="60"/>
              <w:rPr>
                <w:sz w:val="14"/>
                <w:szCs w:val="14"/>
              </w:rPr>
            </w:pPr>
            <w:r>
              <w:rPr>
                <w:sz w:val="14"/>
                <w:szCs w:val="14"/>
              </w:rPr>
              <w:t>Full business case</w:t>
            </w:r>
          </w:p>
          <w:p w:rsidR="00276C55" w:rsidRPr="00755DCB" w:rsidRDefault="00276C55" w:rsidP="00192BB8">
            <w:pPr>
              <w:spacing w:before="60"/>
              <w:rPr>
                <w:sz w:val="14"/>
                <w:szCs w:val="14"/>
              </w:rPr>
            </w:pPr>
            <w:r>
              <w:rPr>
                <w:sz w:val="14"/>
                <w:szCs w:val="14"/>
              </w:rPr>
              <w:t>HVHR Project Assurance Plan</w:t>
            </w:r>
          </w:p>
        </w:tc>
        <w:tc>
          <w:tcPr>
            <w:tcW w:w="1710" w:type="dxa"/>
            <w:gridSpan w:val="3"/>
            <w:shd w:val="clear" w:color="auto" w:fill="F2F2F2" w:themeFill="background1" w:themeFillShade="F2"/>
          </w:tcPr>
          <w:p w:rsidR="00CC1EF2" w:rsidRDefault="00CC1EF2" w:rsidP="00192BB8">
            <w:pPr>
              <w:spacing w:before="60"/>
              <w:rPr>
                <w:sz w:val="14"/>
                <w:szCs w:val="14"/>
              </w:rPr>
            </w:pPr>
            <w:r>
              <w:rPr>
                <w:sz w:val="14"/>
                <w:szCs w:val="14"/>
              </w:rPr>
              <w:t>Expressions of interest</w:t>
            </w:r>
          </w:p>
          <w:p w:rsidR="00CC1EF2" w:rsidRDefault="00CC1EF2" w:rsidP="00192BB8">
            <w:pPr>
              <w:spacing w:before="60"/>
              <w:rPr>
                <w:sz w:val="14"/>
                <w:szCs w:val="14"/>
              </w:rPr>
            </w:pPr>
            <w:r>
              <w:rPr>
                <w:sz w:val="14"/>
                <w:szCs w:val="14"/>
              </w:rPr>
              <w:t>Request for tender</w:t>
            </w:r>
          </w:p>
          <w:p w:rsidR="00CC1EF2" w:rsidRDefault="00CC1EF2" w:rsidP="00192BB8">
            <w:pPr>
              <w:spacing w:before="60"/>
              <w:rPr>
                <w:sz w:val="14"/>
                <w:szCs w:val="14"/>
              </w:rPr>
            </w:pPr>
            <w:r>
              <w:rPr>
                <w:sz w:val="14"/>
                <w:szCs w:val="14"/>
              </w:rPr>
              <w:t>Contract</w:t>
            </w:r>
          </w:p>
          <w:p w:rsidR="00CC1EF2" w:rsidRPr="00755DCB" w:rsidRDefault="00CC1EF2" w:rsidP="00192BB8">
            <w:pPr>
              <w:spacing w:before="60"/>
              <w:rPr>
                <w:sz w:val="14"/>
                <w:szCs w:val="14"/>
              </w:rPr>
            </w:pPr>
            <w:r>
              <w:rPr>
                <w:sz w:val="14"/>
                <w:szCs w:val="14"/>
              </w:rPr>
              <w:t>Project status reports</w:t>
            </w:r>
          </w:p>
        </w:tc>
        <w:tc>
          <w:tcPr>
            <w:tcW w:w="1708" w:type="dxa"/>
            <w:gridSpan w:val="3"/>
            <w:shd w:val="clear" w:color="auto" w:fill="F2F2F2" w:themeFill="background1" w:themeFillShade="F2"/>
          </w:tcPr>
          <w:p w:rsidR="00CC1EF2" w:rsidRPr="00755DCB" w:rsidRDefault="00CC1EF2" w:rsidP="00192BB8">
            <w:pPr>
              <w:spacing w:before="60"/>
              <w:rPr>
                <w:sz w:val="14"/>
                <w:szCs w:val="14"/>
              </w:rPr>
            </w:pPr>
            <w:r>
              <w:rPr>
                <w:sz w:val="14"/>
                <w:szCs w:val="14"/>
              </w:rPr>
              <w:t>Project status reports</w:t>
            </w:r>
          </w:p>
        </w:tc>
        <w:tc>
          <w:tcPr>
            <w:tcW w:w="1703" w:type="dxa"/>
            <w:gridSpan w:val="3"/>
            <w:shd w:val="clear" w:color="auto" w:fill="FEF7D3" w:themeFill="accent2" w:themeFillTint="33"/>
          </w:tcPr>
          <w:p w:rsidR="00CC1EF2" w:rsidRDefault="00CC1EF2" w:rsidP="00192BB8">
            <w:pPr>
              <w:spacing w:before="60"/>
              <w:rPr>
                <w:sz w:val="14"/>
                <w:szCs w:val="14"/>
              </w:rPr>
            </w:pPr>
            <w:r>
              <w:rPr>
                <w:sz w:val="14"/>
                <w:szCs w:val="14"/>
              </w:rPr>
              <w:t>Project wrap-up report</w:t>
            </w:r>
          </w:p>
          <w:p w:rsidR="00CC1EF2" w:rsidRPr="00755DCB" w:rsidRDefault="00CC1EF2" w:rsidP="00192BB8">
            <w:pPr>
              <w:spacing w:before="60"/>
              <w:rPr>
                <w:sz w:val="14"/>
                <w:szCs w:val="14"/>
              </w:rPr>
            </w:pPr>
            <w:r>
              <w:rPr>
                <w:sz w:val="14"/>
                <w:szCs w:val="14"/>
              </w:rPr>
              <w:t>Investment evaluation report</w:t>
            </w:r>
          </w:p>
        </w:tc>
      </w:tr>
      <w:tr w:rsidR="00CC1EF2" w:rsidRPr="008E1140" w:rsidTr="00CC1EF2">
        <w:trPr>
          <w:gridAfter w:val="1"/>
          <w:wAfter w:w="10" w:type="dxa"/>
          <w:trHeight w:val="1134"/>
          <w:tblCellSpacing w:w="7" w:type="dxa"/>
        </w:trPr>
        <w:tc>
          <w:tcPr>
            <w:tcW w:w="426"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textDirection w:val="btLr"/>
          </w:tcPr>
          <w:p w:rsidR="00CC1EF2" w:rsidRPr="00E86733" w:rsidRDefault="00CC1EF2" w:rsidP="00192BB8">
            <w:pPr>
              <w:spacing w:before="60"/>
              <w:ind w:left="113" w:right="113"/>
              <w:jc w:val="center"/>
              <w:rPr>
                <w:b/>
                <w:sz w:val="14"/>
                <w:szCs w:val="14"/>
              </w:rPr>
            </w:pPr>
            <w:r w:rsidRPr="00E86733">
              <w:rPr>
                <w:b/>
                <w:sz w:val="14"/>
                <w:szCs w:val="14"/>
              </w:rPr>
              <w:t>Guidelines</w:t>
            </w:r>
          </w:p>
        </w:tc>
        <w:tc>
          <w:tcPr>
            <w:tcW w:w="1698" w:type="dxa"/>
            <w:shd w:val="clear" w:color="auto" w:fill="F2F2F2" w:themeFill="background1" w:themeFillShade="F2"/>
          </w:tcPr>
          <w:p w:rsidR="00CC1EF2" w:rsidRDefault="00CC1EF2" w:rsidP="00192BB8">
            <w:pPr>
              <w:spacing w:before="60"/>
              <w:rPr>
                <w:sz w:val="14"/>
                <w:szCs w:val="14"/>
              </w:rPr>
            </w:pPr>
            <w:r>
              <w:rPr>
                <w:sz w:val="14"/>
                <w:szCs w:val="14"/>
              </w:rPr>
              <w:t>Investment lifecycle overview</w:t>
            </w:r>
          </w:p>
          <w:p w:rsidR="00CC1EF2" w:rsidRPr="00755DCB" w:rsidRDefault="00CC1EF2" w:rsidP="00192BB8">
            <w:pPr>
              <w:spacing w:before="60"/>
              <w:rPr>
                <w:sz w:val="14"/>
                <w:szCs w:val="14"/>
              </w:rPr>
            </w:pPr>
            <w:r>
              <w:rPr>
                <w:sz w:val="14"/>
                <w:szCs w:val="14"/>
              </w:rPr>
              <w:t>Conceptualise guideline</w:t>
            </w:r>
          </w:p>
        </w:tc>
        <w:tc>
          <w:tcPr>
            <w:tcW w:w="1700" w:type="dxa"/>
            <w:gridSpan w:val="2"/>
            <w:shd w:val="clear" w:color="auto" w:fill="F2F2F2" w:themeFill="background1" w:themeFillShade="F2"/>
          </w:tcPr>
          <w:p w:rsidR="00CC1EF2" w:rsidRPr="00755DCB" w:rsidRDefault="00CC1EF2" w:rsidP="00192BB8">
            <w:pPr>
              <w:spacing w:before="60"/>
              <w:rPr>
                <w:sz w:val="14"/>
                <w:szCs w:val="14"/>
              </w:rPr>
            </w:pPr>
            <w:r>
              <w:rPr>
                <w:sz w:val="14"/>
                <w:szCs w:val="14"/>
              </w:rPr>
              <w:t>Prove guideline</w:t>
            </w:r>
          </w:p>
        </w:tc>
        <w:tc>
          <w:tcPr>
            <w:tcW w:w="1711" w:type="dxa"/>
            <w:gridSpan w:val="3"/>
            <w:shd w:val="clear" w:color="auto" w:fill="F2F2F2" w:themeFill="background1" w:themeFillShade="F2"/>
          </w:tcPr>
          <w:p w:rsidR="00CC1EF2" w:rsidRPr="00755DCB" w:rsidRDefault="00CC1EF2" w:rsidP="00192BB8">
            <w:pPr>
              <w:spacing w:before="60"/>
              <w:rPr>
                <w:sz w:val="14"/>
                <w:szCs w:val="14"/>
              </w:rPr>
            </w:pPr>
            <w:r>
              <w:rPr>
                <w:sz w:val="14"/>
                <w:szCs w:val="14"/>
              </w:rPr>
              <w:t>Procure guideline</w:t>
            </w:r>
          </w:p>
        </w:tc>
        <w:tc>
          <w:tcPr>
            <w:tcW w:w="1706" w:type="dxa"/>
            <w:gridSpan w:val="3"/>
            <w:shd w:val="clear" w:color="auto" w:fill="F2F2F2" w:themeFill="background1" w:themeFillShade="F2"/>
          </w:tcPr>
          <w:p w:rsidR="00CC1EF2" w:rsidRPr="00755DCB" w:rsidRDefault="00CC1EF2" w:rsidP="00192BB8">
            <w:pPr>
              <w:spacing w:before="60"/>
              <w:rPr>
                <w:sz w:val="14"/>
                <w:szCs w:val="14"/>
              </w:rPr>
            </w:pPr>
            <w:r>
              <w:rPr>
                <w:sz w:val="14"/>
                <w:szCs w:val="14"/>
              </w:rPr>
              <w:t>Implement guideline</w:t>
            </w:r>
          </w:p>
        </w:tc>
        <w:tc>
          <w:tcPr>
            <w:tcW w:w="1700" w:type="dxa"/>
            <w:gridSpan w:val="3"/>
            <w:shd w:val="clear" w:color="auto" w:fill="FEF7D3" w:themeFill="accent2" w:themeFillTint="33"/>
          </w:tcPr>
          <w:p w:rsidR="00CC1EF2" w:rsidRPr="00755DCB" w:rsidRDefault="00CC1EF2" w:rsidP="00192BB8">
            <w:pPr>
              <w:spacing w:before="60"/>
              <w:rPr>
                <w:sz w:val="14"/>
                <w:szCs w:val="14"/>
              </w:rPr>
            </w:pPr>
            <w:r>
              <w:rPr>
                <w:sz w:val="14"/>
                <w:szCs w:val="14"/>
              </w:rPr>
              <w:t>Realise guideline</w:t>
            </w:r>
          </w:p>
        </w:tc>
      </w:tr>
      <w:tr w:rsidR="00CC1EF2" w:rsidRPr="008E1140" w:rsidTr="00CC1EF2">
        <w:trPr>
          <w:gridAfter w:val="2"/>
          <w:wAfter w:w="30" w:type="dxa"/>
          <w:trHeight w:val="1134"/>
          <w:tblCellSpacing w:w="7" w:type="dxa"/>
        </w:trPr>
        <w:tc>
          <w:tcPr>
            <w:tcW w:w="426"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textDirection w:val="btLr"/>
          </w:tcPr>
          <w:p w:rsidR="00CC1EF2" w:rsidRPr="00E86733" w:rsidRDefault="00CC1EF2" w:rsidP="00192BB8">
            <w:pPr>
              <w:spacing w:before="60"/>
              <w:ind w:left="113" w:right="113"/>
              <w:jc w:val="center"/>
              <w:rPr>
                <w:b/>
                <w:sz w:val="14"/>
                <w:szCs w:val="14"/>
              </w:rPr>
            </w:pPr>
            <w:r w:rsidRPr="00E86733">
              <w:rPr>
                <w:b/>
                <w:sz w:val="14"/>
                <w:szCs w:val="14"/>
              </w:rPr>
              <w:t>Tools</w:t>
            </w:r>
          </w:p>
        </w:tc>
        <w:tc>
          <w:tcPr>
            <w:tcW w:w="1698" w:type="dxa"/>
            <w:shd w:val="clear" w:color="auto" w:fill="F2F2F2" w:themeFill="background1" w:themeFillShade="F2"/>
          </w:tcPr>
          <w:p w:rsidR="00CC1EF2" w:rsidRDefault="00CC1EF2" w:rsidP="00192BB8">
            <w:pPr>
              <w:spacing w:before="60"/>
              <w:rPr>
                <w:sz w:val="14"/>
                <w:szCs w:val="14"/>
              </w:rPr>
            </w:pPr>
            <w:r>
              <w:rPr>
                <w:sz w:val="14"/>
                <w:szCs w:val="14"/>
              </w:rPr>
              <w:t>Project profile model</w:t>
            </w:r>
          </w:p>
          <w:p w:rsidR="00CC1EF2" w:rsidRDefault="00CC1EF2" w:rsidP="00192BB8">
            <w:pPr>
              <w:spacing w:before="60"/>
              <w:rPr>
                <w:sz w:val="14"/>
                <w:szCs w:val="14"/>
              </w:rPr>
            </w:pPr>
            <w:r>
              <w:rPr>
                <w:sz w:val="14"/>
                <w:szCs w:val="14"/>
              </w:rPr>
              <w:t>IMS tools</w:t>
            </w:r>
          </w:p>
          <w:p w:rsidR="00CC1EF2" w:rsidRPr="00755DCB" w:rsidRDefault="00CC1EF2" w:rsidP="00192BB8">
            <w:pPr>
              <w:spacing w:before="60"/>
              <w:rPr>
                <w:sz w:val="14"/>
                <w:szCs w:val="14"/>
              </w:rPr>
            </w:pPr>
            <w:r>
              <w:rPr>
                <w:sz w:val="14"/>
                <w:szCs w:val="14"/>
              </w:rPr>
              <w:t>Investment decision-</w:t>
            </w:r>
            <w:proofErr w:type="spellStart"/>
            <w:r>
              <w:rPr>
                <w:sz w:val="14"/>
                <w:szCs w:val="14"/>
              </w:rPr>
              <w:t>maker’s</w:t>
            </w:r>
            <w:proofErr w:type="spellEnd"/>
            <w:r>
              <w:rPr>
                <w:sz w:val="14"/>
                <w:szCs w:val="14"/>
              </w:rPr>
              <w:t xml:space="preserve"> checklist</w:t>
            </w:r>
          </w:p>
        </w:tc>
        <w:tc>
          <w:tcPr>
            <w:tcW w:w="1700" w:type="dxa"/>
            <w:gridSpan w:val="2"/>
            <w:shd w:val="clear" w:color="auto" w:fill="F2F2F2" w:themeFill="background1" w:themeFillShade="F2"/>
          </w:tcPr>
          <w:p w:rsidR="00CC1EF2" w:rsidRDefault="00CC1EF2" w:rsidP="00192BB8">
            <w:pPr>
              <w:spacing w:before="60"/>
              <w:rPr>
                <w:sz w:val="14"/>
                <w:szCs w:val="14"/>
              </w:rPr>
            </w:pPr>
            <w:r>
              <w:rPr>
                <w:sz w:val="14"/>
                <w:szCs w:val="14"/>
              </w:rPr>
              <w:t>Project profile model</w:t>
            </w:r>
          </w:p>
          <w:p w:rsidR="00CC1EF2" w:rsidRDefault="00CC1EF2" w:rsidP="00192BB8">
            <w:pPr>
              <w:spacing w:before="60"/>
              <w:rPr>
                <w:sz w:val="14"/>
                <w:szCs w:val="14"/>
              </w:rPr>
            </w:pPr>
            <w:r>
              <w:rPr>
                <w:sz w:val="14"/>
                <w:szCs w:val="14"/>
              </w:rPr>
              <w:t>IMS tools</w:t>
            </w:r>
          </w:p>
          <w:p w:rsidR="00CC1EF2" w:rsidRPr="00755DCB" w:rsidRDefault="00CC1EF2" w:rsidP="00192BB8">
            <w:pPr>
              <w:spacing w:before="60"/>
              <w:rPr>
                <w:sz w:val="14"/>
                <w:szCs w:val="14"/>
              </w:rPr>
            </w:pPr>
            <w:r>
              <w:rPr>
                <w:sz w:val="14"/>
                <w:szCs w:val="14"/>
              </w:rPr>
              <w:t>Investment decision-</w:t>
            </w:r>
            <w:proofErr w:type="spellStart"/>
            <w:r>
              <w:rPr>
                <w:sz w:val="14"/>
                <w:szCs w:val="14"/>
              </w:rPr>
              <w:t>maker’s</w:t>
            </w:r>
            <w:proofErr w:type="spellEnd"/>
            <w:r>
              <w:rPr>
                <w:sz w:val="14"/>
                <w:szCs w:val="14"/>
              </w:rPr>
              <w:t xml:space="preserve"> checklist</w:t>
            </w:r>
          </w:p>
        </w:tc>
        <w:tc>
          <w:tcPr>
            <w:tcW w:w="1697" w:type="dxa"/>
            <w:gridSpan w:val="2"/>
            <w:shd w:val="clear" w:color="auto" w:fill="F2F2F2" w:themeFill="background1" w:themeFillShade="F2"/>
          </w:tcPr>
          <w:p w:rsidR="00CC1EF2" w:rsidRPr="00755DCB" w:rsidRDefault="00CC1EF2" w:rsidP="00192BB8">
            <w:pPr>
              <w:spacing w:before="60"/>
              <w:rPr>
                <w:sz w:val="14"/>
                <w:szCs w:val="14"/>
              </w:rPr>
            </w:pPr>
            <w:r>
              <w:rPr>
                <w:sz w:val="14"/>
                <w:szCs w:val="14"/>
              </w:rPr>
              <w:t>Procurement tool</w:t>
            </w:r>
          </w:p>
        </w:tc>
        <w:tc>
          <w:tcPr>
            <w:tcW w:w="1701" w:type="dxa"/>
            <w:gridSpan w:val="3"/>
            <w:shd w:val="clear" w:color="auto" w:fill="F2F2F2" w:themeFill="background1" w:themeFillShade="F2"/>
          </w:tcPr>
          <w:p w:rsidR="00CC1EF2" w:rsidRPr="00755DCB" w:rsidRDefault="00CC1EF2" w:rsidP="00192BB8">
            <w:pPr>
              <w:spacing w:before="60"/>
              <w:rPr>
                <w:sz w:val="14"/>
                <w:szCs w:val="14"/>
              </w:rPr>
            </w:pPr>
          </w:p>
        </w:tc>
        <w:tc>
          <w:tcPr>
            <w:tcW w:w="1699" w:type="dxa"/>
            <w:gridSpan w:val="3"/>
            <w:shd w:val="clear" w:color="auto" w:fill="FEF7D3" w:themeFill="accent2" w:themeFillTint="33"/>
          </w:tcPr>
          <w:p w:rsidR="00CC1EF2" w:rsidRPr="00755DCB" w:rsidRDefault="00CC1EF2" w:rsidP="00192BB8">
            <w:pPr>
              <w:spacing w:before="60"/>
              <w:rPr>
                <w:sz w:val="14"/>
                <w:szCs w:val="14"/>
              </w:rPr>
            </w:pPr>
            <w:r>
              <w:rPr>
                <w:sz w:val="14"/>
                <w:szCs w:val="14"/>
              </w:rPr>
              <w:t>Benefits tracking tool</w:t>
            </w:r>
          </w:p>
        </w:tc>
      </w:tr>
      <w:tr w:rsidR="00CC1EF2" w:rsidRPr="008E1140" w:rsidTr="00CC1EF2">
        <w:trPr>
          <w:gridAfter w:val="2"/>
          <w:wAfter w:w="30" w:type="dxa"/>
          <w:trHeight w:val="1134"/>
          <w:tblCellSpacing w:w="7" w:type="dxa"/>
        </w:trPr>
        <w:tc>
          <w:tcPr>
            <w:tcW w:w="426"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textDirection w:val="btLr"/>
          </w:tcPr>
          <w:p w:rsidR="00CC1EF2" w:rsidRPr="00E86733" w:rsidRDefault="00CC1EF2" w:rsidP="00192BB8">
            <w:pPr>
              <w:spacing w:before="60"/>
              <w:ind w:left="113" w:right="113"/>
              <w:jc w:val="center"/>
              <w:rPr>
                <w:b/>
                <w:sz w:val="14"/>
                <w:szCs w:val="14"/>
              </w:rPr>
            </w:pPr>
            <w:r w:rsidRPr="00E86733">
              <w:rPr>
                <w:b/>
                <w:sz w:val="14"/>
                <w:szCs w:val="14"/>
              </w:rPr>
              <w:lastRenderedPageBreak/>
              <w:t>Gateway</w:t>
            </w:r>
          </w:p>
        </w:tc>
        <w:tc>
          <w:tcPr>
            <w:tcW w:w="1698" w:type="dxa"/>
            <w:shd w:val="clear" w:color="auto" w:fill="F2F2F2" w:themeFill="background1" w:themeFillShade="F2"/>
          </w:tcPr>
          <w:p w:rsidR="00CC1EF2" w:rsidRPr="00862402" w:rsidRDefault="00CC1EF2" w:rsidP="00192BB8">
            <w:pPr>
              <w:spacing w:before="60"/>
              <w:rPr>
                <w:sz w:val="14"/>
                <w:szCs w:val="14"/>
              </w:rPr>
            </w:pPr>
            <w:r>
              <w:rPr>
                <w:b/>
                <w:sz w:val="14"/>
                <w:szCs w:val="14"/>
              </w:rPr>
              <w:t>Gate 1:</w:t>
            </w:r>
            <w:r>
              <w:rPr>
                <w:sz w:val="14"/>
                <w:szCs w:val="14"/>
              </w:rPr>
              <w:t xml:space="preserve"> Concept and feasibility</w:t>
            </w:r>
          </w:p>
        </w:tc>
        <w:tc>
          <w:tcPr>
            <w:tcW w:w="1700" w:type="dxa"/>
            <w:gridSpan w:val="2"/>
            <w:shd w:val="clear" w:color="auto" w:fill="F2F2F2" w:themeFill="background1" w:themeFillShade="F2"/>
          </w:tcPr>
          <w:p w:rsidR="00CC1EF2" w:rsidRPr="00862402" w:rsidRDefault="00CC1EF2" w:rsidP="00192BB8">
            <w:pPr>
              <w:spacing w:before="60"/>
              <w:rPr>
                <w:sz w:val="14"/>
                <w:szCs w:val="14"/>
              </w:rPr>
            </w:pPr>
            <w:r>
              <w:rPr>
                <w:b/>
                <w:sz w:val="14"/>
                <w:szCs w:val="14"/>
              </w:rPr>
              <w:t>Gate 2:</w:t>
            </w:r>
            <w:r>
              <w:rPr>
                <w:sz w:val="14"/>
                <w:szCs w:val="14"/>
              </w:rPr>
              <w:t xml:space="preserve"> Full business case</w:t>
            </w:r>
          </w:p>
        </w:tc>
        <w:tc>
          <w:tcPr>
            <w:tcW w:w="1697" w:type="dxa"/>
            <w:gridSpan w:val="2"/>
            <w:shd w:val="clear" w:color="auto" w:fill="F2F2F2" w:themeFill="background1" w:themeFillShade="F2"/>
          </w:tcPr>
          <w:p w:rsidR="00CC1EF2" w:rsidRDefault="00CC1EF2" w:rsidP="00192BB8">
            <w:pPr>
              <w:spacing w:before="60"/>
              <w:rPr>
                <w:sz w:val="14"/>
                <w:szCs w:val="14"/>
              </w:rPr>
            </w:pPr>
            <w:r>
              <w:rPr>
                <w:b/>
                <w:sz w:val="14"/>
                <w:szCs w:val="14"/>
              </w:rPr>
              <w:t>Gate 3:</w:t>
            </w:r>
            <w:r>
              <w:rPr>
                <w:sz w:val="14"/>
                <w:szCs w:val="14"/>
              </w:rPr>
              <w:t xml:space="preserve"> Readiness for market</w:t>
            </w:r>
          </w:p>
          <w:p w:rsidR="00CC1EF2" w:rsidRPr="00862402" w:rsidRDefault="00CC1EF2" w:rsidP="00192BB8">
            <w:pPr>
              <w:spacing w:before="60"/>
              <w:rPr>
                <w:sz w:val="14"/>
                <w:szCs w:val="14"/>
              </w:rPr>
            </w:pPr>
            <w:r>
              <w:rPr>
                <w:b/>
                <w:sz w:val="14"/>
                <w:szCs w:val="14"/>
              </w:rPr>
              <w:t>Gate 4:</w:t>
            </w:r>
            <w:r>
              <w:rPr>
                <w:sz w:val="14"/>
                <w:szCs w:val="14"/>
              </w:rPr>
              <w:t xml:space="preserve"> Tender decision</w:t>
            </w:r>
          </w:p>
        </w:tc>
        <w:tc>
          <w:tcPr>
            <w:tcW w:w="1701" w:type="dxa"/>
            <w:gridSpan w:val="3"/>
            <w:shd w:val="clear" w:color="auto" w:fill="F2F2F2" w:themeFill="background1" w:themeFillShade="F2"/>
          </w:tcPr>
          <w:p w:rsidR="00CC1EF2" w:rsidRPr="00862402" w:rsidRDefault="00CC1EF2" w:rsidP="00192BB8">
            <w:pPr>
              <w:spacing w:before="60"/>
              <w:rPr>
                <w:sz w:val="14"/>
                <w:szCs w:val="14"/>
              </w:rPr>
            </w:pPr>
            <w:r>
              <w:rPr>
                <w:b/>
                <w:sz w:val="14"/>
                <w:szCs w:val="14"/>
              </w:rPr>
              <w:t>Gate 5:</w:t>
            </w:r>
            <w:r>
              <w:rPr>
                <w:sz w:val="14"/>
                <w:szCs w:val="14"/>
              </w:rPr>
              <w:t xml:space="preserve"> Readiness for service</w:t>
            </w:r>
          </w:p>
        </w:tc>
        <w:tc>
          <w:tcPr>
            <w:tcW w:w="1699" w:type="dxa"/>
            <w:gridSpan w:val="3"/>
            <w:shd w:val="clear" w:color="auto" w:fill="FEF7D3" w:themeFill="accent2" w:themeFillTint="33"/>
          </w:tcPr>
          <w:p w:rsidR="00CC1EF2" w:rsidRPr="00862402" w:rsidRDefault="00CC1EF2" w:rsidP="00192BB8">
            <w:pPr>
              <w:spacing w:before="60"/>
              <w:rPr>
                <w:sz w:val="14"/>
                <w:szCs w:val="14"/>
              </w:rPr>
            </w:pPr>
            <w:r>
              <w:rPr>
                <w:b/>
                <w:sz w:val="14"/>
                <w:szCs w:val="14"/>
              </w:rPr>
              <w:t>Gate 6:</w:t>
            </w:r>
            <w:r>
              <w:rPr>
                <w:sz w:val="14"/>
                <w:szCs w:val="14"/>
              </w:rPr>
              <w:t xml:space="preserve"> Benefits realisation</w:t>
            </w:r>
          </w:p>
        </w:tc>
      </w:tr>
      <w:tr w:rsidR="00CC1EF2" w:rsidRPr="008E1140" w:rsidTr="00CC1EF2">
        <w:trPr>
          <w:gridAfter w:val="2"/>
          <w:wAfter w:w="30" w:type="dxa"/>
          <w:trHeight w:val="501"/>
          <w:tblCellSpacing w:w="7" w:type="dxa"/>
        </w:trPr>
        <w:tc>
          <w:tcPr>
            <w:tcW w:w="426"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extDirection w:val="btLr"/>
          </w:tcPr>
          <w:p w:rsidR="00CC1EF2" w:rsidRPr="00E86733" w:rsidRDefault="00CC1EF2" w:rsidP="00192BB8">
            <w:pPr>
              <w:spacing w:before="60"/>
              <w:ind w:left="113" w:right="113"/>
              <w:jc w:val="center"/>
              <w:rPr>
                <w:b/>
                <w:sz w:val="14"/>
                <w:szCs w:val="14"/>
              </w:rPr>
            </w:pPr>
          </w:p>
        </w:tc>
        <w:tc>
          <w:tcPr>
            <w:tcW w:w="1698" w:type="dxa"/>
            <w:shd w:val="clear" w:color="auto" w:fill="7F7F7F" w:themeFill="text1" w:themeFillTint="80"/>
          </w:tcPr>
          <w:p w:rsidR="00CC1EF2" w:rsidRPr="00862402" w:rsidRDefault="00276C55" w:rsidP="00192BB8">
            <w:pPr>
              <w:spacing w:before="60"/>
              <w:rPr>
                <w:b/>
                <w:i/>
                <w:color w:val="FFFFFF" w:themeColor="background1"/>
                <w:sz w:val="16"/>
                <w:szCs w:val="16"/>
              </w:rPr>
            </w:pPr>
            <w:r>
              <w:rPr>
                <w:b/>
                <w:i/>
                <w:noProof/>
                <w:color w:val="FFFFFF" w:themeColor="background1"/>
                <w:sz w:val="16"/>
                <w:szCs w:val="16"/>
                <w:lang w:eastAsia="en-AU"/>
              </w:rPr>
              <mc:AlternateContent>
                <mc:Choice Requires="wps">
                  <w:drawing>
                    <wp:anchor distT="0" distB="0" distL="114300" distR="114300" simplePos="0" relativeHeight="251659264" behindDoc="0" locked="0" layoutInCell="1" allowOverlap="1">
                      <wp:simplePos x="0" y="0"/>
                      <wp:positionH relativeFrom="column">
                        <wp:posOffset>688506</wp:posOffset>
                      </wp:positionH>
                      <wp:positionV relativeFrom="paragraph">
                        <wp:posOffset>151406</wp:posOffset>
                      </wp:positionV>
                      <wp:extent cx="262393" cy="7952"/>
                      <wp:effectExtent l="0" t="76200" r="23495" b="106680"/>
                      <wp:wrapNone/>
                      <wp:docPr id="7" name="Straight Arrow Connector 7"/>
                      <wp:cNvGraphicFramePr/>
                      <a:graphic xmlns:a="http://schemas.openxmlformats.org/drawingml/2006/main">
                        <a:graphicData uri="http://schemas.microsoft.com/office/word/2010/wordprocessingShape">
                          <wps:wsp>
                            <wps:cNvCnPr/>
                            <wps:spPr>
                              <a:xfrm flipV="1">
                                <a:off x="0" y="0"/>
                                <a:ext cx="262393" cy="7952"/>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4.2pt;margin-top:11.9pt;width:20.65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" strokecolor="white [3212]">
                      <v:stroke endarrow="open"/>
                    </v:shape>
                  </w:pict>
                </mc:Fallback>
              </mc:AlternateContent>
            </w:r>
            <w:r w:rsidR="00CC1EF2" w:rsidRPr="00862402">
              <w:rPr>
                <w:b/>
                <w:i/>
                <w:color w:val="FFFFFF" w:themeColor="background1"/>
                <w:sz w:val="16"/>
                <w:szCs w:val="16"/>
              </w:rPr>
              <w:t>Government filtering</w:t>
            </w:r>
          </w:p>
        </w:tc>
        <w:tc>
          <w:tcPr>
            <w:tcW w:w="1700" w:type="dxa"/>
            <w:gridSpan w:val="2"/>
            <w:shd w:val="clear" w:color="auto" w:fill="7F7F7F" w:themeFill="text1" w:themeFillTint="80"/>
          </w:tcPr>
          <w:p w:rsidR="00CC1EF2" w:rsidRPr="00862402" w:rsidRDefault="00276C55" w:rsidP="00192BB8">
            <w:pPr>
              <w:spacing w:before="60"/>
              <w:rPr>
                <w:b/>
                <w:i/>
                <w:color w:val="FFFFFF" w:themeColor="background1"/>
                <w:sz w:val="16"/>
                <w:szCs w:val="16"/>
              </w:rPr>
            </w:pPr>
            <w:r>
              <w:rPr>
                <w:b/>
                <w:i/>
                <w:noProof/>
                <w:color w:val="FFFFFF" w:themeColor="background1"/>
                <w:sz w:val="16"/>
                <w:szCs w:val="16"/>
                <w:lang w:eastAsia="en-AU"/>
              </w:rPr>
              <mc:AlternateContent>
                <mc:Choice Requires="wps">
                  <w:drawing>
                    <wp:anchor distT="0" distB="0" distL="114300" distR="114300" simplePos="0" relativeHeight="251661312" behindDoc="0" locked="0" layoutInCell="1" allowOverlap="1" wp14:anchorId="18BD1631" wp14:editId="290914F8">
                      <wp:simplePos x="0" y="0"/>
                      <wp:positionH relativeFrom="column">
                        <wp:posOffset>683895</wp:posOffset>
                      </wp:positionH>
                      <wp:positionV relativeFrom="paragraph">
                        <wp:posOffset>160020</wp:posOffset>
                      </wp:positionV>
                      <wp:extent cx="262255" cy="7620"/>
                      <wp:effectExtent l="0" t="76200" r="23495" b="106680"/>
                      <wp:wrapNone/>
                      <wp:docPr id="8" name="Straight Arrow Connector 8"/>
                      <wp:cNvGraphicFramePr/>
                      <a:graphic xmlns:a="http://schemas.openxmlformats.org/drawingml/2006/main">
                        <a:graphicData uri="http://schemas.microsoft.com/office/word/2010/wordprocessingShape">
                          <wps:wsp>
                            <wps:cNvCnPr/>
                            <wps:spPr>
                              <a:xfrm flipV="1">
                                <a:off x="0" y="0"/>
                                <a:ext cx="262255" cy="762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53.85pt;margin-top:12.6pt;width:20.65pt;height:.6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" strokecolor="white [3212]">
                      <v:stroke endarrow="open"/>
                    </v:shape>
                  </w:pict>
                </mc:Fallback>
              </mc:AlternateContent>
            </w:r>
            <w:r w:rsidR="00CC1EF2" w:rsidRPr="00862402">
              <w:rPr>
                <w:b/>
                <w:i/>
                <w:color w:val="FFFFFF" w:themeColor="background1"/>
                <w:sz w:val="16"/>
                <w:szCs w:val="16"/>
              </w:rPr>
              <w:t xml:space="preserve">Government </w:t>
            </w:r>
            <w:r>
              <w:rPr>
                <w:b/>
                <w:i/>
                <w:noProof/>
                <w:color w:val="FFFFFF" w:themeColor="background1"/>
                <w:sz w:val="16"/>
                <w:szCs w:val="16"/>
                <w:lang w:eastAsia="en-AU"/>
              </w:rPr>
              <mc:AlternateContent>
                <mc:Choice Requires="wps">
                  <w:drawing>
                    <wp:anchor distT="0" distB="0" distL="114300" distR="114300" simplePos="0" relativeHeight="251663360" behindDoc="0" locked="0" layoutInCell="1" allowOverlap="1" wp14:anchorId="418F8173" wp14:editId="3965FD8E">
                      <wp:simplePos x="0" y="0"/>
                      <wp:positionH relativeFrom="column">
                        <wp:posOffset>-93980</wp:posOffset>
                      </wp:positionH>
                      <wp:positionV relativeFrom="paragraph">
                        <wp:posOffset>455930</wp:posOffset>
                      </wp:positionV>
                      <wp:extent cx="262393" cy="7952"/>
                      <wp:effectExtent l="0" t="76200" r="23495" b="106680"/>
                      <wp:wrapNone/>
                      <wp:docPr id="10" name="Straight Arrow Connector 10"/>
                      <wp:cNvGraphicFramePr/>
                      <a:graphic xmlns:a="http://schemas.openxmlformats.org/drawingml/2006/main">
                        <a:graphicData uri="http://schemas.microsoft.com/office/word/2010/wordprocessingShape">
                          <wps:wsp>
                            <wps:cNvCnPr/>
                            <wps:spPr>
                              <a:xfrm flipV="1">
                                <a:off x="0" y="0"/>
                                <a:ext cx="262393" cy="7952"/>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7.4pt;margin-top:35.9pt;width:20.65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" strokecolor="white [3212]">
                      <v:stroke endarrow="open"/>
                    </v:shape>
                  </w:pict>
                </mc:Fallback>
              </mc:AlternateContent>
            </w:r>
            <w:r w:rsidR="00CC1EF2" w:rsidRPr="00862402">
              <w:rPr>
                <w:b/>
                <w:i/>
                <w:color w:val="FFFFFF" w:themeColor="background1"/>
                <w:sz w:val="16"/>
                <w:szCs w:val="16"/>
              </w:rPr>
              <w:t>funding</w:t>
            </w:r>
          </w:p>
        </w:tc>
        <w:tc>
          <w:tcPr>
            <w:tcW w:w="1697" w:type="dxa"/>
            <w:gridSpan w:val="2"/>
            <w:shd w:val="clear" w:color="auto" w:fill="7F7F7F" w:themeFill="text1" w:themeFillTint="80"/>
          </w:tcPr>
          <w:p w:rsidR="00CC1EF2" w:rsidRPr="00862402" w:rsidRDefault="00276C55" w:rsidP="00192BB8">
            <w:pPr>
              <w:spacing w:before="60"/>
              <w:rPr>
                <w:b/>
                <w:i/>
                <w:color w:val="FFFFFF" w:themeColor="background1"/>
                <w:sz w:val="16"/>
                <w:szCs w:val="16"/>
              </w:rPr>
            </w:pPr>
            <w:r>
              <w:rPr>
                <w:b/>
                <w:i/>
                <w:noProof/>
                <w:color w:val="FFFFFF" w:themeColor="background1"/>
                <w:sz w:val="16"/>
                <w:szCs w:val="16"/>
                <w:lang w:eastAsia="en-AU"/>
              </w:rPr>
              <mc:AlternateContent>
                <mc:Choice Requires="wps">
                  <w:drawing>
                    <wp:anchor distT="0" distB="0" distL="114300" distR="114300" simplePos="0" relativeHeight="251665408" behindDoc="0" locked="0" layoutInCell="1" allowOverlap="1" wp14:anchorId="6C0440B7" wp14:editId="7A338D96">
                      <wp:simplePos x="0" y="0"/>
                      <wp:positionH relativeFrom="column">
                        <wp:posOffset>692398</wp:posOffset>
                      </wp:positionH>
                      <wp:positionV relativeFrom="paragraph">
                        <wp:posOffset>183212</wp:posOffset>
                      </wp:positionV>
                      <wp:extent cx="262255" cy="7620"/>
                      <wp:effectExtent l="0" t="76200" r="23495" b="106680"/>
                      <wp:wrapNone/>
                      <wp:docPr id="11" name="Straight Arrow Connector 11"/>
                      <wp:cNvGraphicFramePr/>
                      <a:graphic xmlns:a="http://schemas.openxmlformats.org/drawingml/2006/main">
                        <a:graphicData uri="http://schemas.microsoft.com/office/word/2010/wordprocessingShape">
                          <wps:wsp>
                            <wps:cNvCnPr/>
                            <wps:spPr>
                              <a:xfrm flipV="1">
                                <a:off x="0" y="0"/>
                                <a:ext cx="262255" cy="762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54.5pt;margin-top:14.45pt;width:20.65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" strokecolor="white [3212]">
                      <v:stroke endarrow="open"/>
                    </v:shape>
                  </w:pict>
                </mc:Fallback>
              </mc:AlternateContent>
            </w:r>
            <w:r w:rsidR="00CC1EF2" w:rsidRPr="00862402">
              <w:rPr>
                <w:b/>
                <w:i/>
                <w:color w:val="FFFFFF" w:themeColor="background1"/>
                <w:sz w:val="16"/>
                <w:szCs w:val="16"/>
              </w:rPr>
              <w:t>Government approval</w:t>
            </w:r>
          </w:p>
        </w:tc>
        <w:tc>
          <w:tcPr>
            <w:tcW w:w="1701" w:type="dxa"/>
            <w:gridSpan w:val="3"/>
            <w:shd w:val="clear" w:color="auto" w:fill="7F7F7F" w:themeFill="text1" w:themeFillTint="80"/>
          </w:tcPr>
          <w:p w:rsidR="00CC1EF2" w:rsidRPr="00862402" w:rsidRDefault="00276C55" w:rsidP="00192BB8">
            <w:pPr>
              <w:spacing w:before="60"/>
              <w:rPr>
                <w:b/>
                <w:i/>
                <w:color w:val="FFFFFF" w:themeColor="background1"/>
                <w:sz w:val="16"/>
                <w:szCs w:val="16"/>
              </w:rPr>
            </w:pPr>
            <w:r>
              <w:rPr>
                <w:b/>
                <w:i/>
                <w:noProof/>
                <w:color w:val="FFFFFF" w:themeColor="background1"/>
                <w:sz w:val="16"/>
                <w:szCs w:val="16"/>
                <w:lang w:eastAsia="en-AU"/>
              </w:rPr>
              <mc:AlternateContent>
                <mc:Choice Requires="wps">
                  <w:drawing>
                    <wp:anchor distT="0" distB="0" distL="114300" distR="114300" simplePos="0" relativeHeight="251667456" behindDoc="0" locked="0" layoutInCell="1" allowOverlap="1" wp14:anchorId="23ECA5DC" wp14:editId="48A3A9A9">
                      <wp:simplePos x="0" y="0"/>
                      <wp:positionH relativeFrom="column">
                        <wp:posOffset>704215</wp:posOffset>
                      </wp:positionH>
                      <wp:positionV relativeFrom="paragraph">
                        <wp:posOffset>176585</wp:posOffset>
                      </wp:positionV>
                      <wp:extent cx="262255" cy="7620"/>
                      <wp:effectExtent l="0" t="76200" r="23495" b="106680"/>
                      <wp:wrapNone/>
                      <wp:docPr id="12" name="Straight Arrow Connector 12"/>
                      <wp:cNvGraphicFramePr/>
                      <a:graphic xmlns:a="http://schemas.openxmlformats.org/drawingml/2006/main">
                        <a:graphicData uri="http://schemas.microsoft.com/office/word/2010/wordprocessingShape">
                          <wps:wsp>
                            <wps:cNvCnPr/>
                            <wps:spPr>
                              <a:xfrm flipV="1">
                                <a:off x="0" y="0"/>
                                <a:ext cx="262255" cy="762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55.45pt;margin-top:13.9pt;width:20.65pt;height:.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" strokecolor="white [3212]">
                      <v:stroke endarrow="open"/>
                    </v:shape>
                  </w:pict>
                </mc:Fallback>
              </mc:AlternateContent>
            </w:r>
            <w:r w:rsidR="00CC1EF2" w:rsidRPr="00862402">
              <w:rPr>
                <w:b/>
                <w:i/>
                <w:color w:val="FFFFFF" w:themeColor="background1"/>
                <w:sz w:val="16"/>
                <w:szCs w:val="16"/>
              </w:rPr>
              <w:t>Government monitoring</w:t>
            </w:r>
          </w:p>
        </w:tc>
        <w:tc>
          <w:tcPr>
            <w:tcW w:w="1699" w:type="dxa"/>
            <w:gridSpan w:val="3"/>
            <w:shd w:val="clear" w:color="auto" w:fill="F6BE00" w:themeFill="accent1"/>
          </w:tcPr>
          <w:p w:rsidR="00CC1EF2" w:rsidRPr="00862402" w:rsidRDefault="00CC1EF2" w:rsidP="00192BB8">
            <w:pPr>
              <w:spacing w:before="60"/>
              <w:rPr>
                <w:b/>
                <w:i/>
                <w:color w:val="FFFFFF" w:themeColor="background1"/>
                <w:sz w:val="16"/>
                <w:szCs w:val="16"/>
              </w:rPr>
            </w:pPr>
            <w:r w:rsidRPr="00862402">
              <w:rPr>
                <w:b/>
                <w:i/>
                <w:color w:val="FFFFFF" w:themeColor="background1"/>
                <w:sz w:val="16"/>
                <w:szCs w:val="16"/>
              </w:rPr>
              <w:t>Government evaluation</w:t>
            </w:r>
          </w:p>
        </w:tc>
      </w:tr>
      <w:tr w:rsidR="00CC1EF2" w:rsidRPr="00A05101" w:rsidTr="00192BB8">
        <w:trPr>
          <w:gridAfter w:val="2"/>
          <w:wAfter w:w="30" w:type="dxa"/>
          <w:trHeight w:val="366"/>
          <w:tblCellSpacing w:w="7" w:type="dxa"/>
        </w:trPr>
        <w:tc>
          <w:tcPr>
            <w:tcW w:w="426" w:type="dxa"/>
            <w:tcBorders>
              <w:top w:val="single" w:sz="8" w:space="0" w:color="FFFFFF" w:themeColor="background1"/>
              <w:left w:val="single" w:sz="8" w:space="0" w:color="FFFFFF" w:themeColor="background1"/>
              <w:bottom w:val="single" w:sz="18" w:space="0" w:color="FFFFFF" w:themeColor="background1"/>
              <w:right w:val="nil"/>
            </w:tcBorders>
            <w:shd w:val="clear" w:color="auto" w:fill="auto"/>
            <w:textDirection w:val="btLr"/>
          </w:tcPr>
          <w:p w:rsidR="00CC1EF2" w:rsidRPr="00A05101" w:rsidRDefault="00CC1EF2" w:rsidP="00192BB8">
            <w:pPr>
              <w:spacing w:before="60"/>
              <w:ind w:left="113" w:right="113"/>
              <w:jc w:val="center"/>
              <w:rPr>
                <w:rFonts w:cstheme="majorHAnsi"/>
                <w:b/>
                <w:sz w:val="14"/>
                <w:szCs w:val="14"/>
              </w:rPr>
            </w:pPr>
          </w:p>
        </w:tc>
        <w:tc>
          <w:tcPr>
            <w:tcW w:w="8551" w:type="dxa"/>
            <w:gridSpan w:val="11"/>
            <w:shd w:val="clear" w:color="auto" w:fill="F2F2F2" w:themeFill="background1" w:themeFillShade="F2"/>
          </w:tcPr>
          <w:p w:rsidR="00CC1EF2" w:rsidRPr="00A05101" w:rsidRDefault="00CC1EF2" w:rsidP="00192BB8">
            <w:pPr>
              <w:pStyle w:val="TableText"/>
              <w:rPr>
                <w:rFonts w:asciiTheme="majorHAnsi" w:hAnsiTheme="majorHAnsi" w:cstheme="majorHAnsi"/>
                <w:i/>
                <w:sz w:val="12"/>
              </w:rPr>
            </w:pPr>
            <w:r w:rsidRPr="00A05101">
              <w:rPr>
                <w:rFonts w:asciiTheme="majorHAnsi" w:hAnsiTheme="majorHAnsi" w:cstheme="majorHAnsi"/>
                <w:i/>
                <w:sz w:val="12"/>
              </w:rPr>
              <w:t>* High Value/High Risk (HVHR) investments include some further specific requirements.</w:t>
            </w:r>
          </w:p>
          <w:p w:rsidR="00CC1EF2" w:rsidRPr="00A05101" w:rsidRDefault="00CC1EF2" w:rsidP="00192BB8">
            <w:pPr>
              <w:pStyle w:val="TableText"/>
              <w:rPr>
                <w:rFonts w:asciiTheme="majorHAnsi" w:hAnsiTheme="majorHAnsi" w:cstheme="majorHAnsi"/>
              </w:rPr>
            </w:pPr>
            <w:r w:rsidRPr="00A05101">
              <w:rPr>
                <w:rFonts w:asciiTheme="majorHAnsi" w:hAnsiTheme="majorHAnsi" w:cstheme="majorHAnsi"/>
                <w:i/>
                <w:sz w:val="12"/>
              </w:rPr>
              <w:t>To find out more about HVHR investments, read the Investment lifecycle and high value/high risk guidelines at www.lifecycleguidance.dtf.vic.giv.au</w:t>
            </w:r>
          </w:p>
        </w:tc>
      </w:tr>
    </w:tbl>
    <w:p w:rsidR="00CC1EF2" w:rsidRDefault="00CC1EF2" w:rsidP="00B74051">
      <w:pPr>
        <w:spacing w:before="0"/>
      </w:pPr>
    </w:p>
    <w:p w:rsidR="00703143" w:rsidRDefault="00703143" w:rsidP="00EE5822">
      <w:pPr>
        <w:pStyle w:val="Heading2"/>
        <w:ind w:left="619" w:hanging="619"/>
      </w:pPr>
      <w:bookmarkStart w:id="3" w:name="_Toc499630190"/>
      <w:r>
        <w:t>How to use this guideline</w:t>
      </w:r>
      <w:bookmarkEnd w:id="3"/>
    </w:p>
    <w:p w:rsidR="00703143" w:rsidRDefault="00703143" w:rsidP="00703143">
      <w:r>
        <w:t xml:space="preserve">This guideline gives an overview of the evaluation required at Stage 5: Realise of the investment lifecycle. The scope and nature of the evaluation depend on the type of project. However, each evaluation will have certain elements in common. This guideline sets out preferred practice. </w:t>
      </w:r>
    </w:p>
    <w:p w:rsidR="00703143" w:rsidRDefault="00703143" w:rsidP="00703143">
      <w:r>
        <w:t xml:space="preserve">Evaluations during this phase have broader objectives than some other project reviews – such as post-occupancy reviews (that assess whether the requirements of a construction contract have been met) and benefit realisation reviews (that assess whether the level of benefits outlined in the business case are being delivered). However, if the timing is appropriate, the evaluation should incorporate these types of reviews. </w:t>
      </w:r>
    </w:p>
    <w:p w:rsidR="00703143" w:rsidRDefault="00703143" w:rsidP="00703143">
      <w:r>
        <w:t xml:space="preserve">An important outcome of investment evaluation is to make the fullest use of the experience gained. It is important for the review to identify successful project elements, aspects to be remedied and ways of improving the management of future projects (or the next stages, if it is a multi-stage project). </w:t>
      </w:r>
    </w:p>
    <w:p w:rsidR="00703143" w:rsidRDefault="00703143" w:rsidP="00703143">
      <w:r>
        <w:t>This guideline is not a compliance process document. Rather, its purpose is to provide agencies with guidance on useful processes that will help them frame their thinking as they evaluate investments. The intention of the guideline is to drive a consistent approach to investment evaluation across government. The effort needed to undertake this exercise will depend on the scale and complexity of the investment.</w:t>
      </w:r>
    </w:p>
    <w:p w:rsidR="00703143" w:rsidRDefault="00703143" w:rsidP="00703143">
      <w:r>
        <w:t>The guideline is not comprehensive. It should complement agency processes and tools. Agencies are encouraged to prepare more specific guidelines where needed.</w:t>
      </w:r>
    </w:p>
    <w:p w:rsidR="00703143" w:rsidRDefault="00703143" w:rsidP="00B74051">
      <w:pPr>
        <w:pStyle w:val="HighlightBoxText"/>
      </w:pPr>
      <w:r w:rsidRPr="00B74051">
        <w:rPr>
          <w:b/>
        </w:rPr>
        <w:t>Note</w:t>
      </w:r>
      <w:r>
        <w:t xml:space="preserve">: The terms evaluation and review are used interchangeably in this guideline. </w:t>
      </w:r>
    </w:p>
    <w:p w:rsidR="00703143" w:rsidRDefault="00703143" w:rsidP="00B74051">
      <w:pPr>
        <w:pStyle w:val="HighlightBoxText"/>
      </w:pPr>
      <w:r>
        <w:t>Evaluation conveys</w:t>
      </w:r>
      <w:r w:rsidR="009E44B2">
        <w:t xml:space="preserve"> </w:t>
      </w:r>
      <w:r>
        <w:t>the concept of assessing the worth of the investment and its outcomes, while review implies looking retrospectively over the investment process to derive findings and lessons. The post-implementation review process requires both aspects.</w:t>
      </w:r>
    </w:p>
    <w:p w:rsidR="00703143" w:rsidRDefault="00703143" w:rsidP="009E44B2">
      <w:pPr>
        <w:pStyle w:val="Heading2"/>
      </w:pPr>
      <w:bookmarkStart w:id="4" w:name="_Toc499630191"/>
      <w:r w:rsidRPr="00703143">
        <w:t>Purpose of investment evaluation</w:t>
      </w:r>
      <w:bookmarkEnd w:id="4"/>
    </w:p>
    <w:p w:rsidR="00703143" w:rsidRDefault="00703143" w:rsidP="00B74051">
      <w:pPr>
        <w:pStyle w:val="HighlightBoxHeading"/>
      </w:pPr>
      <w:r>
        <w:t>Key principles of the post-implementation review and evaluation</w:t>
      </w:r>
    </w:p>
    <w:p w:rsidR="00703143" w:rsidRDefault="00703143" w:rsidP="00B74051">
      <w:pPr>
        <w:pStyle w:val="HighlightBoxBullet"/>
      </w:pPr>
      <w:r>
        <w:t>An independent review – against the original business case – of the achievement of objectives, outcomes and outputs, and the performance regarding time, budget and benefits realisation.</w:t>
      </w:r>
    </w:p>
    <w:p w:rsidR="00703143" w:rsidRDefault="00703143" w:rsidP="00B74051">
      <w:pPr>
        <w:pStyle w:val="HighlightBoxBullet"/>
      </w:pPr>
      <w:r>
        <w:t>Organisational learning to inform and improve future investment or project planning and management.</w:t>
      </w:r>
    </w:p>
    <w:p w:rsidR="00703143" w:rsidRDefault="00703143" w:rsidP="00B74051">
      <w:pPr>
        <w:pStyle w:val="HighlightBoxBullet"/>
      </w:pPr>
      <w:r>
        <w:lastRenderedPageBreak/>
        <w:t>A checkpoint to decide whether and how to proceed with a multi-stage project.</w:t>
      </w:r>
    </w:p>
    <w:p w:rsidR="00703143" w:rsidRDefault="00703143" w:rsidP="00B74051">
      <w:r>
        <w:t>The purpose of an evaluation is to find out:</w:t>
      </w:r>
    </w:p>
    <w:p w:rsidR="00703143" w:rsidRDefault="00703143" w:rsidP="00B74051">
      <w:pPr>
        <w:pStyle w:val="ListBullet"/>
      </w:pPr>
      <w:r>
        <w:t xml:space="preserve">whether the expected benefits of the investment have been realised; </w:t>
      </w:r>
    </w:p>
    <w:p w:rsidR="00703143" w:rsidRDefault="00703143" w:rsidP="00B74051">
      <w:pPr>
        <w:pStyle w:val="ListBullet"/>
      </w:pPr>
      <w:r>
        <w:t>what lessons can be learned from the project for both the current and future projects, such as:</w:t>
      </w:r>
    </w:p>
    <w:p w:rsidR="00703143" w:rsidRDefault="00703143" w:rsidP="00B74051">
      <w:pPr>
        <w:pStyle w:val="ListBullet2"/>
      </w:pPr>
      <w:r>
        <w:t>successful elements to reinforce in future processes;</w:t>
      </w:r>
    </w:p>
    <w:p w:rsidR="00703143" w:rsidRDefault="00703143" w:rsidP="00B74051">
      <w:pPr>
        <w:pStyle w:val="ListBullet2"/>
      </w:pPr>
      <w:r>
        <w:t>aspects of the current project requiring remedy; or</w:t>
      </w:r>
    </w:p>
    <w:p w:rsidR="00703143" w:rsidRDefault="00703143" w:rsidP="00B74051">
      <w:pPr>
        <w:pStyle w:val="ListBullet2"/>
      </w:pPr>
      <w:r>
        <w:t>ways of improving the management of future projects.</w:t>
      </w:r>
    </w:p>
    <w:p w:rsidR="00703143" w:rsidRDefault="00703143" w:rsidP="00B74051">
      <w:pPr>
        <w:pStyle w:val="ListBullet"/>
      </w:pPr>
      <w:r>
        <w:t>the sharing of these lessons is essential for effective organisational learning about investment development and project planning, procurement, implementation and ongoing management.</w:t>
      </w:r>
    </w:p>
    <w:p w:rsidR="00703143" w:rsidRDefault="00703143" w:rsidP="00B74051">
      <w:pPr>
        <w:pStyle w:val="HighlightBoxHeading"/>
      </w:pPr>
      <w:r>
        <w:t>Strengthening local communities (Example)</w:t>
      </w:r>
    </w:p>
    <w:p w:rsidR="00703143" w:rsidRDefault="00703143" w:rsidP="00B74051">
      <w:pPr>
        <w:pStyle w:val="HighlightBoxHeading"/>
      </w:pPr>
      <w:r>
        <w:t xml:space="preserve">Executive Summary </w:t>
      </w:r>
    </w:p>
    <w:p w:rsidR="00703143" w:rsidRDefault="00703143" w:rsidP="00B74051">
      <w:pPr>
        <w:pStyle w:val="HighlightBoxText"/>
      </w:pPr>
      <w:r>
        <w:t>In 2007 the Department of Planning and Community Development (DPCD) established a project to better plan and integrate education and community infrastructure and services in two new developments in Melbourne’s ‘growth areas’ – Caroline Springs and Laurimar. The project used a partnership approach – with the developer (</w:t>
      </w:r>
      <w:proofErr w:type="spellStart"/>
      <w:r>
        <w:t>Delfin</w:t>
      </w:r>
      <w:proofErr w:type="spellEnd"/>
      <w:r>
        <w:t xml:space="preserve"> Lend Lease), councils, state government and other community organisations working in collaboration – to plan and deliver shared community facilities. The project commenced in October 2007 and was complete in November 2009. This report summarises findings from the evaluation of the project. It examines the infrastructure delivered and the benefits of working in partnership. The report shows that the partnerships have overseen the delivery of $38.7M in infrastructure. While most would have been delivered anyway, the partnership approach has generated significant cost savings and efficiencies, and in some instances more facilities have been delivered for the same cost. Partners report it is a better way of working, and the improved services and high levels of participation that have resulted indicate that the partnerships are building stronger communities.</w:t>
      </w:r>
    </w:p>
    <w:p w:rsidR="00703143" w:rsidRPr="00B74051" w:rsidRDefault="00703143" w:rsidP="00B74051">
      <w:pPr>
        <w:pStyle w:val="HighlightBoxText"/>
        <w:rPr>
          <w:sz w:val="18"/>
        </w:rPr>
      </w:pPr>
      <w:r w:rsidRPr="00B74051">
        <w:rPr>
          <w:sz w:val="18"/>
        </w:rPr>
        <w:t>Source: Evaluation report ‘Strengthening local communities’ Department of Planning and Community Development</w:t>
      </w:r>
    </w:p>
    <w:p w:rsidR="00703143" w:rsidRDefault="00703143" w:rsidP="009475E1">
      <w:pPr>
        <w:pStyle w:val="Heading2"/>
      </w:pPr>
      <w:bookmarkStart w:id="5" w:name="_Toc499630192"/>
      <w:r>
        <w:t>Who benefits from an investment evaluation?</w:t>
      </w:r>
      <w:bookmarkEnd w:id="5"/>
    </w:p>
    <w:p w:rsidR="00703143" w:rsidRDefault="00703143" w:rsidP="00703143">
      <w:r>
        <w:t xml:space="preserve">An investment evaluation is beneficial for the agency who owned the investment, central agencies, Government and the public. Investment evaluations are beneficial to departments to critically assess performance and learn valuable lessons to apply to future investments. It is also beneficial to central agencies and government who may require evidence of investment evaluations and lessons learned to inform and justify future funding for similar investments from those agencies. </w:t>
      </w:r>
    </w:p>
    <w:p w:rsidR="00703143" w:rsidRDefault="00703143" w:rsidP="009475E1">
      <w:pPr>
        <w:pStyle w:val="Heading2"/>
      </w:pPr>
      <w:bookmarkStart w:id="6" w:name="_Toc499630193"/>
      <w:r>
        <w:t>When should an investment be evaluated?</w:t>
      </w:r>
      <w:bookmarkEnd w:id="6"/>
    </w:p>
    <w:p w:rsidR="00703143" w:rsidRDefault="00703143" w:rsidP="00703143">
      <w:r>
        <w:t xml:space="preserve">Generally an evaluation should be conducted after enough time has elapsed to show the benefits of the new investment. This is usually around 12 months after the project is completed and the service has started, unless more time is needed for a reliable assessment. Ideally the evaluation should start while key members of the project team are still available. </w:t>
      </w:r>
    </w:p>
    <w:p w:rsidR="00703143" w:rsidRDefault="00703143" w:rsidP="00703143">
      <w:r>
        <w:lastRenderedPageBreak/>
        <w:t>Where a project involves multiple stages or progressive achievement of benefits, evaluations may need to be repeated with an appropriately amended scope. For multi-stage projects, reviews should be carried out after each stage to inform the next.</w:t>
      </w:r>
    </w:p>
    <w:p w:rsidR="00703143" w:rsidRDefault="00703143" w:rsidP="00703143">
      <w:r>
        <w:t xml:space="preserve">If the evaluation is held later, it should be planned and scheduled so that the responsible agency does not inadvertently forget to do it. </w:t>
      </w:r>
    </w:p>
    <w:p w:rsidR="00703143" w:rsidRDefault="00703143" w:rsidP="00703143">
      <w:r>
        <w:t>Building projects should be evaluated after any post-occupancy review (especially related to a defects period).</w:t>
      </w:r>
    </w:p>
    <w:p w:rsidR="00703143" w:rsidRDefault="00703143" w:rsidP="009475E1">
      <w:pPr>
        <w:pStyle w:val="Heading2"/>
      </w:pPr>
      <w:bookmarkStart w:id="7" w:name="_Toc499630194"/>
      <w:r>
        <w:t>Who should carry out the evaluation?</w:t>
      </w:r>
      <w:bookmarkEnd w:id="7"/>
      <w:r>
        <w:t xml:space="preserve"> </w:t>
      </w:r>
    </w:p>
    <w:p w:rsidR="00703143" w:rsidRDefault="00703143" w:rsidP="00703143">
      <w:r>
        <w:t xml:space="preserve">An independent, multi-disciplinary team should be established to undertake the evaluation. Usually the team would be small, but this would depend on the size and complexity of the evaluation and the investment itself. The team should have the capacity to identify and advise on technical and other issues to be reviewed. The independence of the review team is critical for objective identification and reporting of lessons learnt from the project so that future projects can improve on performance. </w:t>
      </w:r>
    </w:p>
    <w:p w:rsidR="00703143" w:rsidRDefault="00703143" w:rsidP="00703143">
      <w:r>
        <w:t>Independence in this context means independent of the functional area not necessarily independent of the organisation although this may be appropriate in some instances.</w:t>
      </w:r>
    </w:p>
    <w:p w:rsidR="00703143" w:rsidRDefault="00B74051" w:rsidP="009475E1">
      <w:pPr>
        <w:pStyle w:val="Heading2"/>
      </w:pPr>
      <w:bookmarkStart w:id="8" w:name="_Toc499630195"/>
      <w:r>
        <w:t>Realising investment benefits</w:t>
      </w:r>
      <w:bookmarkEnd w:id="8"/>
    </w:p>
    <w:p w:rsidR="00703143" w:rsidRDefault="00703143" w:rsidP="00703143">
      <w:r>
        <w:t xml:space="preserve">The reason why an organisation chooses to commit resources to an investment is to address a need or opportunity and ultimately realise some benefits. By having delivered a successful project we have not necessarily delivered a successful investment. It is therefore critical when evaluating the overall success of an investment to demonstrate whether the expected benefits were delivered. If we are unable to demonstrate proof then how can we objectively say that we have delivered a successful investment? </w:t>
      </w:r>
    </w:p>
    <w:p w:rsidR="00703143" w:rsidRDefault="00703143" w:rsidP="00703143">
      <w:r>
        <w:t>The key is to develop a framework at the very start which will allow organisations to track, report, validate and evaluate the delivery of the expected benefits. Although some organisations attempt to monitor the delivery of benefits most struggle with this undertaking due to a lack of clarity on benefits and baseline data against which to measure change.</w:t>
      </w:r>
    </w:p>
    <w:p w:rsidR="00703143" w:rsidRDefault="00703143" w:rsidP="00B74051">
      <w:pPr>
        <w:pStyle w:val="HighlightBoxHeading"/>
      </w:pPr>
      <w:r>
        <w:t>Strengthening local communities (Example)</w:t>
      </w:r>
    </w:p>
    <w:p w:rsidR="00703143" w:rsidRDefault="00703143" w:rsidP="00B74051">
      <w:pPr>
        <w:pStyle w:val="HighlightBoxHeading"/>
      </w:pPr>
      <w:r>
        <w:t>Realising the benefits</w:t>
      </w:r>
    </w:p>
    <w:p w:rsidR="00703143" w:rsidRDefault="00703143" w:rsidP="00B74051">
      <w:pPr>
        <w:pStyle w:val="HighlightBoxText"/>
      </w:pPr>
      <w:r>
        <w:t>New communities in the growth areas have needs for services and infrastructure. The Department has been examining whether partnerships between developers, councils, State government and community organisations developing shared use facilities could deliver better infrastructure. Shared use facilities include: the community using school facilities for meetings, recreation activities, or programs; schools using community facilities for library services, performing arts, or sports; government and non-government schools sharing facilities; or services being co-located such as early years services being co-located on primary school sites.</w:t>
      </w:r>
    </w:p>
    <w:p w:rsidR="00703143" w:rsidRDefault="00703143" w:rsidP="00B74051">
      <w:pPr>
        <w:pStyle w:val="HighlightBoxText"/>
      </w:pPr>
      <w:r>
        <w:t xml:space="preserve">The Schools and Community Partnerships project builds on the earlier work of the Caroline Springs Partnership between the Shire of Melton, </w:t>
      </w:r>
      <w:proofErr w:type="spellStart"/>
      <w:r>
        <w:t>Delfin</w:t>
      </w:r>
      <w:proofErr w:type="spellEnd"/>
      <w:r>
        <w:t xml:space="preserve"> Lend Lease and the State government that successfully delivered a range of joint use community infrastructure including education infrastructure, shared libraries and sport and recreation facilities as described in the section Evaluation findings (DPCD 2007). The evaluation of the Caroline Springs Partnership reported it created:</w:t>
      </w:r>
    </w:p>
    <w:p w:rsidR="00703143" w:rsidRDefault="00703143" w:rsidP="00B74051">
      <w:pPr>
        <w:pStyle w:val="HighlightBoxBullet"/>
      </w:pPr>
      <w:r>
        <w:lastRenderedPageBreak/>
        <w:t>more efficient planning processes, particularly because communication reduced the duplication of effort, and maximised the knowledge of opportunities;</w:t>
      </w:r>
    </w:p>
    <w:p w:rsidR="00703143" w:rsidRDefault="00703143" w:rsidP="00B74051">
      <w:pPr>
        <w:pStyle w:val="HighlightBoxBullet"/>
      </w:pPr>
      <w:r>
        <w:t>greater transparency in decision-making with everyone understanding the rationale for decisions; and</w:t>
      </w:r>
    </w:p>
    <w:p w:rsidR="00703143" w:rsidRDefault="00703143" w:rsidP="00B74051">
      <w:pPr>
        <w:pStyle w:val="HighlightBoxBullet"/>
      </w:pPr>
      <w:r>
        <w:t>greater ownership of the planning processes and its outcomes (DPCD 2007).</w:t>
      </w:r>
    </w:p>
    <w:p w:rsidR="00703143" w:rsidRDefault="00703143" w:rsidP="00B74051">
      <w:pPr>
        <w:pStyle w:val="HighlightBoxText"/>
        <w:keepLines/>
      </w:pPr>
      <w:r>
        <w:t>There was an increase in community satisfaction in services and infrastructure at the completion of the partnership’s work (DPCD 2007), and as will be shown later in this report, participation rates are high. A recent Victorian Competition and Efficiency Commission (VCEC) inquiry (2009) into shared government and community facilities concluded shared facilities have significant benefits for new developments in growth areas. The benefits cited were also reported in the Department of Education and Early Childhood Development’s guide to good governance for shared facilities (DEECD 2007). These were:</w:t>
      </w:r>
    </w:p>
    <w:p w:rsidR="00703143" w:rsidRDefault="00703143" w:rsidP="00B74051">
      <w:pPr>
        <w:pStyle w:val="HighlightBoxBullet"/>
      </w:pPr>
      <w:r>
        <w:t>enhanced service delivery and quality of services for individuals and communities through improved and more fit for purpose facilities;</w:t>
      </w:r>
    </w:p>
    <w:p w:rsidR="00703143" w:rsidRDefault="00703143" w:rsidP="00B74051">
      <w:pPr>
        <w:pStyle w:val="HighlightBoxBullet"/>
      </w:pPr>
      <w:r>
        <w:t>more community involvement and more socially connected communities;</w:t>
      </w:r>
    </w:p>
    <w:p w:rsidR="00703143" w:rsidRDefault="00703143" w:rsidP="00B74051">
      <w:pPr>
        <w:pStyle w:val="HighlightBoxBullet"/>
      </w:pPr>
      <w:r>
        <w:t>increased access and participation by individuals in a broader range of activities; and</w:t>
      </w:r>
    </w:p>
    <w:p w:rsidR="00703143" w:rsidRDefault="00703143" w:rsidP="00B74051">
      <w:pPr>
        <w:pStyle w:val="HighlightBoxBullet"/>
      </w:pPr>
      <w:r>
        <w:t>better use of government and community resources.</w:t>
      </w:r>
    </w:p>
    <w:p w:rsidR="00703143" w:rsidRDefault="00703143" w:rsidP="00B74051">
      <w:pPr>
        <w:pStyle w:val="HighlightBoxText"/>
      </w:pPr>
      <w:r>
        <w:t>The VCEC inquiry nominated the work of the Caroline Springs Partnership as an example of good practice in shared facility delivery (VCEC 2009).</w:t>
      </w:r>
    </w:p>
    <w:p w:rsidR="00703143" w:rsidRPr="00B74051" w:rsidRDefault="00703143" w:rsidP="00B74051">
      <w:pPr>
        <w:pStyle w:val="HighlightBoxText"/>
        <w:rPr>
          <w:sz w:val="18"/>
        </w:rPr>
      </w:pPr>
      <w:r w:rsidRPr="00B74051">
        <w:rPr>
          <w:sz w:val="18"/>
        </w:rPr>
        <w:t>Source: Evaluation report ‘Strengthening local communities’ Department of Planning and Community Development</w:t>
      </w:r>
    </w:p>
    <w:p w:rsidR="00703143" w:rsidRDefault="00703143" w:rsidP="009475E1">
      <w:pPr>
        <w:pStyle w:val="Heading2"/>
      </w:pPr>
      <w:bookmarkStart w:id="9" w:name="_Toc499630196"/>
      <w:r>
        <w:t>Use of the Investment Management Standard (IMS) during this stage</w:t>
      </w:r>
      <w:bookmarkEnd w:id="9"/>
    </w:p>
    <w:p w:rsidR="00703143" w:rsidRDefault="00703143" w:rsidP="00703143">
      <w:r>
        <w:t>This guideline is consistent with edition 5 of the Victorian Government’s Investment Management Standard (IMS), which is a set of tools and practices that will assist you as you move through the initial examination of an identified problem or business need.</w:t>
      </w:r>
    </w:p>
    <w:p w:rsidR="00703143" w:rsidRDefault="00703143" w:rsidP="00703143">
      <w:r>
        <w:t>Although currently there are strong project evaluation practices which focus on providing an insight into how well a project has been implemented according to the original specification (time, cost and scope of the projects or programs), historically departments have struggled to do the same when evaluating the delivery of expected investment benefits.</w:t>
      </w:r>
    </w:p>
    <w:p w:rsidR="00703143" w:rsidRDefault="00703143" w:rsidP="00703143">
      <w:r>
        <w:t xml:space="preserve">The use of IMS practices and tools can help address this gap. IMS attempts to drive a greater focus on evaluating the extent to which the original investment benefits have been delivered as opposed to how well the project has been implemented according to the original specifications. </w:t>
      </w:r>
    </w:p>
    <w:p w:rsidR="00703143" w:rsidRDefault="00703143" w:rsidP="00703143">
      <w:r>
        <w:t xml:space="preserve">The use of the IMS provides organisation with a simple and easy way to evaluate how well the expected benefits have been delivered. To apply the IMS at Stage 5: Realise agencies may have undertaken the IMS practices i.e. completed an: </w:t>
      </w:r>
    </w:p>
    <w:p w:rsidR="00703143" w:rsidRDefault="00703143" w:rsidP="00B74051">
      <w:pPr>
        <w:pStyle w:val="ListBullet"/>
      </w:pPr>
      <w:r>
        <w:t>Investment logic map</w:t>
      </w:r>
    </w:p>
    <w:p w:rsidR="00703143" w:rsidRDefault="00703143" w:rsidP="00B74051">
      <w:pPr>
        <w:pStyle w:val="ListBullet"/>
      </w:pPr>
      <w:r>
        <w:t>Benefit management plan</w:t>
      </w:r>
    </w:p>
    <w:p w:rsidR="00703143" w:rsidRDefault="00703143" w:rsidP="00B74051">
      <w:pPr>
        <w:pStyle w:val="ListBullet"/>
      </w:pPr>
      <w:r>
        <w:t xml:space="preserve">Investment concept brief; and </w:t>
      </w:r>
    </w:p>
    <w:p w:rsidR="00703143" w:rsidRDefault="00703143" w:rsidP="00B74051">
      <w:pPr>
        <w:pStyle w:val="ListBullet"/>
      </w:pPr>
      <w:r>
        <w:t>Benefits reporting spreadsheet</w:t>
      </w:r>
    </w:p>
    <w:p w:rsidR="00703143" w:rsidRDefault="00703143" w:rsidP="00703143">
      <w:r>
        <w:t xml:space="preserve">These documents will have been developed at Stage1: Conceptualise, validated in the business case and kept current through periodic ‘investment reviews’ during the investment’s </w:t>
      </w:r>
      <w:r>
        <w:lastRenderedPageBreak/>
        <w:t xml:space="preserve">implementation. At post-implementation, benefits reporting and tracking using the benefits reporting spreadsheet should have taken place. </w:t>
      </w:r>
    </w:p>
    <w:p w:rsidR="00703143" w:rsidRDefault="00703143" w:rsidP="00B74051">
      <w:pPr>
        <w:keepNext/>
      </w:pPr>
      <w:r>
        <w:t>The IMS applies the following key questions to information set out in the IMS products to evaluate how well the expected benefits have been delivered:</w:t>
      </w:r>
    </w:p>
    <w:p w:rsidR="00703143" w:rsidRDefault="00703143" w:rsidP="00B74051">
      <w:pPr>
        <w:pStyle w:val="ListNumber"/>
        <w:keepNext/>
      </w:pPr>
      <w:r>
        <w:t>Did the investment satisfactorily address the ‘problem/need’ upon which it was founded?</w:t>
      </w:r>
    </w:p>
    <w:p w:rsidR="00703143" w:rsidRDefault="00703143" w:rsidP="00B74051">
      <w:pPr>
        <w:pStyle w:val="ListNumber"/>
      </w:pPr>
      <w:r>
        <w:t>To what degree did the investment deliver the expected benefits? And how valuable are the delivered benefits to the organisation?</w:t>
      </w:r>
    </w:p>
    <w:p w:rsidR="00703143" w:rsidRDefault="00703143" w:rsidP="00B74051">
      <w:pPr>
        <w:pStyle w:val="ListNumber"/>
      </w:pPr>
      <w:r>
        <w:t>Did the investment deliver other benefits or dis-benefits not recognise at the planning stage?</w:t>
      </w:r>
    </w:p>
    <w:p w:rsidR="00703143" w:rsidRDefault="00703143" w:rsidP="00B74051">
      <w:pPr>
        <w:pStyle w:val="ListNumber"/>
      </w:pPr>
      <w:r>
        <w:t>Was the selected strategic response an effective way to address the need?</w:t>
      </w:r>
    </w:p>
    <w:p w:rsidR="00703143" w:rsidRDefault="00703143" w:rsidP="00B74051">
      <w:pPr>
        <w:pStyle w:val="ListNumber"/>
      </w:pPr>
      <w:r>
        <w:t>What lessons should be recorded to inform future decision making and investment design?</w:t>
      </w:r>
    </w:p>
    <w:p w:rsidR="00703143" w:rsidRDefault="00703143" w:rsidP="00B74051">
      <w:pPr>
        <w:pStyle w:val="ListNumber"/>
      </w:pPr>
      <w:r>
        <w:t>How will these lessons be communicated and used?</w:t>
      </w:r>
    </w:p>
    <w:p w:rsidR="00703143" w:rsidRDefault="00703143" w:rsidP="00B74051">
      <w:pPr>
        <w:pStyle w:val="Heading3"/>
      </w:pPr>
      <w:r>
        <w:t>What is the outcome of this assessment?</w:t>
      </w:r>
    </w:p>
    <w:p w:rsidR="00703143" w:rsidRDefault="00703143" w:rsidP="00703143">
      <w:r>
        <w:t>At the end of the exercise an organisation should have a clear understanding of the effectiveness of an individual investment or program. The assessment of effectiveness is based on answering the questions listed above. Learning from this assessment can then be used to form a part of a broader evaluation.</w:t>
      </w:r>
    </w:p>
    <w:p w:rsidR="009475E1" w:rsidRDefault="0076540B" w:rsidP="009475E1">
      <w:pPr>
        <w:pStyle w:val="Caption"/>
      </w:pPr>
      <w:r>
        <w:t xml:space="preserve">Figure </w:t>
      </w:r>
      <w:r w:rsidR="0060350E">
        <w:fldChar w:fldCharType="begin"/>
      </w:r>
      <w:r w:rsidR="0060350E">
        <w:instrText xml:space="preserve"> SEQ Figure \* ARABIC </w:instrText>
      </w:r>
      <w:r w:rsidR="0060350E">
        <w:fldChar w:fldCharType="separate"/>
      </w:r>
      <w:r w:rsidR="00684DA6">
        <w:rPr>
          <w:noProof/>
        </w:rPr>
        <w:t>2</w:t>
      </w:r>
      <w:r w:rsidR="0060350E">
        <w:rPr>
          <w:noProof/>
        </w:rPr>
        <w:fldChar w:fldCharType="end"/>
      </w:r>
      <w:r w:rsidR="009475E1">
        <w:t>: Realising expected benefits using IMS practices and tools</w:t>
      </w:r>
    </w:p>
    <w:p w:rsidR="00703143" w:rsidRDefault="00703143" w:rsidP="009475E1">
      <w:pPr>
        <w:spacing w:before="0"/>
      </w:pPr>
      <w:r>
        <w:rPr>
          <w:noProof/>
          <w:lang w:eastAsia="en-AU"/>
        </w:rPr>
        <w:drawing>
          <wp:inline distT="0" distB="0" distL="0" distR="0" wp14:anchorId="51853B8B" wp14:editId="7F4A1F21">
            <wp:extent cx="4975232" cy="2981739"/>
            <wp:effectExtent l="0" t="0" r="0" b="9525"/>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sharpenSoften amount="25000"/>
                              </a14:imgEffect>
                            </a14:imgLayer>
                          </a14:imgProps>
                        </a:ext>
                        <a:ext uri="{28A0092B-C50C-407E-A947-70E740481C1C}">
                          <a14:useLocalDpi xmlns:a14="http://schemas.microsoft.com/office/drawing/2010/main" val="0"/>
                        </a:ext>
                      </a:extLst>
                    </a:blip>
                    <a:srcRect l="2192" t="3162" r="3197" b="21375"/>
                    <a:stretch/>
                  </pic:blipFill>
                  <pic:spPr bwMode="auto">
                    <a:xfrm>
                      <a:off x="0" y="0"/>
                      <a:ext cx="4979839" cy="2984500"/>
                    </a:xfrm>
                    <a:prstGeom prst="rect">
                      <a:avLst/>
                    </a:prstGeom>
                    <a:noFill/>
                    <a:ln>
                      <a:noFill/>
                    </a:ln>
                    <a:extLst>
                      <a:ext uri="{53640926-AAD7-44D8-BBD7-CCE9431645EC}">
                        <a14:shadowObscured xmlns:a14="http://schemas.microsoft.com/office/drawing/2010/main"/>
                      </a:ext>
                    </a:extLst>
                  </pic:spPr>
                </pic:pic>
              </a:graphicData>
            </a:graphic>
          </wp:inline>
        </w:drawing>
      </w:r>
    </w:p>
    <w:p w:rsidR="00703143" w:rsidRDefault="00703143" w:rsidP="009475E1">
      <w:pPr>
        <w:pStyle w:val="Heading3"/>
      </w:pPr>
      <w:r>
        <w:t>How do you get started?</w:t>
      </w:r>
    </w:p>
    <w:p w:rsidR="00703143" w:rsidRDefault="00703143" w:rsidP="00703143">
      <w:r>
        <w:t>Organisations wanting to use IMS as part of their evaluation method should become familiar with the following practices on the IMS website:</w:t>
      </w:r>
    </w:p>
    <w:p w:rsidR="00703143" w:rsidRDefault="00703143" w:rsidP="009475E1">
      <w:pPr>
        <w:pStyle w:val="ListBullet"/>
      </w:pPr>
      <w:r>
        <w:t>Individual investments – ‘Monitor and measure the delivery of benefits’</w:t>
      </w:r>
    </w:p>
    <w:p w:rsidR="00703143" w:rsidRDefault="00703143" w:rsidP="009475E1">
      <w:pPr>
        <w:pStyle w:val="ListBullet"/>
      </w:pPr>
      <w:r>
        <w:t>Programs – ‘Evaluate a program of investments’</w:t>
      </w:r>
    </w:p>
    <w:p w:rsidR="00703143" w:rsidRDefault="00703143" w:rsidP="00703143">
      <w:r>
        <w:t xml:space="preserve">Further guidance on these practices can be found at </w:t>
      </w:r>
      <w:hyperlink r:id="rId29" w:history="1">
        <w:r w:rsidR="009475E1" w:rsidRPr="008619C6">
          <w:rPr>
            <w:rStyle w:val="Hyperlink"/>
          </w:rPr>
          <w:t>www.dtf.vic.gov.au/investmentmanagement</w:t>
        </w:r>
      </w:hyperlink>
      <w:r w:rsidR="009475E1">
        <w:t xml:space="preserve"> </w:t>
      </w:r>
    </w:p>
    <w:p w:rsidR="00703143" w:rsidRDefault="00703143" w:rsidP="009475E1">
      <w:pPr>
        <w:pStyle w:val="Heading2"/>
      </w:pPr>
      <w:bookmarkStart w:id="10" w:name="_Toc499630197"/>
      <w:r>
        <w:lastRenderedPageBreak/>
        <w:t>HVHR and Gateway review requirements</w:t>
      </w:r>
      <w:bookmarkEnd w:id="10"/>
    </w:p>
    <w:p w:rsidR="00703143" w:rsidRPr="003C7A8A" w:rsidRDefault="009D4D35" w:rsidP="003C7A8A">
      <w:pPr>
        <w:shd w:val="clear" w:color="auto" w:fill="FFFFFF" w:themeFill="background1"/>
      </w:pPr>
      <w:r>
        <w:t>High Value or H</w:t>
      </w:r>
      <w:r w:rsidR="00703143" w:rsidRPr="003C7A8A">
        <w:t>igh risk (HVHR) asset investments require greater scrutiny and support by the Government. HVHR projects are subject to enhanced rigour during each of the investment development stages, Treasurer’s approval at key stages in the project lifecycle, and increased oversight to help ensure projects are delivered on time and on budget, with the agreed benefits.</w:t>
      </w:r>
    </w:p>
    <w:p w:rsidR="00703143" w:rsidRPr="003C7A8A" w:rsidRDefault="00703143" w:rsidP="003C7A8A">
      <w:pPr>
        <w:shd w:val="clear" w:color="auto" w:fill="FFFFFF" w:themeFill="background1"/>
      </w:pPr>
      <w:r w:rsidRPr="003C7A8A">
        <w:t>For HVHR Projects, Gateway reviews are mandatory. Therefore, in Stage 5: Realise, a Gate 6 Benefits Realisation review must be conducted. Gate 6 reviews typically occur 12-18 months after project completion and examine whether the benefits as defined in the business case are being delivered.</w:t>
      </w:r>
    </w:p>
    <w:p w:rsidR="00703143" w:rsidRPr="003C7A8A" w:rsidRDefault="00703143" w:rsidP="003C7A8A">
      <w:pPr>
        <w:shd w:val="clear" w:color="auto" w:fill="FFFFFF" w:themeFill="background1"/>
      </w:pPr>
      <w:r w:rsidRPr="003C7A8A">
        <w:t>Gateway reviews are normally confidential. How</w:t>
      </w:r>
      <w:r w:rsidR="003C7A8A">
        <w:t>ever, the Gateway confidentiality</w:t>
      </w:r>
      <w:r w:rsidRPr="003C7A8A">
        <w:t xml:space="preserve"> guideline does not apply to Gate 6 review reports, which are presented to DTF and reported to government. </w:t>
      </w:r>
    </w:p>
    <w:p w:rsidR="0048254C" w:rsidRPr="003C7A8A" w:rsidRDefault="00703143" w:rsidP="003C7A8A">
      <w:pPr>
        <w:shd w:val="clear" w:color="auto" w:fill="FFFFFF" w:themeFill="background1"/>
      </w:pPr>
      <w:r w:rsidRPr="003C7A8A">
        <w:t>The confidentiality guideline is intended to ensure project owners and their teams can be frank and honest with reviewers without fear of consequence. This allows gateway reviewers to receive the best information to influence the outcome of projects in delivery through their review reports. However, as the purpose of Gate 6 reviews is to evaluate the effectiveness of projects when delivered, confidentially requirements are no longer necessary.</w:t>
      </w:r>
      <w:r w:rsidR="009E44B2" w:rsidRPr="003C7A8A">
        <w:t xml:space="preserve"> </w:t>
      </w:r>
      <w:r w:rsidRPr="003C7A8A">
        <w:t xml:space="preserve">More information about the HVHR Investment Framework can be found on the </w:t>
      </w:r>
      <w:hyperlink r:id="rId30" w:history="1">
        <w:r w:rsidRPr="003C7A8A">
          <w:rPr>
            <w:rStyle w:val="Hyperlink"/>
          </w:rPr>
          <w:t>DTF website</w:t>
        </w:r>
      </w:hyperlink>
      <w:r w:rsidRPr="003C7A8A">
        <w:t>.</w:t>
      </w:r>
    </w:p>
    <w:p w:rsidR="009475E1" w:rsidRPr="00590383" w:rsidRDefault="0076540B" w:rsidP="0076540B">
      <w:pPr>
        <w:pStyle w:val="Caption"/>
        <w:rPr>
          <w:highlight w:val="yellow"/>
        </w:rPr>
      </w:pPr>
      <w:r w:rsidRPr="003C7A8A">
        <w:t xml:space="preserve">Figure </w:t>
      </w:r>
      <w:r w:rsidR="0060350E">
        <w:fldChar w:fldCharType="begin"/>
      </w:r>
      <w:r w:rsidR="0060350E">
        <w:instrText xml:space="preserve"> SEQ Figure \* ARABIC </w:instrText>
      </w:r>
      <w:r w:rsidR="0060350E">
        <w:fldChar w:fldCharType="separate"/>
      </w:r>
      <w:r w:rsidR="00684DA6">
        <w:rPr>
          <w:noProof/>
        </w:rPr>
        <w:t>3</w:t>
      </w:r>
      <w:r w:rsidR="0060350E">
        <w:rPr>
          <w:noProof/>
        </w:rPr>
        <w:fldChar w:fldCharType="end"/>
      </w:r>
      <w:r w:rsidR="009475E1" w:rsidRPr="003C7A8A">
        <w:t>: Responsibilities under HVHR framework at Stage 5: Realise</w:t>
      </w:r>
    </w:p>
    <w:p w:rsidR="00C857F9" w:rsidRDefault="00C857F9" w:rsidP="00C857F9">
      <w:r w:rsidRPr="00590383">
        <w:rPr>
          <w:noProof/>
          <w:highlight w:val="yellow"/>
          <w:lang w:eastAsia="en-AU"/>
        </w:rPr>
        <mc:AlternateContent>
          <mc:Choice Requires="wpg">
            <w:drawing>
              <wp:inline distT="0" distB="0" distL="0" distR="0" wp14:anchorId="0F3084CF" wp14:editId="5363A39C">
                <wp:extent cx="5442544" cy="978197"/>
                <wp:effectExtent l="0" t="0" r="6350" b="12700"/>
                <wp:docPr id="44" name="Group 2"/>
                <wp:cNvGraphicFramePr/>
                <a:graphic xmlns:a="http://schemas.openxmlformats.org/drawingml/2006/main">
                  <a:graphicData uri="http://schemas.microsoft.com/office/word/2010/wordprocessingGroup">
                    <wpg:wgp>
                      <wpg:cNvGrpSpPr/>
                      <wpg:grpSpPr>
                        <a:xfrm>
                          <a:off x="0" y="0"/>
                          <a:ext cx="5442544" cy="978197"/>
                          <a:chOff x="0" y="0"/>
                          <a:chExt cx="5442544" cy="978197"/>
                        </a:xfrm>
                      </wpg:grpSpPr>
                      <wps:wsp>
                        <wps:cNvPr id="45" name="Diamond 45"/>
                        <wps:cNvSpPr>
                          <a:spLocks noEditPoints="1"/>
                        </wps:cNvSpPr>
                        <wps:spPr bwMode="auto">
                          <a:xfrm>
                            <a:off x="360039" y="378904"/>
                            <a:ext cx="633484" cy="599293"/>
                          </a:xfrm>
                          <a:prstGeom prst="diamond">
                            <a:avLst/>
                          </a:prstGeom>
                          <a:solidFill>
                            <a:schemeClr val="accent1"/>
                          </a:solidFill>
                          <a:ln w="635" cap="flat">
                            <a:solidFill>
                              <a:srgbClr val="BD9900"/>
                            </a:solidFill>
                            <a:prstDash val="solid"/>
                            <a:round/>
                            <a:headEnd/>
                            <a:tailEnd/>
                          </a:ln>
                        </wps:spPr>
                        <wps:txbx>
                          <w:txbxContent>
                            <w:p w:rsidR="00926B29" w:rsidRPr="00DF0F9A" w:rsidRDefault="00926B29" w:rsidP="00C857F9">
                              <w:pPr>
                                <w:pStyle w:val="NormalWeb"/>
                                <w:spacing w:before="0" w:after="0"/>
                                <w:jc w:val="center"/>
                                <w:rPr>
                                  <w:color w:val="000000" w:themeColor="text1"/>
                                </w:rPr>
                              </w:pPr>
                              <w:r w:rsidRPr="00DF0F9A">
                                <w:rPr>
                                  <w:rFonts w:asciiTheme="minorHAnsi" w:hAnsi="Arial" w:cstheme="minorBidi"/>
                                  <w:color w:val="000000" w:themeColor="text1"/>
                                  <w:kern w:val="24"/>
                                  <w:sz w:val="14"/>
                                  <w:szCs w:val="14"/>
                                </w:rPr>
                                <w:t>Gate 6 Review</w:t>
                              </w:r>
                            </w:p>
                          </w:txbxContent>
                        </wps:txbx>
                        <wps:bodyPr rot="0" vert="horz" wrap="square" lIns="0" tIns="0" rIns="0" bIns="0" anchor="ctr" anchorCtr="0" upright="1">
                          <a:noAutofit/>
                        </wps:bodyPr>
                      </wps:wsp>
                      <wps:wsp>
                        <wps:cNvPr id="46" name="Rectangle 46"/>
                        <wps:cNvSpPr/>
                        <wps:spPr>
                          <a:xfrm>
                            <a:off x="1030551" y="0"/>
                            <a:ext cx="1440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Departments</w:t>
                              </w:r>
                            </w:p>
                          </w:txbxContent>
                        </wps:txbx>
                        <wps:bodyPr lIns="0" tIns="0" rIns="0" bIns="0" rtlCol="0" anchor="ctr"/>
                      </wps:wsp>
                      <wps:wsp>
                        <wps:cNvPr id="47" name="Rectangle 47"/>
                        <wps:cNvSpPr/>
                        <wps:spPr>
                          <a:xfrm>
                            <a:off x="2520279" y="0"/>
                            <a:ext cx="1440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DTF</w:t>
                              </w:r>
                            </w:p>
                          </w:txbxContent>
                        </wps:txbx>
                        <wps:bodyPr lIns="0" tIns="0" rIns="0" bIns="0" rtlCol="0" anchor="ctr"/>
                      </wps:wsp>
                      <wps:wsp>
                        <wps:cNvPr id="48" name="Rectangle 48"/>
                        <wps:cNvSpPr/>
                        <wps:spPr>
                          <a:xfrm>
                            <a:off x="4002544" y="0"/>
                            <a:ext cx="1440000" cy="3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Government</w:t>
                              </w:r>
                            </w:p>
                          </w:txbxContent>
                        </wps:txbx>
                        <wps:bodyPr lIns="0" tIns="0" rIns="0" bIns="0" rtlCol="0" anchor="ctr"/>
                      </wps:wsp>
                      <wps:wsp>
                        <wps:cNvPr id="49" name="Rectangle 49"/>
                        <wps:cNvSpPr/>
                        <wps:spPr>
                          <a:xfrm>
                            <a:off x="1030551" y="432761"/>
                            <a:ext cx="1440000" cy="52128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 xml:space="preserve">Operational asset reporting, </w:t>
                              </w:r>
                              <w:r w:rsidRPr="00DF0F9A">
                                <w:rPr>
                                  <w:rFonts w:asciiTheme="minorHAnsi" w:eastAsia="Arial" w:hAnsi="Arial" w:cs="Calibri"/>
                                  <w:color w:val="000000" w:themeColor="text1"/>
                                  <w:kern w:val="24"/>
                                  <w:sz w:val="16"/>
                                  <w:szCs w:val="16"/>
                                  <w:lang w:val="en-US"/>
                                </w:rPr>
                                <w:br/>
                                <w:t xml:space="preserve">benefits </w:t>
                              </w:r>
                              <w:proofErr w:type="spellStart"/>
                              <w:r w:rsidRPr="00DF0F9A">
                                <w:rPr>
                                  <w:rFonts w:asciiTheme="minorHAnsi" w:eastAsia="Arial" w:hAnsi="Arial" w:cs="Calibri"/>
                                  <w:color w:val="000000" w:themeColor="text1"/>
                                  <w:kern w:val="24"/>
                                  <w:sz w:val="16"/>
                                  <w:szCs w:val="16"/>
                                  <w:lang w:val="en-US"/>
                                </w:rPr>
                                <w:t>realisation</w:t>
                              </w:r>
                              <w:proofErr w:type="spellEnd"/>
                            </w:p>
                          </w:txbxContent>
                        </wps:txbx>
                        <wps:bodyPr lIns="0" tIns="0" rIns="0" bIns="0" rtlCol="0" anchor="ctr"/>
                      </wps:wsp>
                      <wps:wsp>
                        <wps:cNvPr id="50" name="Rectangle 50"/>
                        <wps:cNvSpPr/>
                        <wps:spPr>
                          <a:xfrm>
                            <a:off x="2529570" y="432048"/>
                            <a:ext cx="1440000" cy="52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 xml:space="preserve">Monitor benefits; advise </w:t>
                              </w:r>
                              <w:r w:rsidRPr="00DF0F9A">
                                <w:rPr>
                                  <w:rFonts w:asciiTheme="minorHAnsi" w:eastAsia="Arial" w:hAnsi="Arial" w:cs="Calibri"/>
                                  <w:color w:val="000000" w:themeColor="text1"/>
                                  <w:kern w:val="24"/>
                                  <w:sz w:val="16"/>
                                  <w:szCs w:val="16"/>
                                  <w:lang w:val="en-US"/>
                                </w:rPr>
                                <w:br/>
                                <w:t>department &amp; Government</w:t>
                              </w:r>
                            </w:p>
                          </w:txbxContent>
                        </wps:txbx>
                        <wps:bodyPr lIns="0" tIns="0" rIns="0" bIns="0" rtlCol="0" anchor="ctr"/>
                      </wps:wsp>
                      <wps:wsp>
                        <wps:cNvPr id="51" name="Rectangle 51"/>
                        <wps:cNvSpPr/>
                        <wps:spPr>
                          <a:xfrm>
                            <a:off x="0" y="432048"/>
                            <a:ext cx="326896" cy="52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Pr="00DF0F9A" w:rsidRDefault="00926B29" w:rsidP="00C857F9">
                              <w:pPr>
                                <w:pStyle w:val="NormalWeb"/>
                                <w:spacing w:before="0" w:after="0"/>
                                <w:jc w:val="center"/>
                                <w:rPr>
                                  <w:color w:val="000000" w:themeColor="text1"/>
                                </w:rPr>
                              </w:pPr>
                              <w:proofErr w:type="spellStart"/>
                              <w:r w:rsidRPr="00DF0F9A">
                                <w:rPr>
                                  <w:rFonts w:asciiTheme="minorHAnsi" w:eastAsia="Arial" w:hAnsi="Arial" w:cs="Calibri"/>
                                  <w:color w:val="000000" w:themeColor="text1"/>
                                  <w:kern w:val="24"/>
                                  <w:sz w:val="16"/>
                                  <w:szCs w:val="16"/>
                                  <w:lang w:val="en-US"/>
                                </w:rPr>
                                <w:t>Realise</w:t>
                              </w:r>
                              <w:proofErr w:type="spellEnd"/>
                            </w:p>
                          </w:txbxContent>
                        </wps:txbx>
                        <wps:bodyPr vert="vert270" lIns="0" tIns="0" rIns="0" bIns="0" rtlCol="0" anchor="ctr"/>
                      </wps:wsp>
                      <wps:wsp>
                        <wps:cNvPr id="52" name="Rectangle 52"/>
                        <wps:cNvSpPr/>
                        <wps:spPr>
                          <a:xfrm>
                            <a:off x="4002544" y="432048"/>
                            <a:ext cx="1440000" cy="52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 xml:space="preserve">Gate 6 Reviews </w:t>
                              </w:r>
                              <w:r w:rsidRPr="00DF0F9A">
                                <w:rPr>
                                  <w:rFonts w:asciiTheme="minorHAnsi" w:eastAsia="Arial" w:hAnsi="Arial" w:cs="Calibri"/>
                                  <w:color w:val="000000" w:themeColor="text1"/>
                                  <w:kern w:val="24"/>
                                  <w:sz w:val="16"/>
                                  <w:szCs w:val="16"/>
                                  <w:lang w:val="en-US"/>
                                </w:rPr>
                                <w:br/>
                                <w:t>reported to Government</w:t>
                              </w:r>
                            </w:p>
                          </w:txbxContent>
                        </wps:txbx>
                        <wps:bodyPr lIns="0" tIns="0" rIns="0" bIns="0" rtlCol="0" anchor="ctr"/>
                      </wps:wsp>
                    </wpg:wgp>
                  </a:graphicData>
                </a:graphic>
              </wp:inline>
            </w:drawing>
          </mc:Choice>
          <mc:Fallback>
            <w:pict>
              <v:group id="Group 2" o:spid="_x0000_s1026" style="width:428.55pt;height:77pt;mso-position-horizontal-relative:char;mso-position-vertical-relative:line" coordsize="54425,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">
                <v:shapetype id="_x0000_t4" coordsize="21600,21600" o:spt="4" path="m10800,l,10800,10800,21600,21600,10800xe">
                  <v:stroke joinstyle="miter"/>
                  <v:path gradientshapeok="t" o:connecttype="rect" textboxrect="5400,5400,16200,16200"/>
                </v:shapetype>
                <v:shape id="Diamond 45" o:spid="_x0000_s1027" type="#_x0000_t4" style="position:absolute;left:3600;top:3789;width:6335;height:5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2dcQA&#10;AADbAAAADwAAAGRycy9kb3ducmV2LnhtbESP0WoCMRRE3wv+Q7hCX0rNKq0tq1HUVrBQ0KofcNnc&#10;3SxubpYk6vr3plDo4zAzZ5jpvLONuJAPtWMFw0EGgrhwuuZKwfGwfn4HESKyxsYxKbhRgPms9zDF&#10;XLsr/9BlHyuRIBxyVGBibHMpQ2HIYhi4ljh5pfMWY5K+ktrjNcFtI0dZNpYWa04LBltaGSpO+7NV&#10;0PjvaJ/Ou7dVacqP7fLrsyi3mVKP/W4xARGpi//hv/ZGK3h5hd8v6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9nXEAAAA2wAAAA8AAAAAAAAAAAAAAAAAmAIAAGRycy9k&#10;b3ducmV2LnhtbFBLBQYAAAAABAAEAPUAAACJAwAAAAA=&#10;" fillcolor="#f6be00 [3204]" strokecolor="#bd9900" strokeweight=".05pt">
                  <v:stroke joinstyle="round"/>
                  <v:path arrowok="t"/>
                  <o:lock v:ext="edit" verticies="t"/>
                  <v:textbox inset="0,0,0,0">
                    <w:txbxContent>
                      <w:p w:rsidR="00926B29" w:rsidRPr="00DF0F9A" w:rsidRDefault="00926B29" w:rsidP="00C857F9">
                        <w:pPr>
                          <w:pStyle w:val="NormalWeb"/>
                          <w:spacing w:before="0" w:after="0"/>
                          <w:jc w:val="center"/>
                          <w:rPr>
                            <w:color w:val="000000" w:themeColor="text1"/>
                          </w:rPr>
                        </w:pPr>
                        <w:r w:rsidRPr="00DF0F9A">
                          <w:rPr>
                            <w:rFonts w:asciiTheme="minorHAnsi" w:hAnsi="Arial" w:cstheme="minorBidi"/>
                            <w:color w:val="000000" w:themeColor="text1"/>
                            <w:kern w:val="24"/>
                            <w:sz w:val="14"/>
                            <w:szCs w:val="14"/>
                          </w:rPr>
                          <w:t>Gate 6 Review</w:t>
                        </w:r>
                      </w:p>
                    </w:txbxContent>
                  </v:textbox>
                </v:shape>
                <v:rect id="Rectangle 46" o:spid="_x0000_s1028" style="position:absolute;left:10305;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RMQA&#10;AADbAAAADwAAAGRycy9kb3ducmV2LnhtbESPQWsCMRSE7wX/Q3gFL0WzLSqyNYq0FESk4LaFHh/J&#10;62bp5mWbRF3/vSkIHoeZ+YZZrHrXiiOF2HhW8DguQBBrbxquFXx+vI3mIGJCNth6JgVnirBaDu4W&#10;WBp/4j0dq1SLDOFYogKbUldKGbUlh3HsO+Ls/fjgMGUZamkCnjLctfKpKGbSYcN5wWJHL5b0b3Vw&#10;Ctrq/Ys2QZttP/n7fiim+tU2O6WG9/36GUSiPt3C1/bGKJjM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hUTEAAAA2wAAAA8AAAAAAAAAAAAAAAAAmAIAAGRycy9k&#10;b3ducmV2LnhtbFBLBQYAAAAABAAEAPUAAACJAwAAAAA=&#10;" fillcolor="#f6be00 [3204]" stroked="f" strokeweight="2pt">
                  <v:textbox inset="0,0,0,0">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Departments</w:t>
                        </w:r>
                      </w:p>
                    </w:txbxContent>
                  </v:textbox>
                </v:rect>
                <v:rect id="Rectangle 47" o:spid="_x0000_s1029" style="position:absolute;left:25202;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g38UA&#10;AADbAAAADwAAAGRycy9kb3ducmV2LnhtbESP3WoCMRSE7wu+QziCN1KzFfvD1iiiFKRIoVuFXh6S&#10;083i5mSbpLp9e1MQejnMzDfMfNm7VpwoxMazgrtJAYJYe9NwrWD/8XL7BCImZIOtZ1LwSxGWi8HN&#10;HEvjz/xOpyrVIkM4lqjAptSVUkZtyWGc+I44e18+OExZhlqagOcMd62cFsWDdNhwXrDY0dqSPlY/&#10;TkFbvR1oG7R57Wffn+PiXm9ss1NqNOxXzyAS9ek/fG1vjYLZI/x9y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yDfxQAAANsAAAAPAAAAAAAAAAAAAAAAAJgCAABkcnMv&#10;ZG93bnJldi54bWxQSwUGAAAAAAQABAD1AAAAigMAAAAA&#10;" fillcolor="#f6be00 [3204]" stroked="f" strokeweight="2pt">
                  <v:textbox inset="0,0,0,0">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DTF</w:t>
                        </w:r>
                      </w:p>
                    </w:txbxContent>
                  </v:textbox>
                </v:rect>
                <v:rect id="Rectangle 48" o:spid="_x0000_s1030" style="position:absolute;left:40025;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0rcEA&#10;AADbAAAADwAAAGRycy9kb3ducmV2LnhtbERPTWsCMRC9F/ofwgheSs0qtpStUYoiiEih2woeh2S6&#10;WdxM1iTq+u/NodDj433PFr1rxYVCbDwrGI8KEMTam4ZrBT/f6+c3EDEhG2w9k4IbRVjMHx9mWBp/&#10;5S+6VKkWOYRjiQpsSl0pZdSWHMaR74gz9+uDw5RhqKUJeM3hrpWToniVDhvODRY7WlrSx+rsFLTV&#10;5542QZttPz0dnooXvbLNTqnhoP94B5GoT//iP/fGKJjmsflL/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stK3BAAAA2wAAAA8AAAAAAAAAAAAAAAAAmAIAAGRycy9kb3du&#10;cmV2LnhtbFBLBQYAAAAABAAEAPUAAACGAwAAAAA=&#10;" fillcolor="#f6be00 [3204]" stroked="f" strokeweight="2pt">
                  <v:textbox inset="0,0,0,0">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Government</w:t>
                        </w:r>
                      </w:p>
                    </w:txbxContent>
                  </v:textbox>
                </v:rect>
                <v:rect id="Rectangle 49" o:spid="_x0000_s1031" style="position:absolute;left:10305;top:4327;width:1440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i6MQA&#10;AADbAAAADwAAAGRycy9kb3ducmV2LnhtbESPQWsCMRSE70L/Q3gFL1JfWottt0YpgqCHHqq159fN&#10;62bp5mXZRF3/vSkUPA4z8w0zW/S+UUfuYh3EwP1Yg2Ipg62lMvC5W909g4qJxFIThA2cOcJifjOY&#10;UWHDST74uE2VyhCJBRlwKbUFYiwde4rj0LJk7yd0nlKWXYW2o1OG+wYftJ6ip1rygqOWl47L3+3B&#10;G9Bpgw7xnZbf08nXfvS02m303pjhbf/2Cipxn67h//baGnh8gb8v+Qfg/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4ujEAAAA2wAAAA8AAAAAAAAAAAAAAAAAmAIAAGRycy9k&#10;b3ducmV2LnhtbFBLBQYAAAAABAAEAPUAAACJAwAAAAA=&#10;" fillcolor="#fade7f [3207]" stroked="f" strokeweight="2pt">
                  <v:textbox inset="0,0,0,0">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 xml:space="preserve">Operational asset reporting, </w:t>
                        </w:r>
                        <w:r w:rsidRPr="00DF0F9A">
                          <w:rPr>
                            <w:rFonts w:asciiTheme="minorHAnsi" w:eastAsia="Arial" w:hAnsi="Arial" w:cs="Calibri"/>
                            <w:color w:val="000000" w:themeColor="text1"/>
                            <w:kern w:val="24"/>
                            <w:sz w:val="16"/>
                            <w:szCs w:val="16"/>
                            <w:lang w:val="en-US"/>
                          </w:rPr>
                          <w:br/>
                          <w:t xml:space="preserve">benefits </w:t>
                        </w:r>
                        <w:proofErr w:type="spellStart"/>
                        <w:r w:rsidRPr="00DF0F9A">
                          <w:rPr>
                            <w:rFonts w:asciiTheme="minorHAnsi" w:eastAsia="Arial" w:hAnsi="Arial" w:cs="Calibri"/>
                            <w:color w:val="000000" w:themeColor="text1"/>
                            <w:kern w:val="24"/>
                            <w:sz w:val="16"/>
                            <w:szCs w:val="16"/>
                            <w:lang w:val="en-US"/>
                          </w:rPr>
                          <w:t>realisation</w:t>
                        </w:r>
                        <w:proofErr w:type="spellEnd"/>
                      </w:p>
                    </w:txbxContent>
                  </v:textbox>
                </v:rect>
                <v:rect id="Rectangle 50" o:spid="_x0000_s1032" style="position:absolute;left:25295;top:4320;width:14400;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dqMEA&#10;AADbAAAADwAAAGRycy9kb3ducmV2LnhtbERPS2sCMRC+F/ofwhR6KXXSllpZjVIEoR481Nd53Iyb&#10;xc1k2aS6/ffmIHj8+N6TWe8bdeYu1kEMvA00KJYy2FoqA9vN4nUEKiYSS00QNvDPEWbTx4cJFTZc&#10;5JfP61SpHCKxIAMupbZAjKVjT3EQWpbMHUPnKWXYVWg7uuRw3+C71kP0VEtucNTy3HF5Wv95Azot&#10;0SGuaH4Yfux3L1+LzVLvjHl+6r/HoBL36S6+uX+sgc+8Pn/JPwC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F3ajBAAAA2wAAAA8AAAAAAAAAAAAAAAAAmAIAAGRycy9kb3du&#10;cmV2LnhtbFBLBQYAAAAABAAEAPUAAACGAwAAAAA=&#10;" fillcolor="#fade7f [3207]" stroked="f" strokeweight="2pt">
                  <v:textbox inset="0,0,0,0">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 xml:space="preserve">Monitor benefits; advise </w:t>
                        </w:r>
                        <w:r w:rsidRPr="00DF0F9A">
                          <w:rPr>
                            <w:rFonts w:asciiTheme="minorHAnsi" w:eastAsia="Arial" w:hAnsi="Arial" w:cs="Calibri"/>
                            <w:color w:val="000000" w:themeColor="text1"/>
                            <w:kern w:val="24"/>
                            <w:sz w:val="16"/>
                            <w:szCs w:val="16"/>
                            <w:lang w:val="en-US"/>
                          </w:rPr>
                          <w:br/>
                          <w:t>department &amp; Government</w:t>
                        </w:r>
                      </w:p>
                    </w:txbxContent>
                  </v:textbox>
                </v:rect>
                <v:rect id="Rectangle 51" o:spid="_x0000_s1033" style="position:absolute;top:4320;width:3268;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07sMA&#10;AADbAAAADwAAAGRycy9kb3ducmV2LnhtbESPQWsCMRSE7wX/Q3iCt25WRS2rUVQQvHio2vtj88xu&#10;u3lZkriu/fVNodDjMDPfMKtNbxvRkQ+1YwXjLAdBXDpds1FwvRxe30CEiKyxcUwKnhRgsx68rLDQ&#10;7sHv1J2jEQnCoUAFVYxtIWUoK7IYMtcSJ+/mvMWYpDdSe3wkuG3kJM/n0mLNaaHClvYVlV/nu1Ww&#10;mDzN9NObafcddva4C4dTO/9QajTst0sQkfr4H/5rH7WC2Rh+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n07sMAAADbAAAADwAAAAAAAAAAAAAAAACYAgAAZHJzL2Rv&#10;d25yZXYueG1sUEsFBgAAAAAEAAQA9QAAAIgDAAAAAA==&#10;" fillcolor="#f6be00 [3204]" stroked="f" strokeweight="2pt">
                  <v:textbox style="layout-flow:vertical;mso-layout-flow-alt:bottom-to-top" inset="0,0,0,0">
                    <w:txbxContent>
                      <w:p w:rsidR="00926B29" w:rsidRPr="00DF0F9A" w:rsidRDefault="00926B29" w:rsidP="00C857F9">
                        <w:pPr>
                          <w:pStyle w:val="NormalWeb"/>
                          <w:spacing w:before="0" w:after="0"/>
                          <w:jc w:val="center"/>
                          <w:rPr>
                            <w:color w:val="000000" w:themeColor="text1"/>
                          </w:rPr>
                        </w:pPr>
                        <w:proofErr w:type="spellStart"/>
                        <w:r w:rsidRPr="00DF0F9A">
                          <w:rPr>
                            <w:rFonts w:asciiTheme="minorHAnsi" w:eastAsia="Arial" w:hAnsi="Arial" w:cs="Calibri"/>
                            <w:color w:val="000000" w:themeColor="text1"/>
                            <w:kern w:val="24"/>
                            <w:sz w:val="16"/>
                            <w:szCs w:val="16"/>
                            <w:lang w:val="en-US"/>
                          </w:rPr>
                          <w:t>Realise</w:t>
                        </w:r>
                        <w:proofErr w:type="spellEnd"/>
                      </w:p>
                    </w:txbxContent>
                  </v:textbox>
                </v:rect>
                <v:rect id="Rectangle 52" o:spid="_x0000_s1034" style="position:absolute;left:40025;top:4320;width:14400;height:5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RMQA&#10;AADbAAAADwAAAGRycy9kb3ducmV2LnhtbESPQUsDMRSE7wX/Q3iCl2JfbHGVtWmRQsEePNhaz8/N&#10;c7O4eVk2sd3+e1Mo9DjMzDfMfDn4Vh24j00QAw8TDYqlCraR2sDnbn3/DComEkttEDZw4gjLxc1o&#10;TqUNR/ngwzbVKkMklmTApdSViLFy7ClOQseSvZ/Qe0pZ9jXano4Z7lucal2gp0bygqOOV46r3+2f&#10;N6DTBh3iO62+i9nXfvy03m303pi72+H1BVTiIV3Dl/abNfA4hfOX/ANw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5kTEAAAA2wAAAA8AAAAAAAAAAAAAAAAAmAIAAGRycy9k&#10;b3ducmV2LnhtbFBLBQYAAAAABAAEAPUAAACJAwAAAAA=&#10;" fillcolor="#fade7f [3207]" stroked="f" strokeweight="2pt">
                  <v:textbox inset="0,0,0,0">
                    <w:txbxContent>
                      <w:p w:rsidR="00926B29" w:rsidRPr="00DF0F9A" w:rsidRDefault="00926B29" w:rsidP="00C857F9">
                        <w:pPr>
                          <w:pStyle w:val="NormalWeb"/>
                          <w:spacing w:before="0" w:after="0"/>
                          <w:jc w:val="center"/>
                          <w:rPr>
                            <w:color w:val="000000" w:themeColor="text1"/>
                          </w:rPr>
                        </w:pPr>
                        <w:r w:rsidRPr="00DF0F9A">
                          <w:rPr>
                            <w:rFonts w:asciiTheme="minorHAnsi" w:eastAsia="Arial" w:hAnsi="Arial" w:cs="Calibri"/>
                            <w:color w:val="000000" w:themeColor="text1"/>
                            <w:kern w:val="24"/>
                            <w:sz w:val="16"/>
                            <w:szCs w:val="16"/>
                            <w:lang w:val="en-US"/>
                          </w:rPr>
                          <w:t xml:space="preserve">Gate 6 Reviews </w:t>
                        </w:r>
                        <w:r w:rsidRPr="00DF0F9A">
                          <w:rPr>
                            <w:rFonts w:asciiTheme="minorHAnsi" w:eastAsia="Arial" w:hAnsi="Arial" w:cs="Calibri"/>
                            <w:color w:val="000000" w:themeColor="text1"/>
                            <w:kern w:val="24"/>
                            <w:sz w:val="16"/>
                            <w:szCs w:val="16"/>
                            <w:lang w:val="en-US"/>
                          </w:rPr>
                          <w:br/>
                          <w:t>reported to Government</w:t>
                        </w:r>
                      </w:p>
                    </w:txbxContent>
                  </v:textbox>
                </v:rect>
                <w10:anchorlock/>
              </v:group>
            </w:pict>
          </mc:Fallback>
        </mc:AlternateContent>
      </w:r>
    </w:p>
    <w:p w:rsidR="00C857F9" w:rsidRDefault="00C857F9" w:rsidP="00C857F9"/>
    <w:p w:rsidR="00703143" w:rsidRDefault="00703143" w:rsidP="009475E1">
      <w:pPr>
        <w:pStyle w:val="Heading2"/>
      </w:pPr>
      <w:bookmarkStart w:id="11" w:name="_Toc499630198"/>
      <w:r>
        <w:t>ICT project requirements</w:t>
      </w:r>
      <w:bookmarkEnd w:id="11"/>
    </w:p>
    <w:p w:rsidR="00703143" w:rsidRPr="003C7A8A" w:rsidRDefault="003C7A8A" w:rsidP="00703143">
      <w:r>
        <w:t xml:space="preserve">For ICT projects, DTF expects a staged approach to project delivery as outlined in the ICT technical guideline. </w:t>
      </w:r>
      <w:r w:rsidR="00703143" w:rsidRPr="003C7A8A">
        <w:t xml:space="preserve">Under a staged approach, DTF expects that the investment business plan will be revisited and updated at the end of each stage, including during the delivery of the project. This updated business case will form the basis for consideration and approval to proceed to the next stage. Therefore, when it comes monitoring the benefits realised in Stage 5: Realise, </w:t>
      </w:r>
      <w:r>
        <w:t xml:space="preserve">these should </w:t>
      </w:r>
      <w:r w:rsidR="00703143" w:rsidRPr="003C7A8A">
        <w:t xml:space="preserve">be drawn from the most recent investment business plan. </w:t>
      </w:r>
    </w:p>
    <w:p w:rsidR="00703143" w:rsidRPr="003C7A8A" w:rsidRDefault="00703143" w:rsidP="009475E1">
      <w:pPr>
        <w:pStyle w:val="Heading2"/>
      </w:pPr>
      <w:bookmarkStart w:id="12" w:name="_Toc499630199"/>
      <w:r w:rsidRPr="003C7A8A">
        <w:t>Dealing with investment uncertainty</w:t>
      </w:r>
      <w:bookmarkEnd w:id="12"/>
    </w:p>
    <w:p w:rsidR="00703143" w:rsidRPr="009D4D35" w:rsidRDefault="00703143" w:rsidP="00703143">
      <w:r w:rsidRPr="009D4D35">
        <w:t>Many of government’s investments are vulnerable to uncertainty: external factors that are beyond the investor’s control, and that can impact the delivery of our intended investment outcomes. Uncertainties can influence market conditions, including the demand or need for an investment and/or the ability of the supply market to provide an effective solution. Market changes can be unfavourable, presenting threats to investment delivery, or favourable, presenting opportunities for achieving greater value</w:t>
      </w:r>
      <w:r w:rsidR="009475E1" w:rsidRPr="009D4D35">
        <w:t xml:space="preserve"> for money or enhanced benefits.</w:t>
      </w:r>
    </w:p>
    <w:p w:rsidR="00703143" w:rsidRPr="009D4D35" w:rsidRDefault="00703143" w:rsidP="009475E1">
      <w:pPr>
        <w:keepLines/>
      </w:pPr>
      <w:r w:rsidRPr="009D4D35">
        <w:lastRenderedPageBreak/>
        <w:t xml:space="preserve">If these uncertainties have been realised on an investment, they may have challenged or invalidated our business case assumptions and impacted our investment proposal’s feasibility. An agency may have embedded flexibility into an investment strategy to provide Government with the ability to adapt and respond advantageously to changing conditions. If Government has exercised this optionality during investment implementation, it may have impacted project parameters, such as scope, budget and schedule. It may have impacted how the investment was implemented, including procurement methodology and contractual requirements. It may have also fundamentally altered the investment trajectory, leading to altered investment outcomes and benefits. </w:t>
      </w:r>
    </w:p>
    <w:p w:rsidR="00703143" w:rsidRPr="009D4D35" w:rsidRDefault="00703143" w:rsidP="00703143">
      <w:r w:rsidRPr="009D4D35">
        <w:t xml:space="preserve">A large focus of the Realise stage is measuring the extent to which the investment was successfully delivered on time and on budget, and achieved the desired benefits. If any optionality has been exercised during implementation, the resulting service and asset outcomes may be quite different to that initially envisaged. This could make it difficult to measure and assess project success against the original investment objectives. </w:t>
      </w:r>
    </w:p>
    <w:p w:rsidR="00703143" w:rsidRPr="009D4D35" w:rsidRDefault="00703143" w:rsidP="00703143">
      <w:r w:rsidRPr="009D4D35">
        <w:t>Firstly you need to clearly understand what benefits you are measuring. Consider:</w:t>
      </w:r>
    </w:p>
    <w:p w:rsidR="00703143" w:rsidRPr="009D4D35" w:rsidRDefault="00703143" w:rsidP="009475E1">
      <w:pPr>
        <w:pStyle w:val="ListBullet"/>
      </w:pPr>
      <w:r w:rsidRPr="009D4D35">
        <w:t xml:space="preserve">Whether the </w:t>
      </w:r>
      <w:r w:rsidR="00604EBC" w:rsidRPr="009D4D35">
        <w:t>market conditions assumed in the business</w:t>
      </w:r>
      <w:r w:rsidRPr="009D4D35">
        <w:t xml:space="preserve"> case remain</w:t>
      </w:r>
      <w:r w:rsidR="00604EBC" w:rsidRPr="009D4D35">
        <w:t>ed reasonable</w:t>
      </w:r>
      <w:r w:rsidRPr="009D4D35">
        <w:t xml:space="preserve"> and valid</w:t>
      </w:r>
      <w:r w:rsidR="00604EBC" w:rsidRPr="009D4D35">
        <w:t>, leading Government to pursue the outcomes originally intended</w:t>
      </w:r>
      <w:r w:rsidRPr="009D4D35">
        <w:t xml:space="preserve">? </w:t>
      </w:r>
    </w:p>
    <w:p w:rsidR="00703143" w:rsidRPr="009D4D35" w:rsidRDefault="009475E1" w:rsidP="00703143">
      <w:pPr>
        <w:rPr>
          <w:b/>
        </w:rPr>
      </w:pPr>
      <w:r w:rsidRPr="009D4D35">
        <w:rPr>
          <w:b/>
        </w:rPr>
        <w:t>or</w:t>
      </w:r>
    </w:p>
    <w:p w:rsidR="00703143" w:rsidRPr="009D4D35" w:rsidRDefault="00703143" w:rsidP="009475E1">
      <w:pPr>
        <w:pStyle w:val="ListBullet"/>
      </w:pPr>
      <w:r w:rsidRPr="009D4D35">
        <w:t>Has an event occurred or circumstances arisen that have fundamentally altered the investment parameters</w:t>
      </w:r>
      <w:r w:rsidR="00604EBC" w:rsidRPr="009D4D35">
        <w:t xml:space="preserve"> and pathway</w:t>
      </w:r>
      <w:r w:rsidRPr="009D4D35">
        <w:t>, and has this change</w:t>
      </w:r>
      <w:r w:rsidR="00684DA6" w:rsidRPr="009D4D35">
        <w:t xml:space="preserve"> led you to consider </w:t>
      </w:r>
      <w:r w:rsidR="00604EBC" w:rsidRPr="009D4D35">
        <w:t xml:space="preserve">a </w:t>
      </w:r>
      <w:r w:rsidR="00684DA6" w:rsidRPr="009D4D35">
        <w:t>real options</w:t>
      </w:r>
      <w:r w:rsidR="00604EBC" w:rsidRPr="009D4D35">
        <w:t xml:space="preserve"> approach? Has this</w:t>
      </w:r>
      <w:r w:rsidRPr="009D4D35">
        <w:t xml:space="preserve"> fundamentally altered the services and benefits you are trying to deliver?</w:t>
      </w:r>
    </w:p>
    <w:p w:rsidR="00703143" w:rsidRPr="009D4D35" w:rsidRDefault="00703143" w:rsidP="00703143">
      <w:pPr>
        <w:rPr>
          <w:b/>
        </w:rPr>
      </w:pPr>
      <w:r w:rsidRPr="009D4D35">
        <w:rPr>
          <w:b/>
        </w:rPr>
        <w:t xml:space="preserve">If the parameters have significantly changed, you will need to define an updated set of desired benefits. Consider: </w:t>
      </w:r>
    </w:p>
    <w:p w:rsidR="00703143" w:rsidRPr="009D4D35" w:rsidRDefault="00703143" w:rsidP="009475E1">
      <w:pPr>
        <w:pStyle w:val="ListBullet"/>
      </w:pPr>
      <w:r w:rsidRPr="009D4D35">
        <w:t>Has the project team updated the ILM and business case during implementation to reflect the altered objectives and any changes to the desired benefits?</w:t>
      </w:r>
    </w:p>
    <w:p w:rsidR="00703143" w:rsidRPr="009D4D35" w:rsidRDefault="00703143" w:rsidP="009475E1">
      <w:pPr>
        <w:pStyle w:val="ListBullet"/>
      </w:pPr>
      <w:r w:rsidRPr="009D4D35">
        <w:t>If not, is there any other documentation that addresses your updated requirements, such as the procurement and contract documentation or project plan?</w:t>
      </w:r>
    </w:p>
    <w:p w:rsidR="00703143" w:rsidRPr="009D4D35" w:rsidRDefault="00703143" w:rsidP="009475E1">
      <w:pPr>
        <w:pStyle w:val="ListBullet"/>
      </w:pPr>
      <w:r w:rsidRPr="009D4D35">
        <w:t xml:space="preserve">If not, you will need to define your updated requirements. You will need to outline why the benefits have changed from the original business case, supported by evidence addressing how an event or changed demand and supply conditions has impacted the investment parameters. </w:t>
      </w:r>
    </w:p>
    <w:p w:rsidR="00703143" w:rsidRPr="009D4D35" w:rsidRDefault="00703143" w:rsidP="00703143">
      <w:r w:rsidRPr="009D4D35">
        <w:t>You may need to develop measures and KPIs that respond to the strategic intent (i.e. general objectives) of the investment.</w:t>
      </w:r>
    </w:p>
    <w:p w:rsidR="00703143" w:rsidRPr="009D4D35" w:rsidRDefault="00703143" w:rsidP="00703143">
      <w:r w:rsidRPr="009D4D35">
        <w:t>When evaluating how well your project tracked against schedule and budget you may need to consider:</w:t>
      </w:r>
    </w:p>
    <w:p w:rsidR="00703143" w:rsidRPr="009D4D35" w:rsidRDefault="00703143" w:rsidP="009475E1">
      <w:pPr>
        <w:pStyle w:val="ListBullet"/>
      </w:pPr>
      <w:r w:rsidRPr="009D4D35">
        <w:t xml:space="preserve">Was the </w:t>
      </w:r>
      <w:r w:rsidR="00604EBC" w:rsidRPr="009D4D35">
        <w:t xml:space="preserve">project schedule impacted by a major </w:t>
      </w:r>
      <w:r w:rsidRPr="009D4D35">
        <w:t>event or changed conditions?</w:t>
      </w:r>
    </w:p>
    <w:p w:rsidR="00703143" w:rsidRPr="009D4D35" w:rsidRDefault="00703143" w:rsidP="009475E1">
      <w:pPr>
        <w:pStyle w:val="ListBullet2"/>
      </w:pPr>
      <w:r w:rsidRPr="009D4D35">
        <w:t>Did you have to deliver additional / altered scope?</w:t>
      </w:r>
    </w:p>
    <w:p w:rsidR="00703143" w:rsidRPr="009D4D35" w:rsidRDefault="00703143" w:rsidP="009475E1">
      <w:pPr>
        <w:pStyle w:val="ListBullet2"/>
      </w:pPr>
      <w:r w:rsidRPr="009D4D35">
        <w:t>Did you have to time a project to align with interdependencies or factor in market conditions? Did this cause delays or project acceleration?</w:t>
      </w:r>
    </w:p>
    <w:p w:rsidR="00703143" w:rsidRPr="009D4D35" w:rsidRDefault="00703143" w:rsidP="009475E1">
      <w:pPr>
        <w:pStyle w:val="ListBullet"/>
      </w:pPr>
      <w:r w:rsidRPr="009D4D35">
        <w:t>If a real option(s) was included in the procurement documentation, how did suppliers respond?</w:t>
      </w:r>
    </w:p>
    <w:p w:rsidR="00703143" w:rsidRPr="009D4D35" w:rsidRDefault="00604EBC" w:rsidP="009475E1">
      <w:pPr>
        <w:pStyle w:val="ListBullet2"/>
      </w:pPr>
      <w:r w:rsidRPr="009D4D35">
        <w:t>Was there an impact on pricing</w:t>
      </w:r>
      <w:r w:rsidR="00703143" w:rsidRPr="009D4D35">
        <w:t>?</w:t>
      </w:r>
    </w:p>
    <w:p w:rsidR="00604EBC" w:rsidRPr="009D4D35" w:rsidRDefault="00604EBC" w:rsidP="009475E1">
      <w:pPr>
        <w:pStyle w:val="ListBullet2"/>
      </w:pPr>
      <w:r w:rsidRPr="009D4D35">
        <w:t>Did it change the bid profile?</w:t>
      </w:r>
    </w:p>
    <w:p w:rsidR="00604EBC" w:rsidRPr="009D4D35" w:rsidRDefault="00604EBC" w:rsidP="009475E1">
      <w:pPr>
        <w:pStyle w:val="ListBullet2"/>
      </w:pPr>
      <w:r w:rsidRPr="009D4D35">
        <w:t>Did the tender response correspond with the business case analysis?</w:t>
      </w:r>
    </w:p>
    <w:p w:rsidR="00703143" w:rsidRPr="009D4D35" w:rsidRDefault="00703143" w:rsidP="009475E1">
      <w:pPr>
        <w:pStyle w:val="ListBullet"/>
      </w:pPr>
      <w:r w:rsidRPr="009D4D35">
        <w:t xml:space="preserve">Was the project budget impacted by an event or changed conditions (either anticipated or not)? </w:t>
      </w:r>
    </w:p>
    <w:p w:rsidR="00703143" w:rsidRPr="009D4D35" w:rsidRDefault="00703143" w:rsidP="009475E1">
      <w:pPr>
        <w:pStyle w:val="ListBullet2"/>
      </w:pPr>
      <w:r w:rsidRPr="009D4D35">
        <w:lastRenderedPageBreak/>
        <w:t>If the project was stopped, were additional (beyond the project budget) costs avoided?</w:t>
      </w:r>
    </w:p>
    <w:p w:rsidR="00703143" w:rsidRPr="009D4D35" w:rsidRDefault="00703143" w:rsidP="009475E1">
      <w:pPr>
        <w:pStyle w:val="ListBullet2"/>
      </w:pPr>
      <w:r w:rsidRPr="009D4D35">
        <w:t xml:space="preserve">If the project was amended or expanded, what was the relative benefit? </w:t>
      </w:r>
    </w:p>
    <w:p w:rsidR="00703143" w:rsidRPr="009D4D35" w:rsidRDefault="00703143" w:rsidP="00703143">
      <w:r w:rsidRPr="009D4D35">
        <w:t>Throughout its operational life, an asset may need to be adapted to continue to meet evolving demand and service delivery requirements An additional focus of this step is ensuring any optionality available to the service delivery agency during the operational phase of an asset are monitored and exercised when appropriate. Exercising in-project real options needs to be supported by:</w:t>
      </w:r>
    </w:p>
    <w:p w:rsidR="00703143" w:rsidRPr="009D4D35" w:rsidRDefault="00703143" w:rsidP="00307660">
      <w:pPr>
        <w:pStyle w:val="ListNumber"/>
        <w:numPr>
          <w:ilvl w:val="0"/>
          <w:numId w:val="16"/>
        </w:numPr>
        <w:rPr>
          <w:b/>
        </w:rPr>
      </w:pPr>
      <w:r w:rsidRPr="009D4D35">
        <w:rPr>
          <w:b/>
        </w:rPr>
        <w:t>Contract mechanisms</w:t>
      </w:r>
    </w:p>
    <w:p w:rsidR="00703143" w:rsidRPr="009D4D35" w:rsidRDefault="00703143" w:rsidP="00703143">
      <w:r w:rsidRPr="009D4D35">
        <w:t>Service contracts should clearly indicate the conditions and trigger points which might lead to Government exercising an option, who can exercise the option, and the resulting outcomes and impacts on all parties.</w:t>
      </w:r>
    </w:p>
    <w:p w:rsidR="00703143" w:rsidRPr="009D4D35" w:rsidRDefault="00703143" w:rsidP="009475E1">
      <w:pPr>
        <w:pStyle w:val="ListNumber"/>
        <w:rPr>
          <w:b/>
        </w:rPr>
      </w:pPr>
      <w:r w:rsidRPr="009D4D35">
        <w:rPr>
          <w:b/>
        </w:rPr>
        <w:t xml:space="preserve">Monitoring and reporting </w:t>
      </w:r>
    </w:p>
    <w:p w:rsidR="00703143" w:rsidRPr="009D4D35" w:rsidRDefault="00703143" w:rsidP="00703143">
      <w:r w:rsidRPr="009D4D35">
        <w:t xml:space="preserve">Agencies will need to identify if and when it is appropriate to exercise an option. This decision point should be informed by regular monitoring of demand and supply conditions, asset performance indicators and benefits evaluation. </w:t>
      </w:r>
    </w:p>
    <w:p w:rsidR="00703143" w:rsidRPr="009D4D35" w:rsidRDefault="00703143" w:rsidP="00703143">
      <w:r w:rsidRPr="009D4D35">
        <w:t>Further information on managing investment uncertainty is available in Investing under uncertainty ILG technical supplement</w:t>
      </w:r>
      <w:r w:rsidR="009475E1" w:rsidRPr="009D4D35">
        <w:rPr>
          <w:rStyle w:val="FootnoteReference"/>
        </w:rPr>
        <w:footnoteReference w:id="1"/>
      </w:r>
      <w:r w:rsidR="009475E1" w:rsidRPr="009D4D35">
        <w:t>.</w:t>
      </w:r>
      <w:r w:rsidRPr="009D4D35">
        <w:t>.</w:t>
      </w:r>
    </w:p>
    <w:p w:rsidR="00703143" w:rsidRPr="009D4D35" w:rsidRDefault="00703143" w:rsidP="009475E1">
      <w:pPr>
        <w:pStyle w:val="Heading2"/>
      </w:pPr>
      <w:bookmarkStart w:id="13" w:name="_Toc499630200"/>
      <w:r w:rsidRPr="009D4D35">
        <w:t>Value Creation and Capture Framework</w:t>
      </w:r>
      <w:bookmarkEnd w:id="13"/>
    </w:p>
    <w:p w:rsidR="00703143" w:rsidRPr="009D4D35" w:rsidRDefault="006E1925" w:rsidP="00703143">
      <w:r w:rsidRPr="009D4D35">
        <w:t>The</w:t>
      </w:r>
      <w:r w:rsidR="00703143" w:rsidRPr="009D4D35">
        <w:t xml:space="preserve"> Value Creation and Capture Framework (VCCF</w:t>
      </w:r>
      <w:r w:rsidRPr="009D4D35">
        <w:t>)</w:t>
      </w:r>
      <w:r w:rsidR="00703143" w:rsidRPr="009D4D35">
        <w:t xml:space="preserve"> requires agencies to consider value creation and capture opportunities for any relevant asset investments proposals submitted for budget funding.</w:t>
      </w:r>
    </w:p>
    <w:p w:rsidR="00703143" w:rsidRPr="009D4D35" w:rsidRDefault="00703143" w:rsidP="009475E1">
      <w:pPr>
        <w:pStyle w:val="ListBullet"/>
      </w:pPr>
      <w:r w:rsidRPr="009D4D35">
        <w:rPr>
          <w:b/>
        </w:rPr>
        <w:t>Value creation</w:t>
      </w:r>
      <w:r w:rsidRPr="009D4D35">
        <w:t xml:space="preserve"> refers to creating and delivering additional value and benefits for Victorians than might normally have been achieved from an investment. For example, when building infrastructure or developing precincts, government can enable economic opportunities, deliver green space, community services, housing and education facilities and create more value for the community than would otherwise be the case. </w:t>
      </w:r>
    </w:p>
    <w:p w:rsidR="00703143" w:rsidRPr="009D4D35" w:rsidRDefault="00703143" w:rsidP="009475E1">
      <w:pPr>
        <w:pStyle w:val="ListBullet"/>
      </w:pPr>
      <w:r w:rsidRPr="009D4D35">
        <w:rPr>
          <w:b/>
        </w:rPr>
        <w:t xml:space="preserve">Value capture </w:t>
      </w:r>
      <w:r w:rsidRPr="009D4D35">
        <w:t xml:space="preserve">refers to government capturing a portion of the incremental economic value created by its investments, activities and policies. These actions may generate alternative revenue streams, assets or other financial value that Government can tap into to assist funding existing or future investments. </w:t>
      </w:r>
    </w:p>
    <w:p w:rsidR="00703143" w:rsidRPr="009D4D35" w:rsidRDefault="00703143" w:rsidP="00703143">
      <w:r w:rsidRPr="009D4D35">
        <w:t>Investments required to comply with the VCCF include:</w:t>
      </w:r>
    </w:p>
    <w:p w:rsidR="00703143" w:rsidRPr="009D4D35" w:rsidRDefault="009475E1" w:rsidP="009475E1">
      <w:pPr>
        <w:pStyle w:val="ListBullet"/>
      </w:pPr>
      <w:r w:rsidRPr="009D4D35">
        <w:t xml:space="preserve">precinct </w:t>
      </w:r>
      <w:r w:rsidR="00703143" w:rsidRPr="009D4D35">
        <w:t>projects;</w:t>
      </w:r>
    </w:p>
    <w:p w:rsidR="00703143" w:rsidRPr="009D4D35" w:rsidRDefault="009475E1" w:rsidP="009475E1">
      <w:pPr>
        <w:pStyle w:val="ListBullet"/>
      </w:pPr>
      <w:r w:rsidRPr="009D4D35">
        <w:t xml:space="preserve">development </w:t>
      </w:r>
      <w:r w:rsidR="00703143" w:rsidRPr="009D4D35">
        <w:t xml:space="preserve">of public land; </w:t>
      </w:r>
    </w:p>
    <w:p w:rsidR="00703143" w:rsidRPr="009D4D35" w:rsidRDefault="009475E1" w:rsidP="009475E1">
      <w:pPr>
        <w:pStyle w:val="ListBullet"/>
      </w:pPr>
      <w:r w:rsidRPr="009D4D35">
        <w:t xml:space="preserve">high </w:t>
      </w:r>
      <w:r w:rsidR="00703143" w:rsidRPr="009D4D35">
        <w:t>value capital investments (TEI over $100 million); and/or</w:t>
      </w:r>
    </w:p>
    <w:p w:rsidR="00703143" w:rsidRPr="009D4D35" w:rsidRDefault="009475E1" w:rsidP="009475E1">
      <w:pPr>
        <w:pStyle w:val="ListBullet"/>
      </w:pPr>
      <w:r w:rsidRPr="009D4D35">
        <w:t xml:space="preserve">any </w:t>
      </w:r>
      <w:r w:rsidR="00703143" w:rsidRPr="009D4D35">
        <w:t xml:space="preserve">other capital investment considered by Government as having potential significant value creation and/or capture opportunity. </w:t>
      </w:r>
    </w:p>
    <w:p w:rsidR="006E1925" w:rsidRPr="009D4D35" w:rsidRDefault="006E1925" w:rsidP="00276C55">
      <w:pPr>
        <w:pStyle w:val="ListBullet"/>
        <w:numPr>
          <w:ilvl w:val="0"/>
          <w:numId w:val="0"/>
        </w:numPr>
      </w:pPr>
    </w:p>
    <w:p w:rsidR="005519F5" w:rsidRPr="009D4D35" w:rsidRDefault="005519F5" w:rsidP="00703143"/>
    <w:p w:rsidR="006E1925" w:rsidRPr="009D4D35" w:rsidRDefault="006E1925" w:rsidP="00276C55">
      <w:pPr>
        <w:pStyle w:val="ListBullet"/>
        <w:numPr>
          <w:ilvl w:val="0"/>
          <w:numId w:val="0"/>
        </w:numPr>
        <w:rPr>
          <w:b/>
        </w:rPr>
      </w:pPr>
      <w:r w:rsidRPr="009D4D35">
        <w:rPr>
          <w:b/>
        </w:rPr>
        <w:lastRenderedPageBreak/>
        <w:t>REALISATION PROCESS</w:t>
      </w:r>
    </w:p>
    <w:p w:rsidR="005519F5" w:rsidRPr="009D4D35" w:rsidRDefault="006E1925" w:rsidP="00276C55">
      <w:pPr>
        <w:pStyle w:val="ListBullet3"/>
        <w:numPr>
          <w:ilvl w:val="0"/>
          <w:numId w:val="0"/>
        </w:numPr>
        <w:rPr>
          <w:b/>
        </w:rPr>
      </w:pPr>
      <w:r w:rsidRPr="009D4D35">
        <w:rPr>
          <w:b/>
        </w:rPr>
        <w:t>Evaluation</w:t>
      </w:r>
    </w:p>
    <w:p w:rsidR="005519F5" w:rsidRPr="009D4D35" w:rsidRDefault="005519F5" w:rsidP="00276C55">
      <w:pPr>
        <w:pStyle w:val="ListBullet3"/>
        <w:numPr>
          <w:ilvl w:val="0"/>
          <w:numId w:val="0"/>
        </w:numPr>
      </w:pPr>
      <w:r w:rsidRPr="009D4D35">
        <w:t>The post-implementatio</w:t>
      </w:r>
      <w:r w:rsidR="00926B29" w:rsidRPr="009D4D35">
        <w:t>n review of an investment may</w:t>
      </w:r>
      <w:r w:rsidRPr="009D4D35">
        <w:t xml:space="preserve"> include (where relevant):</w:t>
      </w:r>
    </w:p>
    <w:p w:rsidR="005519F5" w:rsidRPr="009D4D35" w:rsidRDefault="005519F5" w:rsidP="005519F5">
      <w:pPr>
        <w:pStyle w:val="ListBullet"/>
      </w:pPr>
      <w:r w:rsidRPr="009D4D35">
        <w:t xml:space="preserve">assessing the extent to which the intended VCC objectives for an investment were achieved; </w:t>
      </w:r>
    </w:p>
    <w:p w:rsidR="005519F5" w:rsidRPr="009D4D35" w:rsidRDefault="005519F5" w:rsidP="005519F5">
      <w:pPr>
        <w:pStyle w:val="ListBullet"/>
      </w:pPr>
      <w:r w:rsidRPr="009D4D35">
        <w:t>measuring the additional benefits accrued (either to Government or to other beneficiaries) as a result of implementing the VCC opportunities (these should be over and above the intended investment benefits and should be directly attributable to the VCC opportunity or mechanism); and</w:t>
      </w:r>
    </w:p>
    <w:p w:rsidR="005519F5" w:rsidRPr="009D4D35" w:rsidRDefault="005519F5" w:rsidP="005519F5">
      <w:pPr>
        <w:pStyle w:val="ListBullet"/>
      </w:pPr>
      <w:r w:rsidRPr="009D4D35">
        <w:t xml:space="preserve">measuring the value captured (either by State, Federal or local government or other party) as a direct result of implementing the investment. </w:t>
      </w:r>
    </w:p>
    <w:p w:rsidR="005519F5" w:rsidRPr="009D4D35" w:rsidRDefault="005519F5" w:rsidP="00276C55">
      <w:pPr>
        <w:pStyle w:val="ListBullet"/>
        <w:numPr>
          <w:ilvl w:val="0"/>
          <w:numId w:val="0"/>
        </w:numPr>
      </w:pPr>
      <w:r w:rsidRPr="009D4D35">
        <w:t>VCC elements should be considered as part of the Gate 6 Gateway Review for relevant projects. A copy of any evaluation material relating to VCC elements should be provided to DPC to ensure the continued improvement of activities under the VCCF.</w:t>
      </w:r>
    </w:p>
    <w:p w:rsidR="006E1925" w:rsidRPr="009D4D35" w:rsidRDefault="006E1925" w:rsidP="00276C55">
      <w:pPr>
        <w:pStyle w:val="ListBullet3"/>
        <w:numPr>
          <w:ilvl w:val="0"/>
          <w:numId w:val="0"/>
        </w:numPr>
        <w:rPr>
          <w:b/>
        </w:rPr>
      </w:pPr>
      <w:r w:rsidRPr="009D4D35">
        <w:rPr>
          <w:b/>
        </w:rPr>
        <w:t>Ongoing</w:t>
      </w:r>
    </w:p>
    <w:p w:rsidR="006E1925" w:rsidRPr="009D4D35" w:rsidRDefault="006E1925" w:rsidP="00276C55">
      <w:pPr>
        <w:pStyle w:val="ListBullet"/>
        <w:numPr>
          <w:ilvl w:val="0"/>
          <w:numId w:val="0"/>
        </w:numPr>
      </w:pPr>
      <w:r w:rsidRPr="009D4D35">
        <w:t>In many cases an infrastructure or land development project will unlock the potential for value creation and value capture opportunities which will be realised after the project has been delivered. In some cases value capture mechanisms might apply across multiple projects, such as infrastructure contribution plans.</w:t>
      </w:r>
    </w:p>
    <w:p w:rsidR="006E1925" w:rsidRPr="009D4D35" w:rsidRDefault="006E1925" w:rsidP="00276C55">
      <w:pPr>
        <w:pStyle w:val="ListBullet"/>
        <w:numPr>
          <w:ilvl w:val="0"/>
          <w:numId w:val="0"/>
        </w:numPr>
      </w:pPr>
      <w:r w:rsidRPr="009D4D35">
        <w:t>For these reasons it is important for Government to have an ongoing role to pursue and implement value creation and capture outside of individual projects and beyond the delivery life of the project. The project sponsor will also be responsible for identifying how outstanding value creation and capture opportunities developed in the business case and VCC Plan will be pursued after delivery of the project, including any additional opportunities that may arise from time to time.</w:t>
      </w:r>
    </w:p>
    <w:p w:rsidR="009475E1" w:rsidRPr="009D4D35" w:rsidRDefault="009475E1" w:rsidP="009475E1">
      <w:r w:rsidRPr="009D4D35">
        <w:t xml:space="preserve">Further information </w:t>
      </w:r>
      <w:r w:rsidR="00703143" w:rsidRPr="009D4D35">
        <w:t xml:space="preserve">on the VCCF is available on the Department of Premier and Cabinet’s website: </w:t>
      </w:r>
      <w:hyperlink r:id="rId31" w:history="1">
        <w:r w:rsidRPr="009D4D35">
          <w:rPr>
            <w:rStyle w:val="Hyperlink"/>
          </w:rPr>
          <w:t>http://www.dpc.vic.gov.au/index.php/news-publications/value-creation-and-capture-framework</w:t>
        </w:r>
      </w:hyperlink>
    </w:p>
    <w:p w:rsidR="00703143" w:rsidRPr="009D4D35" w:rsidRDefault="00703143" w:rsidP="009475E1">
      <w:pPr>
        <w:pStyle w:val="Heading2"/>
      </w:pPr>
      <w:bookmarkStart w:id="14" w:name="_Toc499630201"/>
      <w:r w:rsidRPr="009D4D35">
        <w:rPr>
          <w:i/>
        </w:rPr>
        <w:t>Climate Change Act 2017</w:t>
      </w:r>
      <w:r w:rsidRPr="009D4D35">
        <w:t xml:space="preserve"> and related climate change initiatives</w:t>
      </w:r>
      <w:bookmarkEnd w:id="14"/>
    </w:p>
    <w:p w:rsidR="00703143" w:rsidRPr="009D4D35" w:rsidRDefault="00703143" w:rsidP="00703143">
      <w:r w:rsidRPr="009D4D35">
        <w:t xml:space="preserve">The Victorian Government’s new </w:t>
      </w:r>
      <w:r w:rsidRPr="009D4D35">
        <w:rPr>
          <w:i/>
        </w:rPr>
        <w:t>Climate Change Act 2017</w:t>
      </w:r>
      <w:r w:rsidR="009475E1" w:rsidRPr="009D4D35">
        <w:t xml:space="preserve"> commenced operation on 1 </w:t>
      </w:r>
      <w:r w:rsidRPr="009D4D35">
        <w:t xml:space="preserve">November 2017. The Act sets out a clear policy framework and a pathway to 2050 that is consistent with the Paris Agreement to keep global temperature rise well below 2 degrees Celsius above pre-industrial levels. The Act sits alongside other key Victorian Government energy and climate change initiatives including Victoria’s Climate Change Framework, Victoria’s Climate Change Adaptation Plan 2017-2020 and Victoria’s Renewable Energy Action Plan. </w:t>
      </w:r>
    </w:p>
    <w:p w:rsidR="00703143" w:rsidRPr="009D4D35" w:rsidRDefault="00703143" w:rsidP="00703143">
      <w:r w:rsidRPr="009D4D35">
        <w:t>Investors are encouraged to consider climate change policies and initiatives in developing and delivering infrastructure investments, including:</w:t>
      </w:r>
    </w:p>
    <w:p w:rsidR="00703143" w:rsidRPr="009D4D35" w:rsidRDefault="00703143" w:rsidP="009475E1">
      <w:pPr>
        <w:pStyle w:val="ListBullet"/>
      </w:pPr>
      <w:r w:rsidRPr="009D4D35">
        <w:t>Reducing greenhouse gas emissions; and</w:t>
      </w:r>
    </w:p>
    <w:p w:rsidR="00703143" w:rsidRPr="009D4D35" w:rsidRDefault="00703143" w:rsidP="009475E1">
      <w:pPr>
        <w:pStyle w:val="ListBullet"/>
      </w:pPr>
      <w:r w:rsidRPr="009D4D35">
        <w:t>Adapting to climate change.</w:t>
      </w:r>
    </w:p>
    <w:p w:rsidR="00703143" w:rsidRPr="009D4D35" w:rsidRDefault="00703143" w:rsidP="00703143">
      <w:r w:rsidRPr="009D4D35">
        <w:t xml:space="preserve">In Stage 5 Realise, agencies could consider these elements as part of their post-implementation evaluation of investment success. </w:t>
      </w:r>
    </w:p>
    <w:p w:rsidR="002E3BBE" w:rsidRDefault="00703143">
      <w:pPr>
        <w:rPr>
          <w:rFonts w:asciiTheme="majorHAnsi" w:eastAsiaTheme="majorEastAsia" w:hAnsiTheme="majorHAnsi" w:cstheme="majorBidi"/>
          <w:bCs/>
          <w:color w:val="F6BE00" w:themeColor="accent1"/>
          <w:spacing w:val="-2"/>
          <w:sz w:val="36"/>
          <w:szCs w:val="28"/>
        </w:rPr>
      </w:pPr>
      <w:r w:rsidRPr="009D4D35">
        <w:t xml:space="preserve">Further information on the Victorian Government’s climate change legislation, policies and initiatives is available on the Department of Environment, Land, Water and Planning website: </w:t>
      </w:r>
      <w:hyperlink r:id="rId32" w:history="1">
        <w:r w:rsidRPr="009D4D35">
          <w:rPr>
            <w:rStyle w:val="Hyperlink"/>
          </w:rPr>
          <w:t>https://www.climatechange.vic.gov.au/adapting-to-climate-change-impacts</w:t>
        </w:r>
      </w:hyperlink>
      <w:r w:rsidRPr="009D4D35">
        <w:t>.</w:t>
      </w:r>
      <w:r w:rsidR="002B6785">
        <w:t xml:space="preserve"> </w:t>
      </w:r>
      <w:r w:rsidR="002E3BBE">
        <w:br w:type="page"/>
      </w:r>
    </w:p>
    <w:p w:rsidR="00703143" w:rsidRDefault="00703143" w:rsidP="002E3BBE">
      <w:pPr>
        <w:pStyle w:val="Heading1"/>
      </w:pPr>
      <w:bookmarkStart w:id="15" w:name="_Toc499630202"/>
      <w:r>
        <w:lastRenderedPageBreak/>
        <w:t>The evaluation process</w:t>
      </w:r>
      <w:bookmarkEnd w:id="15"/>
    </w:p>
    <w:p w:rsidR="00703143" w:rsidRDefault="00703143" w:rsidP="00703143">
      <w:r>
        <w:t xml:space="preserve">It is important to clearly define and agree the terms of reference for the evaluation. This includes the purpose(s) for doing the evaluation, the scope, the output and timeline. Evaluations can be carried out for a range of reasons: </w:t>
      </w:r>
    </w:p>
    <w:p w:rsidR="00703143" w:rsidRDefault="00703143" w:rsidP="009475E1">
      <w:pPr>
        <w:pStyle w:val="ListBullet"/>
      </w:pPr>
      <w:r>
        <w:t>to report achievements, investment outcomes and impacts;</w:t>
      </w:r>
    </w:p>
    <w:p w:rsidR="00703143" w:rsidRDefault="00703143" w:rsidP="009475E1">
      <w:pPr>
        <w:pStyle w:val="ListBullet"/>
      </w:pPr>
      <w:r>
        <w:t>to satisfy accountability requirements;</w:t>
      </w:r>
    </w:p>
    <w:p w:rsidR="00703143" w:rsidRDefault="00703143" w:rsidP="009475E1">
      <w:pPr>
        <w:pStyle w:val="ListBullet"/>
      </w:pPr>
      <w:r>
        <w:t>to contribute to evidence about what strategies, processes and systems work;</w:t>
      </w:r>
    </w:p>
    <w:p w:rsidR="00703143" w:rsidRDefault="00703143" w:rsidP="009475E1">
      <w:pPr>
        <w:pStyle w:val="ListBullet"/>
      </w:pPr>
      <w:r>
        <w:t>to inform strategic planning;</w:t>
      </w:r>
    </w:p>
    <w:p w:rsidR="00703143" w:rsidRDefault="00703143" w:rsidP="009475E1">
      <w:pPr>
        <w:pStyle w:val="ListBullet"/>
      </w:pPr>
      <w:r>
        <w:t>to identify reasons for further investment; and</w:t>
      </w:r>
    </w:p>
    <w:p w:rsidR="00703143" w:rsidRDefault="00703143" w:rsidP="009475E1">
      <w:pPr>
        <w:pStyle w:val="ListBullet"/>
      </w:pPr>
      <w:r>
        <w:t>to improve project delivery (later stages or future projects).</w:t>
      </w:r>
    </w:p>
    <w:p w:rsidR="00703143" w:rsidRDefault="00703143" w:rsidP="00703143">
      <w:r>
        <w:t xml:space="preserve">A range of issues may need to be addressed, but it is important to define and agree this at the outset. This will shape the methodology and cost of the process. Thought should also be given to potential evaluation stakeholders and to matching the output of the evaluation to the purpose and audience. Ministers may want to give press releases, departments may require summary outcomes for accountability purposes. </w:t>
      </w:r>
      <w:r w:rsidR="0076540B">
        <w:fldChar w:fldCharType="begin"/>
      </w:r>
      <w:r w:rsidR="0076540B">
        <w:instrText xml:space="preserve"> REF _Ref498694530 \h </w:instrText>
      </w:r>
      <w:r w:rsidR="0076540B">
        <w:fldChar w:fldCharType="separate"/>
      </w:r>
      <w:r w:rsidR="00684DA6">
        <w:t xml:space="preserve">Figure </w:t>
      </w:r>
      <w:r w:rsidR="00684DA6">
        <w:rPr>
          <w:noProof/>
        </w:rPr>
        <w:t>4</w:t>
      </w:r>
      <w:r w:rsidR="0076540B">
        <w:fldChar w:fldCharType="end"/>
      </w:r>
      <w:r w:rsidR="0076540B">
        <w:t xml:space="preserve"> </w:t>
      </w:r>
      <w:r>
        <w:t>shows the key elements of a project evaluation.</w:t>
      </w:r>
    </w:p>
    <w:p w:rsidR="002E3BBE" w:rsidRDefault="0076540B" w:rsidP="0076540B">
      <w:pPr>
        <w:pStyle w:val="Caption"/>
      </w:pPr>
      <w:bookmarkStart w:id="16" w:name="_Ref498694530"/>
      <w:r>
        <w:t xml:space="preserve">Figure </w:t>
      </w:r>
      <w:r w:rsidR="0060350E">
        <w:fldChar w:fldCharType="begin"/>
      </w:r>
      <w:r w:rsidR="0060350E">
        <w:instrText xml:space="preserve"> SEQ Figure \* ARABIC </w:instrText>
      </w:r>
      <w:r w:rsidR="0060350E">
        <w:fldChar w:fldCharType="separate"/>
      </w:r>
      <w:r w:rsidR="00684DA6">
        <w:rPr>
          <w:noProof/>
        </w:rPr>
        <w:t>4</w:t>
      </w:r>
      <w:r w:rsidR="0060350E">
        <w:rPr>
          <w:noProof/>
        </w:rPr>
        <w:fldChar w:fldCharType="end"/>
      </w:r>
      <w:bookmarkEnd w:id="16"/>
      <w:r>
        <w:t xml:space="preserve">: Key </w:t>
      </w:r>
      <w:r w:rsidR="002E3BBE">
        <w:t>elements</w:t>
      </w:r>
      <w:r>
        <w:t xml:space="preserve"> of a project evaluation</w:t>
      </w:r>
    </w:p>
    <w:p w:rsidR="002B6785" w:rsidRDefault="002B6785" w:rsidP="002B6785">
      <w:r w:rsidRPr="002B6785">
        <w:rPr>
          <w:noProof/>
          <w:lang w:eastAsia="en-AU"/>
        </w:rPr>
        <mc:AlternateContent>
          <mc:Choice Requires="wpg">
            <w:drawing>
              <wp:inline distT="0" distB="0" distL="0" distR="0">
                <wp:extent cx="4895095" cy="756672"/>
                <wp:effectExtent l="0" t="0" r="1270" b="5715"/>
                <wp:docPr id="94" name="Group 41"/>
                <wp:cNvGraphicFramePr/>
                <a:graphic xmlns:a="http://schemas.openxmlformats.org/drawingml/2006/main">
                  <a:graphicData uri="http://schemas.microsoft.com/office/word/2010/wordprocessingGroup">
                    <wpg:wgp>
                      <wpg:cNvGrpSpPr/>
                      <wpg:grpSpPr>
                        <a:xfrm>
                          <a:off x="0" y="0"/>
                          <a:ext cx="4895095" cy="756672"/>
                          <a:chOff x="0" y="0"/>
                          <a:chExt cx="4895095" cy="756672"/>
                        </a:xfrm>
                      </wpg:grpSpPr>
                      <wps:wsp>
                        <wps:cNvPr id="95" name="Rectangle 95"/>
                        <wps:cNvSpPr/>
                        <wps:spPr>
                          <a:xfrm>
                            <a:off x="0" y="0"/>
                            <a:ext cx="4283088" cy="756672"/>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96" name="Rectangle 96"/>
                        <wps:cNvSpPr/>
                        <wps:spPr>
                          <a:xfrm>
                            <a:off x="4355095" y="0"/>
                            <a:ext cx="540000" cy="7566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 xml:space="preserve">Project </w:t>
                              </w:r>
                              <w:r>
                                <w:rPr>
                                  <w:rFonts w:asciiTheme="minorHAnsi" w:eastAsia="Arial" w:hAnsi="Arial" w:cs="Calibri"/>
                                  <w:color w:val="000000"/>
                                  <w:kern w:val="24"/>
                                  <w:sz w:val="14"/>
                                  <w:szCs w:val="14"/>
                                  <w:lang w:val="en-US"/>
                                </w:rPr>
                                <w:br/>
                                <w:t xml:space="preserve">evaluation </w:t>
                              </w:r>
                              <w:r>
                                <w:rPr>
                                  <w:rFonts w:asciiTheme="minorHAnsi" w:eastAsia="Arial" w:hAnsi="Arial" w:cs="Calibri"/>
                                  <w:color w:val="000000"/>
                                  <w:kern w:val="24"/>
                                  <w:sz w:val="14"/>
                                  <w:szCs w:val="14"/>
                                  <w:lang w:val="en-US"/>
                                </w:rPr>
                                <w:br/>
                                <w:t>template</w:t>
                              </w:r>
                            </w:p>
                          </w:txbxContent>
                        </wps:txbx>
                        <wps:bodyPr lIns="0" tIns="0" rIns="0" bIns="0" rtlCol="0" anchor="ctr"/>
                      </wps:wsp>
                      <wps:wsp>
                        <wps:cNvPr id="97" name="Rectangle 97"/>
                        <wps:cNvSpPr/>
                        <wps:spPr>
                          <a:xfrm>
                            <a:off x="106623" y="114859"/>
                            <a:ext cx="756000" cy="52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Scope review</w:t>
                              </w:r>
                            </w:p>
                          </w:txbxContent>
                        </wps:txbx>
                        <wps:bodyPr lIns="0" tIns="0" rIns="0" bIns="0" rtlCol="0" anchor="ctr"/>
                      </wps:wsp>
                      <wps:wsp>
                        <wps:cNvPr id="98" name="Rectangle 98"/>
                        <wps:cNvSpPr/>
                        <wps:spPr>
                          <a:xfrm>
                            <a:off x="948906" y="114859"/>
                            <a:ext cx="756000" cy="52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Determine methodology</w:t>
                              </w:r>
                            </w:p>
                          </w:txbxContent>
                        </wps:txbx>
                        <wps:bodyPr lIns="0" tIns="0" rIns="0" bIns="0" rtlCol="0" anchor="ctr"/>
                      </wps:wsp>
                      <wps:wsp>
                        <wps:cNvPr id="99" name="Rectangle 99"/>
                        <wps:cNvSpPr/>
                        <wps:spPr>
                          <a:xfrm>
                            <a:off x="1786990" y="114859"/>
                            <a:ext cx="756000" cy="52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Identify major issues/findings</w:t>
                              </w:r>
                            </w:p>
                          </w:txbxContent>
                        </wps:txbx>
                        <wps:bodyPr lIns="0" tIns="0" rIns="0" bIns="0" rtlCol="0" anchor="ctr"/>
                      </wps:wsp>
                      <wps:wsp>
                        <wps:cNvPr id="100" name="Rectangle 100"/>
                        <wps:cNvSpPr/>
                        <wps:spPr>
                          <a:xfrm>
                            <a:off x="2626903" y="114859"/>
                            <a:ext cx="756000" cy="52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 xml:space="preserve">Capture </w:t>
                              </w:r>
                              <w:r>
                                <w:rPr>
                                  <w:rFonts w:asciiTheme="minorHAnsi" w:eastAsia="Arial" w:hAnsi="Arial" w:cs="Calibri"/>
                                  <w:color w:val="000000"/>
                                  <w:kern w:val="24"/>
                                  <w:sz w:val="14"/>
                                  <w:szCs w:val="14"/>
                                  <w:lang w:val="en-US"/>
                                </w:rPr>
                                <w:br/>
                                <w:t>lessons learnt</w:t>
                              </w:r>
                            </w:p>
                          </w:txbxContent>
                        </wps:txbx>
                        <wps:bodyPr lIns="0" tIns="0" rIns="0" bIns="0" rtlCol="0" anchor="ctr"/>
                      </wps:wsp>
                      <wps:wsp>
                        <wps:cNvPr id="101" name="Rectangle 101"/>
                        <wps:cNvSpPr/>
                        <wps:spPr>
                          <a:xfrm>
                            <a:off x="3464157" y="114859"/>
                            <a:ext cx="756000" cy="52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Formulate recommendations</w:t>
                              </w:r>
                            </w:p>
                          </w:txbxContent>
                        </wps:txbx>
                        <wps:bodyPr lIns="0" tIns="0" rIns="0" bIns="0" rtlCol="0" anchor="ctr"/>
                      </wps:wsp>
                      <wps:wsp>
                        <wps:cNvPr id="102" name="Straight Arrow Connector 102"/>
                        <wps:cNvCnPr/>
                        <wps:spPr>
                          <a:xfrm>
                            <a:off x="867323"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a:off x="1705606"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wps:spPr>
                          <a:xfrm>
                            <a:off x="2542990"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wps:spPr>
                          <a:xfrm>
                            <a:off x="3385281" y="373120"/>
                            <a:ext cx="76597" cy="0"/>
                          </a:xfrm>
                          <a:prstGeom prst="straightConnector1">
                            <a:avLst/>
                          </a:prstGeom>
                          <a:ln>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flipV="1">
                            <a:off x="4194224" y="372124"/>
                            <a:ext cx="160871" cy="1993"/>
                          </a:xfrm>
                          <a:prstGeom prst="straightConnector1">
                            <a:avLst/>
                          </a:prstGeom>
                          <a:ln w="12700">
                            <a:solidFill>
                              <a:schemeClr val="tx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1" o:spid="_x0000_s1035" style="width:385.45pt;height:59.6pt;mso-position-horizontal-relative:char;mso-position-vertical-relative:line" coordsize="48950,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">
                <v:rect id="Rectangle 95" o:spid="_x0000_s1036" style="position:absolute;width:42830;height:7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EqsQA&#10;AADbAAAADwAAAGRycy9kb3ducmV2LnhtbESPQWsCMRSE70L/Q3gFL1JfWqltt0YpgqCHHqq159fN&#10;62bp5mXZRF3/vSkUPA4z8w0zW/S+UUfuYh3EwP1Yg2Ipg62lMvC5W909g4qJxFIThA2cOcJifjOY&#10;UWHDST74uE2VyhCJBRlwKbUFYiwde4rj0LJk7yd0nlKWXYW2o1OG+wYftJ6ip1rygqOWl47L3+3B&#10;G9Bpgw7xnZbf08nXfvS02m303pjhbf/2Cipxn67h//baGnh5hL8v+Qfg/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xKrEAAAA2wAAAA8AAAAAAAAAAAAAAAAAmAIAAGRycy9k&#10;b3ducmV2LnhtbFBLBQYAAAAABAAEAPUAAACJAwAAAAA=&#10;" fillcolor="#fade7f [3207]" stroked="f" strokeweight="2pt">
                  <v:textbox inset="0,0,0,0"/>
                </v:rect>
                <v:rect id="Rectangle 96" o:spid="_x0000_s1037" style="position:absolute;left:43550;width:5400;height:7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A8UA&#10;AADbAAAADwAAAGRycy9kb3ducmV2LnhtbESPQWsCMRSE7wX/Q3hCL6VmLVbarVGkpSAihW4Venwk&#10;r5vFzcuapLr+eyMUehxm5htmtuhdK44UYuNZwXhUgCDW3jRcK9h+vd8/gYgJ2WDrmRScKcJiPriZ&#10;YWn8iT/pWKVaZAjHEhXYlLpSyqgtOYwj3xFn78cHhynLUEsT8JThrpUPRTGVDhvOCxY7erWk99Wv&#10;U9BWHztaBW3W/eTwfVc86jfbbJS6HfbLFxCJ+vQf/muvjILnKVy/5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6kDxQAAANsAAAAPAAAAAAAAAAAAAAAAAJgCAABkcnMv&#10;ZG93bnJldi54bWxQSwUGAAAAAAQABAD1AAAAigMAAAAA&#10;" fillcolor="#f6be00 [3204]" stroked="f" strokeweight="2pt">
                  <v:textbox inset="0,0,0,0">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 xml:space="preserve">Project </w:t>
                        </w:r>
                        <w:r>
                          <w:rPr>
                            <w:rFonts w:asciiTheme="minorHAnsi" w:eastAsia="Arial" w:hAnsi="Arial" w:cs="Calibri"/>
                            <w:color w:val="000000"/>
                            <w:kern w:val="24"/>
                            <w:sz w:val="14"/>
                            <w:szCs w:val="14"/>
                            <w:lang w:val="en-US"/>
                          </w:rPr>
                          <w:br/>
                          <w:t xml:space="preserve">evaluation </w:t>
                        </w:r>
                        <w:r>
                          <w:rPr>
                            <w:rFonts w:asciiTheme="minorHAnsi" w:eastAsia="Arial" w:hAnsi="Arial" w:cs="Calibri"/>
                            <w:color w:val="000000"/>
                            <w:kern w:val="24"/>
                            <w:sz w:val="14"/>
                            <w:szCs w:val="14"/>
                            <w:lang w:val="en-US"/>
                          </w:rPr>
                          <w:br/>
                          <w:t>template</w:t>
                        </w:r>
                      </w:p>
                    </w:txbxContent>
                  </v:textbox>
                </v:rect>
                <v:rect id="Rectangle 97" o:spid="_x0000_s1038" style="position:absolute;left:1066;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MmMUA&#10;AADbAAAADwAAAGRycy9kb3ducmV2LnhtbESPQUsDMRSE7wX/Q3iCF7HZllp1bVqkIhQphW4reHwk&#10;z83SzcuaxHb7740g9DjMzDfMbNG7VhwpxMazgtGwAEGsvWm4VrDfvd09gogJ2WDrmRScKcJifjWY&#10;YWn8ibd0rFItMoRjiQpsSl0pZdSWHMah74iz9+WDw5RlqKUJeMpw18pxUUylw4bzgsWOlpb0ofpx&#10;Ctpq80GroM17P/n+vC3u9att1krdXPcvzyAS9ekS/m+vjIKnB/j7k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wyYxQAAANsAAAAPAAAAAAAAAAAAAAAAAJgCAABkcnMv&#10;ZG93bnJldi54bWxQSwUGAAAAAAQABAD1AAAAigMAAAAA&#10;" fillcolor="#f6be00 [3204]" stroked="f" strokeweight="2pt">
                  <v:textbox inset="0,0,0,0">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Scope review</w:t>
                        </w:r>
                      </w:p>
                    </w:txbxContent>
                  </v:textbox>
                </v:rect>
                <v:rect id="Rectangle 98" o:spid="_x0000_s1039" style="position:absolute;left:9489;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Y6sIA&#10;AADbAAAADwAAAGRycy9kb3ducmV2LnhtbERPXUvDMBR9H/gfwhV8GTZVNtHadIgyGDIEq4KPl+Ta&#10;FJubmmRb9+/Nw2CPh/NdryY3iD2F2HtWcFOUIIi1Nz13Cj4/1tf3IGJCNjh4JgVHirBqLmY1VsYf&#10;+J32bepEDuFYoQKb0lhJGbUlh7HwI3HmfnxwmDIMnTQBDzncDfK2LO+kw55zg8WRni3p33bnFAzt&#10;2xdtgjav0+Lve14u9Yvtt0pdXU5PjyASTeksPrk3RsFDHpu/5B8g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JjqwgAAANsAAAAPAAAAAAAAAAAAAAAAAJgCAABkcnMvZG93&#10;bnJldi54bWxQSwUGAAAAAAQABAD1AAAAhwMAAAAA&#10;" fillcolor="#f6be00 [3204]" stroked="f" strokeweight="2pt">
                  <v:textbox inset="0,0,0,0">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Determine methodology</w:t>
                        </w:r>
                      </w:p>
                    </w:txbxContent>
                  </v:textbox>
                </v:rect>
                <v:rect id="Rectangle 99" o:spid="_x0000_s1040" style="position:absolute;left:17869;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9ccUA&#10;AADbAAAADwAAAGRycy9kb3ducmV2LnhtbESPQWsCMRSE7wX/Q3hCL1Kzii11axSpCCKl0K1Cj4/k&#10;dbN087JNUl3/fVMQehxm5htmsepdK04UYuNZwWRcgCDW3jRcKzi8b+8eQcSEbLD1TAouFGG1HNws&#10;sDT+zG90qlItMoRjiQpsSl0pZdSWHMax74iz9+mDw5RlqKUJeM5w18ppUTxIhw3nBYsdPVvSX9WP&#10;U9BWr0faBW32/ez7Y1Tc641tXpS6HfbrJxCJ+vQfvrZ3RsF8Dn9f8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D1xxQAAANsAAAAPAAAAAAAAAAAAAAAAAJgCAABkcnMv&#10;ZG93bnJldi54bWxQSwUGAAAAAAQABAD1AAAAigMAAAAA&#10;" fillcolor="#f6be00 [3204]" stroked="f" strokeweight="2pt">
                  <v:textbox inset="0,0,0,0">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Identify major issues/findings</w:t>
                        </w:r>
                      </w:p>
                    </w:txbxContent>
                  </v:textbox>
                </v:rect>
                <v:rect id="Rectangle 100" o:spid="_x0000_s1041" style="position:absolute;left:26269;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XksQA&#10;AADcAAAADwAAAGRycy9kb3ducmV2LnhtbESPQUsDMRCF70L/Q5iCF7GJoiJr01IqQhERuip4HJJx&#10;s7iZrEls13/vHARvM7w3732zXE9xUAfKpU9s4WJhQBG75HvuLLy+PJzfgioV2eOQmCz8UIH1anay&#10;xManI+/p0NZOSQiXBi2EWsdG6+ICRSyLNBKL9pFyxCpr7rTPeJTwOOhLY250xJ6lIeBI20Dus/2O&#10;Fob2+Y122fnH6err/cxcu/vQP1l7Op82d6AqTfXf/He984JvBF+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1V5LEAAAA3AAAAA8AAAAAAAAAAAAAAAAAmAIAAGRycy9k&#10;b3ducmV2LnhtbFBLBQYAAAAABAAEAPUAAACJAwAAAAA=&#10;" fillcolor="#f6be00 [3204]" stroked="f" strokeweight="2pt">
                  <v:textbox inset="0,0,0,0">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 xml:space="preserve">Capture </w:t>
                        </w:r>
                        <w:r>
                          <w:rPr>
                            <w:rFonts w:asciiTheme="minorHAnsi" w:eastAsia="Arial" w:hAnsi="Arial" w:cs="Calibri"/>
                            <w:color w:val="000000"/>
                            <w:kern w:val="24"/>
                            <w:sz w:val="14"/>
                            <w:szCs w:val="14"/>
                            <w:lang w:val="en-US"/>
                          </w:rPr>
                          <w:br/>
                          <w:t>lessons learnt</w:t>
                        </w:r>
                      </w:p>
                    </w:txbxContent>
                  </v:textbox>
                </v:rect>
                <v:rect id="Rectangle 101" o:spid="_x0000_s1042" style="position:absolute;left:34641;top:1148;width:7560;height:5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yCcMA&#10;AADcAAAADwAAAGRycy9kb3ducmV2LnhtbERPTUsDMRC9C/0PYQpepE0qWmRtWkpFKCJCtxY8Dsl0&#10;s3QzWZPYrv/eCIK3ebzPWawG34kzxdQG1jCbKhDEJtiWGw3v++fJA4iUkS12gUnDNyVYLUdXC6xs&#10;uPCOznVuRAnhVKEGl3NfSZmMI49pGnriwh1D9JgLjI20ES8l3HfyVqm59NhyaXDY08aROdVfXkNX&#10;vx1oG419Ge4+P27UvXly7avW1+Nh/Qgi05D/xX/urS3z1Qx+ny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nyCcMAAADcAAAADwAAAAAAAAAAAAAAAACYAgAAZHJzL2Rv&#10;d25yZXYueG1sUEsFBgAAAAAEAAQA9QAAAIgDAAAAAA==&#10;" fillcolor="#f6be00 [3204]" stroked="f" strokeweight="2pt">
                  <v:textbox inset="0,0,0,0">
                    <w:txbxContent>
                      <w:p w:rsidR="00926B29" w:rsidRDefault="00926B29" w:rsidP="002B6785">
                        <w:pPr>
                          <w:pStyle w:val="NormalWeb"/>
                          <w:spacing w:before="0" w:after="0"/>
                          <w:jc w:val="center"/>
                        </w:pPr>
                        <w:r>
                          <w:rPr>
                            <w:rFonts w:asciiTheme="minorHAnsi" w:eastAsia="Arial" w:hAnsi="Arial" w:cs="Calibri"/>
                            <w:color w:val="000000"/>
                            <w:kern w:val="24"/>
                            <w:sz w:val="14"/>
                            <w:szCs w:val="14"/>
                            <w:lang w:val="en-US"/>
                          </w:rPr>
                          <w:t>Formulate recommendations</w:t>
                        </w:r>
                      </w:p>
                    </w:txbxContent>
                  </v:textbox>
                </v:rect>
                <v:shapetype id="_x0000_t32" coordsize="21600,21600" o:spt="32" o:oned="t" path="m,l21600,21600e" filled="f">
                  <v:path arrowok="t" fillok="f" o:connecttype="none"/>
                  <o:lock v:ext="edit" shapetype="t"/>
                </v:shapetype>
                <v:shape id="Straight Arrow Connector 102" o:spid="_x0000_s1043" type="#_x0000_t32" style="position:absolute;left:8673;top:3731;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leCL4AAADcAAAADwAAAGRycy9kb3ducmV2LnhtbERPy6rCMBDdC/5DGMGdpnbhvVajiKDo&#10;ztfG3dCMTbGZ1CZq/XtzQbi7OZznzBatrcSTGl86VjAaJiCIc6dLLhScT+vBLwgfkDVWjknBmzws&#10;5t3ODDPtXnyg5zEUIoawz1CBCaHOpPS5IYt+6GriyF1dYzFE2BRSN/iK4baSaZKMpcWSY4PBmlaG&#10;8tvxYRXc0019IbtH2jEVj3yyMz/vi1L9XrucggjUhn/x173VcX6Swt8z8QI5/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2V4IvgAAANwAAAAPAAAAAAAAAAAAAAAAAKEC&#10;AABkcnMvZG93bnJldi54bWxQSwUGAAAAAAQABAD5AAAAjAMAAAAA&#10;" strokecolor="#53565a [3215]">
                  <v:stroke endarrow="block"/>
                </v:shape>
                <v:shape id="Straight Arrow Connector 103" o:spid="_x0000_s1044" type="#_x0000_t32" style="position:absolute;left:17056;top:3731;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7k8AAAADcAAAADwAAAGRycy9kb3ducmV2LnhtbERPS4vCMBC+C/sfwizsTVMV1K2mZRGU&#10;9eZjL96GZmyKzaTbRK3/3giCt/n4nrPIO1uLK7W+cqxgOEhAEBdOV1wq+Dus+jMQPiBrrB2Tgjt5&#10;yLOP3gJT7W68o+s+lCKGsE9RgQmhSaX0hSGLfuAa4sidXGsxRNiWUrd4i+G2lqMkmUiLFccGgw0t&#10;DRXn/cUq+B+tmyPZLdKGqbwU3xszvR+V+vrsfuYgAnXhLX65f3Wcn4zh+Uy8QG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V+5PAAAAA3AAAAA8AAAAAAAAAAAAAAAAA&#10;oQIAAGRycy9kb3ducmV2LnhtbFBLBQYAAAAABAAEAPkAAACOAwAAAAA=&#10;" strokecolor="#53565a [3215]">
                  <v:stroke endarrow="block"/>
                </v:shape>
                <v:shape id="Straight Arrow Connector 104" o:spid="_x0000_s1045" type="#_x0000_t32" style="position:absolute;left:25429;top:3731;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j58AAAADcAAAADwAAAGRycy9kb3ducmV2LnhtbERPS4vCMBC+C/sfwizsTVNF1K2mZRGU&#10;9eZjL96GZmyKzaTbRK3/3giCt/n4nrPIO1uLK7W+cqxgOEhAEBdOV1wq+Dus+jMQPiBrrB2Tgjt5&#10;yLOP3gJT7W68o+s+lCKGsE9RgQmhSaX0hSGLfuAa4sidXGsxRNiWUrd4i+G2lqMkmUiLFccGgw0t&#10;DRXn/cUq+B+tmyPZLdKGqbwU3xszvR+V+vrsfuYgAnXhLX65f3Wcn4zh+Uy8QG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8Y+fAAAAA3AAAAA8AAAAAAAAAAAAAAAAA&#10;oQIAAGRycy9kb3ducmV2LnhtbFBLBQYAAAAABAAEAPkAAACOAwAAAAA=&#10;" strokecolor="#53565a [3215]">
                  <v:stroke endarrow="block"/>
                </v:shape>
                <v:shape id="Straight Arrow Connector 105" o:spid="_x0000_s1046" type="#_x0000_t32" style="position:absolute;left:33852;top:3731;width: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GfMAAAADcAAAADwAAAGRycy9kb3ducmV2LnhtbERPS4vCMBC+C/sfwizsTVMFH1tNyyIo&#10;683HXrwNzdgUm0m3iVr/vREEb/PxPWeRd7YWV2p95VjBcJCAIC6crrhU8HdY9WcgfEDWWDsmBXfy&#10;kGcfvQWm2t14R9d9KEUMYZ+iAhNCk0rpC0MW/cA1xJE7udZiiLAtpW7xFsNtLUdJMpEWK44NBhta&#10;GirO+4tV8D9aN0eyW6QNU3kpvjdmej8q9fXZ/cxBBOrCW/xy/+o4PxnD85l4gcw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wxnzAAAAA3AAAAA8AAAAAAAAAAAAAAAAA&#10;oQIAAGRycy9kb3ducmV2LnhtbFBLBQYAAAAABAAEAPkAAACOAwAAAAA=&#10;" strokecolor="#53565a [3215]">
                  <v:stroke endarrow="block"/>
                </v:shape>
                <v:shape id="Straight Arrow Connector 106" o:spid="_x0000_s1047" type="#_x0000_t32" style="position:absolute;left:41942;top:3721;width:1608;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398AAAADcAAAADwAAAGRycy9kb3ducmV2LnhtbERPS4vCMBC+C/sfwizsTRM9aKlGWVbU&#10;PfpC6W1oxrbYTEoTtfvvN4LgbT6+58wWna3FnVpfOdYwHCgQxLkzFRcajodVPwHhA7LB2jFp+CMP&#10;i/lHb4apcQ/e0X0fChFD2KeooQyhSaX0eUkW/cA1xJG7uNZiiLAtpGnxEcNtLUdKjaXFimNDiQ39&#10;lJRf9zerIfNrHiYjTCab1Un5c5KF7TLT+uuz+56CCNSFt/jl/jVxvhrD85l4gZ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rN/fAAAAA3AAAAA8AAAAAAAAAAAAAAAAA&#10;oQIAAGRycy9kb3ducmV2LnhtbFBLBQYAAAAABAAEAPkAAACOAwAAAAA=&#10;" strokecolor="#53565a [3215]" strokeweight="1pt">
                  <v:stroke endarrow="block"/>
                </v:shape>
                <w10:anchorlock/>
              </v:group>
            </w:pict>
          </mc:Fallback>
        </mc:AlternateContent>
      </w:r>
    </w:p>
    <w:p w:rsidR="00703143" w:rsidRPr="002E3BBE" w:rsidRDefault="00703143" w:rsidP="00703143">
      <w:pPr>
        <w:rPr>
          <w:sz w:val="18"/>
        </w:rPr>
      </w:pPr>
      <w:r w:rsidRPr="002E3BBE">
        <w:rPr>
          <w:sz w:val="18"/>
        </w:rPr>
        <w:t xml:space="preserve">Source: Former Department of Community Planning and Development, Evaluation Step-by-Step Guide </w:t>
      </w:r>
    </w:p>
    <w:p w:rsidR="00703143" w:rsidRDefault="00703143" w:rsidP="009475E1">
      <w:pPr>
        <w:pStyle w:val="Heading2"/>
      </w:pPr>
      <w:bookmarkStart w:id="17" w:name="_Toc499630203"/>
      <w:r>
        <w:t>Scope and scale</w:t>
      </w:r>
      <w:bookmarkEnd w:id="17"/>
    </w:p>
    <w:p w:rsidR="00703143" w:rsidRDefault="00703143" w:rsidP="00703143">
      <w:r>
        <w:t>Defining the purpose of the review establishes the scope – wha</w:t>
      </w:r>
      <w:r w:rsidR="0076540B">
        <w:t>t is to be included and what is </w:t>
      </w:r>
      <w:r>
        <w:t>not.</w:t>
      </w:r>
    </w:p>
    <w:p w:rsidR="00703143" w:rsidRDefault="00703143" w:rsidP="00703143">
      <w:r>
        <w:t xml:space="preserve">The objectives of the investment will also drive the scope, which will vary according to the investment’s size and complexity. It may also be affected by any significant stakeholder concerns raised over the project to date. </w:t>
      </w:r>
    </w:p>
    <w:p w:rsidR="00703143" w:rsidRDefault="00703143" w:rsidP="00703143">
      <w:r>
        <w:t>The scale and scope of the review will depend on whether the investment is providing a service, economic infrastructure or includes a long-term service contract, such as Partnerships Victoria projects. The checklist of issues in Appendix B can be used to help define the scope.</w:t>
      </w:r>
    </w:p>
    <w:p w:rsidR="00703143" w:rsidRDefault="00703143" w:rsidP="00703143">
      <w:r>
        <w:t>A project evaluation may incorporate or take account of other post-implementation reviews, including:</w:t>
      </w:r>
    </w:p>
    <w:p w:rsidR="00703143" w:rsidRDefault="002E3BBE" w:rsidP="009475E1">
      <w:pPr>
        <w:pStyle w:val="ListBullet"/>
      </w:pPr>
      <w:r>
        <w:t xml:space="preserve">value </w:t>
      </w:r>
      <w:r w:rsidR="00703143">
        <w:t>management studies: these review progress, including assessing the estimated costs and benefits in the business case;</w:t>
      </w:r>
    </w:p>
    <w:p w:rsidR="00703143" w:rsidRDefault="002E3BBE" w:rsidP="002E3BBE">
      <w:pPr>
        <w:pStyle w:val="ListBullet"/>
      </w:pPr>
      <w:r>
        <w:t>post</w:t>
      </w:r>
      <w:r w:rsidR="00703143">
        <w:t>-occupancy reviews: these allow contract payments or securities to be finalised; and</w:t>
      </w:r>
    </w:p>
    <w:p w:rsidR="00703143" w:rsidRDefault="002E3BBE" w:rsidP="002E3BBE">
      <w:pPr>
        <w:pStyle w:val="ListBullet"/>
      </w:pPr>
      <w:r>
        <w:t xml:space="preserve">environmental </w:t>
      </w:r>
      <w:r w:rsidR="00703143">
        <w:t>or sustainability assessments: these can feed into agencies’ reporting.</w:t>
      </w:r>
    </w:p>
    <w:p w:rsidR="00703143" w:rsidRDefault="002E3BBE" w:rsidP="002E3BBE">
      <w:pPr>
        <w:pStyle w:val="HighlightBoxHeading"/>
      </w:pPr>
      <w:r>
        <w:lastRenderedPageBreak/>
        <w:t xml:space="preserve">Strengthening </w:t>
      </w:r>
      <w:r w:rsidR="00703143">
        <w:t>local communities (Example)</w:t>
      </w:r>
    </w:p>
    <w:p w:rsidR="00703143" w:rsidRDefault="00703143" w:rsidP="002E3BBE">
      <w:pPr>
        <w:pStyle w:val="HighlightBoxHeading"/>
      </w:pPr>
      <w:r>
        <w:t>Scope and scale</w:t>
      </w:r>
    </w:p>
    <w:p w:rsidR="00703143" w:rsidRDefault="00703143" w:rsidP="002E3BBE">
      <w:pPr>
        <w:pStyle w:val="HighlightBoxText"/>
      </w:pPr>
      <w:r>
        <w:t>In 2007 the Department of Planning and Community Development (DPCD) established a project to better plan and integrate education and community infrastructure and services in two new developments in Melbourne’s ‘growth areas’ – Caroline Springs and Laurimar. The project used a partnership approach – with the developer (</w:t>
      </w:r>
      <w:proofErr w:type="spellStart"/>
      <w:r>
        <w:t>Delfin</w:t>
      </w:r>
      <w:proofErr w:type="spellEnd"/>
      <w:r>
        <w:t xml:space="preserve"> Lend Lease), councils, state government and other community organisations working in collaboration – to plan and deliver shared community facilities. The project commenced in October 20</w:t>
      </w:r>
      <w:r w:rsidR="009E44B2">
        <w:t>07 and was complete in November </w:t>
      </w:r>
      <w:r>
        <w:t>2009. This report summarises findings from the evaluation of the project. It examines the infrastructure delivered and the benefits of working in partnership. The report shows that the partnerships have overseen the delivery of $38.7M in infrastructure. While most would have been delivered anyway, the partnership approach has generated significant cost savings and efficiencies, and in some instances more facilities have been delivered for the same cost. Partners report it is a better way of working, and the improved services and high levels of participation that have resulted indicate that the partnerships are building stronger communities.</w:t>
      </w:r>
    </w:p>
    <w:p w:rsidR="00703143" w:rsidRDefault="00703143" w:rsidP="002E3BBE">
      <w:pPr>
        <w:pStyle w:val="HighlightBoxText"/>
      </w:pPr>
      <w:r>
        <w:t>The evaluation of the Alliances is based on:</w:t>
      </w:r>
    </w:p>
    <w:p w:rsidR="00703143" w:rsidRDefault="009E44B2" w:rsidP="002E3BBE">
      <w:pPr>
        <w:pStyle w:val="HighlightBoxBullet"/>
      </w:pPr>
      <w:r>
        <w:t xml:space="preserve">an </w:t>
      </w:r>
      <w:r w:rsidR="00703143">
        <w:t>‘achievement audit’ about what was delivered;</w:t>
      </w:r>
    </w:p>
    <w:p w:rsidR="00703143" w:rsidRDefault="009E44B2" w:rsidP="002E3BBE">
      <w:pPr>
        <w:pStyle w:val="HighlightBoxBullet"/>
      </w:pPr>
      <w:r>
        <w:t xml:space="preserve">an </w:t>
      </w:r>
      <w:r w:rsidR="00703143">
        <w:t>assessment of how the partnership worked as a governing entity using a partnership evaluation tool (Pope &amp; Lewis 2008b);</w:t>
      </w:r>
    </w:p>
    <w:p w:rsidR="00703143" w:rsidRDefault="009E44B2" w:rsidP="002E3BBE">
      <w:pPr>
        <w:pStyle w:val="HighlightBoxBullet"/>
      </w:pPr>
      <w:r>
        <w:t xml:space="preserve">participation </w:t>
      </w:r>
      <w:r w:rsidR="00703143">
        <w:t>data from the new services/infrastructure; and</w:t>
      </w:r>
    </w:p>
    <w:p w:rsidR="00703143" w:rsidRDefault="009E44B2" w:rsidP="002E3BBE">
      <w:pPr>
        <w:pStyle w:val="HighlightBoxBullet"/>
      </w:pPr>
      <w:r>
        <w:t xml:space="preserve">interviews </w:t>
      </w:r>
      <w:r w:rsidR="00703143">
        <w:t>with community leaders about impacts and outcomes.</w:t>
      </w:r>
    </w:p>
    <w:p w:rsidR="00703143" w:rsidRPr="002E3BBE" w:rsidRDefault="00703143" w:rsidP="002E3BBE">
      <w:pPr>
        <w:pStyle w:val="HighlightBoxText"/>
        <w:rPr>
          <w:sz w:val="18"/>
        </w:rPr>
      </w:pPr>
      <w:r w:rsidRPr="002E3BBE">
        <w:rPr>
          <w:sz w:val="18"/>
        </w:rPr>
        <w:t>Source: Evaluation report ‘Strengthening local communities’ Department of Planning and Community Development</w:t>
      </w:r>
    </w:p>
    <w:p w:rsidR="00703143" w:rsidRDefault="00703143" w:rsidP="009475E1">
      <w:pPr>
        <w:pStyle w:val="Heading2"/>
      </w:pPr>
      <w:bookmarkStart w:id="18" w:name="_Toc499630204"/>
      <w:r>
        <w:t>Determine the methodology</w:t>
      </w:r>
      <w:bookmarkEnd w:id="18"/>
    </w:p>
    <w:p w:rsidR="00703143" w:rsidRDefault="00703143" w:rsidP="00703143">
      <w:r>
        <w:t xml:space="preserve">The methodology provides the framework for performing the evaluation. A generic approach to setting the methodology is set out below. Tailored for the type of investment, the approach should take into account the types of analysis required – economic, social, environmental or budgetary. </w:t>
      </w:r>
    </w:p>
    <w:p w:rsidR="00703143" w:rsidRDefault="00703143" w:rsidP="00703143">
      <w:r>
        <w:t>The methodology should:</w:t>
      </w:r>
    </w:p>
    <w:p w:rsidR="00703143" w:rsidRDefault="00703143" w:rsidP="009475E1">
      <w:pPr>
        <w:pStyle w:val="ListBullet"/>
      </w:pPr>
      <w:r>
        <w:t>specify the evaluation objectives;</w:t>
      </w:r>
    </w:p>
    <w:p w:rsidR="00703143" w:rsidRDefault="00703143" w:rsidP="009475E1">
      <w:pPr>
        <w:pStyle w:val="ListBullet"/>
      </w:pPr>
      <w:r>
        <w:t>identify the key stakeholders;</w:t>
      </w:r>
    </w:p>
    <w:p w:rsidR="00703143" w:rsidRDefault="00703143" w:rsidP="009475E1">
      <w:pPr>
        <w:pStyle w:val="ListBullet"/>
      </w:pPr>
      <w:r>
        <w:t>develop an indicative list of issues to be assessed with those stakeholders;</w:t>
      </w:r>
    </w:p>
    <w:p w:rsidR="00703143" w:rsidRDefault="00703143" w:rsidP="009475E1">
      <w:pPr>
        <w:pStyle w:val="ListBullet"/>
      </w:pPr>
      <w:r>
        <w:t>determine the information to be gathered and its sources;</w:t>
      </w:r>
    </w:p>
    <w:p w:rsidR="00703143" w:rsidRDefault="00703143" w:rsidP="009475E1">
      <w:pPr>
        <w:pStyle w:val="ListBullet"/>
      </w:pPr>
      <w:r>
        <w:t>identify any specialist technical or industry-specific expertise required; and</w:t>
      </w:r>
    </w:p>
    <w:p w:rsidR="00703143" w:rsidRDefault="00703143" w:rsidP="009475E1">
      <w:pPr>
        <w:pStyle w:val="ListBullet"/>
      </w:pPr>
      <w:r>
        <w:t>determine the approach to gathering information.</w:t>
      </w:r>
    </w:p>
    <w:p w:rsidR="00703143" w:rsidRDefault="00703143" w:rsidP="00703143">
      <w:r>
        <w:t>The specification of objectives should include measures of the success of an investment using well defined criteria. The criteria established in the business case will help determine whether the investment is progressing according to expectations. Such criteria should link to the initial indicators – identifying the need which prompted the investment.</w:t>
      </w:r>
    </w:p>
    <w:p w:rsidR="00703143" w:rsidRDefault="00703143" w:rsidP="00703143">
      <w:r>
        <w:t>These criteria include:</w:t>
      </w:r>
    </w:p>
    <w:p w:rsidR="00703143" w:rsidRDefault="00703143" w:rsidP="009475E1">
      <w:pPr>
        <w:pStyle w:val="ListBullet"/>
      </w:pPr>
      <w:r>
        <w:t xml:space="preserve">whether the original problem or need has been addressed, or has changed and requires further action; </w:t>
      </w:r>
    </w:p>
    <w:p w:rsidR="00703143" w:rsidRDefault="00703143" w:rsidP="009475E1">
      <w:pPr>
        <w:pStyle w:val="ListBullet"/>
      </w:pPr>
      <w:r>
        <w:lastRenderedPageBreak/>
        <w:t>the degree to which investment benefits have been achieved;</w:t>
      </w:r>
    </w:p>
    <w:p w:rsidR="00703143" w:rsidRDefault="00703143" w:rsidP="009475E1">
      <w:pPr>
        <w:pStyle w:val="ListBullet"/>
      </w:pPr>
      <w:r>
        <w:t>the delivery of the outputs or services specified;</w:t>
      </w:r>
    </w:p>
    <w:p w:rsidR="00703143" w:rsidRDefault="00703143" w:rsidP="009475E1">
      <w:pPr>
        <w:pStyle w:val="ListBullet"/>
      </w:pPr>
      <w:r>
        <w:t>unanticipated benefits and dis-benefits;</w:t>
      </w:r>
    </w:p>
    <w:p w:rsidR="00703143" w:rsidRDefault="00703143" w:rsidP="009475E1">
      <w:pPr>
        <w:pStyle w:val="ListBullet"/>
      </w:pPr>
      <w:r>
        <w:t>success of skill transfer and development;</w:t>
      </w:r>
    </w:p>
    <w:p w:rsidR="00703143" w:rsidRDefault="00703143" w:rsidP="009475E1">
      <w:pPr>
        <w:pStyle w:val="ListBullet"/>
      </w:pPr>
      <w:r>
        <w:t>net impact on output metrics: cost, quality, quantity, time;</w:t>
      </w:r>
    </w:p>
    <w:p w:rsidR="00703143" w:rsidRDefault="00703143" w:rsidP="009475E1">
      <w:pPr>
        <w:pStyle w:val="ListBullet"/>
      </w:pPr>
      <w:r>
        <w:t>whether the investment met the projected budget and timelines; and</w:t>
      </w:r>
    </w:p>
    <w:p w:rsidR="00703143" w:rsidRDefault="00703143" w:rsidP="009475E1">
      <w:pPr>
        <w:pStyle w:val="ListBullet"/>
      </w:pPr>
      <w:r>
        <w:t>the adherence to documented plans and standards.</w:t>
      </w:r>
    </w:p>
    <w:p w:rsidR="00703143" w:rsidRDefault="00703143" w:rsidP="00703143">
      <w:r>
        <w:t xml:space="preserve">It is generally necessary to discuss the methodology for the evaluation with key project stakeholders. They can provide an understanding of the history, background and sensitivities of the project and explain their expectations. Also relevant project material should be reviewed, including the type of information set out in Appendix A. </w:t>
      </w:r>
    </w:p>
    <w:p w:rsidR="00703143" w:rsidRDefault="00703143" w:rsidP="00703143">
      <w:r>
        <w:t>As well as reviewing existing data and reports, the methodology may include some commonly used information collection techniques such as:</w:t>
      </w:r>
    </w:p>
    <w:p w:rsidR="00703143" w:rsidRDefault="00703143" w:rsidP="009475E1">
      <w:pPr>
        <w:pStyle w:val="ListBullet"/>
      </w:pPr>
      <w:r>
        <w:t>questionnaires and surveys, including email communication and web-based instruments;</w:t>
      </w:r>
    </w:p>
    <w:p w:rsidR="00703143" w:rsidRDefault="00703143" w:rsidP="009475E1">
      <w:pPr>
        <w:pStyle w:val="ListBullet"/>
      </w:pPr>
      <w:r>
        <w:t>semi-structured interviews based on a list of issues developed for each type of stakeholder;</w:t>
      </w:r>
    </w:p>
    <w:p w:rsidR="00703143" w:rsidRDefault="00703143" w:rsidP="009475E1">
      <w:pPr>
        <w:pStyle w:val="ListBullet"/>
      </w:pPr>
      <w:r>
        <w:t>observations; and</w:t>
      </w:r>
    </w:p>
    <w:p w:rsidR="00703143" w:rsidRDefault="00703143" w:rsidP="009475E1">
      <w:pPr>
        <w:pStyle w:val="ListBullet"/>
      </w:pPr>
      <w:r>
        <w:t>focus groups and workshops.</w:t>
      </w:r>
    </w:p>
    <w:p w:rsidR="00703143" w:rsidRDefault="00703143" w:rsidP="00703143">
      <w:r>
        <w:t>The proposed information gathering process should be documented and reviewed (and tested and refined for major programs) before it is implemented to make sure that it is comprehensive and that it takes account of stakeholder sensitivities.</w:t>
      </w:r>
    </w:p>
    <w:p w:rsidR="00703143" w:rsidRDefault="00703143" w:rsidP="002E3BBE">
      <w:pPr>
        <w:pStyle w:val="HighlightBoxHeading"/>
      </w:pPr>
      <w:r>
        <w:t>Strengthening local communities (Example)</w:t>
      </w:r>
    </w:p>
    <w:p w:rsidR="00703143" w:rsidRDefault="00703143" w:rsidP="002E3BBE">
      <w:pPr>
        <w:pStyle w:val="HighlightBoxHeading"/>
      </w:pPr>
      <w:r>
        <w:t xml:space="preserve">Evaluation </w:t>
      </w:r>
      <w:r w:rsidR="002E3BBE">
        <w:t xml:space="preserve">methods </w:t>
      </w:r>
    </w:p>
    <w:p w:rsidR="00703143" w:rsidRDefault="00703143" w:rsidP="002E3BBE">
      <w:pPr>
        <w:pStyle w:val="HighlightBoxHeading"/>
      </w:pPr>
      <w:r>
        <w:t xml:space="preserve">An </w:t>
      </w:r>
      <w:r w:rsidR="009E44B2">
        <w:t>‘</w:t>
      </w:r>
      <w:r>
        <w:t>achievement audit</w:t>
      </w:r>
      <w:r w:rsidR="009E44B2">
        <w:t>’</w:t>
      </w:r>
      <w:r>
        <w:t xml:space="preserve"> about what was delivered;</w:t>
      </w:r>
    </w:p>
    <w:p w:rsidR="00703143" w:rsidRDefault="00703143" w:rsidP="002E3BBE">
      <w:pPr>
        <w:pStyle w:val="HighlightBoxText"/>
      </w:pPr>
      <w:r>
        <w:t xml:space="preserve">All programs should have some way of regularly documenting their achievements and these tools can be developed in-house. Achievement audits are used regularly to document what you have delivered including infrastructure, services, policy changes, participants, etc. </w:t>
      </w:r>
    </w:p>
    <w:p w:rsidR="00703143" w:rsidRDefault="00703143" w:rsidP="002E3BBE">
      <w:pPr>
        <w:pStyle w:val="HighlightBoxText"/>
      </w:pPr>
      <w:r>
        <w:t>Reviewing your achievements highlights significant events and allows you to trigger specific research to assess issues that arise. For instance, when the Aboriginal Policy and Planning Unit in Shepparton realised how many Indigenous people they had trained over a year, a survey was developed to examine the opportunities that training had created for those participants.</w:t>
      </w:r>
    </w:p>
    <w:p w:rsidR="00703143" w:rsidRDefault="00703143" w:rsidP="002E3BBE">
      <w:pPr>
        <w:pStyle w:val="HighlightBoxHeading"/>
      </w:pPr>
      <w:r>
        <w:t>An assessment of how the partnership worked as a governing entity using a partnership evaluation tool (Pope &amp; Lewis 2008b);</w:t>
      </w:r>
    </w:p>
    <w:p w:rsidR="00703143" w:rsidRDefault="00703143" w:rsidP="002E3BBE">
      <w:pPr>
        <w:pStyle w:val="HighlightBoxText"/>
      </w:pPr>
      <w:r>
        <w:t xml:space="preserve">The approach involves interviewing your partners to gather information about achievements (what was delivered), the value-add of the partnership and what has helped and hindered its work (lessons). It will also allow you to map the partnership’s network in order to examine the relationships that underpin it. </w:t>
      </w:r>
    </w:p>
    <w:p w:rsidR="00703143" w:rsidRDefault="00703143" w:rsidP="009E44B2">
      <w:pPr>
        <w:pStyle w:val="HighlightBoxText"/>
        <w:keepNext/>
      </w:pPr>
      <w:r>
        <w:lastRenderedPageBreak/>
        <w:t xml:space="preserve">The network approach can detect the key characteristics of successful partnerships including whether it has: </w:t>
      </w:r>
    </w:p>
    <w:p w:rsidR="00703143" w:rsidRDefault="00703143" w:rsidP="009E44B2">
      <w:pPr>
        <w:pStyle w:val="HighlightBoxText"/>
        <w:keepNext/>
        <w:ind w:left="270" w:hanging="270"/>
      </w:pPr>
      <w:r>
        <w:t>1</w:t>
      </w:r>
      <w:r w:rsidR="002E3BBE">
        <w:t>.</w:t>
      </w:r>
      <w:r w:rsidR="002E3BBE">
        <w:tab/>
      </w:r>
      <w:r>
        <w:t xml:space="preserve">Good facilitation and relationship building; </w:t>
      </w:r>
    </w:p>
    <w:p w:rsidR="002E3BBE" w:rsidRDefault="00703143" w:rsidP="009E44B2">
      <w:pPr>
        <w:pStyle w:val="HighlightBoxText"/>
        <w:keepNext/>
        <w:ind w:left="270" w:hanging="270"/>
      </w:pPr>
      <w:r>
        <w:t>2</w:t>
      </w:r>
      <w:r w:rsidR="002E3BBE">
        <w:t>.</w:t>
      </w:r>
      <w:r w:rsidR="002E3BBE">
        <w:tab/>
      </w:r>
      <w:r>
        <w:t xml:space="preserve">The right decision-makers at the table with a commitment to contribute; </w:t>
      </w:r>
    </w:p>
    <w:p w:rsidR="002E3BBE" w:rsidRDefault="002E3BBE" w:rsidP="009E44B2">
      <w:pPr>
        <w:pStyle w:val="HighlightBoxText"/>
        <w:keepNext/>
        <w:ind w:left="270" w:hanging="270"/>
      </w:pPr>
      <w:r>
        <w:t>3.</w:t>
      </w:r>
      <w:r>
        <w:tab/>
      </w:r>
      <w:r w:rsidR="00703143">
        <w:t xml:space="preserve">A clear purpose; </w:t>
      </w:r>
    </w:p>
    <w:p w:rsidR="002E3BBE" w:rsidRDefault="002E3BBE" w:rsidP="009E44B2">
      <w:pPr>
        <w:pStyle w:val="HighlightBoxText"/>
        <w:keepNext/>
        <w:ind w:left="270" w:hanging="270"/>
      </w:pPr>
      <w:r>
        <w:t>4.</w:t>
      </w:r>
      <w:r>
        <w:tab/>
      </w:r>
      <w:r w:rsidR="00703143">
        <w:t xml:space="preserve">Good process (governance); and </w:t>
      </w:r>
    </w:p>
    <w:p w:rsidR="002E3BBE" w:rsidRDefault="002E3BBE" w:rsidP="002E3BBE">
      <w:pPr>
        <w:pStyle w:val="HighlightBoxText"/>
        <w:ind w:left="270" w:hanging="270"/>
      </w:pPr>
      <w:r>
        <w:t>5.</w:t>
      </w:r>
      <w:r>
        <w:tab/>
      </w:r>
      <w:r w:rsidR="00703143">
        <w:t xml:space="preserve">Ways to ensure motivation stays high. </w:t>
      </w:r>
    </w:p>
    <w:p w:rsidR="00703143" w:rsidRDefault="00703143" w:rsidP="002E3BBE">
      <w:pPr>
        <w:pStyle w:val="HighlightBoxText"/>
      </w:pPr>
      <w:r>
        <w:t>In addition, the approach demonstrates how the partnership fits into the broader policy environment, highlighting the quality of existing linkages, and pin-pointing weak points in the network. This allows for an assessment of the sustainability of the partnership and provides a plan for further relationship building.</w:t>
      </w:r>
    </w:p>
    <w:p w:rsidR="00703143" w:rsidRDefault="00703143" w:rsidP="002E3BBE">
      <w:pPr>
        <w:pStyle w:val="HighlightBoxHeading"/>
      </w:pPr>
      <w:r>
        <w:t>Interviews with community leaders about impact and outcomes. Participation data from the new services/infrastructure;</w:t>
      </w:r>
    </w:p>
    <w:p w:rsidR="00703143" w:rsidRDefault="00703143" w:rsidP="002E3BBE">
      <w:pPr>
        <w:pStyle w:val="HighlightBoxText"/>
      </w:pPr>
      <w:r>
        <w:t xml:space="preserve">In most cases the overall purpose of evaluation is to test whether the program has met its objectives (i.e. increased participation, improved planning, </w:t>
      </w:r>
      <w:r w:rsidR="00FE4E23">
        <w:t>etc.</w:t>
      </w:r>
      <w:r>
        <w:t>). T</w:t>
      </w:r>
      <w:r w:rsidR="002E3BBE">
        <w:t>o do this start by writing down </w:t>
      </w:r>
      <w:r>
        <w:t>the:</w:t>
      </w:r>
    </w:p>
    <w:p w:rsidR="00703143" w:rsidRDefault="00703143" w:rsidP="002E3BBE">
      <w:pPr>
        <w:pStyle w:val="HighlightBoxBullet"/>
      </w:pPr>
      <w:r>
        <w:t xml:space="preserve">Program </w:t>
      </w:r>
      <w:r w:rsidR="002E3BBE">
        <w:t>objectives –</w:t>
      </w:r>
      <w:r>
        <w:t xml:space="preserve"> that your program is aiming to achieve.</w:t>
      </w:r>
    </w:p>
    <w:p w:rsidR="00703143" w:rsidRDefault="00703143" w:rsidP="002E3BBE">
      <w:pPr>
        <w:pStyle w:val="HighlightBoxBullet"/>
      </w:pPr>
      <w:r>
        <w:t xml:space="preserve">Questions </w:t>
      </w:r>
      <w:r w:rsidR="002E3BBE">
        <w:t>–</w:t>
      </w:r>
      <w:r>
        <w:t xml:space="preserve"> What questions do you need to ask to determine that your objectives have been met? </w:t>
      </w:r>
    </w:p>
    <w:p w:rsidR="00703143" w:rsidRDefault="00703143" w:rsidP="002E3BBE">
      <w:pPr>
        <w:pStyle w:val="HighlightBoxBullet"/>
      </w:pPr>
      <w:r>
        <w:t xml:space="preserve">Information </w:t>
      </w:r>
      <w:r w:rsidR="002E3BBE">
        <w:t>required –</w:t>
      </w:r>
      <w:r>
        <w:t xml:space="preserve"> What information do you require to answer each of these questions? </w:t>
      </w:r>
    </w:p>
    <w:p w:rsidR="00703143" w:rsidRDefault="00703143" w:rsidP="002E3BBE">
      <w:pPr>
        <w:pStyle w:val="HighlightBoxBullet"/>
      </w:pPr>
      <w:r>
        <w:t xml:space="preserve">Data </w:t>
      </w:r>
      <w:r w:rsidR="002E3BBE">
        <w:t>source –</w:t>
      </w:r>
      <w:r>
        <w:t xml:space="preserve"> How will you collect this information?</w:t>
      </w:r>
    </w:p>
    <w:p w:rsidR="00703143" w:rsidRPr="002E3BBE" w:rsidRDefault="00703143" w:rsidP="002E3BBE">
      <w:pPr>
        <w:pStyle w:val="HighlightBoxText"/>
        <w:rPr>
          <w:sz w:val="18"/>
        </w:rPr>
      </w:pPr>
      <w:r w:rsidRPr="002E3BBE">
        <w:rPr>
          <w:sz w:val="18"/>
        </w:rPr>
        <w:t xml:space="preserve">Source: </w:t>
      </w:r>
      <w:r w:rsidR="009E44B2">
        <w:rPr>
          <w:sz w:val="18"/>
        </w:rPr>
        <w:t>‘</w:t>
      </w:r>
      <w:r w:rsidRPr="002E3BBE">
        <w:rPr>
          <w:sz w:val="18"/>
        </w:rPr>
        <w:t>Evaluation Step-by-Step Guide</w:t>
      </w:r>
      <w:r w:rsidR="009E44B2">
        <w:rPr>
          <w:sz w:val="18"/>
        </w:rPr>
        <w:t>’</w:t>
      </w:r>
      <w:r w:rsidRPr="002E3BBE">
        <w:rPr>
          <w:sz w:val="18"/>
        </w:rPr>
        <w:t xml:space="preserve"> and </w:t>
      </w:r>
      <w:r w:rsidR="009E44B2">
        <w:rPr>
          <w:sz w:val="18"/>
        </w:rPr>
        <w:t>‘</w:t>
      </w:r>
      <w:r w:rsidRPr="002E3BBE">
        <w:rPr>
          <w:sz w:val="18"/>
        </w:rPr>
        <w:t xml:space="preserve">A Guide to Evaluating Your Partnership </w:t>
      </w:r>
      <w:r w:rsidR="002E3BBE">
        <w:rPr>
          <w:sz w:val="18"/>
        </w:rPr>
        <w:br/>
      </w:r>
      <w:r w:rsidRPr="002E3BBE">
        <w:rPr>
          <w:sz w:val="18"/>
        </w:rPr>
        <w:t>Using a Network Mapping Approach</w:t>
      </w:r>
      <w:r w:rsidR="009E44B2">
        <w:rPr>
          <w:sz w:val="18"/>
        </w:rPr>
        <w:t>’</w:t>
      </w:r>
      <w:r w:rsidRPr="002E3BBE">
        <w:rPr>
          <w:sz w:val="18"/>
        </w:rPr>
        <w:t xml:space="preserve"> Department of Planning and Community Development</w:t>
      </w:r>
    </w:p>
    <w:p w:rsidR="00C02EB0" w:rsidRDefault="00C02EB0" w:rsidP="002E3BBE">
      <w:pPr>
        <w:pStyle w:val="Heading2"/>
      </w:pPr>
      <w:bookmarkStart w:id="19" w:name="_Toc499630205"/>
      <w:r>
        <w:t>Identify major issues and findings</w:t>
      </w:r>
      <w:bookmarkEnd w:id="19"/>
    </w:p>
    <w:p w:rsidR="00C02EB0" w:rsidRDefault="00C02EB0" w:rsidP="00C02EB0">
      <w:r>
        <w:t xml:space="preserve">Many of the qualitative issues will become evident during the information gathering process. Quantitative issues will generally be identified by analysing financial and performance data and comparing it with the business case projections, including any best, most likely and worst case scenarios. </w:t>
      </w:r>
    </w:p>
    <w:p w:rsidR="00C02EB0" w:rsidRDefault="00C02EB0" w:rsidP="00C02EB0">
      <w:r>
        <w:t xml:space="preserve">Analysing qualitative and quantitative information can suggest further issues and will help in developing draft findings. </w:t>
      </w:r>
    </w:p>
    <w:p w:rsidR="00C02EB0" w:rsidRDefault="00C02EB0" w:rsidP="00C02EB0">
      <w:r>
        <w:t>A workshop to review the draft results is an opportunity to test their reasonableness. It can also indicate if further information or analysis is required to make valid findings.</w:t>
      </w:r>
    </w:p>
    <w:p w:rsidR="00C02EB0" w:rsidRDefault="00C02EB0" w:rsidP="002E3BBE">
      <w:pPr>
        <w:pStyle w:val="Heading2"/>
      </w:pPr>
      <w:bookmarkStart w:id="20" w:name="_Toc499630206"/>
      <w:r>
        <w:t>Capture lessons learned</w:t>
      </w:r>
      <w:bookmarkEnd w:id="20"/>
    </w:p>
    <w:p w:rsidR="00C02EB0" w:rsidRDefault="00C02EB0" w:rsidP="00C02EB0">
      <w:r>
        <w:t>To meet its objectives, the evaluation should clearly assess:</w:t>
      </w:r>
    </w:p>
    <w:p w:rsidR="00C02EB0" w:rsidRDefault="00C02EB0" w:rsidP="009475E1">
      <w:pPr>
        <w:pStyle w:val="ListBullet"/>
      </w:pPr>
      <w:r>
        <w:t>what worked well; and</w:t>
      </w:r>
    </w:p>
    <w:p w:rsidR="00C02EB0" w:rsidRDefault="00C02EB0" w:rsidP="009475E1">
      <w:pPr>
        <w:pStyle w:val="ListBullet"/>
      </w:pPr>
      <w:r>
        <w:t>what can be improved.</w:t>
      </w:r>
    </w:p>
    <w:p w:rsidR="00C02EB0" w:rsidRDefault="00C02EB0" w:rsidP="009E44B2">
      <w:pPr>
        <w:keepNext/>
      </w:pPr>
      <w:r>
        <w:t>The lessons to be learned could include, for example, a discussion of:</w:t>
      </w:r>
    </w:p>
    <w:p w:rsidR="00C02EB0" w:rsidRDefault="00C02EB0" w:rsidP="009475E1">
      <w:pPr>
        <w:pStyle w:val="ListBullet"/>
      </w:pPr>
      <w:r>
        <w:t>how practical problems were overcome in planning, implementing and managing the project;</w:t>
      </w:r>
    </w:p>
    <w:p w:rsidR="00C02EB0" w:rsidRDefault="00C02EB0" w:rsidP="009475E1">
      <w:pPr>
        <w:pStyle w:val="ListBullet"/>
      </w:pPr>
      <w:r>
        <w:lastRenderedPageBreak/>
        <w:t>unexpected benefits that emerged; and</w:t>
      </w:r>
    </w:p>
    <w:p w:rsidR="00C02EB0" w:rsidRDefault="00C02EB0" w:rsidP="009475E1">
      <w:pPr>
        <w:pStyle w:val="ListBullet"/>
      </w:pPr>
      <w:r>
        <w:t>experiences of project staff that provide useful insights for future projects.</w:t>
      </w:r>
    </w:p>
    <w:p w:rsidR="00703143" w:rsidRDefault="00C02EB0" w:rsidP="00C02EB0">
      <w:r>
        <w:t>The list of issues in Appendix C can help pinpoint where lessons can be learned for each stage of the project.</w:t>
      </w:r>
    </w:p>
    <w:p w:rsidR="00C02EB0" w:rsidRDefault="00C02EB0" w:rsidP="002E3BBE">
      <w:pPr>
        <w:pStyle w:val="HighlightBoxHeading"/>
      </w:pPr>
      <w:r>
        <w:t>Strengthening local communities (Example)</w:t>
      </w:r>
    </w:p>
    <w:p w:rsidR="00C02EB0" w:rsidRDefault="00C02EB0" w:rsidP="002E3BBE">
      <w:pPr>
        <w:pStyle w:val="HighlightBoxHeading"/>
      </w:pPr>
      <w:r>
        <w:t xml:space="preserve">Lessons Learned </w:t>
      </w:r>
    </w:p>
    <w:p w:rsidR="00C02EB0" w:rsidRDefault="00C02EB0" w:rsidP="002E3BBE">
      <w:pPr>
        <w:pStyle w:val="HighlightBoxText"/>
      </w:pPr>
      <w:r>
        <w:t>A much larger study of the characteristics of effective partnerships undertaken across ten major partnership initiatives in the then DVC (including the Caroline Springs Partnership) described five success factors (Pope &amp; Lewis 2008a). These were also described in the international literature (as reviewed in Pope &amp; Lewis 2008a). Here we will focus on the three major ones:</w:t>
      </w:r>
    </w:p>
    <w:p w:rsidR="00C02EB0" w:rsidRDefault="00C02EB0" w:rsidP="002E3BBE">
      <w:pPr>
        <w:pStyle w:val="HighlightBoxHeading"/>
      </w:pPr>
      <w:r>
        <w:t>A good broker to build relationships</w:t>
      </w:r>
    </w:p>
    <w:p w:rsidR="00C02EB0" w:rsidRDefault="00C02EB0" w:rsidP="002E3BBE">
      <w:pPr>
        <w:pStyle w:val="HighlightBoxText"/>
      </w:pPr>
      <w:r>
        <w:t xml:space="preserve">A good broker/facilitator has been the main factor reported as underpinning effective partnerships. When partners first come together they do not necessarily see themselves as interdependent and to do this takes trust in, and an understanding of, each other. The success of a partnership is therefore dependent on the relationship building that allows people to learn about each other and re-cast any stereotypical views they hold. All partners in the schools and community infrastructure partnerships reported the broker was a primary reason for their success. They reported he was the driver that kept the focus, pulled the work together and kept it on track. He knew who to approach to progress work and to find opportunities. Partners reported the broker was friendly, open, trusted and professional. </w:t>
      </w:r>
    </w:p>
    <w:p w:rsidR="00C02EB0" w:rsidRDefault="00C02EB0" w:rsidP="002E3BBE">
      <w:pPr>
        <w:pStyle w:val="HighlightBoxHeading"/>
      </w:pPr>
      <w:r>
        <w:t>The right decision-makers at the table with a commitment to contribute</w:t>
      </w:r>
    </w:p>
    <w:p w:rsidR="00C02EB0" w:rsidRDefault="00C02EB0" w:rsidP="002E3BBE">
      <w:pPr>
        <w:pStyle w:val="HighlightBoxText"/>
      </w:pPr>
      <w:r>
        <w:t>The second factor found to underpin effective partnerships is having the right decision makers at the table with a commitment to contribute. All partners reported this as important for their partnership. They particularly mentioned the importance of having people at the table that were senior enough to make decisions and expert enough to assist effective decision-making. Partners reported the people involved were respectful, passionate and trusted.</w:t>
      </w:r>
    </w:p>
    <w:p w:rsidR="00C02EB0" w:rsidRDefault="00C02EB0" w:rsidP="002E3BBE">
      <w:pPr>
        <w:pStyle w:val="HighlightBoxHeading"/>
      </w:pPr>
      <w:r>
        <w:t>A clear purpose</w:t>
      </w:r>
    </w:p>
    <w:p w:rsidR="00C02EB0" w:rsidRDefault="00C02EB0" w:rsidP="002E3BBE">
      <w:pPr>
        <w:pStyle w:val="HighlightBoxText"/>
      </w:pPr>
      <w:r>
        <w:t>The third factor for effective partnerships is having a clear purpose and objectives that focuses and clarifies roles and responsibilities so everyone is clear about what is expected of them. This is particularly important in partnerships that involve a range of voices negotiating who should provide resources. This factor was raised by most partners in the interviews and the importance of determining the parameters of the work so the partnership does not get involved in everything – losing effectiveness – was particularly noted. As was the need to ensure every party has a tangible deliverable to maintain their focus and commitment.</w:t>
      </w:r>
    </w:p>
    <w:p w:rsidR="00C02EB0" w:rsidRPr="002E3BBE" w:rsidRDefault="00C02EB0" w:rsidP="002E3BBE">
      <w:pPr>
        <w:pStyle w:val="HighlightBoxText"/>
        <w:rPr>
          <w:sz w:val="18"/>
        </w:rPr>
      </w:pPr>
      <w:r w:rsidRPr="002E3BBE">
        <w:rPr>
          <w:sz w:val="18"/>
        </w:rPr>
        <w:t>Source: Evaluation report ‘Strengthening local communities’ Department of Planning and Community Development</w:t>
      </w:r>
    </w:p>
    <w:p w:rsidR="009E44B2" w:rsidRDefault="009E44B2">
      <w:pPr>
        <w:rPr>
          <w:rFonts w:asciiTheme="majorHAnsi" w:eastAsiaTheme="majorEastAsia" w:hAnsiTheme="majorHAnsi" w:cstheme="majorBidi"/>
          <w:color w:val="F6BE00" w:themeColor="accent1"/>
          <w:spacing w:val="-2"/>
          <w:sz w:val="28"/>
          <w:szCs w:val="26"/>
        </w:rPr>
      </w:pPr>
      <w:r>
        <w:br w:type="page"/>
      </w:r>
    </w:p>
    <w:p w:rsidR="00C02EB0" w:rsidRDefault="00C02EB0" w:rsidP="009475E1">
      <w:pPr>
        <w:pStyle w:val="Heading2"/>
      </w:pPr>
      <w:bookmarkStart w:id="21" w:name="_Toc499630207"/>
      <w:r>
        <w:lastRenderedPageBreak/>
        <w:t>Recommendations</w:t>
      </w:r>
      <w:bookmarkEnd w:id="21"/>
    </w:p>
    <w:p w:rsidR="00C02EB0" w:rsidRDefault="00C02EB0" w:rsidP="00C02EB0">
      <w:r>
        <w:t xml:space="preserve">The findings and corresponding action items should be set down as recommendations, including: </w:t>
      </w:r>
    </w:p>
    <w:p w:rsidR="00C02EB0" w:rsidRDefault="00C02EB0" w:rsidP="009475E1">
      <w:pPr>
        <w:pStyle w:val="ListBullet"/>
      </w:pPr>
      <w:r>
        <w:t>learnings for future project planning and management processes; and</w:t>
      </w:r>
    </w:p>
    <w:p w:rsidR="00C02EB0" w:rsidRDefault="00C02EB0" w:rsidP="009475E1">
      <w:pPr>
        <w:pStyle w:val="ListBullet"/>
      </w:pPr>
      <w:r>
        <w:t>project-specific actions for ongoing operation (and if appropriate, future stage developments).</w:t>
      </w:r>
    </w:p>
    <w:p w:rsidR="00C02EB0" w:rsidRDefault="00C02EB0" w:rsidP="00C02EB0">
      <w:r>
        <w:t>The set of recommendations should be supported by an action plan setting out responsibilities and timelines.</w:t>
      </w:r>
    </w:p>
    <w:p w:rsidR="00C02EB0" w:rsidRDefault="00C02EB0" w:rsidP="002E3BBE">
      <w:pPr>
        <w:pStyle w:val="Heading2"/>
      </w:pPr>
      <w:bookmarkStart w:id="22" w:name="_Toc499630208"/>
      <w:r>
        <w:t>Investment evaluation template</w:t>
      </w:r>
      <w:bookmarkEnd w:id="22"/>
    </w:p>
    <w:p w:rsidR="00C02EB0" w:rsidRDefault="00C02EB0" w:rsidP="00C02EB0">
      <w:r>
        <w:t>The deliverable from the Stage 5: Realise evaluation phase is a completed project evaluation report (see template) that should provide:</w:t>
      </w:r>
    </w:p>
    <w:p w:rsidR="00C02EB0" w:rsidRDefault="00C02EB0" w:rsidP="009475E1">
      <w:pPr>
        <w:pStyle w:val="ListBullet"/>
      </w:pPr>
      <w:r>
        <w:t>an overall assessment of the investment;</w:t>
      </w:r>
    </w:p>
    <w:p w:rsidR="00C02EB0" w:rsidRDefault="00C02EB0" w:rsidP="009475E1">
      <w:pPr>
        <w:pStyle w:val="ListBullet"/>
      </w:pPr>
      <w:r>
        <w:t>well-supported findings and identified learnings; and</w:t>
      </w:r>
    </w:p>
    <w:p w:rsidR="00C02EB0" w:rsidRDefault="00C02EB0" w:rsidP="009475E1">
      <w:pPr>
        <w:pStyle w:val="ListBullet"/>
      </w:pPr>
      <w:r>
        <w:t>a list of practical recommendations.</w:t>
      </w:r>
    </w:p>
    <w:p w:rsidR="00C02EB0" w:rsidRDefault="00C02EB0" w:rsidP="00C02EB0">
      <w:r>
        <w:t>The suggested investment evaluation report template is set out in Appendix D. The outlined content includes:</w:t>
      </w:r>
    </w:p>
    <w:p w:rsidR="00C02EB0" w:rsidRDefault="00C02EB0" w:rsidP="009475E1">
      <w:pPr>
        <w:pStyle w:val="ListBullet"/>
      </w:pPr>
      <w:r>
        <w:t>executive summary;</w:t>
      </w:r>
    </w:p>
    <w:p w:rsidR="00C02EB0" w:rsidRDefault="00C02EB0" w:rsidP="009475E1">
      <w:pPr>
        <w:pStyle w:val="ListBullet"/>
      </w:pPr>
      <w:r>
        <w:t>project background;</w:t>
      </w:r>
    </w:p>
    <w:p w:rsidR="00C02EB0" w:rsidRDefault="00C02EB0" w:rsidP="009475E1">
      <w:pPr>
        <w:pStyle w:val="ListBullet"/>
      </w:pPr>
      <w:r>
        <w:t>evaluation scope and methodology;</w:t>
      </w:r>
    </w:p>
    <w:p w:rsidR="00C02EB0" w:rsidRDefault="00C02EB0" w:rsidP="009475E1">
      <w:pPr>
        <w:pStyle w:val="ListBullet"/>
      </w:pPr>
      <w:r>
        <w:t>findings:</w:t>
      </w:r>
    </w:p>
    <w:p w:rsidR="00C02EB0" w:rsidRDefault="002E3BBE" w:rsidP="002E3BBE">
      <w:pPr>
        <w:pStyle w:val="ListBullet2"/>
      </w:pPr>
      <w:r>
        <w:t xml:space="preserve">evaluation </w:t>
      </w:r>
      <w:r w:rsidR="00C02EB0">
        <w:t>assessment;</w:t>
      </w:r>
    </w:p>
    <w:p w:rsidR="00C02EB0" w:rsidRDefault="002E3BBE" w:rsidP="002E3BBE">
      <w:pPr>
        <w:pStyle w:val="ListBullet2"/>
      </w:pPr>
      <w:r>
        <w:t xml:space="preserve">asset </w:t>
      </w:r>
      <w:r w:rsidR="00C02EB0">
        <w:t>management (where relevant);</w:t>
      </w:r>
    </w:p>
    <w:p w:rsidR="00C02EB0" w:rsidRDefault="002E3BBE" w:rsidP="002E3BBE">
      <w:pPr>
        <w:pStyle w:val="ListBullet2"/>
      </w:pPr>
      <w:r>
        <w:t xml:space="preserve">risk </w:t>
      </w:r>
      <w:r w:rsidR="00C02EB0">
        <w:t>management;</w:t>
      </w:r>
    </w:p>
    <w:p w:rsidR="00C02EB0" w:rsidRDefault="002E3BBE" w:rsidP="002E3BBE">
      <w:pPr>
        <w:pStyle w:val="ListBullet2"/>
      </w:pPr>
      <w:r>
        <w:t xml:space="preserve">future </w:t>
      </w:r>
      <w:r w:rsidR="00C02EB0">
        <w:t>implications;</w:t>
      </w:r>
    </w:p>
    <w:p w:rsidR="00C02EB0" w:rsidRDefault="00C02EB0" w:rsidP="009475E1">
      <w:pPr>
        <w:pStyle w:val="ListBullet"/>
      </w:pPr>
      <w:r>
        <w:t>conclusions and options;</w:t>
      </w:r>
    </w:p>
    <w:p w:rsidR="00C02EB0" w:rsidRDefault="00C02EB0" w:rsidP="009475E1">
      <w:pPr>
        <w:pStyle w:val="ListBullet"/>
      </w:pPr>
      <w:r>
        <w:t>recommendations and action plan; and</w:t>
      </w:r>
    </w:p>
    <w:p w:rsidR="00C02EB0" w:rsidRDefault="00C02EB0" w:rsidP="009475E1">
      <w:pPr>
        <w:pStyle w:val="ListBullet"/>
      </w:pPr>
      <w:r>
        <w:t>appendices, with key documents or other reports referenced.</w:t>
      </w:r>
    </w:p>
    <w:p w:rsidR="00C02EB0" w:rsidRDefault="002E3BBE" w:rsidP="002E3BBE">
      <w:pPr>
        <w:pStyle w:val="ListBullet2"/>
      </w:pPr>
      <w:r>
        <w:t xml:space="preserve">the </w:t>
      </w:r>
      <w:r w:rsidR="00C02EB0">
        <w:t>level of detail in the report will vary depending on the complexity and scale of the particular project. However, the report should show that each of the heading outlined in the evaluation report</w:t>
      </w:r>
      <w:r>
        <w:t xml:space="preserve"> template have been considered;</w:t>
      </w:r>
    </w:p>
    <w:p w:rsidR="00C02EB0" w:rsidRDefault="002E3BBE" w:rsidP="002E3BBE">
      <w:pPr>
        <w:pStyle w:val="ListBullet2"/>
      </w:pPr>
      <w:r>
        <w:t xml:space="preserve">the </w:t>
      </w:r>
      <w:r w:rsidR="00C02EB0">
        <w:t>executive summary is a particularly important part of the evaluation report. It must contain a clear, concise, plain-English outline of the evaluation, linking it to the</w:t>
      </w:r>
      <w:r>
        <w:t xml:space="preserve"> evolved project business case;</w:t>
      </w:r>
    </w:p>
    <w:p w:rsidR="009E44B2" w:rsidRDefault="009E44B2">
      <w:r>
        <w:br w:type="page"/>
      </w:r>
    </w:p>
    <w:p w:rsidR="00C02EB0" w:rsidRDefault="002E3BBE" w:rsidP="002E3BBE">
      <w:r>
        <w:lastRenderedPageBreak/>
        <w:t xml:space="preserve">Specific </w:t>
      </w:r>
      <w:r w:rsidR="00C02EB0">
        <w:t>uses for the evaluation outcomes could be to:</w:t>
      </w:r>
    </w:p>
    <w:p w:rsidR="00C02EB0" w:rsidRDefault="00C02EB0" w:rsidP="009475E1">
      <w:pPr>
        <w:pStyle w:val="ListBullet"/>
      </w:pPr>
      <w:r>
        <w:t>inform corporate governance of the outcome of the investment</w:t>
      </w:r>
      <w:r w:rsidR="00307660">
        <w:t>;</w:t>
      </w:r>
    </w:p>
    <w:p w:rsidR="00C02EB0" w:rsidRDefault="00C02EB0" w:rsidP="009475E1">
      <w:pPr>
        <w:pStyle w:val="ListBullet"/>
      </w:pPr>
      <w:r>
        <w:t>inform stakeholders (Ministers, executives, public, etc.)</w:t>
      </w:r>
      <w:r w:rsidR="00307660">
        <w:t>;</w:t>
      </w:r>
    </w:p>
    <w:p w:rsidR="00C02EB0" w:rsidRDefault="00C02EB0" w:rsidP="009475E1">
      <w:pPr>
        <w:pStyle w:val="ListBullet"/>
      </w:pPr>
      <w:r>
        <w:t>aid in the development of media releases;</w:t>
      </w:r>
    </w:p>
    <w:p w:rsidR="00C02EB0" w:rsidRDefault="00C02EB0" w:rsidP="009475E1">
      <w:pPr>
        <w:pStyle w:val="ListBullet"/>
      </w:pPr>
      <w:r>
        <w:t xml:space="preserve">drive accountability by informing the development </w:t>
      </w:r>
      <w:r w:rsidR="00307660">
        <w:t>of annual reports to government;</w:t>
      </w:r>
    </w:p>
    <w:p w:rsidR="00C02EB0" w:rsidRDefault="00C02EB0" w:rsidP="009475E1">
      <w:pPr>
        <w:pStyle w:val="ListBullet"/>
      </w:pPr>
      <w:r>
        <w:t>provide a benchmark to inform future investment proposals</w:t>
      </w:r>
      <w:r w:rsidR="00307660">
        <w:t>;</w:t>
      </w:r>
    </w:p>
    <w:p w:rsidR="00C02EB0" w:rsidRDefault="00C02EB0" w:rsidP="009475E1">
      <w:pPr>
        <w:pStyle w:val="ListBullet"/>
      </w:pPr>
      <w:r>
        <w:t>inform subsequent stages of a m</w:t>
      </w:r>
      <w:r w:rsidR="00307660">
        <w:t>ulti stage investment; and</w:t>
      </w:r>
    </w:p>
    <w:p w:rsidR="00C02EB0" w:rsidRDefault="00C02EB0" w:rsidP="009475E1">
      <w:pPr>
        <w:pStyle w:val="ListBullet"/>
      </w:pPr>
      <w:r>
        <w:t>explain options to enhance benefit delivery from this investment.</w:t>
      </w:r>
    </w:p>
    <w:p w:rsidR="00C02EB0" w:rsidRDefault="00C02EB0" w:rsidP="00C02EB0"/>
    <w:p w:rsidR="00307660" w:rsidRDefault="00307660">
      <w:pPr>
        <w:rPr>
          <w:rFonts w:asciiTheme="majorHAnsi" w:eastAsiaTheme="majorEastAsia" w:hAnsiTheme="majorHAnsi" w:cstheme="majorBidi"/>
          <w:bCs/>
          <w:color w:val="F6BE00" w:themeColor="accent1"/>
          <w:spacing w:val="-2"/>
          <w:sz w:val="36"/>
          <w:szCs w:val="28"/>
        </w:rPr>
      </w:pPr>
      <w:r>
        <w:br w:type="page"/>
      </w:r>
    </w:p>
    <w:p w:rsidR="00C02EB0" w:rsidRDefault="00C02EB0" w:rsidP="00307660">
      <w:pPr>
        <w:pStyle w:val="Heading10"/>
      </w:pPr>
      <w:bookmarkStart w:id="23" w:name="_Toc499630209"/>
      <w:r>
        <w:lastRenderedPageBreak/>
        <w:t>Appendix A: Background information</w:t>
      </w:r>
      <w:bookmarkEnd w:id="23"/>
      <w:r>
        <w:t xml:space="preserve"> </w:t>
      </w:r>
    </w:p>
    <w:p w:rsidR="00C02EB0" w:rsidRDefault="00C02EB0" w:rsidP="00C02EB0">
      <w:r>
        <w:t xml:space="preserve">In developing and implementing the methodology, the following background material should be reviewed: </w:t>
      </w:r>
    </w:p>
    <w:p w:rsidR="00C02EB0" w:rsidRDefault="00C02EB0" w:rsidP="009475E1">
      <w:pPr>
        <w:pStyle w:val="ListBullet"/>
      </w:pPr>
      <w:r>
        <w:t>the approved business case (updated as necessary);</w:t>
      </w:r>
    </w:p>
    <w:p w:rsidR="00C02EB0" w:rsidRDefault="00C02EB0" w:rsidP="009475E1">
      <w:pPr>
        <w:pStyle w:val="ListBullet"/>
      </w:pPr>
      <w:r>
        <w:t>feasibility studies;</w:t>
      </w:r>
    </w:p>
    <w:p w:rsidR="00C02EB0" w:rsidRDefault="00C02EB0" w:rsidP="009475E1">
      <w:pPr>
        <w:pStyle w:val="ListBullet"/>
      </w:pPr>
      <w:r>
        <w:t>value management reports;</w:t>
      </w:r>
    </w:p>
    <w:p w:rsidR="00C02EB0" w:rsidRDefault="00C02EB0" w:rsidP="009475E1">
      <w:pPr>
        <w:pStyle w:val="ListBullet"/>
      </w:pPr>
      <w:r>
        <w:t>the project budget;</w:t>
      </w:r>
    </w:p>
    <w:p w:rsidR="00C02EB0" w:rsidRDefault="00C02EB0" w:rsidP="009475E1">
      <w:pPr>
        <w:pStyle w:val="ListBullet"/>
      </w:pPr>
      <w:r>
        <w:t>the investment business plan or project implementation plan;</w:t>
      </w:r>
    </w:p>
    <w:p w:rsidR="00C02EB0" w:rsidRDefault="00C02EB0" w:rsidP="009475E1">
      <w:pPr>
        <w:pStyle w:val="ListBullet"/>
      </w:pPr>
      <w:r>
        <w:t>cost plans and activity and cost outcome data;</w:t>
      </w:r>
    </w:p>
    <w:p w:rsidR="00C02EB0" w:rsidRDefault="00C02EB0" w:rsidP="009475E1">
      <w:pPr>
        <w:pStyle w:val="ListBullet"/>
      </w:pPr>
      <w:r>
        <w:t>contract documentation;</w:t>
      </w:r>
    </w:p>
    <w:p w:rsidR="00C02EB0" w:rsidRDefault="00C02EB0" w:rsidP="009475E1">
      <w:pPr>
        <w:pStyle w:val="ListBullet"/>
      </w:pPr>
      <w:r>
        <w:t>the contract/performance management plan;</w:t>
      </w:r>
    </w:p>
    <w:p w:rsidR="00C02EB0" w:rsidRDefault="00C02EB0" w:rsidP="009475E1">
      <w:pPr>
        <w:pStyle w:val="ListBullet"/>
      </w:pPr>
      <w:r>
        <w:t>risk registers; and</w:t>
      </w:r>
    </w:p>
    <w:p w:rsidR="00C02EB0" w:rsidRDefault="00C02EB0" w:rsidP="009475E1">
      <w:pPr>
        <w:pStyle w:val="ListBullet"/>
      </w:pPr>
      <w:r>
        <w:t>the issues log and progress reports.</w:t>
      </w:r>
    </w:p>
    <w:p w:rsidR="00C02EB0" w:rsidRDefault="00C02EB0" w:rsidP="00C02EB0">
      <w:r>
        <w:t>In addition, the following records should be reviewed where they are relevant:</w:t>
      </w:r>
    </w:p>
    <w:p w:rsidR="00C02EB0" w:rsidRDefault="00C02EB0" w:rsidP="009475E1">
      <w:pPr>
        <w:pStyle w:val="ListBullet"/>
      </w:pPr>
      <w:r>
        <w:t>a summary of contract changes since any previous project evaluations or Gateway Reviews;</w:t>
      </w:r>
    </w:p>
    <w:p w:rsidR="00C02EB0" w:rsidRDefault="00C02EB0" w:rsidP="009475E1">
      <w:pPr>
        <w:pStyle w:val="ListBullet"/>
      </w:pPr>
      <w:r>
        <w:t>plans for contract and service improvement;</w:t>
      </w:r>
    </w:p>
    <w:p w:rsidR="00C02EB0" w:rsidRDefault="00C02EB0" w:rsidP="009475E1">
      <w:pPr>
        <w:pStyle w:val="ListBullet"/>
      </w:pPr>
      <w:r>
        <w:t>management and other appraisals regarding the continuation of existing management contracts;</w:t>
      </w:r>
    </w:p>
    <w:p w:rsidR="00C02EB0" w:rsidRDefault="00C02EB0" w:rsidP="009475E1">
      <w:pPr>
        <w:pStyle w:val="ListBullet"/>
      </w:pPr>
      <w:r>
        <w:t>reports on stakeholders’ issues for example, complaint registers;</w:t>
      </w:r>
    </w:p>
    <w:p w:rsidR="00C02EB0" w:rsidRDefault="00C02EB0" w:rsidP="009475E1">
      <w:pPr>
        <w:pStyle w:val="ListBullet"/>
      </w:pPr>
      <w:r>
        <w:t>plans for disposal of assets at the end of the project;</w:t>
      </w:r>
    </w:p>
    <w:p w:rsidR="00C02EB0" w:rsidRDefault="00C02EB0" w:rsidP="009475E1">
      <w:pPr>
        <w:pStyle w:val="ListBullet"/>
      </w:pPr>
      <w:r>
        <w:t>risk management assessments and reports;</w:t>
      </w:r>
    </w:p>
    <w:p w:rsidR="00C02EB0" w:rsidRDefault="00C02EB0" w:rsidP="009475E1">
      <w:pPr>
        <w:pStyle w:val="ListBullet"/>
      </w:pPr>
      <w:r>
        <w:t>health and safety reports and files; and</w:t>
      </w:r>
    </w:p>
    <w:p w:rsidR="00C02EB0" w:rsidRDefault="00C02EB0" w:rsidP="009475E1">
      <w:pPr>
        <w:pStyle w:val="ListBullet"/>
      </w:pPr>
      <w:r>
        <w:t>for ICT-enabled projects, security documents (e.g. Accreditation Document Set).</w:t>
      </w:r>
    </w:p>
    <w:p w:rsidR="00307660" w:rsidRDefault="00307660">
      <w:pPr>
        <w:rPr>
          <w:rFonts w:asciiTheme="majorHAnsi" w:eastAsiaTheme="majorEastAsia" w:hAnsiTheme="majorHAnsi" w:cstheme="majorBidi"/>
          <w:bCs/>
          <w:color w:val="F6BE00" w:themeColor="accent1"/>
          <w:spacing w:val="-2"/>
          <w:sz w:val="36"/>
          <w:szCs w:val="28"/>
        </w:rPr>
      </w:pPr>
      <w:r>
        <w:br w:type="page"/>
      </w:r>
    </w:p>
    <w:p w:rsidR="00C02EB0" w:rsidRDefault="00C02EB0" w:rsidP="00307660">
      <w:pPr>
        <w:pStyle w:val="Heading10"/>
      </w:pPr>
      <w:bookmarkStart w:id="24" w:name="_Toc499630210"/>
      <w:r>
        <w:lastRenderedPageBreak/>
        <w:t>Appendix B: Specific issues</w:t>
      </w:r>
      <w:bookmarkEnd w:id="24"/>
      <w:r>
        <w:t xml:space="preserve"> </w:t>
      </w:r>
    </w:p>
    <w:p w:rsidR="00C02EB0" w:rsidRDefault="00C02EB0" w:rsidP="00C02EB0">
      <w:r>
        <w:t xml:space="preserve">This checklist of issues can be used to help define the scope, lessons learned and other evaluation issues. </w:t>
      </w:r>
    </w:p>
    <w:p w:rsidR="00C02EB0" w:rsidRDefault="00C02EB0" w:rsidP="00307660">
      <w:pPr>
        <w:pStyle w:val="Heading20"/>
      </w:pPr>
      <w:bookmarkStart w:id="25" w:name="_Toc499630211"/>
      <w:r>
        <w:t>Evaluating against the business case</w:t>
      </w:r>
      <w:bookmarkEnd w:id="25"/>
      <w:r>
        <w:t xml:space="preserve"> </w:t>
      </w:r>
    </w:p>
    <w:p w:rsidR="00C02EB0" w:rsidRDefault="00C02EB0" w:rsidP="009475E1">
      <w:pPr>
        <w:pStyle w:val="ListBullet"/>
      </w:pPr>
      <w:r>
        <w:t xml:space="preserve">whether the original problem or need has been addressed, or has changed and requires further action; </w:t>
      </w:r>
    </w:p>
    <w:p w:rsidR="00C02EB0" w:rsidRDefault="00C02EB0" w:rsidP="009475E1">
      <w:pPr>
        <w:pStyle w:val="ListBullet"/>
      </w:pPr>
      <w:r>
        <w:t>assess whether the business case assumptions were realistic and remain valid;</w:t>
      </w:r>
    </w:p>
    <w:p w:rsidR="00C02EB0" w:rsidRDefault="00C02EB0" w:rsidP="009475E1">
      <w:pPr>
        <w:pStyle w:val="ListBullet"/>
      </w:pPr>
      <w:r>
        <w:t>assess whether the anticipated benefits (including outputs and outcomes) are actually being delivered;</w:t>
      </w:r>
    </w:p>
    <w:p w:rsidR="00C02EB0" w:rsidRDefault="00C02EB0" w:rsidP="009475E1">
      <w:pPr>
        <w:pStyle w:val="ListBullet"/>
      </w:pPr>
      <w:r>
        <w:t>compare operating costs and revenue streams against expected levels;</w:t>
      </w:r>
    </w:p>
    <w:p w:rsidR="00C02EB0" w:rsidRDefault="00C02EB0" w:rsidP="009475E1">
      <w:pPr>
        <w:pStyle w:val="ListBullet"/>
      </w:pPr>
      <w:r>
        <w:t>evaluate how well the needs and expectations of end-users are being met, including any changes in the type or expected level of their needs;</w:t>
      </w:r>
    </w:p>
    <w:p w:rsidR="00C02EB0" w:rsidRDefault="00C02EB0" w:rsidP="009475E1">
      <w:pPr>
        <w:pStyle w:val="ListBullet"/>
      </w:pPr>
      <w:r>
        <w:t>review whether and how well the requirements of other key stakeholders have been met, including those of local governments and community groups;</w:t>
      </w:r>
    </w:p>
    <w:p w:rsidR="00C02EB0" w:rsidRDefault="00C02EB0" w:rsidP="009475E1">
      <w:pPr>
        <w:pStyle w:val="ListBullet"/>
      </w:pPr>
      <w:r>
        <w:t>assess whether any productivity target for the service has been achieved or is likely to be achieved;</w:t>
      </w:r>
    </w:p>
    <w:p w:rsidR="00C02EB0" w:rsidRDefault="00C02EB0" w:rsidP="009475E1">
      <w:pPr>
        <w:pStyle w:val="ListBullet"/>
      </w:pPr>
      <w:r>
        <w:t>compare the level of maintenance required with that expected;</w:t>
      </w:r>
    </w:p>
    <w:p w:rsidR="00C02EB0" w:rsidRDefault="00C02EB0" w:rsidP="009475E1">
      <w:pPr>
        <w:pStyle w:val="ListBullet"/>
      </w:pPr>
      <w:r>
        <w:t>compare the actual whole-of-life costs with the budget estimate set in the business case.</w:t>
      </w:r>
    </w:p>
    <w:p w:rsidR="00C02EB0" w:rsidRDefault="00C02EB0" w:rsidP="009475E1">
      <w:pPr>
        <w:pStyle w:val="ListBullet"/>
      </w:pPr>
      <w:r>
        <w:t>assess the ongoing need for the service;</w:t>
      </w:r>
    </w:p>
    <w:p w:rsidR="00C02EB0" w:rsidRDefault="00C02EB0" w:rsidP="009475E1">
      <w:pPr>
        <w:pStyle w:val="ListBullet"/>
      </w:pPr>
      <w:r>
        <w:t>if the service is required into the future, assess its likely scope; and</w:t>
      </w:r>
    </w:p>
    <w:p w:rsidR="00C02EB0" w:rsidRDefault="00C02EB0" w:rsidP="009475E1">
      <w:pPr>
        <w:pStyle w:val="ListBullet"/>
      </w:pPr>
      <w:r>
        <w:t>assess measures for ongoing performance assessment:</w:t>
      </w:r>
    </w:p>
    <w:p w:rsidR="00C02EB0" w:rsidRDefault="00C02EB0" w:rsidP="00307660">
      <w:pPr>
        <w:pStyle w:val="ListBullet2"/>
      </w:pPr>
      <w:r>
        <w:t>ongoing service delivery;</w:t>
      </w:r>
    </w:p>
    <w:p w:rsidR="00C02EB0" w:rsidRDefault="00C02EB0" w:rsidP="00307660">
      <w:pPr>
        <w:pStyle w:val="ListBullet2"/>
      </w:pPr>
      <w:r>
        <w:t>programs of change or improvement; and</w:t>
      </w:r>
    </w:p>
    <w:p w:rsidR="00C02EB0" w:rsidRDefault="00C02EB0" w:rsidP="00307660">
      <w:pPr>
        <w:pStyle w:val="ListBullet2"/>
      </w:pPr>
      <w:r>
        <w:t>contract impacts and specified milestones.</w:t>
      </w:r>
    </w:p>
    <w:p w:rsidR="00C02EB0" w:rsidRDefault="00C02EB0" w:rsidP="00307660">
      <w:pPr>
        <w:pStyle w:val="Heading20"/>
      </w:pPr>
      <w:bookmarkStart w:id="26" w:name="_Toc499630212"/>
      <w:r>
        <w:t>Evaluating the procurement stage</w:t>
      </w:r>
      <w:bookmarkEnd w:id="26"/>
    </w:p>
    <w:p w:rsidR="00C02EB0" w:rsidRDefault="00C02EB0" w:rsidP="009475E1">
      <w:pPr>
        <w:pStyle w:val="ListBullet"/>
      </w:pPr>
      <w:r>
        <w:t>assess the adequacy of funding arrangements, including for refurbishment, replacement, renewal and maintenance;</w:t>
      </w:r>
    </w:p>
    <w:p w:rsidR="00C02EB0" w:rsidRDefault="00C02EB0" w:rsidP="009475E1">
      <w:pPr>
        <w:pStyle w:val="ListBullet"/>
      </w:pPr>
      <w:r>
        <w:t>review the use and validity of modelling (particularly for capturing end-user input early in the project lifecycle);</w:t>
      </w:r>
    </w:p>
    <w:p w:rsidR="00C02EB0" w:rsidRDefault="00C02EB0" w:rsidP="009475E1">
      <w:pPr>
        <w:pStyle w:val="ListBullet"/>
      </w:pPr>
      <w:r>
        <w:t>review the procurement strategy adopted. Has it provided the best value-for-money option for the State in delivering the infrastructure and service outputs?</w:t>
      </w:r>
    </w:p>
    <w:p w:rsidR="00C02EB0" w:rsidRDefault="00C02EB0" w:rsidP="009475E1">
      <w:pPr>
        <w:pStyle w:val="ListBullet"/>
      </w:pPr>
      <w:r>
        <w:t>identify improvements that might be made to existing procurement processes (including tendering, short-listing, selection and probity processes) as a result of this project;</w:t>
      </w:r>
    </w:p>
    <w:p w:rsidR="00C02EB0" w:rsidRDefault="00C02EB0" w:rsidP="009475E1">
      <w:pPr>
        <w:pStyle w:val="ListBullet"/>
      </w:pPr>
      <w:r>
        <w:t>assess the benefits from value management and value engineering; and</w:t>
      </w:r>
    </w:p>
    <w:p w:rsidR="00C02EB0" w:rsidRDefault="00C02EB0" w:rsidP="009475E1">
      <w:pPr>
        <w:pStyle w:val="ListBullet"/>
      </w:pPr>
      <w:r>
        <w:t>review whether maintenance has been programmed.</w:t>
      </w:r>
    </w:p>
    <w:p w:rsidR="00C02EB0" w:rsidRDefault="00C02EB0" w:rsidP="00307660">
      <w:pPr>
        <w:pStyle w:val="Heading20"/>
      </w:pPr>
      <w:bookmarkStart w:id="27" w:name="_Toc499630213"/>
      <w:r>
        <w:lastRenderedPageBreak/>
        <w:t>Evaluating the construction/implementation stage</w:t>
      </w:r>
      <w:bookmarkEnd w:id="27"/>
    </w:p>
    <w:p w:rsidR="00C02EB0" w:rsidRDefault="00C02EB0" w:rsidP="009475E1">
      <w:pPr>
        <w:pStyle w:val="ListBullet"/>
      </w:pPr>
      <w:r>
        <w:t>assess working relationships during construction and/or implementation;</w:t>
      </w:r>
    </w:p>
    <w:p w:rsidR="00C02EB0" w:rsidRDefault="00C02EB0" w:rsidP="009475E1">
      <w:pPr>
        <w:pStyle w:val="ListBullet"/>
      </w:pPr>
      <w:r>
        <w:t>identify particular aspects where the contractor or facility manager was able to be innovative;</w:t>
      </w:r>
    </w:p>
    <w:p w:rsidR="00C02EB0" w:rsidRDefault="00C02EB0" w:rsidP="009475E1">
      <w:pPr>
        <w:pStyle w:val="ListBullet"/>
      </w:pPr>
      <w:r>
        <w:t>consider how standard components have been adopted into the facility and how much of the project was pre-assembled before delivery to site;</w:t>
      </w:r>
    </w:p>
    <w:p w:rsidR="00C02EB0" w:rsidRDefault="00C02EB0" w:rsidP="009475E1">
      <w:pPr>
        <w:pStyle w:val="ListBullet"/>
      </w:pPr>
      <w:r>
        <w:t>assess the use of tools such as three-dimensional modelling;</w:t>
      </w:r>
    </w:p>
    <w:p w:rsidR="00C02EB0" w:rsidRDefault="00C02EB0" w:rsidP="009475E1">
      <w:pPr>
        <w:pStyle w:val="ListBullet"/>
      </w:pPr>
      <w:r>
        <w:t>review the contribution made by any change management consultants or industrial psychologists; and</w:t>
      </w:r>
    </w:p>
    <w:p w:rsidR="00C02EB0" w:rsidRDefault="00C02EB0" w:rsidP="009475E1">
      <w:pPr>
        <w:pStyle w:val="ListBullet"/>
      </w:pPr>
      <w:r>
        <w:t>assess the adequacy of the health and safety reporting system during site preparation and construction.</w:t>
      </w:r>
    </w:p>
    <w:p w:rsidR="00C02EB0" w:rsidRDefault="00C02EB0" w:rsidP="00307660">
      <w:pPr>
        <w:pStyle w:val="Heading20"/>
      </w:pPr>
      <w:bookmarkStart w:id="28" w:name="_Toc499630214"/>
      <w:r>
        <w:t>Evaluating the post-implementation phase</w:t>
      </w:r>
      <w:bookmarkEnd w:id="28"/>
    </w:p>
    <w:p w:rsidR="00C02EB0" w:rsidRDefault="00C02EB0" w:rsidP="009475E1">
      <w:pPr>
        <w:pStyle w:val="ListBullet"/>
      </w:pPr>
      <w:r>
        <w:t xml:space="preserve">assess the delivery of expected benefits </w:t>
      </w:r>
    </w:p>
    <w:p w:rsidR="00C02EB0" w:rsidRDefault="00C02EB0" w:rsidP="009475E1">
      <w:pPr>
        <w:pStyle w:val="ListBullet"/>
      </w:pPr>
      <w:r>
        <w:t>assess the adequacy of project documentation and training material and whether skills transfer has occurred;</w:t>
      </w:r>
    </w:p>
    <w:p w:rsidR="00C02EB0" w:rsidRDefault="00C02EB0" w:rsidP="009475E1">
      <w:pPr>
        <w:pStyle w:val="ListBullet"/>
      </w:pPr>
      <w:r>
        <w:t>confirm that the client has the resources to manage the contract successfully;</w:t>
      </w:r>
    </w:p>
    <w:p w:rsidR="00C02EB0" w:rsidRDefault="00C02EB0" w:rsidP="009475E1">
      <w:pPr>
        <w:pStyle w:val="ListBullet"/>
      </w:pPr>
      <w:r>
        <w:t xml:space="preserve">confirm the continuity of key personnel involved in contract management, including in the role of the ‘intelligent customer’; </w:t>
      </w:r>
    </w:p>
    <w:p w:rsidR="00C02EB0" w:rsidRDefault="00C02EB0" w:rsidP="009475E1">
      <w:pPr>
        <w:pStyle w:val="ListBullet"/>
      </w:pPr>
      <w:r>
        <w:t>consider the need for continued or extended contract management;</w:t>
      </w:r>
    </w:p>
    <w:p w:rsidR="00C02EB0" w:rsidRDefault="00C02EB0" w:rsidP="009475E1">
      <w:pPr>
        <w:pStyle w:val="ListBullet"/>
      </w:pPr>
      <w:r>
        <w:t>evaluate the adequacy of risk management plans and the success of strategies to manage risks;</w:t>
      </w:r>
    </w:p>
    <w:p w:rsidR="00C02EB0" w:rsidRDefault="00C02EB0" w:rsidP="009475E1">
      <w:pPr>
        <w:pStyle w:val="ListBullet"/>
      </w:pPr>
      <w:r>
        <w:t>evaluate the adequacy of knowledge transfer and change management</w:t>
      </w:r>
    </w:p>
    <w:p w:rsidR="00C02EB0" w:rsidRDefault="00C02EB0" w:rsidP="009475E1">
      <w:pPr>
        <w:pStyle w:val="ListBullet"/>
      </w:pPr>
      <w:r>
        <w:t>evaluate the success of the process re-engineering approach</w:t>
      </w:r>
    </w:p>
    <w:p w:rsidR="00C02EB0" w:rsidRDefault="00C02EB0" w:rsidP="009475E1">
      <w:pPr>
        <w:pStyle w:val="ListBullet"/>
      </w:pPr>
      <w:r>
        <w:t xml:space="preserve">how effective has the actual training been </w:t>
      </w:r>
    </w:p>
    <w:p w:rsidR="00C02EB0" w:rsidRDefault="00C02EB0" w:rsidP="009475E1">
      <w:pPr>
        <w:pStyle w:val="ListBullet"/>
      </w:pPr>
      <w:r>
        <w:t>evaluate how well the transition between the different investment stages been managed and implemented (planning to business case development, procurement to implementation and post implementation).</w:t>
      </w:r>
    </w:p>
    <w:p w:rsidR="00C02EB0" w:rsidRDefault="00C02EB0" w:rsidP="009475E1">
      <w:pPr>
        <w:pStyle w:val="ListBullet"/>
      </w:pPr>
      <w:r>
        <w:t>assess the adequacy of change management and stakeholder communication strategies;</w:t>
      </w:r>
    </w:p>
    <w:p w:rsidR="00C02EB0" w:rsidRDefault="00C02EB0" w:rsidP="009475E1">
      <w:pPr>
        <w:pStyle w:val="ListBullet"/>
      </w:pPr>
      <w:r>
        <w:t>assess how well the design has facilitated effective cleaning and maintenance;</w:t>
      </w:r>
    </w:p>
    <w:p w:rsidR="00C02EB0" w:rsidRDefault="00C02EB0" w:rsidP="009475E1">
      <w:pPr>
        <w:pStyle w:val="ListBullet"/>
      </w:pPr>
      <w:r>
        <w:t>assess how well the design has facilitated sustainability objectives;</w:t>
      </w:r>
    </w:p>
    <w:p w:rsidR="00C02EB0" w:rsidRDefault="00C02EB0" w:rsidP="009475E1">
      <w:pPr>
        <w:pStyle w:val="ListBullet"/>
      </w:pPr>
      <w:r>
        <w:t>consider how well the investment assists the core business of the organisation;</w:t>
      </w:r>
    </w:p>
    <w:p w:rsidR="00C02EB0" w:rsidRDefault="00C02EB0" w:rsidP="009475E1">
      <w:pPr>
        <w:pStyle w:val="ListBullet"/>
      </w:pPr>
      <w:r>
        <w:t>determine the flexibility to allow for changes in user needs over time;</w:t>
      </w:r>
    </w:p>
    <w:p w:rsidR="00C02EB0" w:rsidRDefault="00C02EB0" w:rsidP="009475E1">
      <w:pPr>
        <w:pStyle w:val="ListBullet"/>
      </w:pPr>
      <w:r>
        <w:t xml:space="preserve">assess how the design contributes to the environment around the facility and to the internal environment for the occupants; </w:t>
      </w:r>
    </w:p>
    <w:p w:rsidR="00C02EB0" w:rsidRDefault="00C02EB0" w:rsidP="009475E1">
      <w:pPr>
        <w:pStyle w:val="ListBullet"/>
      </w:pPr>
      <w:r>
        <w:t>review the health and safety performance during occupation; and</w:t>
      </w:r>
    </w:p>
    <w:p w:rsidR="00C02EB0" w:rsidRDefault="00C02EB0" w:rsidP="009475E1">
      <w:pPr>
        <w:pStyle w:val="ListBullet"/>
      </w:pPr>
      <w:r>
        <w:t>identifying deficiencies to be remedied in order to achieve expected benefits.</w:t>
      </w:r>
    </w:p>
    <w:p w:rsidR="00C02EB0" w:rsidRDefault="00307660" w:rsidP="00307660">
      <w:pPr>
        <w:pStyle w:val="Heading20"/>
      </w:pPr>
      <w:bookmarkStart w:id="29" w:name="_Toc499630215"/>
      <w:r>
        <w:lastRenderedPageBreak/>
        <w:t>Evaluating the contract</w:t>
      </w:r>
      <w:bookmarkEnd w:id="29"/>
    </w:p>
    <w:p w:rsidR="00C02EB0" w:rsidRDefault="00C02EB0" w:rsidP="00307660">
      <w:pPr>
        <w:pStyle w:val="ListBullet"/>
        <w:keepNext/>
        <w:ind w:left="288" w:hanging="288"/>
      </w:pPr>
      <w:r>
        <w:t>review the performance-based specification;</w:t>
      </w:r>
    </w:p>
    <w:p w:rsidR="00C02EB0" w:rsidRDefault="00C02EB0" w:rsidP="009475E1">
      <w:pPr>
        <w:pStyle w:val="ListBullet"/>
      </w:pPr>
      <w:r>
        <w:t>assess the performance measures and ensure coverage of all aspects of the contract;</w:t>
      </w:r>
    </w:p>
    <w:p w:rsidR="00C02EB0" w:rsidRDefault="00C02EB0" w:rsidP="009475E1">
      <w:pPr>
        <w:pStyle w:val="ListBullet"/>
      </w:pPr>
      <w:r>
        <w:t>review the effectiveness of contract incentives and pain/gain share arrangements;</w:t>
      </w:r>
    </w:p>
    <w:p w:rsidR="00C02EB0" w:rsidRDefault="00C02EB0" w:rsidP="009475E1">
      <w:pPr>
        <w:pStyle w:val="ListBullet"/>
      </w:pPr>
      <w:r>
        <w:t>determine whether the selected performance measures offer clear and demonstrable evidence of the success (or otherwise) of the contract;</w:t>
      </w:r>
    </w:p>
    <w:p w:rsidR="00C02EB0" w:rsidRDefault="00C02EB0" w:rsidP="009475E1">
      <w:pPr>
        <w:pStyle w:val="ListBullet"/>
      </w:pPr>
      <w:r>
        <w:t>where changes have been agreed in the contract arrangements, check that they do not compromise the original outcomes sought;</w:t>
      </w:r>
    </w:p>
    <w:p w:rsidR="00C02EB0" w:rsidRDefault="00C02EB0" w:rsidP="009475E1">
      <w:pPr>
        <w:pStyle w:val="ListBullet"/>
      </w:pPr>
      <w:r>
        <w:t xml:space="preserve">assess whether the dispute resolution processes have been effective and whether alternate mechanisms should be considered in future; </w:t>
      </w:r>
    </w:p>
    <w:p w:rsidR="00C02EB0" w:rsidRDefault="00C02EB0" w:rsidP="009475E1">
      <w:pPr>
        <w:pStyle w:val="ListBullet"/>
      </w:pPr>
      <w:r>
        <w:t>confirm that there are plans to manage any contracts to their conclusion;</w:t>
      </w:r>
    </w:p>
    <w:p w:rsidR="00C02EB0" w:rsidRDefault="00C02EB0" w:rsidP="009475E1">
      <w:pPr>
        <w:pStyle w:val="ListBullet"/>
      </w:pPr>
      <w:r>
        <w:t>evaluate whether the contract management processes been benchmarked by comparing them with other organisations involved in similar relationships;</w:t>
      </w:r>
    </w:p>
    <w:p w:rsidR="00C02EB0" w:rsidRDefault="00C02EB0" w:rsidP="009475E1">
      <w:pPr>
        <w:pStyle w:val="ListBullet"/>
      </w:pPr>
      <w:r>
        <w:t xml:space="preserve">does the arrangement facilitate fair competition on the re-tendering of the contract?; </w:t>
      </w:r>
    </w:p>
    <w:p w:rsidR="00C02EB0" w:rsidRDefault="00C02EB0" w:rsidP="009475E1">
      <w:pPr>
        <w:pStyle w:val="ListBullet"/>
      </w:pPr>
      <w:r>
        <w:t>if an exit strategy is needed – do the contract arrangements allow for the transition to be as smooth as possible?; and</w:t>
      </w:r>
    </w:p>
    <w:p w:rsidR="00C02EB0" w:rsidRDefault="00C02EB0" w:rsidP="009475E1">
      <w:pPr>
        <w:pStyle w:val="ListBullet"/>
      </w:pPr>
      <w:r>
        <w:t>has there been a review of how well the contracts were or are being managed?</w:t>
      </w:r>
    </w:p>
    <w:p w:rsidR="00C02EB0" w:rsidRDefault="00C02EB0" w:rsidP="00307660">
      <w:pPr>
        <w:pStyle w:val="Heading20"/>
      </w:pPr>
      <w:bookmarkStart w:id="30" w:name="_Toc499630216"/>
      <w:r>
        <w:t>Evaluating contractor performance</w:t>
      </w:r>
      <w:bookmarkEnd w:id="30"/>
      <w:r>
        <w:t xml:space="preserve"> </w:t>
      </w:r>
    </w:p>
    <w:p w:rsidR="00C02EB0" w:rsidRDefault="00C02EB0" w:rsidP="009475E1">
      <w:pPr>
        <w:pStyle w:val="ListBullet"/>
      </w:pPr>
      <w:r>
        <w:t xml:space="preserve">determine whether the prime contractor has fully provided the contract deliverables within the timelines required; </w:t>
      </w:r>
    </w:p>
    <w:p w:rsidR="00C02EB0" w:rsidRDefault="00C02EB0" w:rsidP="009475E1">
      <w:pPr>
        <w:pStyle w:val="ListBullet"/>
      </w:pPr>
      <w:r>
        <w:t>if circumstances have changed, are the service delivery arrangements adapted to the new situation and reflected as required in contract documents? (Changing circumstances could affect management of partners, stakeholder relationships, services, change processes, contracts, benefits and performance monitoring.);</w:t>
      </w:r>
    </w:p>
    <w:p w:rsidR="00C02EB0" w:rsidRDefault="00C02EB0" w:rsidP="009475E1">
      <w:pPr>
        <w:pStyle w:val="ListBullet"/>
      </w:pPr>
      <w:r>
        <w:t>determine the scope for improved value for money including:</w:t>
      </w:r>
    </w:p>
    <w:p w:rsidR="00C02EB0" w:rsidRDefault="00C02EB0" w:rsidP="009475E1">
      <w:pPr>
        <w:pStyle w:val="ListBullet"/>
      </w:pPr>
      <w:r>
        <w:t>Can more be done with less?</w:t>
      </w:r>
    </w:p>
    <w:p w:rsidR="00C02EB0" w:rsidRDefault="00C02EB0" w:rsidP="009475E1">
      <w:pPr>
        <w:pStyle w:val="ListBullet"/>
      </w:pPr>
      <w:r>
        <w:t>Could the provider deliver better service quality at the same price?</w:t>
      </w:r>
    </w:p>
    <w:p w:rsidR="00C02EB0" w:rsidRDefault="00C02EB0" w:rsidP="009475E1">
      <w:pPr>
        <w:pStyle w:val="ListBullet"/>
      </w:pPr>
      <w:r>
        <w:t>If ongoing contract management is required:</w:t>
      </w:r>
    </w:p>
    <w:p w:rsidR="00C02EB0" w:rsidRDefault="00C02EB0" w:rsidP="009475E1">
      <w:pPr>
        <w:pStyle w:val="ListBullet"/>
      </w:pPr>
      <w:r>
        <w:t>Review the adequacy of client and supplier resources for the task.</w:t>
      </w:r>
    </w:p>
    <w:p w:rsidR="00C02EB0" w:rsidRDefault="00C02EB0" w:rsidP="009475E1">
      <w:pPr>
        <w:pStyle w:val="ListBullet"/>
      </w:pPr>
      <w:r>
        <w:t>Investigate whether there are well defined, implemented and effective processes for embedding improvements based on lessons learnt from the project?</w:t>
      </w:r>
    </w:p>
    <w:p w:rsidR="00C02EB0" w:rsidRDefault="00C02EB0" w:rsidP="009475E1">
      <w:pPr>
        <w:pStyle w:val="ListBullet"/>
      </w:pPr>
      <w:r>
        <w:t>Have contractors participated in the learning process?</w:t>
      </w:r>
    </w:p>
    <w:p w:rsidR="00C02EB0" w:rsidRDefault="00C02EB0" w:rsidP="00307660">
      <w:pPr>
        <w:pStyle w:val="Heading20"/>
      </w:pPr>
      <w:bookmarkStart w:id="31" w:name="_Toc499630217"/>
      <w:r>
        <w:t>Evaluating the operations and maintenance performance</w:t>
      </w:r>
      <w:bookmarkEnd w:id="31"/>
    </w:p>
    <w:p w:rsidR="00C02EB0" w:rsidRDefault="00C02EB0" w:rsidP="009475E1">
      <w:pPr>
        <w:pStyle w:val="ListBullet"/>
      </w:pPr>
      <w:r>
        <w:t>Evaluate how well operational readiness plans met the needs of the actual transition-in phase;</w:t>
      </w:r>
    </w:p>
    <w:p w:rsidR="00C02EB0" w:rsidRDefault="00C02EB0" w:rsidP="009475E1">
      <w:pPr>
        <w:pStyle w:val="ListBullet"/>
      </w:pPr>
      <w:r>
        <w:t>Evaluate the effectiveness of the support environment to resolve transition-in issues;</w:t>
      </w:r>
    </w:p>
    <w:p w:rsidR="00C02EB0" w:rsidRDefault="00C02EB0" w:rsidP="009475E1">
      <w:pPr>
        <w:pStyle w:val="ListBullet"/>
      </w:pPr>
      <w:r>
        <w:t>Evaluate the effectiveness of stakeholder communications;</w:t>
      </w:r>
    </w:p>
    <w:p w:rsidR="00C02EB0" w:rsidRDefault="00C02EB0" w:rsidP="009475E1">
      <w:pPr>
        <w:pStyle w:val="ListBullet"/>
      </w:pPr>
      <w:r>
        <w:lastRenderedPageBreak/>
        <w:t>Evaluate the alignment of the asset management plans with the operational and maintenance support environment</w:t>
      </w:r>
    </w:p>
    <w:p w:rsidR="00C02EB0" w:rsidRDefault="00C02EB0" w:rsidP="009475E1">
      <w:pPr>
        <w:pStyle w:val="ListBullet"/>
      </w:pPr>
      <w:r>
        <w:t>Evaluate processes and procedures for performance growth, improvement and achievement of service demands or needs definition objectives</w:t>
      </w:r>
    </w:p>
    <w:p w:rsidR="00C02EB0" w:rsidRDefault="00C02EB0" w:rsidP="009475E1">
      <w:pPr>
        <w:pStyle w:val="ListBullet"/>
      </w:pPr>
      <w:r>
        <w:t xml:space="preserve">Evaluate performance improvement (in the case of an operational asset) through the initial operation and maintenance phase (reliability and maintainability demonstration and growth programs for </w:t>
      </w:r>
      <w:proofErr w:type="spellStart"/>
      <w:r>
        <w:t>rollingstock</w:t>
      </w:r>
      <w:proofErr w:type="spellEnd"/>
      <w:r>
        <w:t xml:space="preserve"> are an example).</w:t>
      </w:r>
    </w:p>
    <w:p w:rsidR="00307660" w:rsidRDefault="00307660">
      <w:pPr>
        <w:rPr>
          <w:rFonts w:asciiTheme="majorHAnsi" w:eastAsiaTheme="majorEastAsia" w:hAnsiTheme="majorHAnsi" w:cstheme="majorBidi"/>
          <w:bCs/>
          <w:color w:val="F6BE00" w:themeColor="accent1"/>
          <w:spacing w:val="-2"/>
          <w:sz w:val="36"/>
          <w:szCs w:val="28"/>
        </w:rPr>
      </w:pPr>
      <w:r>
        <w:br w:type="page"/>
      </w:r>
    </w:p>
    <w:p w:rsidR="00C02EB0" w:rsidRDefault="00C02EB0" w:rsidP="00307660">
      <w:pPr>
        <w:pStyle w:val="Heading10"/>
      </w:pPr>
      <w:bookmarkStart w:id="32" w:name="_Toc499630218"/>
      <w:r>
        <w:lastRenderedPageBreak/>
        <w:t>Appendix C: Investment evaluation template</w:t>
      </w:r>
      <w:bookmarkEnd w:id="32"/>
      <w:r>
        <w:t xml:space="preserve"> </w:t>
      </w:r>
    </w:p>
    <w:p w:rsidR="00C02EB0" w:rsidRDefault="00C02EB0" w:rsidP="00C02EB0">
      <w:r>
        <w:t>The deliverable from the investment evaluation phase is a project evaluation template that should provide:</w:t>
      </w:r>
    </w:p>
    <w:p w:rsidR="00C02EB0" w:rsidRDefault="00C02EB0" w:rsidP="009475E1">
      <w:pPr>
        <w:pStyle w:val="ListBullet"/>
      </w:pPr>
      <w:r>
        <w:t>an overall assessment of the investment;</w:t>
      </w:r>
    </w:p>
    <w:p w:rsidR="00C02EB0" w:rsidRDefault="00C02EB0" w:rsidP="009475E1">
      <w:pPr>
        <w:pStyle w:val="ListBullet"/>
      </w:pPr>
      <w:r>
        <w:t>well-supported findings and identified learnings; and</w:t>
      </w:r>
    </w:p>
    <w:p w:rsidR="00C02EB0" w:rsidRDefault="00C02EB0" w:rsidP="009475E1">
      <w:pPr>
        <w:pStyle w:val="ListBullet"/>
      </w:pPr>
      <w:r>
        <w:t>a list of practical recommendations.</w:t>
      </w:r>
    </w:p>
    <w:p w:rsidR="00C02EB0" w:rsidRDefault="00C02EB0" w:rsidP="00C02EB0">
      <w:r>
        <w:t>The suggested content of the evaluation report is set out below. The level of detail in the report will vary depending on the complexity and scale of the particular project. However, the report should show that each of the issues has been considered.</w:t>
      </w:r>
    </w:p>
    <w:p w:rsidR="00C02EB0" w:rsidRDefault="00C02EB0" w:rsidP="00C02EB0">
      <w:r>
        <w:t>The executive summary is a particularly important part of the evaluation report. The executive summary must contain a clear, concise, plain-English outline of the evaluation, linking to the evolved project business case.</w:t>
      </w:r>
    </w:p>
    <w:tbl>
      <w:tblPr>
        <w:tblStyle w:val="DTFTextTable"/>
        <w:tblW w:w="0" w:type="auto"/>
        <w:tblLayout w:type="fixed"/>
        <w:tblLook w:val="0420" w:firstRow="1" w:lastRow="0" w:firstColumn="0" w:lastColumn="0" w:noHBand="0" w:noVBand="1"/>
      </w:tblPr>
      <w:tblGrid>
        <w:gridCol w:w="8220"/>
      </w:tblGrid>
      <w:tr w:rsidR="00C02EB0" w:rsidRPr="00727843" w:rsidTr="00307660">
        <w:trPr>
          <w:cnfStyle w:val="100000000000" w:firstRow="1" w:lastRow="0" w:firstColumn="0" w:lastColumn="0" w:oddVBand="0" w:evenVBand="0" w:oddHBand="0" w:evenHBand="0" w:firstRowFirstColumn="0" w:firstRowLastColumn="0" w:lastRowFirstColumn="0" w:lastRowLastColumn="0"/>
          <w:tblHeader/>
        </w:trPr>
        <w:tc>
          <w:tcPr>
            <w:tcW w:w="8220" w:type="dxa"/>
          </w:tcPr>
          <w:p w:rsidR="00C02EB0" w:rsidRPr="00727843" w:rsidRDefault="00C02EB0" w:rsidP="00355257">
            <w:r>
              <w:t xml:space="preserve">Investment </w:t>
            </w:r>
            <w:r w:rsidRPr="00727843">
              <w:t>evaluation</w:t>
            </w:r>
            <w:r>
              <w:t xml:space="preserve"> </w:t>
            </w:r>
            <w:r w:rsidRPr="00727843">
              <w:t>template</w:t>
            </w:r>
          </w:p>
        </w:tc>
      </w:tr>
      <w:tr w:rsidR="00C02EB0" w:rsidRPr="00307660" w:rsidTr="00307660">
        <w:trPr>
          <w:cnfStyle w:val="000000100000" w:firstRow="0" w:lastRow="0" w:firstColumn="0" w:lastColumn="0" w:oddVBand="0" w:evenVBand="0" w:oddHBand="1" w:evenHBand="0" w:firstRowFirstColumn="0" w:firstRowLastColumn="0" w:lastRowFirstColumn="0" w:lastRowLastColumn="0"/>
        </w:trPr>
        <w:tc>
          <w:tcPr>
            <w:tcW w:w="8220" w:type="dxa"/>
            <w:shd w:val="clear" w:color="auto" w:fill="FEF9D3" w:themeFill="accent6"/>
          </w:tcPr>
          <w:p w:rsidR="00C02EB0" w:rsidRPr="00307660" w:rsidRDefault="00C02EB0" w:rsidP="00355257">
            <w:pPr>
              <w:rPr>
                <w:b/>
              </w:rPr>
            </w:pPr>
            <w:r w:rsidRPr="00307660">
              <w:rPr>
                <w:b/>
              </w:rPr>
              <w:t>1</w:t>
            </w:r>
            <w:r w:rsidR="00307660">
              <w:rPr>
                <w:b/>
              </w:rPr>
              <w:t>.</w:t>
            </w:r>
            <w:r w:rsidRPr="00307660">
              <w:rPr>
                <w:b/>
              </w:rPr>
              <w:t xml:space="preserve"> Executive Summary</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Overall assessment</w:t>
            </w:r>
          </w:p>
        </w:tc>
      </w:tr>
      <w:tr w:rsidR="00C02EB0" w:rsidRPr="00800672" w:rsidTr="00307660">
        <w:trPr>
          <w:cnfStyle w:val="000000100000" w:firstRow="0" w:lastRow="0" w:firstColumn="0" w:lastColumn="0" w:oddVBand="0" w:evenVBand="0" w:oddHBand="1" w:evenHBand="0" w:firstRowFirstColumn="0" w:firstRowLastColumn="0" w:lastRowFirstColumn="0" w:lastRowLastColumn="0"/>
        </w:trPr>
        <w:tc>
          <w:tcPr>
            <w:tcW w:w="8220" w:type="dxa"/>
          </w:tcPr>
          <w:p w:rsidR="00C02EB0" w:rsidRPr="00800672" w:rsidRDefault="00C02EB0" w:rsidP="00355257">
            <w:r w:rsidRPr="00800672">
              <w:t>Lessons learned</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 xml:space="preserve">List of recommendations and actions </w:t>
            </w:r>
          </w:p>
        </w:tc>
      </w:tr>
      <w:tr w:rsidR="00C02EB0" w:rsidRPr="00307660" w:rsidTr="00307660">
        <w:trPr>
          <w:cnfStyle w:val="000000100000" w:firstRow="0" w:lastRow="0" w:firstColumn="0" w:lastColumn="0" w:oddVBand="0" w:evenVBand="0" w:oddHBand="1" w:evenHBand="0" w:firstRowFirstColumn="0" w:firstRowLastColumn="0" w:lastRowFirstColumn="0" w:lastRowLastColumn="0"/>
        </w:trPr>
        <w:tc>
          <w:tcPr>
            <w:tcW w:w="8220" w:type="dxa"/>
            <w:shd w:val="clear" w:color="auto" w:fill="FEF9D3" w:themeFill="accent6"/>
          </w:tcPr>
          <w:p w:rsidR="00C02EB0" w:rsidRPr="00307660" w:rsidRDefault="00C02EB0" w:rsidP="00355257">
            <w:pPr>
              <w:rPr>
                <w:b/>
              </w:rPr>
            </w:pPr>
            <w:r w:rsidRPr="00307660">
              <w:rPr>
                <w:b/>
              </w:rPr>
              <w:t>2</w:t>
            </w:r>
            <w:r w:rsidR="00307660">
              <w:rPr>
                <w:b/>
              </w:rPr>
              <w:t>.</w:t>
            </w:r>
            <w:r w:rsidRPr="00307660">
              <w:rPr>
                <w:b/>
              </w:rPr>
              <w:t xml:space="preserve"> Project background</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 xml:space="preserve">Origin of </w:t>
            </w:r>
            <w:r>
              <w:t>investment</w:t>
            </w:r>
            <w:r w:rsidRPr="00800672">
              <w:t xml:space="preserve"> (context from Stage 1, Investment Logic Map)</w:t>
            </w:r>
          </w:p>
        </w:tc>
      </w:tr>
      <w:tr w:rsidR="00C02EB0" w:rsidRPr="00800672" w:rsidTr="00307660">
        <w:trPr>
          <w:cnfStyle w:val="000000100000" w:firstRow="0" w:lastRow="0" w:firstColumn="0" w:lastColumn="0" w:oddVBand="0" w:evenVBand="0" w:oddHBand="1" w:evenHBand="0" w:firstRowFirstColumn="0" w:firstRowLastColumn="0" w:lastRowFirstColumn="0" w:lastRowLastColumn="0"/>
        </w:trPr>
        <w:tc>
          <w:tcPr>
            <w:tcW w:w="8220" w:type="dxa"/>
          </w:tcPr>
          <w:p w:rsidR="00C02EB0" w:rsidRPr="00800672" w:rsidRDefault="00C02EB0" w:rsidP="00355257">
            <w:r>
              <w:t>Investment</w:t>
            </w:r>
            <w:r w:rsidRPr="00800672">
              <w:t xml:space="preserve"> </w:t>
            </w:r>
            <w:r>
              <w:t xml:space="preserve">problem, </w:t>
            </w:r>
            <w:r w:rsidRPr="00800672">
              <w:t>goals and objectives (including Benefit Management Plan and associated KPIs)</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t>Investment</w:t>
            </w:r>
            <w:r w:rsidRPr="00800672">
              <w:t xml:space="preserve"> summary: timing, budget and status</w:t>
            </w:r>
          </w:p>
        </w:tc>
      </w:tr>
      <w:tr w:rsidR="00C02EB0" w:rsidRPr="00307660" w:rsidTr="00307660">
        <w:trPr>
          <w:cnfStyle w:val="000000100000" w:firstRow="0" w:lastRow="0" w:firstColumn="0" w:lastColumn="0" w:oddVBand="0" w:evenVBand="0" w:oddHBand="1" w:evenHBand="0" w:firstRowFirstColumn="0" w:firstRowLastColumn="0" w:lastRowFirstColumn="0" w:lastRowLastColumn="0"/>
        </w:trPr>
        <w:tc>
          <w:tcPr>
            <w:tcW w:w="8220" w:type="dxa"/>
            <w:shd w:val="clear" w:color="auto" w:fill="FEF9D3" w:themeFill="accent6"/>
          </w:tcPr>
          <w:p w:rsidR="00C02EB0" w:rsidRPr="00307660" w:rsidRDefault="00C02EB0" w:rsidP="00355257">
            <w:pPr>
              <w:rPr>
                <w:b/>
              </w:rPr>
            </w:pPr>
            <w:r w:rsidRPr="00307660">
              <w:rPr>
                <w:b/>
              </w:rPr>
              <w:t>3</w:t>
            </w:r>
            <w:r w:rsidR="00307660">
              <w:rPr>
                <w:b/>
              </w:rPr>
              <w:t>.</w:t>
            </w:r>
            <w:r w:rsidRPr="00307660">
              <w:rPr>
                <w:b/>
              </w:rPr>
              <w:t xml:space="preserve"> Evaluation scope and methodology</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Evaluation objectives and focus</w:t>
            </w:r>
          </w:p>
        </w:tc>
      </w:tr>
      <w:tr w:rsidR="00C02EB0" w:rsidRPr="00800672" w:rsidTr="00307660">
        <w:trPr>
          <w:cnfStyle w:val="000000100000" w:firstRow="0" w:lastRow="0" w:firstColumn="0" w:lastColumn="0" w:oddVBand="0" w:evenVBand="0" w:oddHBand="1" w:evenHBand="0" w:firstRowFirstColumn="0" w:firstRowLastColumn="0" w:lastRowFirstColumn="0" w:lastRowLastColumn="0"/>
        </w:trPr>
        <w:tc>
          <w:tcPr>
            <w:tcW w:w="8220" w:type="dxa"/>
          </w:tcPr>
          <w:p w:rsidR="00C02EB0" w:rsidRPr="00800672" w:rsidRDefault="00C02EB0" w:rsidP="00355257">
            <w:r w:rsidRPr="00800672">
              <w:t>Evaluation criteria/key questions</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 xml:space="preserve">Scope, terms of reference and timing </w:t>
            </w:r>
          </w:p>
        </w:tc>
      </w:tr>
      <w:tr w:rsidR="00C02EB0" w:rsidRPr="00800672" w:rsidTr="00307660">
        <w:trPr>
          <w:cnfStyle w:val="000000100000" w:firstRow="0" w:lastRow="0" w:firstColumn="0" w:lastColumn="0" w:oddVBand="0" w:evenVBand="0" w:oddHBand="1" w:evenHBand="0" w:firstRowFirstColumn="0" w:firstRowLastColumn="0" w:lastRowFirstColumn="0" w:lastRowLastColumn="0"/>
        </w:trPr>
        <w:tc>
          <w:tcPr>
            <w:tcW w:w="8220" w:type="dxa"/>
          </w:tcPr>
          <w:p w:rsidR="00C02EB0" w:rsidRPr="00800672" w:rsidRDefault="00C02EB0" w:rsidP="00355257">
            <w:r w:rsidRPr="00800672">
              <w:t>Evaluation team and resources</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 xml:space="preserve">Methodology and design parameters – data collection and analysis methods, data sources </w:t>
            </w:r>
          </w:p>
        </w:tc>
      </w:tr>
      <w:tr w:rsidR="00C02EB0" w:rsidRPr="00307660" w:rsidTr="00307660">
        <w:trPr>
          <w:cnfStyle w:val="000000100000" w:firstRow="0" w:lastRow="0" w:firstColumn="0" w:lastColumn="0" w:oddVBand="0" w:evenVBand="0" w:oddHBand="1" w:evenHBand="0" w:firstRowFirstColumn="0" w:firstRowLastColumn="0" w:lastRowFirstColumn="0" w:lastRowLastColumn="0"/>
        </w:trPr>
        <w:tc>
          <w:tcPr>
            <w:tcW w:w="8220" w:type="dxa"/>
            <w:shd w:val="clear" w:color="auto" w:fill="FEF9D3" w:themeFill="accent6"/>
          </w:tcPr>
          <w:p w:rsidR="00C02EB0" w:rsidRPr="00307660" w:rsidRDefault="00C02EB0" w:rsidP="00355257">
            <w:pPr>
              <w:rPr>
                <w:b/>
              </w:rPr>
            </w:pPr>
            <w:r w:rsidRPr="00307660">
              <w:rPr>
                <w:b/>
              </w:rPr>
              <w:t>4</w:t>
            </w:r>
            <w:r w:rsidR="00307660">
              <w:rPr>
                <w:b/>
              </w:rPr>
              <w:t>.</w:t>
            </w:r>
            <w:r w:rsidRPr="00307660">
              <w:rPr>
                <w:b/>
              </w:rPr>
              <w:t xml:space="preserve"> Findings</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Evaluation assessment</w:t>
            </w:r>
          </w:p>
          <w:p w:rsidR="00C02EB0" w:rsidRPr="00800672" w:rsidRDefault="00C02EB0" w:rsidP="00307660">
            <w:pPr>
              <w:pStyle w:val="ListBullet"/>
            </w:pPr>
            <w:r w:rsidRPr="00800672">
              <w:t>Benefits realised against the business case (Investment Management documents and evaluation report)</w:t>
            </w:r>
          </w:p>
          <w:p w:rsidR="00C02EB0" w:rsidRPr="00800672" w:rsidRDefault="00C02EB0" w:rsidP="00307660">
            <w:pPr>
              <w:pStyle w:val="ListBullet"/>
            </w:pPr>
            <w:r w:rsidRPr="00800672">
              <w:t>Costs incurred against projections</w:t>
            </w:r>
          </w:p>
          <w:p w:rsidR="00C02EB0" w:rsidRPr="00800672" w:rsidRDefault="00C02EB0" w:rsidP="00307660">
            <w:pPr>
              <w:pStyle w:val="ListBullet"/>
            </w:pPr>
            <w:r w:rsidRPr="00800672">
              <w:t xml:space="preserve">To what extent the planned schedule was followed and if variance was experienced what were the contributing factors </w:t>
            </w:r>
          </w:p>
          <w:p w:rsidR="00C02EB0" w:rsidRPr="00800672" w:rsidRDefault="00C02EB0" w:rsidP="00307660">
            <w:pPr>
              <w:pStyle w:val="ListBullet"/>
            </w:pPr>
            <w:r w:rsidRPr="00800672">
              <w:t>Schedule validation and contributing factors</w:t>
            </w:r>
          </w:p>
          <w:p w:rsidR="00C02EB0" w:rsidRPr="00800672" w:rsidRDefault="00C02EB0" w:rsidP="00307660">
            <w:pPr>
              <w:pStyle w:val="ListBullet"/>
            </w:pPr>
            <w:r w:rsidRPr="00800672">
              <w:t>Alignment with business objectives</w:t>
            </w:r>
          </w:p>
          <w:p w:rsidR="00C02EB0" w:rsidRPr="00800672" w:rsidRDefault="00C02EB0" w:rsidP="00307660">
            <w:pPr>
              <w:pStyle w:val="ListBullet"/>
            </w:pPr>
            <w:r w:rsidRPr="00800672">
              <w:t>Stakeholder satisfaction</w:t>
            </w:r>
          </w:p>
          <w:p w:rsidR="00C02EB0" w:rsidRPr="00800672" w:rsidRDefault="00C02EB0" w:rsidP="00307660">
            <w:pPr>
              <w:pStyle w:val="ListBullet"/>
            </w:pPr>
            <w:r w:rsidRPr="00800672">
              <w:t>Contract management performance</w:t>
            </w:r>
          </w:p>
          <w:p w:rsidR="00C02EB0" w:rsidRPr="00800672" w:rsidRDefault="00C02EB0" w:rsidP="00307660">
            <w:pPr>
              <w:pStyle w:val="ListBullet"/>
            </w:pPr>
            <w:r w:rsidRPr="00800672">
              <w:t>Unexpected findings</w:t>
            </w:r>
          </w:p>
        </w:tc>
      </w:tr>
      <w:tr w:rsidR="00C02EB0" w:rsidRPr="00800672" w:rsidTr="00307660">
        <w:trPr>
          <w:cnfStyle w:val="000000100000" w:firstRow="0" w:lastRow="0" w:firstColumn="0" w:lastColumn="0" w:oddVBand="0" w:evenVBand="0" w:oddHBand="1" w:evenHBand="0" w:firstRowFirstColumn="0" w:firstRowLastColumn="0" w:lastRowFirstColumn="0" w:lastRowLastColumn="0"/>
        </w:trPr>
        <w:tc>
          <w:tcPr>
            <w:tcW w:w="8220" w:type="dxa"/>
          </w:tcPr>
          <w:p w:rsidR="00C02EB0" w:rsidRPr="00800672" w:rsidRDefault="00C02EB0" w:rsidP="00355257">
            <w:r w:rsidRPr="00800672">
              <w:lastRenderedPageBreak/>
              <w:t>Risk management</w:t>
            </w:r>
          </w:p>
          <w:p w:rsidR="00C02EB0" w:rsidRPr="00800672" w:rsidRDefault="00C02EB0" w:rsidP="00307660">
            <w:pPr>
              <w:pStyle w:val="ListBullet"/>
            </w:pPr>
            <w:r w:rsidRPr="00800672">
              <w:t>Technical risks</w:t>
            </w:r>
          </w:p>
          <w:p w:rsidR="00C02EB0" w:rsidRPr="00800672" w:rsidRDefault="00C02EB0" w:rsidP="00307660">
            <w:pPr>
              <w:pStyle w:val="ListBullet"/>
            </w:pPr>
            <w:r w:rsidRPr="00800672">
              <w:t>Business risks</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Future implications</w:t>
            </w:r>
          </w:p>
          <w:p w:rsidR="00C02EB0" w:rsidRPr="00800672" w:rsidRDefault="00C02EB0" w:rsidP="00307660">
            <w:pPr>
              <w:pStyle w:val="ListBullet"/>
            </w:pPr>
            <w:r w:rsidRPr="00800672">
              <w:t>Deficiencies requiring remedy</w:t>
            </w:r>
          </w:p>
          <w:p w:rsidR="00C02EB0" w:rsidRPr="00800672" w:rsidRDefault="00C02EB0" w:rsidP="00307660">
            <w:pPr>
              <w:pStyle w:val="ListBullet"/>
            </w:pPr>
            <w:r w:rsidRPr="00800672">
              <w:t>Lessons learned</w:t>
            </w:r>
          </w:p>
          <w:p w:rsidR="00C02EB0" w:rsidRPr="00800672" w:rsidRDefault="00C02EB0" w:rsidP="00307660">
            <w:pPr>
              <w:pStyle w:val="ListBullet"/>
            </w:pPr>
            <w:r w:rsidRPr="00800672">
              <w:t>Limitations of evaluation</w:t>
            </w:r>
          </w:p>
        </w:tc>
      </w:tr>
      <w:tr w:rsidR="00C02EB0" w:rsidRPr="00307660" w:rsidTr="00307660">
        <w:trPr>
          <w:cnfStyle w:val="000000100000" w:firstRow="0" w:lastRow="0" w:firstColumn="0" w:lastColumn="0" w:oddVBand="0" w:evenVBand="0" w:oddHBand="1" w:evenHBand="0" w:firstRowFirstColumn="0" w:firstRowLastColumn="0" w:lastRowFirstColumn="0" w:lastRowLastColumn="0"/>
        </w:trPr>
        <w:tc>
          <w:tcPr>
            <w:tcW w:w="8220" w:type="dxa"/>
            <w:shd w:val="clear" w:color="auto" w:fill="FEF9D3" w:themeFill="accent6"/>
          </w:tcPr>
          <w:p w:rsidR="00C02EB0" w:rsidRPr="00307660" w:rsidRDefault="00C02EB0" w:rsidP="00355257">
            <w:pPr>
              <w:rPr>
                <w:b/>
              </w:rPr>
            </w:pPr>
            <w:r w:rsidRPr="00307660">
              <w:rPr>
                <w:b/>
              </w:rPr>
              <w:t>5</w:t>
            </w:r>
            <w:r w:rsidR="00307660">
              <w:rPr>
                <w:b/>
              </w:rPr>
              <w:t>.</w:t>
            </w:r>
            <w:r w:rsidRPr="00307660">
              <w:rPr>
                <w:b/>
              </w:rPr>
              <w:t xml:space="preserve"> Conclusions and options</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 xml:space="preserve">Overall judgement on the worth of the </w:t>
            </w:r>
            <w:r>
              <w:t>investment</w:t>
            </w:r>
          </w:p>
        </w:tc>
      </w:tr>
      <w:tr w:rsidR="00C02EB0" w:rsidRPr="00800672" w:rsidTr="00307660">
        <w:trPr>
          <w:cnfStyle w:val="000000100000" w:firstRow="0" w:lastRow="0" w:firstColumn="0" w:lastColumn="0" w:oddVBand="0" w:evenVBand="0" w:oddHBand="1" w:evenHBand="0" w:firstRowFirstColumn="0" w:firstRowLastColumn="0" w:lastRowFirstColumn="0" w:lastRowLastColumn="0"/>
        </w:trPr>
        <w:tc>
          <w:tcPr>
            <w:tcW w:w="8220" w:type="dxa"/>
          </w:tcPr>
          <w:p w:rsidR="00C02EB0" w:rsidRPr="00800672" w:rsidRDefault="00C02EB0" w:rsidP="00355257">
            <w:r w:rsidRPr="00800672">
              <w:t>Discussion of key findings and their validity and reliability</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 xml:space="preserve">Options for future change and improvement </w:t>
            </w:r>
          </w:p>
        </w:tc>
      </w:tr>
      <w:tr w:rsidR="00C02EB0" w:rsidRPr="00307660" w:rsidTr="00307660">
        <w:trPr>
          <w:cnfStyle w:val="000000100000" w:firstRow="0" w:lastRow="0" w:firstColumn="0" w:lastColumn="0" w:oddVBand="0" w:evenVBand="0" w:oddHBand="1" w:evenHBand="0" w:firstRowFirstColumn="0" w:firstRowLastColumn="0" w:lastRowFirstColumn="0" w:lastRowLastColumn="0"/>
        </w:trPr>
        <w:tc>
          <w:tcPr>
            <w:tcW w:w="8220" w:type="dxa"/>
            <w:shd w:val="clear" w:color="auto" w:fill="FEF9D3" w:themeFill="accent6"/>
          </w:tcPr>
          <w:p w:rsidR="00C02EB0" w:rsidRPr="00307660" w:rsidRDefault="00307660" w:rsidP="00355257">
            <w:pPr>
              <w:rPr>
                <w:b/>
              </w:rPr>
            </w:pPr>
            <w:r w:rsidRPr="00307660">
              <w:rPr>
                <w:b/>
              </w:rPr>
              <w:t>6. Recommendations and Action Plan</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307660" w:rsidP="00355257">
            <w:r w:rsidRPr="00307660">
              <w:t>List of recommendations</w:t>
            </w:r>
          </w:p>
        </w:tc>
      </w:tr>
      <w:tr w:rsidR="00307660" w:rsidRPr="00800672" w:rsidTr="00307660">
        <w:trPr>
          <w:cnfStyle w:val="000000100000" w:firstRow="0" w:lastRow="0" w:firstColumn="0" w:lastColumn="0" w:oddVBand="0" w:evenVBand="0" w:oddHBand="1" w:evenHBand="0" w:firstRowFirstColumn="0" w:firstRowLastColumn="0" w:lastRowFirstColumn="0" w:lastRowLastColumn="0"/>
        </w:trPr>
        <w:tc>
          <w:tcPr>
            <w:tcW w:w="8220" w:type="dxa"/>
          </w:tcPr>
          <w:p w:rsidR="00307660" w:rsidRPr="00800672" w:rsidRDefault="00307660" w:rsidP="00355257">
            <w:r w:rsidRPr="00800672">
              <w:t>Action plan</w:t>
            </w:r>
          </w:p>
        </w:tc>
      </w:tr>
      <w:tr w:rsidR="00C02EB0" w:rsidRPr="00307660" w:rsidTr="00307660">
        <w:trPr>
          <w:cnfStyle w:val="000000010000" w:firstRow="0" w:lastRow="0" w:firstColumn="0" w:lastColumn="0" w:oddVBand="0" w:evenVBand="0" w:oddHBand="0" w:evenHBand="1" w:firstRowFirstColumn="0" w:firstRowLastColumn="0" w:lastRowFirstColumn="0" w:lastRowLastColumn="0"/>
        </w:trPr>
        <w:tc>
          <w:tcPr>
            <w:tcW w:w="8220" w:type="dxa"/>
            <w:shd w:val="clear" w:color="auto" w:fill="FEF9D3" w:themeFill="accent6"/>
          </w:tcPr>
          <w:p w:rsidR="00C02EB0" w:rsidRPr="00307660" w:rsidRDefault="00C02EB0" w:rsidP="00355257">
            <w:pPr>
              <w:rPr>
                <w:b/>
              </w:rPr>
            </w:pPr>
            <w:r w:rsidRPr="00307660">
              <w:rPr>
                <w:b/>
              </w:rPr>
              <w:t>7</w:t>
            </w:r>
            <w:r w:rsidR="00307660">
              <w:rPr>
                <w:b/>
              </w:rPr>
              <w:t>.</w:t>
            </w:r>
            <w:r w:rsidRPr="00307660">
              <w:rPr>
                <w:b/>
              </w:rPr>
              <w:t xml:space="preserve"> Appendices</w:t>
            </w:r>
          </w:p>
        </w:tc>
      </w:tr>
      <w:tr w:rsidR="00C02EB0" w:rsidRPr="00800672" w:rsidTr="00307660">
        <w:trPr>
          <w:cnfStyle w:val="000000100000" w:firstRow="0" w:lastRow="0" w:firstColumn="0" w:lastColumn="0" w:oddVBand="0" w:evenVBand="0" w:oddHBand="1" w:evenHBand="0" w:firstRowFirstColumn="0" w:firstRowLastColumn="0" w:lastRowFirstColumn="0" w:lastRowLastColumn="0"/>
        </w:trPr>
        <w:tc>
          <w:tcPr>
            <w:tcW w:w="8220" w:type="dxa"/>
          </w:tcPr>
          <w:p w:rsidR="00C02EB0" w:rsidRPr="00800672" w:rsidRDefault="00C02EB0" w:rsidP="00355257">
            <w:r w:rsidRPr="00800672">
              <w:t>Key documents or other reports referenced</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Schedule of interviews or workshops, surveys undertaken and other information gathering techniques used</w:t>
            </w:r>
          </w:p>
        </w:tc>
      </w:tr>
      <w:tr w:rsidR="00C02EB0" w:rsidRPr="00800672" w:rsidTr="00307660">
        <w:trPr>
          <w:cnfStyle w:val="000000100000" w:firstRow="0" w:lastRow="0" w:firstColumn="0" w:lastColumn="0" w:oddVBand="0" w:evenVBand="0" w:oddHBand="1" w:evenHBand="0" w:firstRowFirstColumn="0" w:firstRowLastColumn="0" w:lastRowFirstColumn="0" w:lastRowLastColumn="0"/>
        </w:trPr>
        <w:tc>
          <w:tcPr>
            <w:tcW w:w="8220" w:type="dxa"/>
          </w:tcPr>
          <w:p w:rsidR="00C02EB0" w:rsidRPr="00800672" w:rsidRDefault="00C02EB0" w:rsidP="00355257">
            <w:r w:rsidRPr="00800672">
              <w:t>Statistical data</w:t>
            </w:r>
          </w:p>
        </w:tc>
      </w:tr>
      <w:tr w:rsidR="00C02EB0" w:rsidRPr="00800672" w:rsidTr="00307660">
        <w:trPr>
          <w:cnfStyle w:val="000000010000" w:firstRow="0" w:lastRow="0" w:firstColumn="0" w:lastColumn="0" w:oddVBand="0" w:evenVBand="0" w:oddHBand="0" w:evenHBand="1" w:firstRowFirstColumn="0" w:firstRowLastColumn="0" w:lastRowFirstColumn="0" w:lastRowLastColumn="0"/>
        </w:trPr>
        <w:tc>
          <w:tcPr>
            <w:tcW w:w="8220" w:type="dxa"/>
          </w:tcPr>
          <w:p w:rsidR="00C02EB0" w:rsidRPr="00800672" w:rsidRDefault="00C02EB0" w:rsidP="00355257">
            <w:r w:rsidRPr="00800672">
              <w:t>Technical reports</w:t>
            </w:r>
          </w:p>
        </w:tc>
      </w:tr>
    </w:tbl>
    <w:p w:rsidR="00C02EB0" w:rsidRDefault="00C02EB0" w:rsidP="00C02EB0"/>
    <w:p w:rsidR="00307660" w:rsidRDefault="00307660">
      <w:pPr>
        <w:rPr>
          <w:rFonts w:asciiTheme="majorHAnsi" w:eastAsiaTheme="majorEastAsia" w:hAnsiTheme="majorHAnsi" w:cstheme="majorBidi"/>
          <w:bCs/>
          <w:color w:val="F6BE00" w:themeColor="accent1"/>
          <w:spacing w:val="-2"/>
          <w:sz w:val="36"/>
          <w:szCs w:val="28"/>
        </w:rPr>
      </w:pPr>
      <w:r>
        <w:br w:type="page"/>
      </w:r>
    </w:p>
    <w:p w:rsidR="00C02EB0" w:rsidRDefault="00C02EB0" w:rsidP="00307660">
      <w:pPr>
        <w:pStyle w:val="Heading10"/>
      </w:pPr>
      <w:bookmarkStart w:id="33" w:name="_Toc499630219"/>
      <w:r>
        <w:lastRenderedPageBreak/>
        <w:t>Appendix D: Gate 6 requirements</w:t>
      </w:r>
      <w:bookmarkEnd w:id="33"/>
      <w:r>
        <w:t xml:space="preserve"> </w:t>
      </w:r>
    </w:p>
    <w:p w:rsidR="00C02EB0" w:rsidRDefault="00C02EB0" w:rsidP="00C02EB0">
      <w:r>
        <w:t xml:space="preserve">The Gateway Review Process is part of the investment management framework for Victorian Government agencies. It offers project executives an opportunity to have their project assessed critically but constructively at key decision points in the project development lifecycle, before the project proceeds to the next stage. </w:t>
      </w:r>
    </w:p>
    <w:p w:rsidR="00C02EB0" w:rsidRDefault="00C02EB0" w:rsidP="00C02EB0">
      <w:r>
        <w:t>Although only HVHR projects are required to undergo Gateway reviews, many projects may benefit from undertaking a similar peer or expert review (scaled as appropriate to the project). This can enhance progress through to implementation outcomes.</w:t>
      </w:r>
    </w:p>
    <w:p w:rsidR="00C02EB0" w:rsidRDefault="00C02EB0" w:rsidP="00307660">
      <w:pPr>
        <w:pStyle w:val="Heading20"/>
      </w:pPr>
      <w:bookmarkStart w:id="34" w:name="_Toc499630220"/>
      <w:r>
        <w:t>Gateway Review Gate 6: Benefits Evaluation</w:t>
      </w:r>
      <w:bookmarkEnd w:id="34"/>
    </w:p>
    <w:p w:rsidR="00C02EB0" w:rsidRDefault="00C02EB0" w:rsidP="00C02EB0">
      <w:r>
        <w:t>Gate 6: Benefits Evaluation confirms that the benefits set out in the business case are being achieved and that the operational service, product (or facility) is running smoothly.</w:t>
      </w:r>
    </w:p>
    <w:p w:rsidR="00C02EB0" w:rsidRDefault="00C02EB0" w:rsidP="00C02EB0">
      <w:r>
        <w:t>The aims of the review include, but are not limited to:</w:t>
      </w:r>
    </w:p>
    <w:p w:rsidR="00C02EB0" w:rsidRDefault="00C02EB0" w:rsidP="00307660">
      <w:pPr>
        <w:pStyle w:val="ListBullet"/>
        <w:spacing w:before="50" w:after="50"/>
        <w:ind w:left="288" w:hanging="288"/>
      </w:pPr>
      <w:r>
        <w:t>confirmation that the business case for the project (at Gate 4) was realistic;</w:t>
      </w:r>
    </w:p>
    <w:p w:rsidR="00C02EB0" w:rsidRDefault="00C02EB0" w:rsidP="00307660">
      <w:pPr>
        <w:pStyle w:val="ListBullet"/>
        <w:spacing w:before="50" w:after="50"/>
        <w:ind w:left="288" w:hanging="288"/>
      </w:pPr>
      <w:r>
        <w:t>confirmation that there is still a business need for the investment;</w:t>
      </w:r>
    </w:p>
    <w:p w:rsidR="00C02EB0" w:rsidRDefault="00C02EB0" w:rsidP="00307660">
      <w:pPr>
        <w:pStyle w:val="ListBullet"/>
        <w:spacing w:before="50" w:after="50"/>
        <w:ind w:left="288" w:hanging="288"/>
      </w:pPr>
      <w:r>
        <w:t>confirmation that the benefits anticipated to be achieved at this stage are actually being delivered;</w:t>
      </w:r>
    </w:p>
    <w:p w:rsidR="00C02EB0" w:rsidRDefault="00C02EB0" w:rsidP="00307660">
      <w:pPr>
        <w:pStyle w:val="ListBullet"/>
        <w:spacing w:before="50" w:after="50"/>
        <w:ind w:left="288" w:hanging="288"/>
      </w:pPr>
      <w:r>
        <w:t>ongoing continuous improvement mechanisms to improve value for money;</w:t>
      </w:r>
    </w:p>
    <w:p w:rsidR="00C02EB0" w:rsidRDefault="00C02EB0" w:rsidP="00307660">
      <w:pPr>
        <w:pStyle w:val="ListBullet"/>
        <w:spacing w:before="50" w:after="50"/>
        <w:ind w:left="288" w:hanging="288"/>
      </w:pPr>
      <w:r>
        <w:t>ongoing requirements to meet the business need;</w:t>
      </w:r>
    </w:p>
    <w:p w:rsidR="00C02EB0" w:rsidRDefault="00C02EB0" w:rsidP="00307660">
      <w:pPr>
        <w:pStyle w:val="ListBullet"/>
        <w:spacing w:before="50" w:after="50"/>
        <w:ind w:left="288" w:hanging="288"/>
      </w:pPr>
      <w:r>
        <w:t>checking that changes made do not compromise the original delivery strategy;</w:t>
      </w:r>
    </w:p>
    <w:p w:rsidR="00C02EB0" w:rsidRDefault="00C02EB0" w:rsidP="00307660">
      <w:pPr>
        <w:pStyle w:val="ListBullet"/>
        <w:spacing w:before="50" w:after="50"/>
        <w:ind w:left="288" w:hanging="288"/>
      </w:pPr>
      <w:r>
        <w:t xml:space="preserve">confirming that there are plans to manage operational contracts through to completion; </w:t>
      </w:r>
    </w:p>
    <w:p w:rsidR="00C02EB0" w:rsidRDefault="00C02EB0" w:rsidP="00307660">
      <w:pPr>
        <w:pStyle w:val="ListBullet"/>
        <w:spacing w:before="50" w:after="50"/>
        <w:ind w:left="288" w:hanging="288"/>
      </w:pPr>
      <w:r>
        <w:t>assessing lessons learned and methodology for sharing information with Government.</w:t>
      </w:r>
    </w:p>
    <w:p w:rsidR="00C02EB0" w:rsidRDefault="00C02EB0" w:rsidP="00C02EB0">
      <w:r>
        <w:t xml:space="preserve">Documentation reviewed during Gate 6 includes: </w:t>
      </w:r>
    </w:p>
    <w:p w:rsidR="00C02EB0" w:rsidRDefault="00C02EB0" w:rsidP="00307660">
      <w:pPr>
        <w:pStyle w:val="ListBullet"/>
        <w:spacing w:before="50" w:after="50"/>
        <w:ind w:left="288" w:hanging="288"/>
      </w:pPr>
      <w:r>
        <w:t xml:space="preserve">assessment of investment evaluation results against approved business case (including any approved variations; </w:t>
      </w:r>
    </w:p>
    <w:p w:rsidR="00C02EB0" w:rsidRDefault="00C02EB0" w:rsidP="00307660">
      <w:pPr>
        <w:pStyle w:val="ListBullet"/>
        <w:spacing w:before="50" w:after="50"/>
        <w:ind w:left="288" w:hanging="288"/>
      </w:pPr>
      <w:r>
        <w:t>a draft version of the investment evaluation report;</w:t>
      </w:r>
    </w:p>
    <w:p w:rsidR="00C02EB0" w:rsidRDefault="00C02EB0" w:rsidP="00307660">
      <w:pPr>
        <w:pStyle w:val="ListBullet"/>
        <w:spacing w:before="50" w:after="50"/>
        <w:ind w:left="288" w:hanging="288"/>
      </w:pPr>
      <w:r>
        <w:t>an assessment of the benefits delivered to date and expectations for the future;</w:t>
      </w:r>
    </w:p>
    <w:p w:rsidR="00C02EB0" w:rsidRDefault="00C02EB0" w:rsidP="00307660">
      <w:pPr>
        <w:pStyle w:val="ListBullet"/>
        <w:spacing w:before="50" w:after="50"/>
        <w:ind w:left="288" w:hanging="288"/>
      </w:pPr>
      <w:r>
        <w:t>a summary of contract changes since Gate 5;</w:t>
      </w:r>
    </w:p>
    <w:p w:rsidR="00C02EB0" w:rsidRDefault="00C02EB0" w:rsidP="00307660">
      <w:pPr>
        <w:pStyle w:val="ListBullet"/>
        <w:spacing w:before="50" w:after="50"/>
        <w:ind w:left="288" w:hanging="288"/>
      </w:pPr>
      <w:r>
        <w:t>plans for contract improvement;</w:t>
      </w:r>
    </w:p>
    <w:p w:rsidR="00C02EB0" w:rsidRDefault="00C02EB0" w:rsidP="00307660">
      <w:pPr>
        <w:pStyle w:val="ListBullet"/>
        <w:spacing w:before="50" w:after="50"/>
        <w:ind w:left="288" w:hanging="288"/>
      </w:pPr>
      <w:r>
        <w:t>performance reviews, key performance indicators (KPIs) and performance measurement systems;</w:t>
      </w:r>
    </w:p>
    <w:p w:rsidR="00C02EB0" w:rsidRDefault="00C02EB0" w:rsidP="00307660">
      <w:pPr>
        <w:pStyle w:val="ListBullet"/>
        <w:spacing w:before="50" w:after="50"/>
        <w:ind w:left="288" w:hanging="288"/>
      </w:pPr>
      <w:r>
        <w:t>resources, skills appraisals and personnel plans to continue managing the contract;</w:t>
      </w:r>
    </w:p>
    <w:p w:rsidR="00C02EB0" w:rsidRDefault="00C02EB0" w:rsidP="00307660">
      <w:pPr>
        <w:pStyle w:val="ListBullet"/>
        <w:spacing w:before="50" w:after="50"/>
        <w:ind w:left="288" w:hanging="288"/>
      </w:pPr>
      <w:r>
        <w:t>plans for disposal of any assets;</w:t>
      </w:r>
    </w:p>
    <w:p w:rsidR="00C02EB0" w:rsidRDefault="00C02EB0" w:rsidP="00307660">
      <w:pPr>
        <w:pStyle w:val="ListBullet"/>
        <w:spacing w:before="50" w:after="50"/>
        <w:ind w:left="288" w:hanging="288"/>
      </w:pPr>
      <w:r>
        <w:t>customer surveys and reports on stakeholder issues;</w:t>
      </w:r>
    </w:p>
    <w:p w:rsidR="00C02EB0" w:rsidRDefault="00C02EB0" w:rsidP="00307660">
      <w:pPr>
        <w:pStyle w:val="ListBullet"/>
        <w:spacing w:before="50" w:after="50"/>
        <w:ind w:left="288" w:hanging="288"/>
      </w:pPr>
      <w:r>
        <w:t>for construction projects, an updated occupational health and safety file;</w:t>
      </w:r>
    </w:p>
    <w:p w:rsidR="00C02EB0" w:rsidRDefault="00C02EB0" w:rsidP="00307660">
      <w:pPr>
        <w:pStyle w:val="ListBullet"/>
        <w:spacing w:before="50" w:after="50"/>
        <w:ind w:left="288" w:hanging="288"/>
      </w:pPr>
      <w:r>
        <w:t>for IT-enabled projects, security documentation; and</w:t>
      </w:r>
    </w:p>
    <w:p w:rsidR="00C02EB0" w:rsidRDefault="00C02EB0" w:rsidP="00307660">
      <w:pPr>
        <w:pStyle w:val="ListBullet"/>
        <w:spacing w:before="50" w:after="50"/>
        <w:ind w:left="288" w:hanging="288"/>
      </w:pPr>
      <w:r>
        <w:t>a benefits management plan.</w:t>
      </w:r>
    </w:p>
    <w:p w:rsidR="00C02EB0" w:rsidRDefault="00C02EB0" w:rsidP="00C02EB0">
      <w:r>
        <w:t>Further information on the Gateway Review Process can be found at www.gatewayreview.dtf.vic.gov.au.</w:t>
      </w:r>
    </w:p>
    <w:p w:rsidR="00693153" w:rsidRDefault="00693153" w:rsidP="00693153"/>
    <w:p w:rsidR="00693153" w:rsidRDefault="00693153" w:rsidP="00693153">
      <w:pPr>
        <w:sectPr w:rsidR="00693153" w:rsidSect="0016322A">
          <w:headerReference w:type="even" r:id="rId33"/>
          <w:headerReference w:type="default" r:id="rId34"/>
          <w:footerReference w:type="even" r:id="rId35"/>
          <w:footerReference w:type="default" r:id="rId36"/>
          <w:type w:val="oddPage"/>
          <w:pgSz w:w="11906" w:h="16838" w:code="9"/>
          <w:pgMar w:top="1418" w:right="1418" w:bottom="1418" w:left="1985" w:header="680" w:footer="454" w:gutter="0"/>
          <w:pgNumType w:start="1"/>
          <w:cols w:sep="1" w:space="567"/>
          <w:docGrid w:linePitch="360"/>
        </w:sectPr>
      </w:pPr>
    </w:p>
    <w:p w:rsidR="00693153" w:rsidRPr="00F4259E" w:rsidRDefault="00693153" w:rsidP="00693153"/>
    <w:sectPr w:rsidR="00693153" w:rsidRPr="00F4259E" w:rsidSect="00693153">
      <w:headerReference w:type="even" r:id="rId37"/>
      <w:headerReference w:type="default" r:id="rId38"/>
      <w:footerReference w:type="even" r:id="rId39"/>
      <w:footerReference w:type="default" r:id="rId40"/>
      <w:type w:val="evenPage"/>
      <w:pgSz w:w="11906" w:h="16838" w:code="9"/>
      <w:pgMar w:top="1411" w:right="1411" w:bottom="1411" w:left="1987" w:header="677" w:footer="461" w:gutter="0"/>
      <w:pgNumType w:start="1"/>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8B" w:rsidRDefault="00F9558B" w:rsidP="00474C53">
      <w:r>
        <w:separator/>
      </w:r>
    </w:p>
  </w:endnote>
  <w:endnote w:type="continuationSeparator" w:id="0">
    <w:p w:rsidR="00F9558B" w:rsidRDefault="00F9558B"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Pr="00151399" w:rsidRDefault="00926B29"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Pr>
        <w:rStyle w:val="PageNumber"/>
        <w:rFonts w:asciiTheme="majorHAnsi" w:hAnsiTheme="majorHAnsi"/>
        <w:noProof/>
      </w:rPr>
      <w:t>2</w:t>
    </w:r>
    <w:r w:rsidRPr="00151399">
      <w:rPr>
        <w:rStyle w:val="PageNumber"/>
        <w:rFonts w:asciiTheme="majorHAnsi" w:hAnsiTheme="majorHAnsi"/>
      </w:rPr>
      <w:fldChar w:fldCharType="end"/>
    </w:r>
    <w:r w:rsidRPr="00151399">
      <w:tab/>
    </w:r>
    <w:r w:rsidRPr="00151399">
      <w:tab/>
    </w:r>
    <w:r w:rsidRPr="00151399">
      <w:rPr>
        <w:rStyle w:val="PageNumber"/>
        <w:rFonts w:asciiTheme="majorHAnsi" w:hAnsiTheme="majorHAnsi"/>
      </w:rPr>
      <w:fldChar w:fldCharType="begin"/>
    </w:r>
    <w:r w:rsidRPr="00151399">
      <w:rPr>
        <w:rStyle w:val="PageNumber"/>
        <w:rFonts w:asciiTheme="majorHAnsi" w:hAnsiTheme="majorHAnsi"/>
      </w:rPr>
      <w:instrText xml:space="preserve"> DOCPROPERTY  Subject </w:instrText>
    </w:r>
    <w:r w:rsidRPr="00151399">
      <w:rPr>
        <w:rStyle w:val="PageNumber"/>
        <w:rFonts w:asciiTheme="majorHAnsi" w:hAnsiTheme="majorHAnsi"/>
      </w:rPr>
      <w:fldChar w:fldCharType="separate"/>
    </w:r>
    <w:r>
      <w:rPr>
        <w:rStyle w:val="PageNumber"/>
        <w:rFonts w:asciiTheme="majorHAnsi" w:hAnsiTheme="majorHAnsi"/>
      </w:rPr>
      <w:t>[publication name]</w:t>
    </w:r>
    <w:r w:rsidRPr="00151399">
      <w:rPr>
        <w:rStyle w:val="PageNumber"/>
        <w:rFonts w:asciiTheme="majorHAnsi" w:hAnsiTheme="majorHAnsi"/>
      </w:rPr>
      <w:fldChar w:fldCharType="end"/>
    </w:r>
    <w:r w:rsidRPr="00151399">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Pr="00BA26F2" w:rsidRDefault="00926B29" w:rsidP="008155D0">
    <w:pPr>
      <w:pStyle w:val="Footerodd"/>
    </w:pPr>
    <w:r>
      <w:rPr>
        <w:rStyle w:val="PageNumber"/>
        <w:rFonts w:asciiTheme="majorHAnsi" w:hAnsiTheme="majorHAnsi"/>
      </w:rPr>
      <w:fldChar w:fldCharType="begin"/>
    </w:r>
    <w:r>
      <w:rPr>
        <w:rStyle w:val="PageNumber"/>
        <w:rFonts w:asciiTheme="majorHAnsi" w:hAnsiTheme="majorHAnsi"/>
      </w:rPr>
      <w:instrText xml:space="preserve"> STYLEREF  Subtitle  \* MERGEFORMAT </w:instrText>
    </w:r>
    <w:r>
      <w:rPr>
        <w:rStyle w:val="PageNumber"/>
        <w:rFonts w:asciiTheme="majorHAnsi" w:hAnsiTheme="majorHAnsi"/>
      </w:rPr>
      <w:fldChar w:fldCharType="separate"/>
    </w:r>
    <w:r>
      <w:rPr>
        <w:rStyle w:val="PageNumber"/>
        <w:rFonts w:asciiTheme="majorHAnsi" w:hAnsiTheme="majorHAnsi"/>
        <w:noProof/>
      </w:rPr>
      <w:t>Realise</w:t>
    </w:r>
    <w:r>
      <w:rPr>
        <w:rStyle w:val="PageNumber"/>
        <w:rFonts w:asciiTheme="majorHAnsi" w:hAnsiTheme="majorHAnsi"/>
      </w:rPr>
      <w:fldChar w:fldCharType="end"/>
    </w: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Pr="00703143" w:rsidRDefault="00926B29" w:rsidP="007031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Pr="00BA26F2" w:rsidRDefault="00926B29" w:rsidP="00E71773">
    <w:pPr>
      <w:pStyle w:val="Footerodd"/>
      <w:pBdr>
        <w:top w:val="none" w:sz="0" w:space="0" w:color="auto"/>
      </w:pBdr>
    </w:pP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60350E">
      <w:rPr>
        <w:rStyle w:val="PageNumber"/>
        <w:rFonts w:asciiTheme="majorHAnsi" w:hAnsiTheme="majorHAnsi"/>
        <w:noProof/>
      </w:rPr>
      <w:t>i</w:t>
    </w:r>
    <w:r w:rsidRPr="00BA26F2">
      <w:rPr>
        <w:rStyle w:val="PageNumber"/>
        <w:rFonts w:asciiTheme="majorHAnsi" w:hAnsiTheme="majorHAns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Pr="00151399" w:rsidRDefault="00926B29"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sidR="0060350E">
      <w:rPr>
        <w:rStyle w:val="PageNumber"/>
        <w:rFonts w:asciiTheme="majorHAnsi" w:hAnsiTheme="majorHAnsi"/>
        <w:noProof/>
      </w:rPr>
      <w:t>24</w:t>
    </w:r>
    <w:r w:rsidRPr="00151399">
      <w:rPr>
        <w:rStyle w:val="PageNumber"/>
        <w:rFonts w:asciiTheme="majorHAnsi" w:hAnsiTheme="majorHAnsi"/>
      </w:rPr>
      <w:fldChar w:fldCharType="end"/>
    </w:r>
    <w:r w:rsidRPr="00151399">
      <w:tab/>
    </w:r>
    <w:r w:rsidRPr="00151399">
      <w:tab/>
    </w:r>
    <w:r w:rsidR="0060350E">
      <w:fldChar w:fldCharType="begin"/>
    </w:r>
    <w:r w:rsidR="0060350E">
      <w:instrText xml:space="preserve"> STYLEREF  Title  \* MERGEFORMAT </w:instrText>
    </w:r>
    <w:r w:rsidR="0060350E">
      <w:fldChar w:fldCharType="separate"/>
    </w:r>
    <w:r w:rsidR="0060350E">
      <w:rPr>
        <w:noProof/>
      </w:rPr>
      <w:t>Investment Lifecycle and High Value/High Risk Guidelines</w:t>
    </w:r>
    <w:r w:rsidR="0060350E">
      <w:rPr>
        <w:noProof/>
      </w:rPr>
      <w:fldChar w:fldCharType="end"/>
    </w:r>
    <w:r w:rsidRPr="00151399">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Pr="00BA26F2" w:rsidRDefault="00926B29" w:rsidP="008155D0">
    <w:pPr>
      <w:pStyle w:val="Footerodd"/>
    </w:pPr>
    <w:r>
      <w:rPr>
        <w:rStyle w:val="PageNumber"/>
        <w:rFonts w:asciiTheme="majorHAnsi" w:hAnsiTheme="majorHAnsi"/>
      </w:rPr>
      <w:fldChar w:fldCharType="begin"/>
    </w:r>
    <w:r>
      <w:rPr>
        <w:rStyle w:val="PageNumber"/>
        <w:rFonts w:asciiTheme="majorHAnsi" w:hAnsiTheme="majorHAnsi"/>
      </w:rPr>
      <w:instrText xml:space="preserve"> STYLEREF  Subtitle  \* MERGEFORMAT </w:instrText>
    </w:r>
    <w:r>
      <w:rPr>
        <w:rStyle w:val="PageNumber"/>
        <w:rFonts w:asciiTheme="majorHAnsi" w:hAnsiTheme="majorHAnsi"/>
      </w:rPr>
      <w:fldChar w:fldCharType="separate"/>
    </w:r>
    <w:r w:rsidR="0060350E">
      <w:rPr>
        <w:rStyle w:val="PageNumber"/>
        <w:rFonts w:asciiTheme="majorHAnsi" w:hAnsiTheme="majorHAnsi"/>
        <w:noProof/>
      </w:rPr>
      <w:t>Realise</w:t>
    </w:r>
    <w:r>
      <w:rPr>
        <w:rStyle w:val="PageNumber"/>
        <w:rFonts w:asciiTheme="majorHAnsi" w:hAnsiTheme="majorHAnsi"/>
      </w:rPr>
      <w:fldChar w:fldCharType="end"/>
    </w: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60350E">
      <w:rPr>
        <w:rStyle w:val="PageNumber"/>
        <w:rFonts w:asciiTheme="majorHAnsi" w:hAnsiTheme="majorHAnsi"/>
        <w:noProof/>
      </w:rPr>
      <w:t>25</w:t>
    </w:r>
    <w:r w:rsidRPr="00BA26F2">
      <w:rPr>
        <w:rStyle w:val="PageNumber"/>
        <w:rFonts w:asciiTheme="majorHAnsi" w:hAnsiTheme="majorHAns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Pr="00693153" w:rsidRDefault="00926B29" w:rsidP="00693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8B" w:rsidRDefault="00F9558B" w:rsidP="00474C53">
      <w:r>
        <w:separator/>
      </w:r>
    </w:p>
  </w:footnote>
  <w:footnote w:type="continuationSeparator" w:id="0">
    <w:p w:rsidR="00F9558B" w:rsidRDefault="00F9558B" w:rsidP="00474C53">
      <w:r>
        <w:continuationSeparator/>
      </w:r>
    </w:p>
  </w:footnote>
  <w:footnote w:id="1">
    <w:p w:rsidR="00926B29" w:rsidRDefault="00926B29" w:rsidP="009475E1">
      <w:pPr>
        <w:pStyle w:val="FootnoteText"/>
        <w:rPr>
          <w:rStyle w:val="Hyperlink"/>
        </w:rPr>
      </w:pPr>
      <w:r>
        <w:rPr>
          <w:rStyle w:val="FootnoteReference"/>
        </w:rPr>
        <w:footnoteRef/>
      </w:r>
      <w:r>
        <w:t xml:space="preserve"> See DTF website: </w:t>
      </w:r>
      <w:hyperlink r:id="rId1" w:history="1">
        <w:r w:rsidRPr="008619C6">
          <w:rPr>
            <w:rStyle w:val="Hyperlink"/>
          </w:rPr>
          <w:t>http://www.dtf.vic.gov.au/Publications/Investment-planning-and-evaluation-publications/Lifecycle-guidance/Technical-guides</w:t>
        </w:r>
      </w:hyperlink>
    </w:p>
    <w:p w:rsidR="00926B29" w:rsidRDefault="00926B29" w:rsidP="009475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rsidP="0016322A">
    <w:pPr>
      <w:pStyle w:val="Header"/>
    </w:pPr>
    <w:r>
      <w:rPr>
        <w:noProof/>
        <w:lang w:eastAsia="en-AU"/>
      </w:rPr>
      <w:drawing>
        <wp:inline distT="0" distB="0" distL="0" distR="0" wp14:anchorId="7887604E" wp14:editId="7C867ABB">
          <wp:extent cx="1806308" cy="540000"/>
          <wp:effectExtent l="0" t="0" r="3810" b="0"/>
          <wp:docPr id="5" name="Picture 5"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r>
      <w:rPr>
        <w:noProof/>
        <w:lang w:eastAsia="en-AU"/>
      </w:rPr>
      <w:drawing>
        <wp:anchor distT="0" distB="0" distL="114300" distR="114300" simplePos="0" relativeHeight="251658240" behindDoc="1" locked="0" layoutInCell="1" allowOverlap="1" wp14:anchorId="4E1F5570" wp14:editId="231D8D1F">
          <wp:simplePos x="0" y="0"/>
          <wp:positionH relativeFrom="column">
            <wp:posOffset>-941070</wp:posOffset>
          </wp:positionH>
          <wp:positionV relativeFrom="paragraph">
            <wp:posOffset>3771445</wp:posOffset>
          </wp:positionV>
          <wp:extent cx="7610494" cy="6509886"/>
          <wp:effectExtent l="0" t="0" r="0" b="5715"/>
          <wp:wrapNone/>
          <wp:docPr id="2" name="Picture 2"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94" cy="6509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rsidP="002856ED">
    <w:pPr>
      <w:pStyle w:val="Header"/>
      <w:jc w:val="right"/>
    </w:pPr>
    <w:r>
      <w:rPr>
        <w:noProof/>
        <w:lang w:eastAsia="en-AU"/>
      </w:rPr>
      <w:drawing>
        <wp:inline distT="0" distB="0" distL="0" distR="0" wp14:anchorId="32BBB1B2" wp14:editId="659CCC62">
          <wp:extent cx="1806308" cy="540000"/>
          <wp:effectExtent l="0" t="0" r="3810" b="0"/>
          <wp:docPr id="9" name="Picture 9"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rsidP="002856E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rsidP="002856ED">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pPr>
      <w:pStyle w:val="Header"/>
    </w:pPr>
    <w:r>
      <w:rPr>
        <w:noProof/>
        <w:lang w:eastAsia="en-AU"/>
      </w:rPr>
      <w:drawing>
        <wp:anchor distT="0" distB="0" distL="114300" distR="114300" simplePos="0" relativeHeight="251660288" behindDoc="1" locked="0" layoutInCell="1" allowOverlap="1" wp14:anchorId="37F169E2" wp14:editId="4377DCCA">
          <wp:simplePos x="0" y="0"/>
          <wp:positionH relativeFrom="column">
            <wp:posOffset>-1281430</wp:posOffset>
          </wp:positionH>
          <wp:positionV relativeFrom="paragraph">
            <wp:posOffset>3770961</wp:posOffset>
          </wp:positionV>
          <wp:extent cx="7610475" cy="6509385"/>
          <wp:effectExtent l="0" t="0" r="9525" b="5715"/>
          <wp:wrapNone/>
          <wp:docPr id="16" name="Picture 16"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610475" cy="6509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29" w:rsidRDefault="00926B29" w:rsidP="002856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9"/>
    <w:multiLevelType w:val="singleLevel"/>
    <w:tmpl w:val="D384FF9A"/>
    <w:lvl w:ilvl="0">
      <w:start w:val="1"/>
      <w:numFmt w:val="bullet"/>
      <w:lvlText w:val=""/>
      <w:lvlJc w:val="left"/>
      <w:pPr>
        <w:tabs>
          <w:tab w:val="num" w:pos="360"/>
        </w:tabs>
        <w:ind w:left="360" w:hanging="360"/>
      </w:pPr>
      <w:rPr>
        <w:rFonts w:ascii="Symbol" w:hAnsi="Symbol" w:hint="default"/>
      </w:rPr>
    </w:lvl>
  </w:abstractNum>
  <w:abstractNum w:abstractNumId="3">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6EE77F9"/>
    <w:multiLevelType w:val="multilevel"/>
    <w:tmpl w:val="597A18C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804" w:hanging="804"/>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80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B695180"/>
    <w:multiLevelType w:val="multilevel"/>
    <w:tmpl w:val="5E22C0F8"/>
    <w:numStyleLink w:val="Bullet"/>
  </w:abstractNum>
  <w:abstractNum w:abstractNumId="13">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CFF3731"/>
    <w:multiLevelType w:val="multilevel"/>
    <w:tmpl w:val="7500EB92"/>
    <w:numStyleLink w:val="Number"/>
  </w:abstractNum>
  <w:num w:numId="1">
    <w:abstractNumId w:val="3"/>
  </w:num>
  <w:num w:numId="2">
    <w:abstractNumId w:val="8"/>
  </w:num>
  <w:num w:numId="3">
    <w:abstractNumId w:val="10"/>
  </w:num>
  <w:num w:numId="4">
    <w:abstractNumId w:val="7"/>
  </w:num>
  <w:num w:numId="5">
    <w:abstractNumId w:val="9"/>
  </w:num>
  <w:num w:numId="6">
    <w:abstractNumId w:val="11"/>
  </w:num>
  <w:num w:numId="7">
    <w:abstractNumId w:val="12"/>
  </w:num>
  <w:num w:numId="8">
    <w:abstractNumId w:val="14"/>
  </w:num>
  <w:num w:numId="9">
    <w:abstractNumId w:val="1"/>
  </w:num>
  <w:num w:numId="10">
    <w:abstractNumId w:val="0"/>
  </w:num>
  <w:num w:numId="11">
    <w:abstractNumId w:val="6"/>
  </w:num>
  <w:num w:numId="12">
    <w:abstractNumId w:val="5"/>
  </w:num>
  <w:num w:numId="13">
    <w:abstractNumId w:val="13"/>
  </w:num>
  <w:num w:numId="14">
    <w:abstractNumId w:val="4"/>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E0"/>
    <w:rsid w:val="00001A3C"/>
    <w:rsid w:val="000068BC"/>
    <w:rsid w:val="00017EF2"/>
    <w:rsid w:val="000256AE"/>
    <w:rsid w:val="00042ABE"/>
    <w:rsid w:val="00055A63"/>
    <w:rsid w:val="00056736"/>
    <w:rsid w:val="00057EFB"/>
    <w:rsid w:val="00064F49"/>
    <w:rsid w:val="00073219"/>
    <w:rsid w:val="00073EFA"/>
    <w:rsid w:val="00082872"/>
    <w:rsid w:val="00082D1F"/>
    <w:rsid w:val="0009147C"/>
    <w:rsid w:val="000915C9"/>
    <w:rsid w:val="000A03F9"/>
    <w:rsid w:val="000A07AD"/>
    <w:rsid w:val="000A2CDF"/>
    <w:rsid w:val="000C1B0B"/>
    <w:rsid w:val="000C3A5F"/>
    <w:rsid w:val="000C43CD"/>
    <w:rsid w:val="000C68FD"/>
    <w:rsid w:val="000C6A23"/>
    <w:rsid w:val="000D0ECF"/>
    <w:rsid w:val="000D2F65"/>
    <w:rsid w:val="000D53D5"/>
    <w:rsid w:val="000D5949"/>
    <w:rsid w:val="000E037E"/>
    <w:rsid w:val="000E04E7"/>
    <w:rsid w:val="000E1A6C"/>
    <w:rsid w:val="000E2126"/>
    <w:rsid w:val="000E28B3"/>
    <w:rsid w:val="000F140B"/>
    <w:rsid w:val="000F34B0"/>
    <w:rsid w:val="000F5BCA"/>
    <w:rsid w:val="00103DE5"/>
    <w:rsid w:val="00104F1A"/>
    <w:rsid w:val="00113667"/>
    <w:rsid w:val="00120B97"/>
    <w:rsid w:val="001212DB"/>
    <w:rsid w:val="001213D6"/>
    <w:rsid w:val="00124F13"/>
    <w:rsid w:val="00132069"/>
    <w:rsid w:val="00150302"/>
    <w:rsid w:val="001506B1"/>
    <w:rsid w:val="00151399"/>
    <w:rsid w:val="00157D89"/>
    <w:rsid w:val="00160DB5"/>
    <w:rsid w:val="0016322A"/>
    <w:rsid w:val="00166699"/>
    <w:rsid w:val="001675E6"/>
    <w:rsid w:val="00174213"/>
    <w:rsid w:val="001807D4"/>
    <w:rsid w:val="001808F7"/>
    <w:rsid w:val="001845E1"/>
    <w:rsid w:val="00184EA7"/>
    <w:rsid w:val="00185B60"/>
    <w:rsid w:val="00192BB8"/>
    <w:rsid w:val="001B04ED"/>
    <w:rsid w:val="001B3B72"/>
    <w:rsid w:val="001D7A51"/>
    <w:rsid w:val="001E6E6F"/>
    <w:rsid w:val="001F4F51"/>
    <w:rsid w:val="001F764E"/>
    <w:rsid w:val="002065D0"/>
    <w:rsid w:val="00210496"/>
    <w:rsid w:val="00212222"/>
    <w:rsid w:val="00214AB1"/>
    <w:rsid w:val="00220042"/>
    <w:rsid w:val="00220E35"/>
    <w:rsid w:val="00222883"/>
    <w:rsid w:val="00237563"/>
    <w:rsid w:val="00241BC9"/>
    <w:rsid w:val="00247670"/>
    <w:rsid w:val="00253619"/>
    <w:rsid w:val="00255A9A"/>
    <w:rsid w:val="0025669F"/>
    <w:rsid w:val="00257E89"/>
    <w:rsid w:val="00260DE7"/>
    <w:rsid w:val="00271E79"/>
    <w:rsid w:val="00276C55"/>
    <w:rsid w:val="002856ED"/>
    <w:rsid w:val="00294556"/>
    <w:rsid w:val="00295E0F"/>
    <w:rsid w:val="00296CF7"/>
    <w:rsid w:val="002A0391"/>
    <w:rsid w:val="002A57BB"/>
    <w:rsid w:val="002B3B71"/>
    <w:rsid w:val="002B3CF4"/>
    <w:rsid w:val="002B3E8C"/>
    <w:rsid w:val="002B526C"/>
    <w:rsid w:val="002B6785"/>
    <w:rsid w:val="002B7DE4"/>
    <w:rsid w:val="002C3386"/>
    <w:rsid w:val="002C3B94"/>
    <w:rsid w:val="002C3F78"/>
    <w:rsid w:val="002C5BE1"/>
    <w:rsid w:val="002C6EA8"/>
    <w:rsid w:val="002D040C"/>
    <w:rsid w:val="002D112B"/>
    <w:rsid w:val="002D47C9"/>
    <w:rsid w:val="002E3BBE"/>
    <w:rsid w:val="002E628D"/>
    <w:rsid w:val="002F2B06"/>
    <w:rsid w:val="002F7BBC"/>
    <w:rsid w:val="00301106"/>
    <w:rsid w:val="00306EAE"/>
    <w:rsid w:val="00307660"/>
    <w:rsid w:val="003224E9"/>
    <w:rsid w:val="0033621D"/>
    <w:rsid w:val="003371B4"/>
    <w:rsid w:val="00337317"/>
    <w:rsid w:val="0034041F"/>
    <w:rsid w:val="0034185B"/>
    <w:rsid w:val="00343667"/>
    <w:rsid w:val="00347922"/>
    <w:rsid w:val="00355257"/>
    <w:rsid w:val="00357C4E"/>
    <w:rsid w:val="00360393"/>
    <w:rsid w:val="00363B60"/>
    <w:rsid w:val="003703D1"/>
    <w:rsid w:val="003741F4"/>
    <w:rsid w:val="0037430B"/>
    <w:rsid w:val="00377B81"/>
    <w:rsid w:val="003805EF"/>
    <w:rsid w:val="003825F8"/>
    <w:rsid w:val="00390A50"/>
    <w:rsid w:val="0039234B"/>
    <w:rsid w:val="00395FF7"/>
    <w:rsid w:val="00397E96"/>
    <w:rsid w:val="003A0816"/>
    <w:rsid w:val="003A1578"/>
    <w:rsid w:val="003A1BBB"/>
    <w:rsid w:val="003A5819"/>
    <w:rsid w:val="003C5DBD"/>
    <w:rsid w:val="003C75BF"/>
    <w:rsid w:val="003C7A8A"/>
    <w:rsid w:val="003D279B"/>
    <w:rsid w:val="003D7FD7"/>
    <w:rsid w:val="003E0089"/>
    <w:rsid w:val="003E58E4"/>
    <w:rsid w:val="003E68E6"/>
    <w:rsid w:val="003E7CD9"/>
    <w:rsid w:val="003F574E"/>
    <w:rsid w:val="00402880"/>
    <w:rsid w:val="00403881"/>
    <w:rsid w:val="00407B77"/>
    <w:rsid w:val="00407F41"/>
    <w:rsid w:val="00411C7B"/>
    <w:rsid w:val="0042008E"/>
    <w:rsid w:val="00423170"/>
    <w:rsid w:val="00424473"/>
    <w:rsid w:val="00424959"/>
    <w:rsid w:val="00432BD8"/>
    <w:rsid w:val="004419CD"/>
    <w:rsid w:val="00441FC3"/>
    <w:rsid w:val="004470AC"/>
    <w:rsid w:val="00450141"/>
    <w:rsid w:val="00454513"/>
    <w:rsid w:val="00465FA9"/>
    <w:rsid w:val="00474C53"/>
    <w:rsid w:val="00475D53"/>
    <w:rsid w:val="0048254C"/>
    <w:rsid w:val="0048771F"/>
    <w:rsid w:val="004924BE"/>
    <w:rsid w:val="00493C2E"/>
    <w:rsid w:val="004964EC"/>
    <w:rsid w:val="00496B0F"/>
    <w:rsid w:val="004A59F9"/>
    <w:rsid w:val="004B1258"/>
    <w:rsid w:val="004B1F1F"/>
    <w:rsid w:val="004C1F0B"/>
    <w:rsid w:val="004C59E7"/>
    <w:rsid w:val="004E1B65"/>
    <w:rsid w:val="004E5C31"/>
    <w:rsid w:val="004F03F6"/>
    <w:rsid w:val="004F2F5C"/>
    <w:rsid w:val="004F3EFD"/>
    <w:rsid w:val="004F5AD4"/>
    <w:rsid w:val="004F6DBA"/>
    <w:rsid w:val="004F738A"/>
    <w:rsid w:val="00500DAE"/>
    <w:rsid w:val="005243EA"/>
    <w:rsid w:val="005271FE"/>
    <w:rsid w:val="005307AA"/>
    <w:rsid w:val="0053103E"/>
    <w:rsid w:val="00531EF1"/>
    <w:rsid w:val="005348E1"/>
    <w:rsid w:val="00535247"/>
    <w:rsid w:val="00536ACD"/>
    <w:rsid w:val="00541C6D"/>
    <w:rsid w:val="00542B89"/>
    <w:rsid w:val="00544993"/>
    <w:rsid w:val="00545C39"/>
    <w:rsid w:val="005519F5"/>
    <w:rsid w:val="005563E9"/>
    <w:rsid w:val="00556B3E"/>
    <w:rsid w:val="005579E0"/>
    <w:rsid w:val="00560E01"/>
    <w:rsid w:val="005657B2"/>
    <w:rsid w:val="00566049"/>
    <w:rsid w:val="00566692"/>
    <w:rsid w:val="00573F75"/>
    <w:rsid w:val="00574728"/>
    <w:rsid w:val="00576C73"/>
    <w:rsid w:val="00580399"/>
    <w:rsid w:val="005852CA"/>
    <w:rsid w:val="0058536D"/>
    <w:rsid w:val="00590383"/>
    <w:rsid w:val="005903BA"/>
    <w:rsid w:val="005A0BEB"/>
    <w:rsid w:val="005A1CD2"/>
    <w:rsid w:val="005A3B07"/>
    <w:rsid w:val="005B26DD"/>
    <w:rsid w:val="005C0288"/>
    <w:rsid w:val="005C09D4"/>
    <w:rsid w:val="005C62C6"/>
    <w:rsid w:val="005D108E"/>
    <w:rsid w:val="00600C46"/>
    <w:rsid w:val="0060350E"/>
    <w:rsid w:val="00604EBC"/>
    <w:rsid w:val="00605A27"/>
    <w:rsid w:val="00606611"/>
    <w:rsid w:val="00612683"/>
    <w:rsid w:val="006135D1"/>
    <w:rsid w:val="0061407E"/>
    <w:rsid w:val="00617210"/>
    <w:rsid w:val="00617936"/>
    <w:rsid w:val="0062070B"/>
    <w:rsid w:val="006243FE"/>
    <w:rsid w:val="0062613A"/>
    <w:rsid w:val="00627C2B"/>
    <w:rsid w:val="00635722"/>
    <w:rsid w:val="00644B4A"/>
    <w:rsid w:val="00647917"/>
    <w:rsid w:val="006479D1"/>
    <w:rsid w:val="006517D1"/>
    <w:rsid w:val="00651946"/>
    <w:rsid w:val="0065280D"/>
    <w:rsid w:val="006538CD"/>
    <w:rsid w:val="00664667"/>
    <w:rsid w:val="0066512E"/>
    <w:rsid w:val="00666D64"/>
    <w:rsid w:val="00676AAC"/>
    <w:rsid w:val="006773B4"/>
    <w:rsid w:val="00677990"/>
    <w:rsid w:val="00684DA6"/>
    <w:rsid w:val="00693153"/>
    <w:rsid w:val="00697C1C"/>
    <w:rsid w:val="006A1F6F"/>
    <w:rsid w:val="006A35C1"/>
    <w:rsid w:val="006C00EB"/>
    <w:rsid w:val="006C505F"/>
    <w:rsid w:val="006D4F41"/>
    <w:rsid w:val="006E1925"/>
    <w:rsid w:val="006E1EEA"/>
    <w:rsid w:val="006E2ADF"/>
    <w:rsid w:val="006E2BC5"/>
    <w:rsid w:val="006E400E"/>
    <w:rsid w:val="006E6F37"/>
    <w:rsid w:val="006F1D47"/>
    <w:rsid w:val="006F1F28"/>
    <w:rsid w:val="006F23B1"/>
    <w:rsid w:val="007021B4"/>
    <w:rsid w:val="00703143"/>
    <w:rsid w:val="00703A18"/>
    <w:rsid w:val="00705B7B"/>
    <w:rsid w:val="007116A2"/>
    <w:rsid w:val="00720B4C"/>
    <w:rsid w:val="00722C32"/>
    <w:rsid w:val="00722E77"/>
    <w:rsid w:val="00725696"/>
    <w:rsid w:val="00725906"/>
    <w:rsid w:val="00726975"/>
    <w:rsid w:val="00726F1F"/>
    <w:rsid w:val="00727E4F"/>
    <w:rsid w:val="00731598"/>
    <w:rsid w:val="007346C0"/>
    <w:rsid w:val="007349CB"/>
    <w:rsid w:val="007352B3"/>
    <w:rsid w:val="00737FCE"/>
    <w:rsid w:val="00741825"/>
    <w:rsid w:val="00743926"/>
    <w:rsid w:val="00743CE4"/>
    <w:rsid w:val="00751550"/>
    <w:rsid w:val="00753E64"/>
    <w:rsid w:val="007575FF"/>
    <w:rsid w:val="0076376B"/>
    <w:rsid w:val="0076540B"/>
    <w:rsid w:val="00765E3F"/>
    <w:rsid w:val="007676F1"/>
    <w:rsid w:val="00771A05"/>
    <w:rsid w:val="00773F07"/>
    <w:rsid w:val="00790E40"/>
    <w:rsid w:val="00790FB8"/>
    <w:rsid w:val="007919BA"/>
    <w:rsid w:val="007925EF"/>
    <w:rsid w:val="007926D6"/>
    <w:rsid w:val="007927FE"/>
    <w:rsid w:val="00794C4A"/>
    <w:rsid w:val="0079507A"/>
    <w:rsid w:val="00797CD1"/>
    <w:rsid w:val="007A0D8B"/>
    <w:rsid w:val="007A11BE"/>
    <w:rsid w:val="007A4996"/>
    <w:rsid w:val="007A5BD1"/>
    <w:rsid w:val="007A7975"/>
    <w:rsid w:val="007B51DD"/>
    <w:rsid w:val="007C3E8C"/>
    <w:rsid w:val="007D6D1A"/>
    <w:rsid w:val="007F1AAF"/>
    <w:rsid w:val="00801B7F"/>
    <w:rsid w:val="0080479F"/>
    <w:rsid w:val="00813A48"/>
    <w:rsid w:val="00814A7C"/>
    <w:rsid w:val="008155D0"/>
    <w:rsid w:val="00820AFD"/>
    <w:rsid w:val="00831AE5"/>
    <w:rsid w:val="0083463B"/>
    <w:rsid w:val="008420DB"/>
    <w:rsid w:val="00845D7B"/>
    <w:rsid w:val="0086442A"/>
    <w:rsid w:val="0086647D"/>
    <w:rsid w:val="00886DF7"/>
    <w:rsid w:val="0089207D"/>
    <w:rsid w:val="00893855"/>
    <w:rsid w:val="008A5A91"/>
    <w:rsid w:val="008A5F0E"/>
    <w:rsid w:val="008D128E"/>
    <w:rsid w:val="008D29E5"/>
    <w:rsid w:val="008D37BD"/>
    <w:rsid w:val="008D5DD6"/>
    <w:rsid w:val="008E1571"/>
    <w:rsid w:val="008E3105"/>
    <w:rsid w:val="008E469A"/>
    <w:rsid w:val="008E554D"/>
    <w:rsid w:val="00900DF0"/>
    <w:rsid w:val="00901B8C"/>
    <w:rsid w:val="00903544"/>
    <w:rsid w:val="009046BD"/>
    <w:rsid w:val="009103EC"/>
    <w:rsid w:val="009146D5"/>
    <w:rsid w:val="009161F4"/>
    <w:rsid w:val="009174A7"/>
    <w:rsid w:val="00917D22"/>
    <w:rsid w:val="00924B15"/>
    <w:rsid w:val="00926B29"/>
    <w:rsid w:val="00932F62"/>
    <w:rsid w:val="00934FFB"/>
    <w:rsid w:val="00943EAD"/>
    <w:rsid w:val="00947417"/>
    <w:rsid w:val="009475E1"/>
    <w:rsid w:val="009479BF"/>
    <w:rsid w:val="00950409"/>
    <w:rsid w:val="00950FB1"/>
    <w:rsid w:val="00952665"/>
    <w:rsid w:val="00953503"/>
    <w:rsid w:val="009556A3"/>
    <w:rsid w:val="009754F2"/>
    <w:rsid w:val="0098338B"/>
    <w:rsid w:val="00983AF0"/>
    <w:rsid w:val="009862B3"/>
    <w:rsid w:val="009B080A"/>
    <w:rsid w:val="009B185C"/>
    <w:rsid w:val="009B5A8E"/>
    <w:rsid w:val="009B7B27"/>
    <w:rsid w:val="009C7E23"/>
    <w:rsid w:val="009D44E6"/>
    <w:rsid w:val="009D4D35"/>
    <w:rsid w:val="009E1E5E"/>
    <w:rsid w:val="009E1F58"/>
    <w:rsid w:val="009E302E"/>
    <w:rsid w:val="009E44B2"/>
    <w:rsid w:val="009E4D30"/>
    <w:rsid w:val="009E6EDF"/>
    <w:rsid w:val="009F07A5"/>
    <w:rsid w:val="009F160B"/>
    <w:rsid w:val="009F6886"/>
    <w:rsid w:val="009F6D73"/>
    <w:rsid w:val="00A015F0"/>
    <w:rsid w:val="00A105F2"/>
    <w:rsid w:val="00A119C9"/>
    <w:rsid w:val="00A171DC"/>
    <w:rsid w:val="00A20782"/>
    <w:rsid w:val="00A2094F"/>
    <w:rsid w:val="00A20F1E"/>
    <w:rsid w:val="00A21C10"/>
    <w:rsid w:val="00A21F77"/>
    <w:rsid w:val="00A264FE"/>
    <w:rsid w:val="00A30D6D"/>
    <w:rsid w:val="00A40680"/>
    <w:rsid w:val="00A42771"/>
    <w:rsid w:val="00A47629"/>
    <w:rsid w:val="00A50C8B"/>
    <w:rsid w:val="00A545AB"/>
    <w:rsid w:val="00A60885"/>
    <w:rsid w:val="00A63051"/>
    <w:rsid w:val="00A637FA"/>
    <w:rsid w:val="00A72634"/>
    <w:rsid w:val="00A75888"/>
    <w:rsid w:val="00A75FEE"/>
    <w:rsid w:val="00A8309B"/>
    <w:rsid w:val="00A85FA2"/>
    <w:rsid w:val="00A92F9F"/>
    <w:rsid w:val="00A9345E"/>
    <w:rsid w:val="00A94E87"/>
    <w:rsid w:val="00A977EF"/>
    <w:rsid w:val="00AA3292"/>
    <w:rsid w:val="00AB0C55"/>
    <w:rsid w:val="00AB5FA5"/>
    <w:rsid w:val="00AB724F"/>
    <w:rsid w:val="00AC4001"/>
    <w:rsid w:val="00AC58BD"/>
    <w:rsid w:val="00AF342B"/>
    <w:rsid w:val="00AF5018"/>
    <w:rsid w:val="00AF6157"/>
    <w:rsid w:val="00AF7DCE"/>
    <w:rsid w:val="00B03F86"/>
    <w:rsid w:val="00B04832"/>
    <w:rsid w:val="00B121BD"/>
    <w:rsid w:val="00B146AC"/>
    <w:rsid w:val="00B17122"/>
    <w:rsid w:val="00B34788"/>
    <w:rsid w:val="00B34A89"/>
    <w:rsid w:val="00B4755F"/>
    <w:rsid w:val="00B566BC"/>
    <w:rsid w:val="00B56791"/>
    <w:rsid w:val="00B56B25"/>
    <w:rsid w:val="00B56C73"/>
    <w:rsid w:val="00B70D99"/>
    <w:rsid w:val="00B72498"/>
    <w:rsid w:val="00B74051"/>
    <w:rsid w:val="00B77344"/>
    <w:rsid w:val="00B809CD"/>
    <w:rsid w:val="00B83597"/>
    <w:rsid w:val="00B862F0"/>
    <w:rsid w:val="00B91C7F"/>
    <w:rsid w:val="00B936B8"/>
    <w:rsid w:val="00BA26F2"/>
    <w:rsid w:val="00BB2087"/>
    <w:rsid w:val="00BB5876"/>
    <w:rsid w:val="00BC1376"/>
    <w:rsid w:val="00BC21AD"/>
    <w:rsid w:val="00BC6329"/>
    <w:rsid w:val="00BC6724"/>
    <w:rsid w:val="00BD0D9B"/>
    <w:rsid w:val="00BD2A8E"/>
    <w:rsid w:val="00BD2AB3"/>
    <w:rsid w:val="00BE12EA"/>
    <w:rsid w:val="00BE2FBB"/>
    <w:rsid w:val="00BF07FE"/>
    <w:rsid w:val="00BF08BC"/>
    <w:rsid w:val="00BF2314"/>
    <w:rsid w:val="00BF6E17"/>
    <w:rsid w:val="00C00568"/>
    <w:rsid w:val="00C02EB0"/>
    <w:rsid w:val="00C0462D"/>
    <w:rsid w:val="00C04F08"/>
    <w:rsid w:val="00C134E2"/>
    <w:rsid w:val="00C20F23"/>
    <w:rsid w:val="00C2116C"/>
    <w:rsid w:val="00C32D27"/>
    <w:rsid w:val="00C36FCD"/>
    <w:rsid w:val="00C461A9"/>
    <w:rsid w:val="00C4714D"/>
    <w:rsid w:val="00C514D9"/>
    <w:rsid w:val="00C573F8"/>
    <w:rsid w:val="00C65BE3"/>
    <w:rsid w:val="00C661B9"/>
    <w:rsid w:val="00C72D96"/>
    <w:rsid w:val="00C77D7E"/>
    <w:rsid w:val="00C80D95"/>
    <w:rsid w:val="00C857F9"/>
    <w:rsid w:val="00C8749B"/>
    <w:rsid w:val="00C90B98"/>
    <w:rsid w:val="00CA29CB"/>
    <w:rsid w:val="00CA41CF"/>
    <w:rsid w:val="00CA4410"/>
    <w:rsid w:val="00CA4F8B"/>
    <w:rsid w:val="00CA6435"/>
    <w:rsid w:val="00CB43A2"/>
    <w:rsid w:val="00CC1EF2"/>
    <w:rsid w:val="00CC3DD5"/>
    <w:rsid w:val="00CD1FEA"/>
    <w:rsid w:val="00CD6B20"/>
    <w:rsid w:val="00CD6F54"/>
    <w:rsid w:val="00CE30BD"/>
    <w:rsid w:val="00CE4B69"/>
    <w:rsid w:val="00CE5CF8"/>
    <w:rsid w:val="00CE6A19"/>
    <w:rsid w:val="00CE763C"/>
    <w:rsid w:val="00CF2B70"/>
    <w:rsid w:val="00CF5E6F"/>
    <w:rsid w:val="00D07E7D"/>
    <w:rsid w:val="00D11A1E"/>
    <w:rsid w:val="00D341DE"/>
    <w:rsid w:val="00D3519E"/>
    <w:rsid w:val="00D379C4"/>
    <w:rsid w:val="00D424DB"/>
    <w:rsid w:val="00D429FE"/>
    <w:rsid w:val="00D451B9"/>
    <w:rsid w:val="00D600E9"/>
    <w:rsid w:val="00D63655"/>
    <w:rsid w:val="00D67D16"/>
    <w:rsid w:val="00D71612"/>
    <w:rsid w:val="00D7231C"/>
    <w:rsid w:val="00D75608"/>
    <w:rsid w:val="00D75A85"/>
    <w:rsid w:val="00D760FE"/>
    <w:rsid w:val="00D827B1"/>
    <w:rsid w:val="00D90086"/>
    <w:rsid w:val="00D97443"/>
    <w:rsid w:val="00D977CF"/>
    <w:rsid w:val="00DA4CB5"/>
    <w:rsid w:val="00DA769F"/>
    <w:rsid w:val="00DB2A52"/>
    <w:rsid w:val="00DB7BB3"/>
    <w:rsid w:val="00DC70ED"/>
    <w:rsid w:val="00DD1082"/>
    <w:rsid w:val="00DE3014"/>
    <w:rsid w:val="00DE38D7"/>
    <w:rsid w:val="00DE7ED9"/>
    <w:rsid w:val="00DF0F9A"/>
    <w:rsid w:val="00DF14C0"/>
    <w:rsid w:val="00DF4B2E"/>
    <w:rsid w:val="00E00B9B"/>
    <w:rsid w:val="00E108FF"/>
    <w:rsid w:val="00E173B6"/>
    <w:rsid w:val="00E178FB"/>
    <w:rsid w:val="00E21807"/>
    <w:rsid w:val="00E244F1"/>
    <w:rsid w:val="00E32FD9"/>
    <w:rsid w:val="00E34095"/>
    <w:rsid w:val="00E36DAC"/>
    <w:rsid w:val="00E40EDA"/>
    <w:rsid w:val="00E41328"/>
    <w:rsid w:val="00E42052"/>
    <w:rsid w:val="00E46DD4"/>
    <w:rsid w:val="00E46E4F"/>
    <w:rsid w:val="00E52A0F"/>
    <w:rsid w:val="00E64CBF"/>
    <w:rsid w:val="00E65539"/>
    <w:rsid w:val="00E709BA"/>
    <w:rsid w:val="00E71773"/>
    <w:rsid w:val="00E7185E"/>
    <w:rsid w:val="00E73BF7"/>
    <w:rsid w:val="00E75212"/>
    <w:rsid w:val="00E815F9"/>
    <w:rsid w:val="00E8244C"/>
    <w:rsid w:val="00EA4E6B"/>
    <w:rsid w:val="00EA5C59"/>
    <w:rsid w:val="00EB0619"/>
    <w:rsid w:val="00EB2DF9"/>
    <w:rsid w:val="00EB4924"/>
    <w:rsid w:val="00EB68A5"/>
    <w:rsid w:val="00EC3EAA"/>
    <w:rsid w:val="00EC7040"/>
    <w:rsid w:val="00ED06E6"/>
    <w:rsid w:val="00ED07D6"/>
    <w:rsid w:val="00ED3271"/>
    <w:rsid w:val="00ED5415"/>
    <w:rsid w:val="00ED5DFC"/>
    <w:rsid w:val="00EE0ACF"/>
    <w:rsid w:val="00EE3840"/>
    <w:rsid w:val="00EE5822"/>
    <w:rsid w:val="00EF0A38"/>
    <w:rsid w:val="00EF3C02"/>
    <w:rsid w:val="00F0128E"/>
    <w:rsid w:val="00F110B5"/>
    <w:rsid w:val="00F12718"/>
    <w:rsid w:val="00F15DE6"/>
    <w:rsid w:val="00F270C7"/>
    <w:rsid w:val="00F3421F"/>
    <w:rsid w:val="00F36C92"/>
    <w:rsid w:val="00F4185A"/>
    <w:rsid w:val="00F419F5"/>
    <w:rsid w:val="00F4259E"/>
    <w:rsid w:val="00F476D0"/>
    <w:rsid w:val="00F55D36"/>
    <w:rsid w:val="00F6286D"/>
    <w:rsid w:val="00F65FF9"/>
    <w:rsid w:val="00F74BC1"/>
    <w:rsid w:val="00F77728"/>
    <w:rsid w:val="00F8170E"/>
    <w:rsid w:val="00F83808"/>
    <w:rsid w:val="00F858E5"/>
    <w:rsid w:val="00F91FC1"/>
    <w:rsid w:val="00F9558B"/>
    <w:rsid w:val="00F9559A"/>
    <w:rsid w:val="00FA3262"/>
    <w:rsid w:val="00FA68DF"/>
    <w:rsid w:val="00FB1BDF"/>
    <w:rsid w:val="00FB2A00"/>
    <w:rsid w:val="00FC05D4"/>
    <w:rsid w:val="00FC5E1B"/>
    <w:rsid w:val="00FD279A"/>
    <w:rsid w:val="00FD4336"/>
    <w:rsid w:val="00FE10EC"/>
    <w:rsid w:val="00FE4E23"/>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before="160" w:after="1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footnote text" w:uiPriority="0"/>
    <w:lsdException w:name="header" w:uiPriority="85"/>
    <w:lsdException w:name="footer" w:uiPriority="84"/>
    <w:lsdException w:name="caption" w:uiPriority="49"/>
    <w:lsdException w:name="footnote reference" w:uiPriority="0"/>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6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A21F77"/>
  </w:style>
  <w:style w:type="paragraph" w:styleId="Heading10">
    <w:name w:val="heading 1"/>
    <w:next w:val="Normal"/>
    <w:link w:val="Heading1Char"/>
    <w:uiPriority w:val="9"/>
    <w:qFormat/>
    <w:rsid w:val="00B74051"/>
    <w:pPr>
      <w:keepNext/>
      <w:keepLines/>
      <w:spacing w:before="0" w:after="600"/>
      <w:outlineLvl w:val="0"/>
    </w:pPr>
    <w:rPr>
      <w:rFonts w:asciiTheme="majorHAnsi" w:eastAsiaTheme="majorEastAsia" w:hAnsiTheme="majorHAnsi" w:cstheme="majorBidi"/>
      <w:bCs/>
      <w:color w:val="F6BE00" w:themeColor="accent1"/>
      <w:spacing w:val="-2"/>
      <w:sz w:val="36"/>
      <w:szCs w:val="28"/>
    </w:rPr>
  </w:style>
  <w:style w:type="paragraph" w:styleId="Heading20">
    <w:name w:val="heading 2"/>
    <w:basedOn w:val="Heading10"/>
    <w:next w:val="Normal"/>
    <w:link w:val="Heading2Char"/>
    <w:uiPriority w:val="9"/>
    <w:qFormat/>
    <w:rsid w:val="005B26DD"/>
    <w:pPr>
      <w:numPr>
        <w:ilvl w:val="1"/>
      </w:numPr>
      <w:spacing w:before="280" w:after="400"/>
      <w:outlineLvl w:val="1"/>
    </w:pPr>
    <w:rPr>
      <w:bCs w:val="0"/>
      <w:sz w:val="28"/>
      <w:szCs w:val="26"/>
    </w:rPr>
  </w:style>
  <w:style w:type="paragraph" w:styleId="Heading30">
    <w:name w:val="heading 3"/>
    <w:basedOn w:val="Heading20"/>
    <w:next w:val="Normal"/>
    <w:link w:val="Heading3Char"/>
    <w:uiPriority w:val="9"/>
    <w:qFormat/>
    <w:rsid w:val="003F574E"/>
    <w:pPr>
      <w:numPr>
        <w:ilvl w:val="2"/>
      </w:numPr>
      <w:spacing w:before="360" w:after="240"/>
      <w:outlineLvl w:val="2"/>
    </w:pPr>
    <w:rPr>
      <w:bCs/>
      <w:color w:val="53565A" w:themeColor="text2"/>
      <w:sz w:val="24"/>
    </w:rPr>
  </w:style>
  <w:style w:type="paragraph" w:styleId="Heading4">
    <w:name w:val="heading 4"/>
    <w:basedOn w:val="Heading30"/>
    <w:next w:val="Normal"/>
    <w:link w:val="Heading4Char"/>
    <w:uiPriority w:val="9"/>
    <w:rsid w:val="002B3CF4"/>
    <w:pPr>
      <w:numPr>
        <w:ilvl w:val="3"/>
      </w:numPr>
      <w:spacing w:before="180" w:after="120"/>
      <w:outlineLvl w:val="3"/>
    </w:pPr>
    <w:rPr>
      <w:b/>
      <w:bCs w:val="0"/>
      <w:iCs/>
      <w:spacing w:val="0"/>
      <w:sz w:val="20"/>
    </w:rPr>
  </w:style>
  <w:style w:type="paragraph" w:styleId="Heading5">
    <w:name w:val="heading 5"/>
    <w:basedOn w:val="Heading4"/>
    <w:next w:val="Normal"/>
    <w:link w:val="Heading5Char"/>
    <w:uiPriority w:val="9"/>
    <w:unhideWhenUsed/>
    <w:rsid w:val="00703A18"/>
    <w:pPr>
      <w:numPr>
        <w:ilvl w:val="4"/>
      </w:numPr>
      <w:outlineLvl w:val="4"/>
    </w:pPr>
    <w:rPr>
      <w:b w:val="0"/>
      <w:i/>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7A5E00"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B74051"/>
    <w:rPr>
      <w:rFonts w:asciiTheme="majorHAnsi" w:eastAsiaTheme="majorEastAsia" w:hAnsiTheme="majorHAnsi" w:cstheme="majorBidi"/>
      <w:bCs/>
      <w:color w:val="F6BE00" w:themeColor="accent1"/>
      <w:spacing w:val="-2"/>
      <w:sz w:val="36"/>
      <w:szCs w:val="28"/>
    </w:rPr>
  </w:style>
  <w:style w:type="paragraph" w:customStyle="1" w:styleId="SectionHeading">
    <w:name w:val="Section Heading"/>
    <w:basedOn w:val="Normal"/>
    <w:next w:val="Normal"/>
    <w:uiPriority w:val="89"/>
    <w:rsid w:val="0034041F"/>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0"/>
    <w:uiPriority w:val="9"/>
    <w:rsid w:val="003F574E"/>
    <w:rPr>
      <w:rFonts w:asciiTheme="majorHAnsi" w:eastAsiaTheme="majorEastAsia" w:hAnsiTheme="majorHAnsi" w:cstheme="majorBidi"/>
      <w:bCs/>
      <w:color w:val="53565A" w:themeColor="text2"/>
      <w:spacing w:val="-2"/>
      <w:sz w:val="24"/>
      <w:szCs w:val="26"/>
    </w:rPr>
  </w:style>
  <w:style w:type="character" w:customStyle="1" w:styleId="Heading2Char">
    <w:name w:val="Heading 2 Char"/>
    <w:basedOn w:val="DefaultParagraphFont"/>
    <w:link w:val="Heading20"/>
    <w:uiPriority w:val="9"/>
    <w:rsid w:val="005B26DD"/>
    <w:rPr>
      <w:rFonts w:asciiTheme="majorHAnsi" w:eastAsiaTheme="majorEastAsia" w:hAnsiTheme="majorHAnsi" w:cstheme="majorBidi"/>
      <w:color w:val="FDDA24" w:themeColor="accent2"/>
      <w:spacing w:val="-2"/>
      <w:sz w:val="28"/>
      <w:szCs w:val="26"/>
    </w:rPr>
  </w:style>
  <w:style w:type="character" w:customStyle="1" w:styleId="Heading4Char">
    <w:name w:val="Heading 4 Char"/>
    <w:basedOn w:val="DefaultParagraphFont"/>
    <w:link w:val="Heading4"/>
    <w:uiPriority w:val="9"/>
    <w:rsid w:val="002B3CF4"/>
    <w:rPr>
      <w:rFonts w:asciiTheme="majorHAnsi" w:eastAsiaTheme="majorEastAsia" w:hAnsiTheme="majorHAnsi" w:cstheme="majorBidi"/>
      <w:b/>
      <w:iCs/>
      <w:color w:val="F6BE00" w:themeColor="accent1"/>
      <w:szCs w:val="26"/>
    </w:rPr>
  </w:style>
  <w:style w:type="character" w:customStyle="1" w:styleId="Heading2Char0">
    <w:name w:val="Heading 2 (#) Char"/>
    <w:basedOn w:val="Heading2Char"/>
    <w:link w:val="Heading2"/>
    <w:uiPriority w:val="14"/>
    <w:rsid w:val="009475E1"/>
    <w:rPr>
      <w:rFonts w:asciiTheme="majorHAnsi" w:eastAsiaTheme="majorEastAsia" w:hAnsiTheme="majorHAnsi" w:cstheme="majorBidi"/>
      <w:color w:val="F6BE00" w:themeColor="accent1"/>
      <w:spacing w:val="-2"/>
      <w:sz w:val="28"/>
      <w:szCs w:val="26"/>
    </w:rPr>
  </w:style>
  <w:style w:type="paragraph" w:customStyle="1" w:styleId="Source">
    <w:name w:val="Source"/>
    <w:basedOn w:val="Normal"/>
    <w:next w:val="Note"/>
    <w:uiPriority w:val="51"/>
    <w:semiHidden/>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2B3CF4"/>
    <w:pPr>
      <w:pBdr>
        <w:top w:val="single" w:sz="8" w:space="3" w:color="F6BE00" w:themeColor="accent1"/>
        <w:left w:val="single" w:sz="8" w:space="5" w:color="F6BE00" w:themeColor="accent1"/>
        <w:bottom w:val="single" w:sz="8" w:space="3" w:color="F6BE00" w:themeColor="accent1"/>
        <w:right w:val="single" w:sz="8" w:space="5" w:color="F6BE00" w:themeColor="accent1"/>
      </w:pBdr>
      <w:shd w:val="clear" w:color="auto" w:fill="FEF9D3" w:themeFill="accent6"/>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B88D00" w:themeColor="accent1" w:themeShade="BF"/>
    </w:rPr>
    <w:tblPr>
      <w:tblStyleRowBandSize w:val="1"/>
      <w:tblStyleColBandSize w:val="1"/>
      <w:tblBorders>
        <w:top w:val="single" w:sz="8" w:space="0" w:color="F6BE00" w:themeColor="accent1"/>
        <w:bottom w:val="single" w:sz="8" w:space="0" w:color="F6BE00" w:themeColor="accent1"/>
      </w:tblBorders>
    </w:tblPr>
    <w:tblStylePr w:type="firstRow">
      <w:pPr>
        <w:spacing w:before="0" w:after="0" w:line="240" w:lineRule="auto"/>
      </w:pPr>
      <w:rPr>
        <w:b/>
        <w:bCs/>
      </w:rPr>
      <w:tblPr/>
      <w:tcPr>
        <w:tcBorders>
          <w:top w:val="single" w:sz="8" w:space="0" w:color="F6BE00" w:themeColor="accent1"/>
          <w:left w:val="nil"/>
          <w:bottom w:val="single" w:sz="8" w:space="0" w:color="F6BE00" w:themeColor="accent1"/>
          <w:right w:val="nil"/>
          <w:insideH w:val="nil"/>
          <w:insideV w:val="nil"/>
        </w:tcBorders>
      </w:tcPr>
    </w:tblStylePr>
    <w:tblStylePr w:type="lastRow">
      <w:pPr>
        <w:spacing w:before="0" w:after="0" w:line="240" w:lineRule="auto"/>
      </w:pPr>
      <w:rPr>
        <w:b/>
        <w:bCs/>
      </w:rPr>
      <w:tblPr/>
      <w:tcPr>
        <w:tcBorders>
          <w:top w:val="single" w:sz="8" w:space="0" w:color="F6BE00" w:themeColor="accent1"/>
          <w:left w:val="nil"/>
          <w:bottom w:val="single" w:sz="8" w:space="0" w:color="F6BE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D" w:themeFill="accent1" w:themeFillTint="3F"/>
      </w:tcPr>
    </w:tblStylePr>
    <w:tblStylePr w:type="band1Horz">
      <w:tblPr/>
      <w:tcPr>
        <w:tcBorders>
          <w:left w:val="nil"/>
          <w:right w:val="nil"/>
          <w:insideH w:val="nil"/>
          <w:insideV w:val="nil"/>
        </w:tcBorders>
        <w:shd w:val="clear" w:color="auto" w:fill="FFEFBD"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F6C523" w:themeColor="accent4" w:themeShade="BF"/>
    </w:rPr>
    <w:tblPr>
      <w:tblStyleRowBandSize w:val="1"/>
      <w:tblStyleColBandSize w:val="1"/>
      <w:tblBorders>
        <w:top w:val="single" w:sz="8" w:space="0" w:color="FADE7F" w:themeColor="accent4"/>
        <w:bottom w:val="single" w:sz="8" w:space="0" w:color="FADE7F" w:themeColor="accent4"/>
      </w:tblBorders>
    </w:tblPr>
    <w:tblStylePr w:type="firstRow">
      <w:pPr>
        <w:spacing w:before="0" w:after="0" w:line="240" w:lineRule="auto"/>
      </w:pPr>
      <w:rPr>
        <w:b/>
        <w:bCs/>
      </w:rPr>
      <w:tblPr/>
      <w:tcPr>
        <w:tcBorders>
          <w:top w:val="single" w:sz="8" w:space="0" w:color="FADE7F" w:themeColor="accent4"/>
          <w:left w:val="nil"/>
          <w:bottom w:val="single" w:sz="8" w:space="0" w:color="FADE7F" w:themeColor="accent4"/>
          <w:right w:val="nil"/>
          <w:insideH w:val="nil"/>
          <w:insideV w:val="nil"/>
        </w:tcBorders>
      </w:tcPr>
    </w:tblStylePr>
    <w:tblStylePr w:type="lastRow">
      <w:pPr>
        <w:spacing w:before="0" w:after="0" w:line="240" w:lineRule="auto"/>
      </w:pPr>
      <w:rPr>
        <w:b/>
        <w:bCs/>
      </w:rPr>
      <w:tblPr/>
      <w:tcPr>
        <w:tcBorders>
          <w:top w:val="single" w:sz="8" w:space="0" w:color="FADE7F" w:themeColor="accent4"/>
          <w:left w:val="nil"/>
          <w:bottom w:val="single" w:sz="8" w:space="0" w:color="FADE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6DF" w:themeFill="accent4" w:themeFillTint="3F"/>
      </w:tcPr>
    </w:tblStylePr>
    <w:tblStylePr w:type="band1Horz">
      <w:tblPr/>
      <w:tcPr>
        <w:tcBorders>
          <w:left w:val="nil"/>
          <w:right w:val="nil"/>
          <w:insideH w:val="nil"/>
          <w:insideV w:val="nil"/>
        </w:tcBorders>
        <w:shd w:val="clear" w:color="auto" w:fill="FDF6D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semiHidden/>
    <w:rsid w:val="009475E1"/>
    <w:pPr>
      <w:spacing w:before="40"/>
    </w:pPr>
    <w:rPr>
      <w:rFonts w:eastAsiaTheme="minorEastAsia"/>
      <w:sz w:val="18"/>
      <w:lang w:val="en-US" w:eastAsia="ja-JP"/>
    </w:rPr>
  </w:style>
  <w:style w:type="character" w:customStyle="1" w:styleId="FootnoteTextChar">
    <w:name w:val="Footnote Text Char"/>
    <w:basedOn w:val="DefaultParagraphFont"/>
    <w:link w:val="FootnoteText"/>
    <w:semiHidden/>
    <w:rsid w:val="009475E1"/>
    <w:rPr>
      <w:rFonts w:eastAsiaTheme="minorEastAsia"/>
      <w:sz w:val="18"/>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F0A7"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F0A7" w:themeFill="accent5"/>
      </w:tcPr>
    </w:tblStylePr>
    <w:tblStylePr w:type="lastCol">
      <w:rPr>
        <w:b/>
        <w:bCs/>
        <w:color w:val="FFFFFF" w:themeColor="background1"/>
      </w:rPr>
      <w:tblPr/>
      <w:tcPr>
        <w:tcBorders>
          <w:left w:val="nil"/>
          <w:right w:val="nil"/>
          <w:insideH w:val="nil"/>
          <w:insideV w:val="nil"/>
        </w:tcBorders>
        <w:shd w:val="clear" w:color="auto" w:fill="FEF0A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16322A"/>
    <w:rPr>
      <w:rFonts w:asciiTheme="majorHAnsi" w:hAnsiTheme="majorHAnsi"/>
      <w:sz w:val="18"/>
    </w:rPr>
  </w:style>
  <w:style w:type="paragraph" w:customStyle="1" w:styleId="Footerodd">
    <w:name w:val="Footer (odd)"/>
    <w:basedOn w:val="Footer"/>
    <w:link w:val="FooteroddChar"/>
    <w:uiPriority w:val="84"/>
    <w:rsid w:val="0016322A"/>
    <w:pPr>
      <w:pBdr>
        <w:top w:val="single" w:sz="6" w:space="1" w:color="auto"/>
      </w:pBdr>
      <w:tabs>
        <w:tab w:val="clear" w:pos="4513"/>
        <w:tab w:val="clear" w:pos="9026"/>
        <w:tab w:val="center" w:pos="4819"/>
        <w:tab w:val="right" w:pos="8505"/>
        <w:tab w:val="right" w:pos="14742"/>
      </w:tabs>
    </w:pPr>
    <w:rPr>
      <w:rFonts w:asciiTheme="majorHAnsi" w:hAnsiTheme="majorHAnsi"/>
      <w:sz w:val="18"/>
    </w:rPr>
  </w:style>
  <w:style w:type="paragraph" w:customStyle="1" w:styleId="NoteDash">
    <w:name w:val="Note Dash"/>
    <w:basedOn w:val="Note"/>
    <w:next w:val="Note"/>
    <w:uiPriority w:val="53"/>
    <w:semiHidden/>
    <w:rsid w:val="00E46DD4"/>
    <w:pPr>
      <w:numPr>
        <w:numId w:val="3"/>
      </w:numPr>
      <w:ind w:left="568" w:hanging="284"/>
    </w:pPr>
  </w:style>
  <w:style w:type="character" w:customStyle="1" w:styleId="NoteChar">
    <w:name w:val="Note Char"/>
    <w:basedOn w:val="DefaultParagraphFont"/>
    <w:link w:val="Note"/>
    <w:uiPriority w:val="52"/>
    <w:semiHidden/>
    <w:rsid w:val="00703A18"/>
    <w:rPr>
      <w:rFonts w:asciiTheme="majorHAnsi" w:hAnsiTheme="majorHAnsi"/>
      <w:i/>
      <w:spacing w:val="-2"/>
      <w:sz w:val="14"/>
    </w:rPr>
  </w:style>
  <w:style w:type="paragraph" w:styleId="TOC1">
    <w:name w:val="toc 1"/>
    <w:basedOn w:val="Normal"/>
    <w:next w:val="Normal"/>
    <w:uiPriority w:val="39"/>
    <w:rsid w:val="00E71773"/>
    <w:pPr>
      <w:tabs>
        <w:tab w:val="left" w:pos="851"/>
        <w:tab w:val="right" w:leader="dot" w:pos="7938"/>
      </w:tabs>
      <w:ind w:left="851" w:right="567" w:hanging="851"/>
    </w:pPr>
    <w:rPr>
      <w:rFonts w:asciiTheme="majorHAnsi" w:hAnsiTheme="majorHAnsi"/>
      <w:color w:val="F6BE00" w:themeColor="accent1"/>
      <w:spacing w:val="-2"/>
      <w:sz w:val="24"/>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semiHidden/>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703A18"/>
    <w:rPr>
      <w:rFonts w:asciiTheme="majorHAnsi" w:eastAsiaTheme="majorEastAsia" w:hAnsiTheme="majorHAnsi" w:cstheme="majorBidi"/>
      <w:i/>
      <w:iCs/>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0D2F65"/>
    <w:pPr>
      <w:tabs>
        <w:tab w:val="clear" w:pos="851"/>
        <w:tab w:val="left" w:pos="1418"/>
      </w:tabs>
      <w:spacing w:before="60" w:after="60"/>
      <w:ind w:left="1418" w:right="851" w:hanging="567"/>
    </w:pPr>
    <w:rPr>
      <w:noProof/>
      <w:color w:val="auto"/>
      <w:sz w:val="20"/>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ind w:left="420"/>
    </w:pPr>
  </w:style>
  <w:style w:type="paragraph" w:styleId="TOC4">
    <w:name w:val="toc 4"/>
    <w:next w:val="Normal"/>
    <w:uiPriority w:val="96"/>
    <w:semiHidden/>
    <w:rsid w:val="000E2126"/>
    <w:pPr>
      <w:tabs>
        <w:tab w:val="left" w:pos="1021"/>
        <w:tab w:val="right" w:leader="dot" w:pos="9072"/>
      </w:tabs>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2B3CF4"/>
    <w:pPr>
      <w:pBdr>
        <w:top w:val="single" w:sz="8" w:space="3" w:color="F6BE00" w:themeColor="accent1"/>
        <w:left w:val="single" w:sz="8" w:space="5" w:color="F6BE00" w:themeColor="accent1"/>
        <w:bottom w:val="single" w:sz="8" w:space="3" w:color="F6BE00" w:themeColor="accent1"/>
        <w:right w:val="single" w:sz="8" w:space="5" w:color="F6BE00" w:themeColor="accent1"/>
      </w:pBdr>
      <w:shd w:val="clear" w:color="auto" w:fill="FEF9D3" w:themeFill="accent6"/>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7A5E00"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semiHidden/>
    <w:qFormat/>
    <w:rsid w:val="00903544"/>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A9345E"/>
    <w:rPr>
      <w:color w:val="D6B302" w:themeColor="accent2" w:themeShade="BF"/>
    </w:rPr>
    <w:tblPr>
      <w:tblStyleRowBandSize w:val="1"/>
      <w:tblStyleColBandSize w:val="1"/>
      <w:tblBorders>
        <w:top w:val="single" w:sz="8" w:space="0" w:color="FDDA24" w:themeColor="accent2"/>
        <w:bottom w:val="single" w:sz="8" w:space="0" w:color="FDDA24" w:themeColor="accent2"/>
      </w:tblBorders>
    </w:tblPr>
    <w:tblStylePr w:type="firstRow">
      <w:pPr>
        <w:spacing w:before="0" w:after="0" w:line="240" w:lineRule="auto"/>
      </w:pPr>
      <w:rPr>
        <w:b/>
        <w:bCs/>
      </w:rPr>
      <w:tblPr/>
      <w:tcPr>
        <w:tcBorders>
          <w:top w:val="single" w:sz="8" w:space="0" w:color="FDDA24" w:themeColor="accent2"/>
          <w:left w:val="nil"/>
          <w:bottom w:val="single" w:sz="8" w:space="0" w:color="FDDA24" w:themeColor="accent2"/>
          <w:right w:val="nil"/>
          <w:insideH w:val="nil"/>
          <w:insideV w:val="nil"/>
        </w:tcBorders>
      </w:tcPr>
    </w:tblStylePr>
    <w:tblStylePr w:type="lastRow">
      <w:pPr>
        <w:spacing w:before="0" w:after="0" w:line="240" w:lineRule="auto"/>
      </w:pPr>
      <w:rPr>
        <w:b/>
        <w:bCs/>
      </w:rPr>
      <w:tblPr/>
      <w:tcPr>
        <w:tcBorders>
          <w:top w:val="single" w:sz="8" w:space="0" w:color="FDDA24" w:themeColor="accent2"/>
          <w:left w:val="nil"/>
          <w:bottom w:val="single" w:sz="8" w:space="0" w:color="FDDA2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5C8" w:themeFill="accent2" w:themeFillTint="3F"/>
      </w:tcPr>
    </w:tblStylePr>
    <w:tblStylePr w:type="band1Horz">
      <w:tblPr/>
      <w:tcPr>
        <w:tcBorders>
          <w:left w:val="nil"/>
          <w:right w:val="nil"/>
          <w:insideH w:val="nil"/>
          <w:insideV w:val="nil"/>
        </w:tcBorders>
        <w:shd w:val="clear" w:color="auto" w:fill="FEF5C8"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B74051"/>
    <w:rPr>
      <w:rFonts w:asciiTheme="majorHAnsi" w:eastAsiaTheme="majorEastAsia" w:hAnsiTheme="majorHAnsi" w:cstheme="majorBidi"/>
      <w:bCs/>
      <w:color w:val="F6BE00" w:themeColor="accent1"/>
      <w:spacing w:val="-2"/>
      <w:sz w:val="3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ind w:left="567" w:right="340" w:hanging="567"/>
    </w:pPr>
    <w:rPr>
      <w:spacing w:val="-2"/>
    </w:rPr>
  </w:style>
  <w:style w:type="paragraph" w:customStyle="1" w:styleId="Footereven">
    <w:name w:val="Footer (even)"/>
    <w:basedOn w:val="Footer"/>
    <w:link w:val="FooterevenChar"/>
    <w:uiPriority w:val="84"/>
    <w:rsid w:val="0016322A"/>
    <w:pPr>
      <w:pBdr>
        <w:top w:val="single" w:sz="6" w:space="1" w:color="auto"/>
      </w:pBdr>
      <w:tabs>
        <w:tab w:val="clear" w:pos="4513"/>
        <w:tab w:val="clear" w:pos="9026"/>
        <w:tab w:val="center" w:pos="2835"/>
        <w:tab w:val="right" w:pos="8505"/>
        <w:tab w:val="right" w:pos="14742"/>
      </w:tabs>
    </w:pPr>
    <w:rPr>
      <w:rFonts w:asciiTheme="majorHAnsi" w:hAnsiTheme="majorHAnsi"/>
      <w:sz w:val="18"/>
    </w:rPr>
  </w:style>
  <w:style w:type="table" w:customStyle="1" w:styleId="DTFTable">
    <w:name w:val="DTF Table"/>
    <w:basedOn w:val="TableNormal"/>
    <w:uiPriority w:val="99"/>
    <w:rsid w:val="003F574E"/>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F6BE00"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B74051"/>
    <w:pPr>
      <w:numPr>
        <w:numId w:val="15"/>
      </w:numPr>
    </w:pPr>
  </w:style>
  <w:style w:type="paragraph" w:customStyle="1" w:styleId="Heading2">
    <w:name w:val="Heading 2 (#)"/>
    <w:basedOn w:val="Heading20"/>
    <w:link w:val="Heading2Char0"/>
    <w:uiPriority w:val="14"/>
    <w:qFormat/>
    <w:rsid w:val="009475E1"/>
    <w:pPr>
      <w:numPr>
        <w:numId w:val="15"/>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E0089"/>
    <w:pPr>
      <w:numPr>
        <w:numId w:val="15"/>
      </w:numPr>
    </w:pPr>
    <w:rPr>
      <w:color w:val="F6BE00" w:themeColor="accent1"/>
    </w:rPr>
  </w:style>
  <w:style w:type="character" w:customStyle="1" w:styleId="Heading3Char0">
    <w:name w:val="Heading 3 (#) Char"/>
    <w:basedOn w:val="Heading3Char"/>
    <w:link w:val="Heading3"/>
    <w:uiPriority w:val="14"/>
    <w:rsid w:val="003E0089"/>
    <w:rPr>
      <w:rFonts w:asciiTheme="majorHAnsi" w:eastAsiaTheme="majorEastAsia" w:hAnsiTheme="majorHAnsi" w:cstheme="majorBidi"/>
      <w:bCs/>
      <w:color w:val="F6BE00" w:themeColor="accent1"/>
      <w:spacing w:val="-2"/>
      <w:sz w:val="24"/>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F6BE00" w:themeColor="accent1" w:shadow="1"/>
        <w:left w:val="single" w:sz="2" w:space="10" w:color="F6BE00" w:themeColor="accent1" w:shadow="1"/>
        <w:bottom w:val="single" w:sz="2" w:space="10" w:color="F6BE00" w:themeColor="accent1" w:shadow="1"/>
        <w:right w:val="single" w:sz="2" w:space="10" w:color="F6BE00" w:themeColor="accent1" w:shadow="1"/>
      </w:pBdr>
      <w:ind w:left="1152" w:right="1152"/>
    </w:pPr>
    <w:rPr>
      <w:rFonts w:eastAsiaTheme="minorEastAsia"/>
      <w:i/>
      <w:iCs/>
      <w:color w:val="F6BE00"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TableHeading"/>
    <w:next w:val="Normal"/>
    <w:uiPriority w:val="49"/>
    <w:rsid w:val="009475E1"/>
    <w:pPr>
      <w:keepNext w:val="0"/>
      <w:tabs>
        <w:tab w:val="clear" w:pos="1134"/>
        <w:tab w:val="left" w:pos="851"/>
      </w:tabs>
      <w:spacing w:before="120" w:after="0"/>
      <w:ind w:left="850" w:hanging="850"/>
    </w:pPr>
    <w:rPr>
      <w:sz w:val="16"/>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FF2CA" w:themeFill="accent1" w:themeFillTint="33"/>
    </w:tcPr>
    <w:tblStylePr w:type="firstRow">
      <w:rPr>
        <w:b/>
        <w:bCs/>
      </w:rPr>
      <w:tblPr/>
      <w:tcPr>
        <w:shd w:val="clear" w:color="auto" w:fill="FFE695" w:themeFill="accent1" w:themeFillTint="66"/>
      </w:tcPr>
    </w:tblStylePr>
    <w:tblStylePr w:type="lastRow">
      <w:rPr>
        <w:b/>
        <w:bCs/>
        <w:color w:val="000000" w:themeColor="text1"/>
      </w:rPr>
      <w:tblPr/>
      <w:tcPr>
        <w:shd w:val="clear" w:color="auto" w:fill="FFE695" w:themeFill="accent1" w:themeFillTint="66"/>
      </w:tcPr>
    </w:tblStylePr>
    <w:tblStylePr w:type="firstCol">
      <w:rPr>
        <w:color w:val="FFFFFF" w:themeColor="background1"/>
      </w:rPr>
      <w:tblPr/>
      <w:tcPr>
        <w:shd w:val="clear" w:color="auto" w:fill="B88D00" w:themeFill="accent1" w:themeFillShade="BF"/>
      </w:tcPr>
    </w:tblStylePr>
    <w:tblStylePr w:type="lastCol">
      <w:rPr>
        <w:color w:val="FFFFFF" w:themeColor="background1"/>
      </w:rPr>
      <w:tblPr/>
      <w:tcPr>
        <w:shd w:val="clear" w:color="auto" w:fill="B88D00" w:themeFill="accent1" w:themeFillShade="BF"/>
      </w:tcPr>
    </w:tblStylePr>
    <w:tblStylePr w:type="band1Vert">
      <w:tblPr/>
      <w:tcPr>
        <w:shd w:val="clear" w:color="auto" w:fill="FFE07B" w:themeFill="accent1" w:themeFillTint="7F"/>
      </w:tcPr>
    </w:tblStylePr>
    <w:tblStylePr w:type="band1Horz">
      <w:tblPr/>
      <w:tcPr>
        <w:shd w:val="clear" w:color="auto" w:fill="FFE07B"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EF7D3" w:themeFill="accent2" w:themeFillTint="33"/>
    </w:tcPr>
    <w:tblStylePr w:type="firstRow">
      <w:rPr>
        <w:b/>
        <w:bCs/>
      </w:rPr>
      <w:tblPr/>
      <w:tcPr>
        <w:shd w:val="clear" w:color="auto" w:fill="FEEFA7" w:themeFill="accent2" w:themeFillTint="66"/>
      </w:tcPr>
    </w:tblStylePr>
    <w:tblStylePr w:type="lastRow">
      <w:rPr>
        <w:b/>
        <w:bCs/>
        <w:color w:val="000000" w:themeColor="text1"/>
      </w:rPr>
      <w:tblPr/>
      <w:tcPr>
        <w:shd w:val="clear" w:color="auto" w:fill="FEEFA7" w:themeFill="accent2" w:themeFillTint="66"/>
      </w:tcPr>
    </w:tblStylePr>
    <w:tblStylePr w:type="firstCol">
      <w:rPr>
        <w:color w:val="FFFFFF" w:themeColor="background1"/>
      </w:rPr>
      <w:tblPr/>
      <w:tcPr>
        <w:shd w:val="clear" w:color="auto" w:fill="D6B302" w:themeFill="accent2" w:themeFillShade="BF"/>
      </w:tcPr>
    </w:tblStylePr>
    <w:tblStylePr w:type="lastCol">
      <w:rPr>
        <w:color w:val="FFFFFF" w:themeColor="background1"/>
      </w:rPr>
      <w:tblPr/>
      <w:tcPr>
        <w:shd w:val="clear" w:color="auto" w:fill="D6B302" w:themeFill="accent2" w:themeFillShade="BF"/>
      </w:tcPr>
    </w:tblStylePr>
    <w:tblStylePr w:type="band1Vert">
      <w:tblPr/>
      <w:tcPr>
        <w:shd w:val="clear" w:color="auto" w:fill="FEEC91" w:themeFill="accent2" w:themeFillTint="7F"/>
      </w:tcPr>
    </w:tblStylePr>
    <w:tblStylePr w:type="band1Horz">
      <w:tblPr/>
      <w:tcPr>
        <w:shd w:val="clear" w:color="auto" w:fill="FEEC91"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EF9D2" w:themeFill="accent3" w:themeFillTint="33"/>
    </w:tcPr>
    <w:tblStylePr w:type="firstRow">
      <w:rPr>
        <w:b/>
        <w:bCs/>
      </w:rPr>
      <w:tblPr/>
      <w:tcPr>
        <w:shd w:val="clear" w:color="auto" w:fill="FDF2A6" w:themeFill="accent3" w:themeFillTint="66"/>
      </w:tcPr>
    </w:tblStylePr>
    <w:tblStylePr w:type="lastRow">
      <w:rPr>
        <w:b/>
        <w:bCs/>
        <w:color w:val="000000" w:themeColor="text1"/>
      </w:rPr>
      <w:tblPr/>
      <w:tcPr>
        <w:shd w:val="clear" w:color="auto" w:fill="FDF2A6" w:themeFill="accent3" w:themeFillTint="66"/>
      </w:tcPr>
    </w:tblStylePr>
    <w:tblStylePr w:type="firstCol">
      <w:rPr>
        <w:color w:val="FFFFFF" w:themeColor="background1"/>
      </w:rPr>
      <w:tblPr/>
      <w:tcPr>
        <w:shd w:val="clear" w:color="auto" w:fill="D1B804" w:themeFill="accent3" w:themeFillShade="BF"/>
      </w:tcPr>
    </w:tblStylePr>
    <w:tblStylePr w:type="lastCol">
      <w:rPr>
        <w:color w:val="FFFFFF" w:themeColor="background1"/>
      </w:rPr>
      <w:tblPr/>
      <w:tcPr>
        <w:shd w:val="clear" w:color="auto" w:fill="D1B804" w:themeFill="accent3" w:themeFillShade="BF"/>
      </w:tcPr>
    </w:tblStylePr>
    <w:tblStylePr w:type="band1Vert">
      <w:tblPr/>
      <w:tcPr>
        <w:shd w:val="clear" w:color="auto" w:fill="FDEF90" w:themeFill="accent3" w:themeFillTint="7F"/>
      </w:tcPr>
    </w:tblStylePr>
    <w:tblStylePr w:type="band1Horz">
      <w:tblPr/>
      <w:tcPr>
        <w:shd w:val="clear" w:color="auto" w:fill="FDEF90"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EF8E5" w:themeFill="accent4" w:themeFillTint="33"/>
    </w:tcPr>
    <w:tblStylePr w:type="firstRow">
      <w:rPr>
        <w:b/>
        <w:bCs/>
      </w:rPr>
      <w:tblPr/>
      <w:tcPr>
        <w:shd w:val="clear" w:color="auto" w:fill="FDF1CB" w:themeFill="accent4" w:themeFillTint="66"/>
      </w:tcPr>
    </w:tblStylePr>
    <w:tblStylePr w:type="lastRow">
      <w:rPr>
        <w:b/>
        <w:bCs/>
        <w:color w:val="000000" w:themeColor="text1"/>
      </w:rPr>
      <w:tblPr/>
      <w:tcPr>
        <w:shd w:val="clear" w:color="auto" w:fill="FDF1CB" w:themeFill="accent4" w:themeFillTint="66"/>
      </w:tcPr>
    </w:tblStylePr>
    <w:tblStylePr w:type="firstCol">
      <w:rPr>
        <w:color w:val="FFFFFF" w:themeColor="background1"/>
      </w:rPr>
      <w:tblPr/>
      <w:tcPr>
        <w:shd w:val="clear" w:color="auto" w:fill="F6C523" w:themeFill="accent4" w:themeFillShade="BF"/>
      </w:tcPr>
    </w:tblStylePr>
    <w:tblStylePr w:type="lastCol">
      <w:rPr>
        <w:color w:val="FFFFFF" w:themeColor="background1"/>
      </w:rPr>
      <w:tblPr/>
      <w:tcPr>
        <w:shd w:val="clear" w:color="auto" w:fill="F6C523" w:themeFill="accent4" w:themeFillShade="BF"/>
      </w:tcPr>
    </w:tblStylePr>
    <w:tblStylePr w:type="band1Vert">
      <w:tblPr/>
      <w:tcPr>
        <w:shd w:val="clear" w:color="auto" w:fill="FCEEBF" w:themeFill="accent4" w:themeFillTint="7F"/>
      </w:tcPr>
    </w:tblStylePr>
    <w:tblStylePr w:type="band1Horz">
      <w:tblPr/>
      <w:tcPr>
        <w:shd w:val="clear" w:color="auto" w:fill="FCEEB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EFBED" w:themeFill="accent5" w:themeFillTint="33"/>
    </w:tcPr>
    <w:tblStylePr w:type="firstRow">
      <w:rPr>
        <w:b/>
        <w:bCs/>
      </w:rPr>
      <w:tblPr/>
      <w:tcPr>
        <w:shd w:val="clear" w:color="auto" w:fill="FEF8DB" w:themeFill="accent5" w:themeFillTint="66"/>
      </w:tcPr>
    </w:tblStylePr>
    <w:tblStylePr w:type="lastRow">
      <w:rPr>
        <w:b/>
        <w:bCs/>
        <w:color w:val="000000" w:themeColor="text1"/>
      </w:rPr>
      <w:tblPr/>
      <w:tcPr>
        <w:shd w:val="clear" w:color="auto" w:fill="FEF8DB" w:themeFill="accent5" w:themeFillTint="66"/>
      </w:tcPr>
    </w:tblStylePr>
    <w:tblStylePr w:type="firstCol">
      <w:rPr>
        <w:color w:val="FFFFFF" w:themeColor="background1"/>
      </w:rPr>
      <w:tblPr/>
      <w:tcPr>
        <w:shd w:val="clear" w:color="auto" w:fill="FCDD3E" w:themeFill="accent5" w:themeFillShade="BF"/>
      </w:tcPr>
    </w:tblStylePr>
    <w:tblStylePr w:type="lastCol">
      <w:rPr>
        <w:color w:val="FFFFFF" w:themeColor="background1"/>
      </w:rPr>
      <w:tblPr/>
      <w:tcPr>
        <w:shd w:val="clear" w:color="auto" w:fill="FCDD3E" w:themeFill="accent5" w:themeFillShade="BF"/>
      </w:tcPr>
    </w:tblStylePr>
    <w:tblStylePr w:type="band1Vert">
      <w:tblPr/>
      <w:tcPr>
        <w:shd w:val="clear" w:color="auto" w:fill="FEF7D3" w:themeFill="accent5" w:themeFillTint="7F"/>
      </w:tcPr>
    </w:tblStylePr>
    <w:tblStylePr w:type="band1Horz">
      <w:tblPr/>
      <w:tcPr>
        <w:shd w:val="clear" w:color="auto" w:fill="FEF7D3"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EFDF6" w:themeFill="accent6" w:themeFillTint="33"/>
    </w:tcPr>
    <w:tblStylePr w:type="firstRow">
      <w:rPr>
        <w:b/>
        <w:bCs/>
      </w:rPr>
      <w:tblPr/>
      <w:tcPr>
        <w:shd w:val="clear" w:color="auto" w:fill="FEFCED" w:themeFill="accent6" w:themeFillTint="66"/>
      </w:tcPr>
    </w:tblStylePr>
    <w:tblStylePr w:type="lastRow">
      <w:rPr>
        <w:b/>
        <w:bCs/>
        <w:color w:val="000000" w:themeColor="text1"/>
      </w:rPr>
      <w:tblPr/>
      <w:tcPr>
        <w:shd w:val="clear" w:color="auto" w:fill="FEFCED" w:themeFill="accent6" w:themeFillTint="66"/>
      </w:tcPr>
    </w:tblStylePr>
    <w:tblStylePr w:type="firstCol">
      <w:rPr>
        <w:color w:val="FFFFFF" w:themeColor="background1"/>
      </w:rPr>
      <w:tblPr/>
      <w:tcPr>
        <w:shd w:val="clear" w:color="auto" w:fill="FBE960" w:themeFill="accent6" w:themeFillShade="BF"/>
      </w:tcPr>
    </w:tblStylePr>
    <w:tblStylePr w:type="lastCol">
      <w:rPr>
        <w:color w:val="FFFFFF" w:themeColor="background1"/>
      </w:rPr>
      <w:tblPr/>
      <w:tcPr>
        <w:shd w:val="clear" w:color="auto" w:fill="FBE960" w:themeFill="accent6" w:themeFillShade="BF"/>
      </w:tcPr>
    </w:tblStylePr>
    <w:tblStylePr w:type="band1Vert">
      <w:tblPr/>
      <w:tcPr>
        <w:shd w:val="clear" w:color="auto" w:fill="FEFBE8" w:themeFill="accent6" w:themeFillTint="7F"/>
      </w:tcPr>
    </w:tblStylePr>
    <w:tblStylePr w:type="band1Horz">
      <w:tblPr/>
      <w:tcPr>
        <w:shd w:val="clear" w:color="auto" w:fill="FEFBE8"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4BF02" w:themeFill="accent2" w:themeFillShade="CC"/>
      </w:tcPr>
    </w:tblStylePr>
    <w:tblStylePr w:type="lastRow">
      <w:rPr>
        <w:b/>
        <w:bCs/>
        <w:color w:val="E4BF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FFF8E5" w:themeFill="accent1" w:themeFillTint="19"/>
    </w:tcPr>
    <w:tblStylePr w:type="firstRow">
      <w:rPr>
        <w:b/>
        <w:bCs/>
        <w:color w:val="FFFFFF" w:themeColor="background1"/>
      </w:rPr>
      <w:tblPr/>
      <w:tcPr>
        <w:tcBorders>
          <w:bottom w:val="single" w:sz="12" w:space="0" w:color="FFFFFF" w:themeColor="background1"/>
        </w:tcBorders>
        <w:shd w:val="clear" w:color="auto" w:fill="E4BF02" w:themeFill="accent2" w:themeFillShade="CC"/>
      </w:tcPr>
    </w:tblStylePr>
    <w:tblStylePr w:type="lastRow">
      <w:rPr>
        <w:b/>
        <w:bCs/>
        <w:color w:val="E4BF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D" w:themeFill="accent1" w:themeFillTint="3F"/>
      </w:tcPr>
    </w:tblStylePr>
    <w:tblStylePr w:type="band1Horz">
      <w:tblPr/>
      <w:tcPr>
        <w:shd w:val="clear" w:color="auto" w:fill="FFF2CA"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FEFBE9" w:themeFill="accent2" w:themeFillTint="19"/>
    </w:tcPr>
    <w:tblStylePr w:type="firstRow">
      <w:rPr>
        <w:b/>
        <w:bCs/>
        <w:color w:val="FFFFFF" w:themeColor="background1"/>
      </w:rPr>
      <w:tblPr/>
      <w:tcPr>
        <w:tcBorders>
          <w:bottom w:val="single" w:sz="12" w:space="0" w:color="FFFFFF" w:themeColor="background1"/>
        </w:tcBorders>
        <w:shd w:val="clear" w:color="auto" w:fill="E4BF02" w:themeFill="accent2" w:themeFillShade="CC"/>
      </w:tcPr>
    </w:tblStylePr>
    <w:tblStylePr w:type="lastRow">
      <w:rPr>
        <w:b/>
        <w:bCs/>
        <w:color w:val="E4BF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5C8" w:themeFill="accent2" w:themeFillTint="3F"/>
      </w:tcPr>
    </w:tblStylePr>
    <w:tblStylePr w:type="band1Horz">
      <w:tblPr/>
      <w:tcPr>
        <w:shd w:val="clear" w:color="auto" w:fill="FEF7D3"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EFCE9" w:themeFill="accent3" w:themeFillTint="19"/>
    </w:tcPr>
    <w:tblStylePr w:type="firstRow">
      <w:rPr>
        <w:b/>
        <w:bCs/>
        <w:color w:val="FFFFFF" w:themeColor="background1"/>
      </w:rPr>
      <w:tblPr/>
      <w:tcPr>
        <w:tcBorders>
          <w:bottom w:val="single" w:sz="12" w:space="0" w:color="FFFFFF" w:themeColor="background1"/>
        </w:tcBorders>
        <w:shd w:val="clear" w:color="auto" w:fill="F7CA36" w:themeFill="accent4" w:themeFillShade="CC"/>
      </w:tcPr>
    </w:tblStylePr>
    <w:tblStylePr w:type="lastRow">
      <w:rPr>
        <w:b/>
        <w:bCs/>
        <w:color w:val="F7CA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7C8" w:themeFill="accent3" w:themeFillTint="3F"/>
      </w:tcPr>
    </w:tblStylePr>
    <w:tblStylePr w:type="band1Horz">
      <w:tblPr/>
      <w:tcPr>
        <w:shd w:val="clear" w:color="auto" w:fill="FEF9D2"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FEFBF2" w:themeFill="accent4" w:themeFillTint="19"/>
    </w:tcPr>
    <w:tblStylePr w:type="firstRow">
      <w:rPr>
        <w:b/>
        <w:bCs/>
        <w:color w:val="FFFFFF" w:themeColor="background1"/>
      </w:rPr>
      <w:tblPr/>
      <w:tcPr>
        <w:tcBorders>
          <w:bottom w:val="single" w:sz="12" w:space="0" w:color="FFFFFF" w:themeColor="background1"/>
        </w:tcBorders>
        <w:shd w:val="clear" w:color="auto" w:fill="DFC504" w:themeFill="accent3" w:themeFillShade="CC"/>
      </w:tcPr>
    </w:tblStylePr>
    <w:tblStylePr w:type="lastRow">
      <w:rPr>
        <w:b/>
        <w:bCs/>
        <w:color w:val="DFC50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6DF" w:themeFill="accent4" w:themeFillTint="3F"/>
      </w:tcPr>
    </w:tblStylePr>
    <w:tblStylePr w:type="band1Horz">
      <w:tblPr/>
      <w:tcPr>
        <w:shd w:val="clear" w:color="auto" w:fill="FEF8E5"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FFFDF6" w:themeFill="accent5" w:themeFillTint="19"/>
    </w:tcPr>
    <w:tblStylePr w:type="firstRow">
      <w:rPr>
        <w:b/>
        <w:bCs/>
        <w:color w:val="FFFFFF" w:themeColor="background1"/>
      </w:rPr>
      <w:tblPr/>
      <w:tcPr>
        <w:tcBorders>
          <w:bottom w:val="single" w:sz="12" w:space="0" w:color="FFFFFF" w:themeColor="background1"/>
        </w:tcBorders>
        <w:shd w:val="clear" w:color="auto" w:fill="FCEC78" w:themeFill="accent6" w:themeFillShade="CC"/>
      </w:tcPr>
    </w:tblStylePr>
    <w:tblStylePr w:type="lastRow">
      <w:rPr>
        <w:b/>
        <w:bCs/>
        <w:color w:val="FCEC7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BE9" w:themeFill="accent5" w:themeFillTint="3F"/>
      </w:tcPr>
    </w:tblStylePr>
    <w:tblStylePr w:type="band1Horz">
      <w:tblPr/>
      <w:tcPr>
        <w:shd w:val="clear" w:color="auto" w:fill="FEFBED"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FFEFA" w:themeFill="accent6" w:themeFillTint="19"/>
    </w:tcPr>
    <w:tblStylePr w:type="firstRow">
      <w:rPr>
        <w:b/>
        <w:bCs/>
        <w:color w:val="FFFFFF" w:themeColor="background1"/>
      </w:rPr>
      <w:tblPr/>
      <w:tcPr>
        <w:tcBorders>
          <w:bottom w:val="single" w:sz="12" w:space="0" w:color="FFFFFF" w:themeColor="background1"/>
        </w:tcBorders>
        <w:shd w:val="clear" w:color="auto" w:fill="FDE153" w:themeFill="accent5" w:themeFillShade="CC"/>
      </w:tcPr>
    </w:tblStylePr>
    <w:tblStylePr w:type="lastRow">
      <w:rPr>
        <w:b/>
        <w:bCs/>
        <w:color w:val="FDE1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DF3" w:themeFill="accent6" w:themeFillTint="3F"/>
      </w:tcPr>
    </w:tblStylePr>
    <w:tblStylePr w:type="band1Horz">
      <w:tblPr/>
      <w:tcPr>
        <w:shd w:val="clear" w:color="auto" w:fill="FEFDF6"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FDDA2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DDA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FDDA24" w:themeColor="accent2"/>
        <w:left w:val="single" w:sz="4" w:space="0" w:color="F6BE00" w:themeColor="accent1"/>
        <w:bottom w:val="single" w:sz="4" w:space="0" w:color="F6BE00" w:themeColor="accent1"/>
        <w:right w:val="single" w:sz="4" w:space="0" w:color="F6BE00" w:themeColor="accent1"/>
        <w:insideH w:val="single" w:sz="4" w:space="0" w:color="FFFFFF" w:themeColor="background1"/>
        <w:insideV w:val="single" w:sz="4" w:space="0" w:color="FFFFFF" w:themeColor="background1"/>
      </w:tblBorders>
    </w:tblPr>
    <w:tcPr>
      <w:shd w:val="clear" w:color="auto" w:fill="FFF8E5" w:themeFill="accent1" w:themeFillTint="19"/>
    </w:tcPr>
    <w:tblStylePr w:type="firstRow">
      <w:rPr>
        <w:b/>
        <w:bCs/>
      </w:rPr>
      <w:tblPr/>
      <w:tcPr>
        <w:tcBorders>
          <w:top w:val="nil"/>
          <w:left w:val="nil"/>
          <w:bottom w:val="single" w:sz="24" w:space="0" w:color="FDDA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7100" w:themeFill="accent1" w:themeFillShade="99"/>
      </w:tcPr>
    </w:tblStylePr>
    <w:tblStylePr w:type="firstCol">
      <w:rPr>
        <w:color w:val="FFFFFF" w:themeColor="background1"/>
      </w:rPr>
      <w:tblPr/>
      <w:tcPr>
        <w:tcBorders>
          <w:top w:val="nil"/>
          <w:left w:val="nil"/>
          <w:bottom w:val="nil"/>
          <w:right w:val="nil"/>
          <w:insideH w:val="single" w:sz="4" w:space="0" w:color="937100" w:themeColor="accent1" w:themeShade="99"/>
          <w:insideV w:val="nil"/>
        </w:tcBorders>
        <w:shd w:val="clear" w:color="auto" w:fill="937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7100" w:themeFill="accent1" w:themeFillShade="99"/>
      </w:tcPr>
    </w:tblStylePr>
    <w:tblStylePr w:type="band1Vert">
      <w:tblPr/>
      <w:tcPr>
        <w:shd w:val="clear" w:color="auto" w:fill="FFE695" w:themeFill="accent1" w:themeFillTint="66"/>
      </w:tcPr>
    </w:tblStylePr>
    <w:tblStylePr w:type="band1Horz">
      <w:tblPr/>
      <w:tcPr>
        <w:shd w:val="clear" w:color="auto" w:fill="FFE07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FDDA24" w:themeColor="accent2"/>
        <w:left w:val="single" w:sz="4" w:space="0" w:color="FDDA24" w:themeColor="accent2"/>
        <w:bottom w:val="single" w:sz="4" w:space="0" w:color="FDDA24" w:themeColor="accent2"/>
        <w:right w:val="single" w:sz="4" w:space="0" w:color="FDDA24" w:themeColor="accent2"/>
        <w:insideH w:val="single" w:sz="4" w:space="0" w:color="FFFFFF" w:themeColor="background1"/>
        <w:insideV w:val="single" w:sz="4" w:space="0" w:color="FFFFFF" w:themeColor="background1"/>
      </w:tblBorders>
    </w:tblPr>
    <w:tcPr>
      <w:shd w:val="clear" w:color="auto" w:fill="FEFBE9" w:themeFill="accent2" w:themeFillTint="19"/>
    </w:tcPr>
    <w:tblStylePr w:type="firstRow">
      <w:rPr>
        <w:b/>
        <w:bCs/>
      </w:rPr>
      <w:tblPr/>
      <w:tcPr>
        <w:tcBorders>
          <w:top w:val="nil"/>
          <w:left w:val="nil"/>
          <w:bottom w:val="single" w:sz="24" w:space="0" w:color="FDDA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8F01" w:themeFill="accent2" w:themeFillShade="99"/>
      </w:tcPr>
    </w:tblStylePr>
    <w:tblStylePr w:type="firstCol">
      <w:rPr>
        <w:color w:val="FFFFFF" w:themeColor="background1"/>
      </w:rPr>
      <w:tblPr/>
      <w:tcPr>
        <w:tcBorders>
          <w:top w:val="nil"/>
          <w:left w:val="nil"/>
          <w:bottom w:val="nil"/>
          <w:right w:val="nil"/>
          <w:insideH w:val="single" w:sz="4" w:space="0" w:color="AB8F01" w:themeColor="accent2" w:themeShade="99"/>
          <w:insideV w:val="nil"/>
        </w:tcBorders>
        <w:shd w:val="clear" w:color="auto" w:fill="AB8F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B8F01" w:themeFill="accent2" w:themeFillShade="99"/>
      </w:tcPr>
    </w:tblStylePr>
    <w:tblStylePr w:type="band1Vert">
      <w:tblPr/>
      <w:tcPr>
        <w:shd w:val="clear" w:color="auto" w:fill="FEEFA7" w:themeFill="accent2" w:themeFillTint="66"/>
      </w:tcPr>
    </w:tblStylePr>
    <w:tblStylePr w:type="band1Horz">
      <w:tblPr/>
      <w:tcPr>
        <w:shd w:val="clear" w:color="auto" w:fill="FEEC9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FADE7F" w:themeColor="accent4"/>
        <w:left w:val="single" w:sz="4" w:space="0" w:color="FBE122" w:themeColor="accent3"/>
        <w:bottom w:val="single" w:sz="4" w:space="0" w:color="FBE122" w:themeColor="accent3"/>
        <w:right w:val="single" w:sz="4" w:space="0" w:color="FBE122" w:themeColor="accent3"/>
        <w:insideH w:val="single" w:sz="4" w:space="0" w:color="FFFFFF" w:themeColor="background1"/>
        <w:insideV w:val="single" w:sz="4" w:space="0" w:color="FFFFFF" w:themeColor="background1"/>
      </w:tblBorders>
    </w:tblPr>
    <w:tcPr>
      <w:shd w:val="clear" w:color="auto" w:fill="FEFCE9" w:themeFill="accent3" w:themeFillTint="19"/>
    </w:tcPr>
    <w:tblStylePr w:type="firstRow">
      <w:rPr>
        <w:b/>
        <w:bCs/>
      </w:rPr>
      <w:tblPr/>
      <w:tcPr>
        <w:tcBorders>
          <w:top w:val="nil"/>
          <w:left w:val="nil"/>
          <w:bottom w:val="single" w:sz="24" w:space="0" w:color="FADE7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9303" w:themeFill="accent3" w:themeFillShade="99"/>
      </w:tcPr>
    </w:tblStylePr>
    <w:tblStylePr w:type="firstCol">
      <w:rPr>
        <w:color w:val="FFFFFF" w:themeColor="background1"/>
      </w:rPr>
      <w:tblPr/>
      <w:tcPr>
        <w:tcBorders>
          <w:top w:val="nil"/>
          <w:left w:val="nil"/>
          <w:bottom w:val="nil"/>
          <w:right w:val="nil"/>
          <w:insideH w:val="single" w:sz="4" w:space="0" w:color="A79303" w:themeColor="accent3" w:themeShade="99"/>
          <w:insideV w:val="nil"/>
        </w:tcBorders>
        <w:shd w:val="clear" w:color="auto" w:fill="A7930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79303" w:themeFill="accent3" w:themeFillShade="99"/>
      </w:tcPr>
    </w:tblStylePr>
    <w:tblStylePr w:type="band1Vert">
      <w:tblPr/>
      <w:tcPr>
        <w:shd w:val="clear" w:color="auto" w:fill="FDF2A6" w:themeFill="accent3" w:themeFillTint="66"/>
      </w:tcPr>
    </w:tblStylePr>
    <w:tblStylePr w:type="band1Horz">
      <w:tblPr/>
      <w:tcPr>
        <w:shd w:val="clear" w:color="auto" w:fill="FDEF90"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FBE122" w:themeColor="accent3"/>
        <w:left w:val="single" w:sz="4" w:space="0" w:color="FADE7F" w:themeColor="accent4"/>
        <w:bottom w:val="single" w:sz="4" w:space="0" w:color="FADE7F" w:themeColor="accent4"/>
        <w:right w:val="single" w:sz="4" w:space="0" w:color="FADE7F" w:themeColor="accent4"/>
        <w:insideH w:val="single" w:sz="4" w:space="0" w:color="FFFFFF" w:themeColor="background1"/>
        <w:insideV w:val="single" w:sz="4" w:space="0" w:color="FFFFFF" w:themeColor="background1"/>
      </w:tblBorders>
    </w:tblPr>
    <w:tcPr>
      <w:shd w:val="clear" w:color="auto" w:fill="FEFBF2" w:themeFill="accent4" w:themeFillTint="19"/>
    </w:tcPr>
    <w:tblStylePr w:type="firstRow">
      <w:rPr>
        <w:b/>
        <w:bCs/>
      </w:rPr>
      <w:tblPr/>
      <w:tcPr>
        <w:tcBorders>
          <w:top w:val="nil"/>
          <w:left w:val="nil"/>
          <w:bottom w:val="single" w:sz="24" w:space="0" w:color="FBE12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A908" w:themeFill="accent4" w:themeFillShade="99"/>
      </w:tcPr>
    </w:tblStylePr>
    <w:tblStylePr w:type="firstCol">
      <w:rPr>
        <w:color w:val="FFFFFF" w:themeColor="background1"/>
      </w:rPr>
      <w:tblPr/>
      <w:tcPr>
        <w:tcBorders>
          <w:top w:val="nil"/>
          <w:left w:val="nil"/>
          <w:bottom w:val="nil"/>
          <w:right w:val="nil"/>
          <w:insideH w:val="single" w:sz="4" w:space="0" w:color="D9A908" w:themeColor="accent4" w:themeShade="99"/>
          <w:insideV w:val="nil"/>
        </w:tcBorders>
        <w:shd w:val="clear" w:color="auto" w:fill="D9A90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9A908" w:themeFill="accent4" w:themeFillShade="99"/>
      </w:tcPr>
    </w:tblStylePr>
    <w:tblStylePr w:type="band1Vert">
      <w:tblPr/>
      <w:tcPr>
        <w:shd w:val="clear" w:color="auto" w:fill="FDF1CB" w:themeFill="accent4" w:themeFillTint="66"/>
      </w:tcPr>
    </w:tblStylePr>
    <w:tblStylePr w:type="band1Horz">
      <w:tblPr/>
      <w:tcPr>
        <w:shd w:val="clear" w:color="auto" w:fill="FCEE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FEF9D3" w:themeColor="accent6"/>
        <w:left w:val="single" w:sz="4" w:space="0" w:color="FEF0A7" w:themeColor="accent5"/>
        <w:bottom w:val="single" w:sz="4" w:space="0" w:color="FEF0A7" w:themeColor="accent5"/>
        <w:right w:val="single" w:sz="4" w:space="0" w:color="FEF0A7" w:themeColor="accent5"/>
        <w:insideH w:val="single" w:sz="4" w:space="0" w:color="FFFFFF" w:themeColor="background1"/>
        <w:insideV w:val="single" w:sz="4" w:space="0" w:color="FFFFFF" w:themeColor="background1"/>
      </w:tblBorders>
    </w:tblPr>
    <w:tcPr>
      <w:shd w:val="clear" w:color="auto" w:fill="FFFDF6" w:themeFill="accent5" w:themeFillTint="19"/>
    </w:tcPr>
    <w:tblStylePr w:type="firstRow">
      <w:rPr>
        <w:b/>
        <w:bCs/>
      </w:rPr>
      <w:tblPr/>
      <w:tcPr>
        <w:tcBorders>
          <w:top w:val="nil"/>
          <w:left w:val="nil"/>
          <w:bottom w:val="single" w:sz="24" w:space="0" w:color="FEF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9D003" w:themeFill="accent5" w:themeFillShade="99"/>
      </w:tcPr>
    </w:tblStylePr>
    <w:tblStylePr w:type="firstCol">
      <w:rPr>
        <w:color w:val="FFFFFF" w:themeColor="background1"/>
      </w:rPr>
      <w:tblPr/>
      <w:tcPr>
        <w:tcBorders>
          <w:top w:val="nil"/>
          <w:left w:val="nil"/>
          <w:bottom w:val="nil"/>
          <w:right w:val="nil"/>
          <w:insideH w:val="single" w:sz="4" w:space="0" w:color="F9D003" w:themeColor="accent5" w:themeShade="99"/>
          <w:insideV w:val="nil"/>
        </w:tcBorders>
        <w:shd w:val="clear" w:color="auto" w:fill="F9D0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9D003" w:themeFill="accent5" w:themeFillShade="99"/>
      </w:tcPr>
    </w:tblStylePr>
    <w:tblStylePr w:type="band1Vert">
      <w:tblPr/>
      <w:tcPr>
        <w:shd w:val="clear" w:color="auto" w:fill="FEF8DB" w:themeFill="accent5" w:themeFillTint="66"/>
      </w:tcPr>
    </w:tblStylePr>
    <w:tblStylePr w:type="band1Horz">
      <w:tblPr/>
      <w:tcPr>
        <w:shd w:val="clear" w:color="auto" w:fill="FEF7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FEF0A7" w:themeColor="accent5"/>
        <w:left w:val="single" w:sz="4" w:space="0" w:color="FEF9D3" w:themeColor="accent6"/>
        <w:bottom w:val="single" w:sz="4" w:space="0" w:color="FEF9D3" w:themeColor="accent6"/>
        <w:right w:val="single" w:sz="4" w:space="0" w:color="FEF9D3" w:themeColor="accent6"/>
        <w:insideH w:val="single" w:sz="4" w:space="0" w:color="FFFFFF" w:themeColor="background1"/>
        <w:insideV w:val="single" w:sz="4" w:space="0" w:color="FFFFFF" w:themeColor="background1"/>
      </w:tblBorders>
    </w:tblPr>
    <w:tcPr>
      <w:shd w:val="clear" w:color="auto" w:fill="FFFEFA" w:themeFill="accent6" w:themeFillTint="19"/>
    </w:tcPr>
    <w:tblStylePr w:type="firstRow">
      <w:rPr>
        <w:b/>
        <w:bCs/>
      </w:rPr>
      <w:tblPr/>
      <w:tcPr>
        <w:tcBorders>
          <w:top w:val="nil"/>
          <w:left w:val="nil"/>
          <w:bottom w:val="single" w:sz="24" w:space="0" w:color="FEF0A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AE01D" w:themeFill="accent6" w:themeFillShade="99"/>
      </w:tcPr>
    </w:tblStylePr>
    <w:tblStylePr w:type="firstCol">
      <w:rPr>
        <w:color w:val="FFFFFF" w:themeColor="background1"/>
      </w:rPr>
      <w:tblPr/>
      <w:tcPr>
        <w:tcBorders>
          <w:top w:val="nil"/>
          <w:left w:val="nil"/>
          <w:bottom w:val="nil"/>
          <w:right w:val="nil"/>
          <w:insideH w:val="single" w:sz="4" w:space="0" w:color="FAE01D" w:themeColor="accent6" w:themeShade="99"/>
          <w:insideV w:val="nil"/>
        </w:tcBorders>
        <w:shd w:val="clear" w:color="auto" w:fill="FAE0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AE01D" w:themeFill="accent6" w:themeFillShade="99"/>
      </w:tcPr>
    </w:tblStylePr>
    <w:tblStylePr w:type="band1Vert">
      <w:tblPr/>
      <w:tcPr>
        <w:shd w:val="clear" w:color="auto" w:fill="FEFCED" w:themeFill="accent6" w:themeFillTint="66"/>
      </w:tcPr>
    </w:tblStylePr>
    <w:tblStylePr w:type="band1Horz">
      <w:tblPr/>
      <w:tcPr>
        <w:shd w:val="clear" w:color="auto" w:fill="FEFBE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F6BE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5E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88D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88D00" w:themeFill="accent1" w:themeFillShade="BF"/>
      </w:tcPr>
    </w:tblStylePr>
    <w:tblStylePr w:type="band1Vert">
      <w:tblPr/>
      <w:tcPr>
        <w:tcBorders>
          <w:top w:val="nil"/>
          <w:left w:val="nil"/>
          <w:bottom w:val="nil"/>
          <w:right w:val="nil"/>
          <w:insideH w:val="nil"/>
          <w:insideV w:val="nil"/>
        </w:tcBorders>
        <w:shd w:val="clear" w:color="auto" w:fill="B88D00" w:themeFill="accent1" w:themeFillShade="BF"/>
      </w:tcPr>
    </w:tblStylePr>
    <w:tblStylePr w:type="band1Horz">
      <w:tblPr/>
      <w:tcPr>
        <w:tcBorders>
          <w:top w:val="nil"/>
          <w:left w:val="nil"/>
          <w:bottom w:val="nil"/>
          <w:right w:val="nil"/>
          <w:insideH w:val="nil"/>
          <w:insideV w:val="nil"/>
        </w:tcBorders>
        <w:shd w:val="clear" w:color="auto" w:fill="B88D00"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FDDA2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77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6B30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6B302" w:themeFill="accent2" w:themeFillShade="BF"/>
      </w:tcPr>
    </w:tblStylePr>
    <w:tblStylePr w:type="band1Vert">
      <w:tblPr/>
      <w:tcPr>
        <w:tcBorders>
          <w:top w:val="nil"/>
          <w:left w:val="nil"/>
          <w:bottom w:val="nil"/>
          <w:right w:val="nil"/>
          <w:insideH w:val="nil"/>
          <w:insideV w:val="nil"/>
        </w:tcBorders>
        <w:shd w:val="clear" w:color="auto" w:fill="D6B302" w:themeFill="accent2" w:themeFillShade="BF"/>
      </w:tcPr>
    </w:tblStylePr>
    <w:tblStylePr w:type="band1Horz">
      <w:tblPr/>
      <w:tcPr>
        <w:tcBorders>
          <w:top w:val="nil"/>
          <w:left w:val="nil"/>
          <w:bottom w:val="nil"/>
          <w:right w:val="nil"/>
          <w:insideH w:val="nil"/>
          <w:insideV w:val="nil"/>
        </w:tcBorders>
        <w:shd w:val="clear" w:color="auto" w:fill="D6B302"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FBE12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A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1B80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1B804" w:themeFill="accent3" w:themeFillShade="BF"/>
      </w:tcPr>
    </w:tblStylePr>
    <w:tblStylePr w:type="band1Vert">
      <w:tblPr/>
      <w:tcPr>
        <w:tcBorders>
          <w:top w:val="nil"/>
          <w:left w:val="nil"/>
          <w:bottom w:val="nil"/>
          <w:right w:val="nil"/>
          <w:insideH w:val="nil"/>
          <w:insideV w:val="nil"/>
        </w:tcBorders>
        <w:shd w:val="clear" w:color="auto" w:fill="D1B804" w:themeFill="accent3" w:themeFillShade="BF"/>
      </w:tcPr>
    </w:tblStylePr>
    <w:tblStylePr w:type="band1Horz">
      <w:tblPr/>
      <w:tcPr>
        <w:tcBorders>
          <w:top w:val="nil"/>
          <w:left w:val="nil"/>
          <w:bottom w:val="nil"/>
          <w:right w:val="nil"/>
          <w:insideH w:val="nil"/>
          <w:insideV w:val="nil"/>
        </w:tcBorders>
        <w:shd w:val="clear" w:color="auto" w:fill="D1B804"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FADE7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6C52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6C523" w:themeFill="accent4" w:themeFillShade="BF"/>
      </w:tcPr>
    </w:tblStylePr>
    <w:tblStylePr w:type="band1Vert">
      <w:tblPr/>
      <w:tcPr>
        <w:tcBorders>
          <w:top w:val="nil"/>
          <w:left w:val="nil"/>
          <w:bottom w:val="nil"/>
          <w:right w:val="nil"/>
          <w:insideH w:val="nil"/>
          <w:insideV w:val="nil"/>
        </w:tcBorders>
        <w:shd w:val="clear" w:color="auto" w:fill="F6C523" w:themeFill="accent4" w:themeFillShade="BF"/>
      </w:tcPr>
    </w:tblStylePr>
    <w:tblStylePr w:type="band1Horz">
      <w:tblPr/>
      <w:tcPr>
        <w:tcBorders>
          <w:top w:val="nil"/>
          <w:left w:val="nil"/>
          <w:bottom w:val="nil"/>
          <w:right w:val="nil"/>
          <w:insideH w:val="nil"/>
          <w:insideV w:val="nil"/>
        </w:tcBorders>
        <w:shd w:val="clear" w:color="auto" w:fill="F6C523"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FEF0A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FAD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CDD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CDD3E" w:themeFill="accent5" w:themeFillShade="BF"/>
      </w:tcPr>
    </w:tblStylePr>
    <w:tblStylePr w:type="band1Vert">
      <w:tblPr/>
      <w:tcPr>
        <w:tcBorders>
          <w:top w:val="nil"/>
          <w:left w:val="nil"/>
          <w:bottom w:val="nil"/>
          <w:right w:val="nil"/>
          <w:insideH w:val="nil"/>
          <w:insideV w:val="nil"/>
        </w:tcBorders>
        <w:shd w:val="clear" w:color="auto" w:fill="FCDD3E" w:themeFill="accent5" w:themeFillShade="BF"/>
      </w:tcPr>
    </w:tblStylePr>
    <w:tblStylePr w:type="band1Horz">
      <w:tblPr/>
      <w:tcPr>
        <w:tcBorders>
          <w:top w:val="nil"/>
          <w:left w:val="nil"/>
          <w:bottom w:val="nil"/>
          <w:right w:val="nil"/>
          <w:insideH w:val="nil"/>
          <w:insideV w:val="nil"/>
        </w:tcBorders>
        <w:shd w:val="clear" w:color="auto" w:fill="FCDD3E"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FEF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2C8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E96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E960" w:themeFill="accent6" w:themeFillShade="BF"/>
      </w:tcPr>
    </w:tblStylePr>
    <w:tblStylePr w:type="band1Vert">
      <w:tblPr/>
      <w:tcPr>
        <w:tcBorders>
          <w:top w:val="nil"/>
          <w:left w:val="nil"/>
          <w:bottom w:val="nil"/>
          <w:right w:val="nil"/>
          <w:insideH w:val="nil"/>
          <w:insideV w:val="nil"/>
        </w:tcBorders>
        <w:shd w:val="clear" w:color="auto" w:fill="FBE960" w:themeFill="accent6" w:themeFillShade="BF"/>
      </w:tcPr>
    </w:tblStylePr>
    <w:tblStylePr w:type="band1Horz">
      <w:tblPr/>
      <w:tcPr>
        <w:tcBorders>
          <w:top w:val="nil"/>
          <w:left w:val="nil"/>
          <w:bottom w:val="nil"/>
          <w:right w:val="nil"/>
          <w:insideH w:val="nil"/>
          <w:insideV w:val="nil"/>
        </w:tcBorders>
        <w:shd w:val="clear" w:color="auto" w:fill="FBE96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B74051"/>
    <w:rPr>
      <w:i/>
      <w:iCs/>
      <w:color w:val="F6BE00" w:themeColor="accent1"/>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00568"/>
    <w:rPr>
      <w:color w:val="800080" w:themeColor="followedHyperlink"/>
      <w:u w:val="single"/>
    </w:rPr>
  </w:style>
  <w:style w:type="character" w:styleId="FootnoteReference">
    <w:name w:val="footnote reference"/>
    <w:basedOn w:val="DefaultParagraphFont"/>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F6BE00" w:themeColor="accent1"/>
    </w:rPr>
  </w:style>
  <w:style w:type="paragraph" w:styleId="IntenseQuote">
    <w:name w:val="Intense Quote"/>
    <w:basedOn w:val="Normal"/>
    <w:next w:val="Normal"/>
    <w:link w:val="IntenseQuoteChar"/>
    <w:uiPriority w:val="30"/>
    <w:semiHidden/>
    <w:rsid w:val="00C00568"/>
    <w:pPr>
      <w:pBdr>
        <w:bottom w:val="single" w:sz="4" w:space="4" w:color="F6BE00" w:themeColor="accent1"/>
      </w:pBdr>
      <w:spacing w:before="200" w:after="280"/>
      <w:ind w:left="936" w:right="936"/>
    </w:pPr>
    <w:rPr>
      <w:b/>
      <w:bCs/>
      <w:i/>
      <w:iCs/>
      <w:color w:val="F6BE00" w:themeColor="accent1"/>
    </w:rPr>
  </w:style>
  <w:style w:type="character" w:customStyle="1" w:styleId="IntenseQuoteChar">
    <w:name w:val="Intense Quote Char"/>
    <w:basedOn w:val="DefaultParagraphFont"/>
    <w:link w:val="IntenseQuote"/>
    <w:uiPriority w:val="30"/>
    <w:semiHidden/>
    <w:rsid w:val="00C00568"/>
    <w:rPr>
      <w:b/>
      <w:bCs/>
      <w:i/>
      <w:iCs/>
      <w:color w:val="F6BE00" w:themeColor="accent1"/>
    </w:rPr>
  </w:style>
  <w:style w:type="character" w:styleId="IntenseReference">
    <w:name w:val="Intense Reference"/>
    <w:basedOn w:val="DefaultParagraphFont"/>
    <w:uiPriority w:val="32"/>
    <w:semiHidden/>
    <w:rsid w:val="00C00568"/>
    <w:rPr>
      <w:b/>
      <w:bCs/>
      <w:smallCaps/>
      <w:color w:val="FDDA24"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insideH w:val="single" w:sz="8" w:space="0" w:color="F6BE00" w:themeColor="accent1"/>
        <w:insideV w:val="single" w:sz="8" w:space="0" w:color="F6BE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BE00" w:themeColor="accent1"/>
          <w:left w:val="single" w:sz="8" w:space="0" w:color="F6BE00" w:themeColor="accent1"/>
          <w:bottom w:val="single" w:sz="18" w:space="0" w:color="F6BE00" w:themeColor="accent1"/>
          <w:right w:val="single" w:sz="8" w:space="0" w:color="F6BE00" w:themeColor="accent1"/>
          <w:insideH w:val="nil"/>
          <w:insideV w:val="single" w:sz="8" w:space="0" w:color="F6BE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BE00" w:themeColor="accent1"/>
          <w:left w:val="single" w:sz="8" w:space="0" w:color="F6BE00" w:themeColor="accent1"/>
          <w:bottom w:val="single" w:sz="8" w:space="0" w:color="F6BE00" w:themeColor="accent1"/>
          <w:right w:val="single" w:sz="8" w:space="0" w:color="F6BE00" w:themeColor="accent1"/>
          <w:insideH w:val="nil"/>
          <w:insideV w:val="single" w:sz="8" w:space="0" w:color="F6BE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tblStylePr w:type="band1Vert">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shd w:val="clear" w:color="auto" w:fill="FFEFBD" w:themeFill="accent1" w:themeFillTint="3F"/>
      </w:tcPr>
    </w:tblStylePr>
    <w:tblStylePr w:type="band1Horz">
      <w:tblPr/>
      <w:tcPr>
        <w:tcBorders>
          <w:top w:val="single" w:sz="8" w:space="0" w:color="F6BE00" w:themeColor="accent1"/>
          <w:left w:val="single" w:sz="8" w:space="0" w:color="F6BE00" w:themeColor="accent1"/>
          <w:bottom w:val="single" w:sz="8" w:space="0" w:color="F6BE00" w:themeColor="accent1"/>
          <w:right w:val="single" w:sz="8" w:space="0" w:color="F6BE00" w:themeColor="accent1"/>
          <w:insideV w:val="single" w:sz="8" w:space="0" w:color="F6BE00" w:themeColor="accent1"/>
        </w:tcBorders>
        <w:shd w:val="clear" w:color="auto" w:fill="FFEFBD" w:themeFill="accent1" w:themeFillTint="3F"/>
      </w:tcPr>
    </w:tblStylePr>
    <w:tblStylePr w:type="band2Horz">
      <w:tblPr/>
      <w:tcPr>
        <w:tcBorders>
          <w:top w:val="single" w:sz="8" w:space="0" w:color="F6BE00" w:themeColor="accent1"/>
          <w:left w:val="single" w:sz="8" w:space="0" w:color="F6BE00" w:themeColor="accent1"/>
          <w:bottom w:val="single" w:sz="8" w:space="0" w:color="F6BE00" w:themeColor="accent1"/>
          <w:right w:val="single" w:sz="8" w:space="0" w:color="F6BE00" w:themeColor="accent1"/>
          <w:insideV w:val="single" w:sz="8" w:space="0" w:color="F6BE00"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FDDA24" w:themeColor="accent2"/>
        <w:left w:val="single" w:sz="8" w:space="0" w:color="FDDA24" w:themeColor="accent2"/>
        <w:bottom w:val="single" w:sz="8" w:space="0" w:color="FDDA24" w:themeColor="accent2"/>
        <w:right w:val="single" w:sz="8" w:space="0" w:color="FDDA24" w:themeColor="accent2"/>
        <w:insideH w:val="single" w:sz="8" w:space="0" w:color="FDDA24" w:themeColor="accent2"/>
        <w:insideV w:val="single" w:sz="8" w:space="0" w:color="FDDA2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A24" w:themeColor="accent2"/>
          <w:left w:val="single" w:sz="8" w:space="0" w:color="FDDA24" w:themeColor="accent2"/>
          <w:bottom w:val="single" w:sz="18" w:space="0" w:color="FDDA24" w:themeColor="accent2"/>
          <w:right w:val="single" w:sz="8" w:space="0" w:color="FDDA24" w:themeColor="accent2"/>
          <w:insideH w:val="nil"/>
          <w:insideV w:val="single" w:sz="8" w:space="0" w:color="FDDA2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A24" w:themeColor="accent2"/>
          <w:left w:val="single" w:sz="8" w:space="0" w:color="FDDA24" w:themeColor="accent2"/>
          <w:bottom w:val="single" w:sz="8" w:space="0" w:color="FDDA24" w:themeColor="accent2"/>
          <w:right w:val="single" w:sz="8" w:space="0" w:color="FDDA24" w:themeColor="accent2"/>
          <w:insideH w:val="nil"/>
          <w:insideV w:val="single" w:sz="8" w:space="0" w:color="FDDA2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A24" w:themeColor="accent2"/>
          <w:left w:val="single" w:sz="8" w:space="0" w:color="FDDA24" w:themeColor="accent2"/>
          <w:bottom w:val="single" w:sz="8" w:space="0" w:color="FDDA24" w:themeColor="accent2"/>
          <w:right w:val="single" w:sz="8" w:space="0" w:color="FDDA24" w:themeColor="accent2"/>
        </w:tcBorders>
      </w:tcPr>
    </w:tblStylePr>
    <w:tblStylePr w:type="band1Vert">
      <w:tblPr/>
      <w:tcPr>
        <w:tcBorders>
          <w:top w:val="single" w:sz="8" w:space="0" w:color="FDDA24" w:themeColor="accent2"/>
          <w:left w:val="single" w:sz="8" w:space="0" w:color="FDDA24" w:themeColor="accent2"/>
          <w:bottom w:val="single" w:sz="8" w:space="0" w:color="FDDA24" w:themeColor="accent2"/>
          <w:right w:val="single" w:sz="8" w:space="0" w:color="FDDA24" w:themeColor="accent2"/>
        </w:tcBorders>
        <w:shd w:val="clear" w:color="auto" w:fill="FEF5C8" w:themeFill="accent2" w:themeFillTint="3F"/>
      </w:tcPr>
    </w:tblStylePr>
    <w:tblStylePr w:type="band1Horz">
      <w:tblPr/>
      <w:tcPr>
        <w:tcBorders>
          <w:top w:val="single" w:sz="8" w:space="0" w:color="FDDA24" w:themeColor="accent2"/>
          <w:left w:val="single" w:sz="8" w:space="0" w:color="FDDA24" w:themeColor="accent2"/>
          <w:bottom w:val="single" w:sz="8" w:space="0" w:color="FDDA24" w:themeColor="accent2"/>
          <w:right w:val="single" w:sz="8" w:space="0" w:color="FDDA24" w:themeColor="accent2"/>
          <w:insideV w:val="single" w:sz="8" w:space="0" w:color="FDDA24" w:themeColor="accent2"/>
        </w:tcBorders>
        <w:shd w:val="clear" w:color="auto" w:fill="FEF5C8" w:themeFill="accent2" w:themeFillTint="3F"/>
      </w:tcPr>
    </w:tblStylePr>
    <w:tblStylePr w:type="band2Horz">
      <w:tblPr/>
      <w:tcPr>
        <w:tcBorders>
          <w:top w:val="single" w:sz="8" w:space="0" w:color="FDDA24" w:themeColor="accent2"/>
          <w:left w:val="single" w:sz="8" w:space="0" w:color="FDDA24" w:themeColor="accent2"/>
          <w:bottom w:val="single" w:sz="8" w:space="0" w:color="FDDA24" w:themeColor="accent2"/>
          <w:right w:val="single" w:sz="8" w:space="0" w:color="FDDA24" w:themeColor="accent2"/>
          <w:insideV w:val="single" w:sz="8" w:space="0" w:color="FDDA24"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FBE122" w:themeColor="accent3"/>
        <w:left w:val="single" w:sz="8" w:space="0" w:color="FBE122" w:themeColor="accent3"/>
        <w:bottom w:val="single" w:sz="8" w:space="0" w:color="FBE122" w:themeColor="accent3"/>
        <w:right w:val="single" w:sz="8" w:space="0" w:color="FBE122" w:themeColor="accent3"/>
        <w:insideH w:val="single" w:sz="8" w:space="0" w:color="FBE122" w:themeColor="accent3"/>
        <w:insideV w:val="single" w:sz="8" w:space="0" w:color="FBE1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122" w:themeColor="accent3"/>
          <w:left w:val="single" w:sz="8" w:space="0" w:color="FBE122" w:themeColor="accent3"/>
          <w:bottom w:val="single" w:sz="18" w:space="0" w:color="FBE122" w:themeColor="accent3"/>
          <w:right w:val="single" w:sz="8" w:space="0" w:color="FBE122" w:themeColor="accent3"/>
          <w:insideH w:val="nil"/>
          <w:insideV w:val="single" w:sz="8" w:space="0" w:color="FBE1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122" w:themeColor="accent3"/>
          <w:left w:val="single" w:sz="8" w:space="0" w:color="FBE122" w:themeColor="accent3"/>
          <w:bottom w:val="single" w:sz="8" w:space="0" w:color="FBE122" w:themeColor="accent3"/>
          <w:right w:val="single" w:sz="8" w:space="0" w:color="FBE122" w:themeColor="accent3"/>
          <w:insideH w:val="nil"/>
          <w:insideV w:val="single" w:sz="8" w:space="0" w:color="FBE1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122" w:themeColor="accent3"/>
          <w:left w:val="single" w:sz="8" w:space="0" w:color="FBE122" w:themeColor="accent3"/>
          <w:bottom w:val="single" w:sz="8" w:space="0" w:color="FBE122" w:themeColor="accent3"/>
          <w:right w:val="single" w:sz="8" w:space="0" w:color="FBE122" w:themeColor="accent3"/>
        </w:tcBorders>
      </w:tcPr>
    </w:tblStylePr>
    <w:tblStylePr w:type="band1Vert">
      <w:tblPr/>
      <w:tcPr>
        <w:tcBorders>
          <w:top w:val="single" w:sz="8" w:space="0" w:color="FBE122" w:themeColor="accent3"/>
          <w:left w:val="single" w:sz="8" w:space="0" w:color="FBE122" w:themeColor="accent3"/>
          <w:bottom w:val="single" w:sz="8" w:space="0" w:color="FBE122" w:themeColor="accent3"/>
          <w:right w:val="single" w:sz="8" w:space="0" w:color="FBE122" w:themeColor="accent3"/>
        </w:tcBorders>
        <w:shd w:val="clear" w:color="auto" w:fill="FEF7C8" w:themeFill="accent3" w:themeFillTint="3F"/>
      </w:tcPr>
    </w:tblStylePr>
    <w:tblStylePr w:type="band1Horz">
      <w:tblPr/>
      <w:tcPr>
        <w:tcBorders>
          <w:top w:val="single" w:sz="8" w:space="0" w:color="FBE122" w:themeColor="accent3"/>
          <w:left w:val="single" w:sz="8" w:space="0" w:color="FBE122" w:themeColor="accent3"/>
          <w:bottom w:val="single" w:sz="8" w:space="0" w:color="FBE122" w:themeColor="accent3"/>
          <w:right w:val="single" w:sz="8" w:space="0" w:color="FBE122" w:themeColor="accent3"/>
          <w:insideV w:val="single" w:sz="8" w:space="0" w:color="FBE122" w:themeColor="accent3"/>
        </w:tcBorders>
        <w:shd w:val="clear" w:color="auto" w:fill="FEF7C8" w:themeFill="accent3" w:themeFillTint="3F"/>
      </w:tcPr>
    </w:tblStylePr>
    <w:tblStylePr w:type="band2Horz">
      <w:tblPr/>
      <w:tcPr>
        <w:tcBorders>
          <w:top w:val="single" w:sz="8" w:space="0" w:color="FBE122" w:themeColor="accent3"/>
          <w:left w:val="single" w:sz="8" w:space="0" w:color="FBE122" w:themeColor="accent3"/>
          <w:bottom w:val="single" w:sz="8" w:space="0" w:color="FBE122" w:themeColor="accent3"/>
          <w:right w:val="single" w:sz="8" w:space="0" w:color="FBE122" w:themeColor="accent3"/>
          <w:insideV w:val="single" w:sz="8" w:space="0" w:color="FBE122"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insideH w:val="single" w:sz="8" w:space="0" w:color="FADE7F" w:themeColor="accent4"/>
        <w:insideV w:val="single" w:sz="8" w:space="0" w:color="FADE7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E7F" w:themeColor="accent4"/>
          <w:left w:val="single" w:sz="8" w:space="0" w:color="FADE7F" w:themeColor="accent4"/>
          <w:bottom w:val="single" w:sz="18" w:space="0" w:color="FADE7F" w:themeColor="accent4"/>
          <w:right w:val="single" w:sz="8" w:space="0" w:color="FADE7F" w:themeColor="accent4"/>
          <w:insideH w:val="nil"/>
          <w:insideV w:val="single" w:sz="8" w:space="0" w:color="FADE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E7F" w:themeColor="accent4"/>
          <w:left w:val="single" w:sz="8" w:space="0" w:color="FADE7F" w:themeColor="accent4"/>
          <w:bottom w:val="single" w:sz="8" w:space="0" w:color="FADE7F" w:themeColor="accent4"/>
          <w:right w:val="single" w:sz="8" w:space="0" w:color="FADE7F" w:themeColor="accent4"/>
          <w:insideH w:val="nil"/>
          <w:insideV w:val="single" w:sz="8" w:space="0" w:color="FADE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tblStylePr w:type="band1Vert">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shd w:val="clear" w:color="auto" w:fill="FDF6DF" w:themeFill="accent4" w:themeFillTint="3F"/>
      </w:tcPr>
    </w:tblStylePr>
    <w:tblStylePr w:type="band1Horz">
      <w:tblPr/>
      <w:tcPr>
        <w:tcBorders>
          <w:top w:val="single" w:sz="8" w:space="0" w:color="FADE7F" w:themeColor="accent4"/>
          <w:left w:val="single" w:sz="8" w:space="0" w:color="FADE7F" w:themeColor="accent4"/>
          <w:bottom w:val="single" w:sz="8" w:space="0" w:color="FADE7F" w:themeColor="accent4"/>
          <w:right w:val="single" w:sz="8" w:space="0" w:color="FADE7F" w:themeColor="accent4"/>
          <w:insideV w:val="single" w:sz="8" w:space="0" w:color="FADE7F" w:themeColor="accent4"/>
        </w:tcBorders>
        <w:shd w:val="clear" w:color="auto" w:fill="FDF6DF" w:themeFill="accent4" w:themeFillTint="3F"/>
      </w:tcPr>
    </w:tblStylePr>
    <w:tblStylePr w:type="band2Horz">
      <w:tblPr/>
      <w:tcPr>
        <w:tcBorders>
          <w:top w:val="single" w:sz="8" w:space="0" w:color="FADE7F" w:themeColor="accent4"/>
          <w:left w:val="single" w:sz="8" w:space="0" w:color="FADE7F" w:themeColor="accent4"/>
          <w:bottom w:val="single" w:sz="8" w:space="0" w:color="FADE7F" w:themeColor="accent4"/>
          <w:right w:val="single" w:sz="8" w:space="0" w:color="FADE7F" w:themeColor="accent4"/>
          <w:insideV w:val="single" w:sz="8" w:space="0" w:color="FADE7F"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FEF0A7" w:themeColor="accent5"/>
        <w:left w:val="single" w:sz="8" w:space="0" w:color="FEF0A7" w:themeColor="accent5"/>
        <w:bottom w:val="single" w:sz="8" w:space="0" w:color="FEF0A7" w:themeColor="accent5"/>
        <w:right w:val="single" w:sz="8" w:space="0" w:color="FEF0A7" w:themeColor="accent5"/>
        <w:insideH w:val="single" w:sz="8" w:space="0" w:color="FEF0A7" w:themeColor="accent5"/>
        <w:insideV w:val="single" w:sz="8" w:space="0" w:color="FEF0A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F0A7" w:themeColor="accent5"/>
          <w:left w:val="single" w:sz="8" w:space="0" w:color="FEF0A7" w:themeColor="accent5"/>
          <w:bottom w:val="single" w:sz="18" w:space="0" w:color="FEF0A7" w:themeColor="accent5"/>
          <w:right w:val="single" w:sz="8" w:space="0" w:color="FEF0A7" w:themeColor="accent5"/>
          <w:insideH w:val="nil"/>
          <w:insideV w:val="single" w:sz="8" w:space="0" w:color="FEF0A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F0A7" w:themeColor="accent5"/>
          <w:left w:val="single" w:sz="8" w:space="0" w:color="FEF0A7" w:themeColor="accent5"/>
          <w:bottom w:val="single" w:sz="8" w:space="0" w:color="FEF0A7" w:themeColor="accent5"/>
          <w:right w:val="single" w:sz="8" w:space="0" w:color="FEF0A7" w:themeColor="accent5"/>
          <w:insideH w:val="nil"/>
          <w:insideV w:val="single" w:sz="8" w:space="0" w:color="FEF0A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F0A7" w:themeColor="accent5"/>
          <w:left w:val="single" w:sz="8" w:space="0" w:color="FEF0A7" w:themeColor="accent5"/>
          <w:bottom w:val="single" w:sz="8" w:space="0" w:color="FEF0A7" w:themeColor="accent5"/>
          <w:right w:val="single" w:sz="8" w:space="0" w:color="FEF0A7" w:themeColor="accent5"/>
        </w:tcBorders>
      </w:tcPr>
    </w:tblStylePr>
    <w:tblStylePr w:type="band1Vert">
      <w:tblPr/>
      <w:tcPr>
        <w:tcBorders>
          <w:top w:val="single" w:sz="8" w:space="0" w:color="FEF0A7" w:themeColor="accent5"/>
          <w:left w:val="single" w:sz="8" w:space="0" w:color="FEF0A7" w:themeColor="accent5"/>
          <w:bottom w:val="single" w:sz="8" w:space="0" w:color="FEF0A7" w:themeColor="accent5"/>
          <w:right w:val="single" w:sz="8" w:space="0" w:color="FEF0A7" w:themeColor="accent5"/>
        </w:tcBorders>
        <w:shd w:val="clear" w:color="auto" w:fill="FEFBE9" w:themeFill="accent5" w:themeFillTint="3F"/>
      </w:tcPr>
    </w:tblStylePr>
    <w:tblStylePr w:type="band1Horz">
      <w:tblPr/>
      <w:tcPr>
        <w:tcBorders>
          <w:top w:val="single" w:sz="8" w:space="0" w:color="FEF0A7" w:themeColor="accent5"/>
          <w:left w:val="single" w:sz="8" w:space="0" w:color="FEF0A7" w:themeColor="accent5"/>
          <w:bottom w:val="single" w:sz="8" w:space="0" w:color="FEF0A7" w:themeColor="accent5"/>
          <w:right w:val="single" w:sz="8" w:space="0" w:color="FEF0A7" w:themeColor="accent5"/>
          <w:insideV w:val="single" w:sz="8" w:space="0" w:color="FEF0A7" w:themeColor="accent5"/>
        </w:tcBorders>
        <w:shd w:val="clear" w:color="auto" w:fill="FEFBE9" w:themeFill="accent5" w:themeFillTint="3F"/>
      </w:tcPr>
    </w:tblStylePr>
    <w:tblStylePr w:type="band2Horz">
      <w:tblPr/>
      <w:tcPr>
        <w:tcBorders>
          <w:top w:val="single" w:sz="8" w:space="0" w:color="FEF0A7" w:themeColor="accent5"/>
          <w:left w:val="single" w:sz="8" w:space="0" w:color="FEF0A7" w:themeColor="accent5"/>
          <w:bottom w:val="single" w:sz="8" w:space="0" w:color="FEF0A7" w:themeColor="accent5"/>
          <w:right w:val="single" w:sz="8" w:space="0" w:color="FEF0A7" w:themeColor="accent5"/>
          <w:insideV w:val="single" w:sz="8" w:space="0" w:color="FEF0A7"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FEF9D3" w:themeColor="accent6"/>
        <w:left w:val="single" w:sz="8" w:space="0" w:color="FEF9D3" w:themeColor="accent6"/>
        <w:bottom w:val="single" w:sz="8" w:space="0" w:color="FEF9D3" w:themeColor="accent6"/>
        <w:right w:val="single" w:sz="8" w:space="0" w:color="FEF9D3" w:themeColor="accent6"/>
        <w:insideH w:val="single" w:sz="8" w:space="0" w:color="FEF9D3" w:themeColor="accent6"/>
        <w:insideV w:val="single" w:sz="8" w:space="0" w:color="FEF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F9D3" w:themeColor="accent6"/>
          <w:left w:val="single" w:sz="8" w:space="0" w:color="FEF9D3" w:themeColor="accent6"/>
          <w:bottom w:val="single" w:sz="18" w:space="0" w:color="FEF9D3" w:themeColor="accent6"/>
          <w:right w:val="single" w:sz="8" w:space="0" w:color="FEF9D3" w:themeColor="accent6"/>
          <w:insideH w:val="nil"/>
          <w:insideV w:val="single" w:sz="8" w:space="0" w:color="FEF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F9D3" w:themeColor="accent6"/>
          <w:left w:val="single" w:sz="8" w:space="0" w:color="FEF9D3" w:themeColor="accent6"/>
          <w:bottom w:val="single" w:sz="8" w:space="0" w:color="FEF9D3" w:themeColor="accent6"/>
          <w:right w:val="single" w:sz="8" w:space="0" w:color="FEF9D3" w:themeColor="accent6"/>
          <w:insideH w:val="nil"/>
          <w:insideV w:val="single" w:sz="8" w:space="0" w:color="FEF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F9D3" w:themeColor="accent6"/>
          <w:left w:val="single" w:sz="8" w:space="0" w:color="FEF9D3" w:themeColor="accent6"/>
          <w:bottom w:val="single" w:sz="8" w:space="0" w:color="FEF9D3" w:themeColor="accent6"/>
          <w:right w:val="single" w:sz="8" w:space="0" w:color="FEF9D3" w:themeColor="accent6"/>
        </w:tcBorders>
      </w:tcPr>
    </w:tblStylePr>
    <w:tblStylePr w:type="band1Vert">
      <w:tblPr/>
      <w:tcPr>
        <w:tcBorders>
          <w:top w:val="single" w:sz="8" w:space="0" w:color="FEF9D3" w:themeColor="accent6"/>
          <w:left w:val="single" w:sz="8" w:space="0" w:color="FEF9D3" w:themeColor="accent6"/>
          <w:bottom w:val="single" w:sz="8" w:space="0" w:color="FEF9D3" w:themeColor="accent6"/>
          <w:right w:val="single" w:sz="8" w:space="0" w:color="FEF9D3" w:themeColor="accent6"/>
        </w:tcBorders>
        <w:shd w:val="clear" w:color="auto" w:fill="FEFDF3" w:themeFill="accent6" w:themeFillTint="3F"/>
      </w:tcPr>
    </w:tblStylePr>
    <w:tblStylePr w:type="band1Horz">
      <w:tblPr/>
      <w:tcPr>
        <w:tcBorders>
          <w:top w:val="single" w:sz="8" w:space="0" w:color="FEF9D3" w:themeColor="accent6"/>
          <w:left w:val="single" w:sz="8" w:space="0" w:color="FEF9D3" w:themeColor="accent6"/>
          <w:bottom w:val="single" w:sz="8" w:space="0" w:color="FEF9D3" w:themeColor="accent6"/>
          <w:right w:val="single" w:sz="8" w:space="0" w:color="FEF9D3" w:themeColor="accent6"/>
          <w:insideV w:val="single" w:sz="8" w:space="0" w:color="FEF9D3" w:themeColor="accent6"/>
        </w:tcBorders>
        <w:shd w:val="clear" w:color="auto" w:fill="FEFDF3" w:themeFill="accent6" w:themeFillTint="3F"/>
      </w:tcPr>
    </w:tblStylePr>
    <w:tblStylePr w:type="band2Horz">
      <w:tblPr/>
      <w:tcPr>
        <w:tcBorders>
          <w:top w:val="single" w:sz="8" w:space="0" w:color="FEF9D3" w:themeColor="accent6"/>
          <w:left w:val="single" w:sz="8" w:space="0" w:color="FEF9D3" w:themeColor="accent6"/>
          <w:bottom w:val="single" w:sz="8" w:space="0" w:color="FEF9D3" w:themeColor="accent6"/>
          <w:right w:val="single" w:sz="8" w:space="0" w:color="FEF9D3" w:themeColor="accent6"/>
          <w:insideV w:val="single" w:sz="8" w:space="0" w:color="FEF9D3"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tblBorders>
    </w:tblPr>
    <w:tblStylePr w:type="firstRow">
      <w:pPr>
        <w:spacing w:before="0" w:after="0" w:line="240" w:lineRule="auto"/>
      </w:pPr>
      <w:rPr>
        <w:b/>
        <w:bCs/>
        <w:color w:val="FFFFFF" w:themeColor="background1"/>
      </w:rPr>
      <w:tblPr/>
      <w:tcPr>
        <w:shd w:val="clear" w:color="auto" w:fill="F6BE00" w:themeFill="accent1"/>
      </w:tcPr>
    </w:tblStylePr>
    <w:tblStylePr w:type="lastRow">
      <w:pPr>
        <w:spacing w:before="0" w:after="0" w:line="240" w:lineRule="auto"/>
      </w:pPr>
      <w:rPr>
        <w:b/>
        <w:bCs/>
      </w:rPr>
      <w:tblPr/>
      <w:tcPr>
        <w:tcBorders>
          <w:top w:val="double" w:sz="6" w:space="0" w:color="F6BE00" w:themeColor="accent1"/>
          <w:left w:val="single" w:sz="8" w:space="0" w:color="F6BE00" w:themeColor="accent1"/>
          <w:bottom w:val="single" w:sz="8" w:space="0" w:color="F6BE00" w:themeColor="accent1"/>
          <w:right w:val="single" w:sz="8" w:space="0" w:color="F6BE00" w:themeColor="accent1"/>
        </w:tcBorders>
      </w:tcPr>
    </w:tblStylePr>
    <w:tblStylePr w:type="firstCol">
      <w:rPr>
        <w:b/>
        <w:bCs/>
      </w:rPr>
    </w:tblStylePr>
    <w:tblStylePr w:type="lastCol">
      <w:rPr>
        <w:b/>
        <w:bCs/>
      </w:rPr>
    </w:tblStylePr>
    <w:tblStylePr w:type="band1Vert">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tblStylePr w:type="band1Horz">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FDDA24" w:themeColor="accent2"/>
        <w:left w:val="single" w:sz="8" w:space="0" w:color="FDDA24" w:themeColor="accent2"/>
        <w:bottom w:val="single" w:sz="8" w:space="0" w:color="FDDA24" w:themeColor="accent2"/>
        <w:right w:val="single" w:sz="8" w:space="0" w:color="FDDA24" w:themeColor="accent2"/>
      </w:tblBorders>
    </w:tblPr>
    <w:tblStylePr w:type="firstRow">
      <w:pPr>
        <w:spacing w:before="0" w:after="0" w:line="240" w:lineRule="auto"/>
      </w:pPr>
      <w:rPr>
        <w:b/>
        <w:bCs/>
        <w:color w:val="FFFFFF" w:themeColor="background1"/>
      </w:rPr>
      <w:tblPr/>
      <w:tcPr>
        <w:shd w:val="clear" w:color="auto" w:fill="FDDA24" w:themeFill="accent2"/>
      </w:tcPr>
    </w:tblStylePr>
    <w:tblStylePr w:type="lastRow">
      <w:pPr>
        <w:spacing w:before="0" w:after="0" w:line="240" w:lineRule="auto"/>
      </w:pPr>
      <w:rPr>
        <w:b/>
        <w:bCs/>
      </w:rPr>
      <w:tblPr/>
      <w:tcPr>
        <w:tcBorders>
          <w:top w:val="double" w:sz="6" w:space="0" w:color="FDDA24" w:themeColor="accent2"/>
          <w:left w:val="single" w:sz="8" w:space="0" w:color="FDDA24" w:themeColor="accent2"/>
          <w:bottom w:val="single" w:sz="8" w:space="0" w:color="FDDA24" w:themeColor="accent2"/>
          <w:right w:val="single" w:sz="8" w:space="0" w:color="FDDA24" w:themeColor="accent2"/>
        </w:tcBorders>
      </w:tcPr>
    </w:tblStylePr>
    <w:tblStylePr w:type="firstCol">
      <w:rPr>
        <w:b/>
        <w:bCs/>
      </w:rPr>
    </w:tblStylePr>
    <w:tblStylePr w:type="lastCol">
      <w:rPr>
        <w:b/>
        <w:bCs/>
      </w:rPr>
    </w:tblStylePr>
    <w:tblStylePr w:type="band1Vert">
      <w:tblPr/>
      <w:tcPr>
        <w:tcBorders>
          <w:top w:val="single" w:sz="8" w:space="0" w:color="FDDA24" w:themeColor="accent2"/>
          <w:left w:val="single" w:sz="8" w:space="0" w:color="FDDA24" w:themeColor="accent2"/>
          <w:bottom w:val="single" w:sz="8" w:space="0" w:color="FDDA24" w:themeColor="accent2"/>
          <w:right w:val="single" w:sz="8" w:space="0" w:color="FDDA24" w:themeColor="accent2"/>
        </w:tcBorders>
      </w:tcPr>
    </w:tblStylePr>
    <w:tblStylePr w:type="band1Horz">
      <w:tblPr/>
      <w:tcPr>
        <w:tcBorders>
          <w:top w:val="single" w:sz="8" w:space="0" w:color="FDDA24" w:themeColor="accent2"/>
          <w:left w:val="single" w:sz="8" w:space="0" w:color="FDDA24" w:themeColor="accent2"/>
          <w:bottom w:val="single" w:sz="8" w:space="0" w:color="FDDA24" w:themeColor="accent2"/>
          <w:right w:val="single" w:sz="8" w:space="0" w:color="FDDA24"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FBE122" w:themeColor="accent3"/>
        <w:left w:val="single" w:sz="8" w:space="0" w:color="FBE122" w:themeColor="accent3"/>
        <w:bottom w:val="single" w:sz="8" w:space="0" w:color="FBE122" w:themeColor="accent3"/>
        <w:right w:val="single" w:sz="8" w:space="0" w:color="FBE122" w:themeColor="accent3"/>
      </w:tblBorders>
    </w:tblPr>
    <w:tblStylePr w:type="firstRow">
      <w:pPr>
        <w:spacing w:before="0" w:after="0" w:line="240" w:lineRule="auto"/>
      </w:pPr>
      <w:rPr>
        <w:b/>
        <w:bCs/>
        <w:color w:val="FFFFFF" w:themeColor="background1"/>
      </w:rPr>
      <w:tblPr/>
      <w:tcPr>
        <w:shd w:val="clear" w:color="auto" w:fill="FBE122" w:themeFill="accent3"/>
      </w:tcPr>
    </w:tblStylePr>
    <w:tblStylePr w:type="lastRow">
      <w:pPr>
        <w:spacing w:before="0" w:after="0" w:line="240" w:lineRule="auto"/>
      </w:pPr>
      <w:rPr>
        <w:b/>
        <w:bCs/>
      </w:rPr>
      <w:tblPr/>
      <w:tcPr>
        <w:tcBorders>
          <w:top w:val="double" w:sz="6" w:space="0" w:color="FBE122" w:themeColor="accent3"/>
          <w:left w:val="single" w:sz="8" w:space="0" w:color="FBE122" w:themeColor="accent3"/>
          <w:bottom w:val="single" w:sz="8" w:space="0" w:color="FBE122" w:themeColor="accent3"/>
          <w:right w:val="single" w:sz="8" w:space="0" w:color="FBE122" w:themeColor="accent3"/>
        </w:tcBorders>
      </w:tcPr>
    </w:tblStylePr>
    <w:tblStylePr w:type="firstCol">
      <w:rPr>
        <w:b/>
        <w:bCs/>
      </w:rPr>
    </w:tblStylePr>
    <w:tblStylePr w:type="lastCol">
      <w:rPr>
        <w:b/>
        <w:bCs/>
      </w:rPr>
    </w:tblStylePr>
    <w:tblStylePr w:type="band1Vert">
      <w:tblPr/>
      <w:tcPr>
        <w:tcBorders>
          <w:top w:val="single" w:sz="8" w:space="0" w:color="FBE122" w:themeColor="accent3"/>
          <w:left w:val="single" w:sz="8" w:space="0" w:color="FBE122" w:themeColor="accent3"/>
          <w:bottom w:val="single" w:sz="8" w:space="0" w:color="FBE122" w:themeColor="accent3"/>
          <w:right w:val="single" w:sz="8" w:space="0" w:color="FBE122" w:themeColor="accent3"/>
        </w:tcBorders>
      </w:tcPr>
    </w:tblStylePr>
    <w:tblStylePr w:type="band1Horz">
      <w:tblPr/>
      <w:tcPr>
        <w:tcBorders>
          <w:top w:val="single" w:sz="8" w:space="0" w:color="FBE122" w:themeColor="accent3"/>
          <w:left w:val="single" w:sz="8" w:space="0" w:color="FBE122" w:themeColor="accent3"/>
          <w:bottom w:val="single" w:sz="8" w:space="0" w:color="FBE122" w:themeColor="accent3"/>
          <w:right w:val="single" w:sz="8" w:space="0" w:color="FBE122"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tblBorders>
    </w:tblPr>
    <w:tblStylePr w:type="firstRow">
      <w:pPr>
        <w:spacing w:before="0" w:after="0" w:line="240" w:lineRule="auto"/>
      </w:pPr>
      <w:rPr>
        <w:b/>
        <w:bCs/>
        <w:color w:val="FFFFFF" w:themeColor="background1"/>
      </w:rPr>
      <w:tblPr/>
      <w:tcPr>
        <w:shd w:val="clear" w:color="auto" w:fill="FADE7F" w:themeFill="accent4"/>
      </w:tcPr>
    </w:tblStylePr>
    <w:tblStylePr w:type="lastRow">
      <w:pPr>
        <w:spacing w:before="0" w:after="0" w:line="240" w:lineRule="auto"/>
      </w:pPr>
      <w:rPr>
        <w:b/>
        <w:bCs/>
      </w:rPr>
      <w:tblPr/>
      <w:tcPr>
        <w:tcBorders>
          <w:top w:val="double" w:sz="6" w:space="0" w:color="FADE7F" w:themeColor="accent4"/>
          <w:left w:val="single" w:sz="8" w:space="0" w:color="FADE7F" w:themeColor="accent4"/>
          <w:bottom w:val="single" w:sz="8" w:space="0" w:color="FADE7F" w:themeColor="accent4"/>
          <w:right w:val="single" w:sz="8" w:space="0" w:color="FADE7F" w:themeColor="accent4"/>
        </w:tcBorders>
      </w:tcPr>
    </w:tblStylePr>
    <w:tblStylePr w:type="firstCol">
      <w:rPr>
        <w:b/>
        <w:bCs/>
      </w:rPr>
    </w:tblStylePr>
    <w:tblStylePr w:type="lastCol">
      <w:rPr>
        <w:b/>
        <w:bCs/>
      </w:rPr>
    </w:tblStylePr>
    <w:tblStylePr w:type="band1Vert">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tblStylePr w:type="band1Horz">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FEF0A7" w:themeColor="accent5"/>
        <w:left w:val="single" w:sz="8" w:space="0" w:color="FEF0A7" w:themeColor="accent5"/>
        <w:bottom w:val="single" w:sz="8" w:space="0" w:color="FEF0A7" w:themeColor="accent5"/>
        <w:right w:val="single" w:sz="8" w:space="0" w:color="FEF0A7" w:themeColor="accent5"/>
      </w:tblBorders>
    </w:tblPr>
    <w:tblStylePr w:type="firstRow">
      <w:pPr>
        <w:spacing w:before="0" w:after="0" w:line="240" w:lineRule="auto"/>
      </w:pPr>
      <w:rPr>
        <w:b/>
        <w:bCs/>
        <w:color w:val="FFFFFF" w:themeColor="background1"/>
      </w:rPr>
      <w:tblPr/>
      <w:tcPr>
        <w:shd w:val="clear" w:color="auto" w:fill="FEF0A7" w:themeFill="accent5"/>
      </w:tcPr>
    </w:tblStylePr>
    <w:tblStylePr w:type="lastRow">
      <w:pPr>
        <w:spacing w:before="0" w:after="0" w:line="240" w:lineRule="auto"/>
      </w:pPr>
      <w:rPr>
        <w:b/>
        <w:bCs/>
      </w:rPr>
      <w:tblPr/>
      <w:tcPr>
        <w:tcBorders>
          <w:top w:val="double" w:sz="6" w:space="0" w:color="FEF0A7" w:themeColor="accent5"/>
          <w:left w:val="single" w:sz="8" w:space="0" w:color="FEF0A7" w:themeColor="accent5"/>
          <w:bottom w:val="single" w:sz="8" w:space="0" w:color="FEF0A7" w:themeColor="accent5"/>
          <w:right w:val="single" w:sz="8" w:space="0" w:color="FEF0A7" w:themeColor="accent5"/>
        </w:tcBorders>
      </w:tcPr>
    </w:tblStylePr>
    <w:tblStylePr w:type="firstCol">
      <w:rPr>
        <w:b/>
        <w:bCs/>
      </w:rPr>
    </w:tblStylePr>
    <w:tblStylePr w:type="lastCol">
      <w:rPr>
        <w:b/>
        <w:bCs/>
      </w:rPr>
    </w:tblStylePr>
    <w:tblStylePr w:type="band1Vert">
      <w:tblPr/>
      <w:tcPr>
        <w:tcBorders>
          <w:top w:val="single" w:sz="8" w:space="0" w:color="FEF0A7" w:themeColor="accent5"/>
          <w:left w:val="single" w:sz="8" w:space="0" w:color="FEF0A7" w:themeColor="accent5"/>
          <w:bottom w:val="single" w:sz="8" w:space="0" w:color="FEF0A7" w:themeColor="accent5"/>
          <w:right w:val="single" w:sz="8" w:space="0" w:color="FEF0A7" w:themeColor="accent5"/>
        </w:tcBorders>
      </w:tcPr>
    </w:tblStylePr>
    <w:tblStylePr w:type="band1Horz">
      <w:tblPr/>
      <w:tcPr>
        <w:tcBorders>
          <w:top w:val="single" w:sz="8" w:space="0" w:color="FEF0A7" w:themeColor="accent5"/>
          <w:left w:val="single" w:sz="8" w:space="0" w:color="FEF0A7" w:themeColor="accent5"/>
          <w:bottom w:val="single" w:sz="8" w:space="0" w:color="FEF0A7" w:themeColor="accent5"/>
          <w:right w:val="single" w:sz="8" w:space="0" w:color="FEF0A7"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FEF9D3" w:themeColor="accent6"/>
        <w:left w:val="single" w:sz="8" w:space="0" w:color="FEF9D3" w:themeColor="accent6"/>
        <w:bottom w:val="single" w:sz="8" w:space="0" w:color="FEF9D3" w:themeColor="accent6"/>
        <w:right w:val="single" w:sz="8" w:space="0" w:color="FEF9D3" w:themeColor="accent6"/>
      </w:tblBorders>
    </w:tblPr>
    <w:tblStylePr w:type="firstRow">
      <w:pPr>
        <w:spacing w:before="0" w:after="0" w:line="240" w:lineRule="auto"/>
      </w:pPr>
      <w:rPr>
        <w:b/>
        <w:bCs/>
        <w:color w:val="FFFFFF" w:themeColor="background1"/>
      </w:rPr>
      <w:tblPr/>
      <w:tcPr>
        <w:shd w:val="clear" w:color="auto" w:fill="FEF9D3" w:themeFill="accent6"/>
      </w:tcPr>
    </w:tblStylePr>
    <w:tblStylePr w:type="lastRow">
      <w:pPr>
        <w:spacing w:before="0" w:after="0" w:line="240" w:lineRule="auto"/>
      </w:pPr>
      <w:rPr>
        <w:b/>
        <w:bCs/>
      </w:rPr>
      <w:tblPr/>
      <w:tcPr>
        <w:tcBorders>
          <w:top w:val="double" w:sz="6" w:space="0" w:color="FEF9D3" w:themeColor="accent6"/>
          <w:left w:val="single" w:sz="8" w:space="0" w:color="FEF9D3" w:themeColor="accent6"/>
          <w:bottom w:val="single" w:sz="8" w:space="0" w:color="FEF9D3" w:themeColor="accent6"/>
          <w:right w:val="single" w:sz="8" w:space="0" w:color="FEF9D3" w:themeColor="accent6"/>
        </w:tcBorders>
      </w:tcPr>
    </w:tblStylePr>
    <w:tblStylePr w:type="firstCol">
      <w:rPr>
        <w:b/>
        <w:bCs/>
      </w:rPr>
    </w:tblStylePr>
    <w:tblStylePr w:type="lastCol">
      <w:rPr>
        <w:b/>
        <w:bCs/>
      </w:rPr>
    </w:tblStylePr>
    <w:tblStylePr w:type="band1Vert">
      <w:tblPr/>
      <w:tcPr>
        <w:tcBorders>
          <w:top w:val="single" w:sz="8" w:space="0" w:color="FEF9D3" w:themeColor="accent6"/>
          <w:left w:val="single" w:sz="8" w:space="0" w:color="FEF9D3" w:themeColor="accent6"/>
          <w:bottom w:val="single" w:sz="8" w:space="0" w:color="FEF9D3" w:themeColor="accent6"/>
          <w:right w:val="single" w:sz="8" w:space="0" w:color="FEF9D3" w:themeColor="accent6"/>
        </w:tcBorders>
      </w:tcPr>
    </w:tblStylePr>
    <w:tblStylePr w:type="band1Horz">
      <w:tblPr/>
      <w:tcPr>
        <w:tcBorders>
          <w:top w:val="single" w:sz="8" w:space="0" w:color="FEF9D3" w:themeColor="accent6"/>
          <w:left w:val="single" w:sz="8" w:space="0" w:color="FEF9D3" w:themeColor="accent6"/>
          <w:bottom w:val="single" w:sz="8" w:space="0" w:color="FEF9D3" w:themeColor="accent6"/>
          <w:right w:val="single" w:sz="8" w:space="0" w:color="FEF9D3" w:themeColor="accent6"/>
        </w:tcBorders>
      </w:tcPr>
    </w:tblStylePr>
  </w:style>
  <w:style w:type="table" w:styleId="LightShading-Accent3">
    <w:name w:val="Light Shading Accent 3"/>
    <w:basedOn w:val="TableNormal"/>
    <w:uiPriority w:val="60"/>
    <w:rsid w:val="00C00568"/>
    <w:pPr>
      <w:spacing w:before="0"/>
    </w:pPr>
    <w:rPr>
      <w:color w:val="D1B804" w:themeColor="accent3" w:themeShade="BF"/>
    </w:rPr>
    <w:tblPr>
      <w:tblStyleRowBandSize w:val="1"/>
      <w:tblStyleColBandSize w:val="1"/>
      <w:tblBorders>
        <w:top w:val="single" w:sz="8" w:space="0" w:color="FBE122" w:themeColor="accent3"/>
        <w:bottom w:val="single" w:sz="8" w:space="0" w:color="FBE122" w:themeColor="accent3"/>
      </w:tblBorders>
    </w:tblPr>
    <w:tblStylePr w:type="firstRow">
      <w:pPr>
        <w:spacing w:before="0" w:after="0" w:line="240" w:lineRule="auto"/>
      </w:pPr>
      <w:rPr>
        <w:b/>
        <w:bCs/>
      </w:rPr>
      <w:tblPr/>
      <w:tcPr>
        <w:tcBorders>
          <w:top w:val="single" w:sz="8" w:space="0" w:color="FBE122" w:themeColor="accent3"/>
          <w:left w:val="nil"/>
          <w:bottom w:val="single" w:sz="8" w:space="0" w:color="FBE122" w:themeColor="accent3"/>
          <w:right w:val="nil"/>
          <w:insideH w:val="nil"/>
          <w:insideV w:val="nil"/>
        </w:tcBorders>
      </w:tcPr>
    </w:tblStylePr>
    <w:tblStylePr w:type="lastRow">
      <w:pPr>
        <w:spacing w:before="0" w:after="0" w:line="240" w:lineRule="auto"/>
      </w:pPr>
      <w:rPr>
        <w:b/>
        <w:bCs/>
      </w:rPr>
      <w:tblPr/>
      <w:tcPr>
        <w:tcBorders>
          <w:top w:val="single" w:sz="8" w:space="0" w:color="FBE122" w:themeColor="accent3"/>
          <w:left w:val="nil"/>
          <w:bottom w:val="single" w:sz="8" w:space="0" w:color="FBE1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7C8" w:themeFill="accent3" w:themeFillTint="3F"/>
      </w:tcPr>
    </w:tblStylePr>
    <w:tblStylePr w:type="band1Horz">
      <w:tblPr/>
      <w:tcPr>
        <w:tcBorders>
          <w:left w:val="nil"/>
          <w:right w:val="nil"/>
          <w:insideH w:val="nil"/>
          <w:insideV w:val="nil"/>
        </w:tcBorders>
        <w:shd w:val="clear" w:color="auto" w:fill="FEF7C8" w:themeFill="accent3" w:themeFillTint="3F"/>
      </w:tcPr>
    </w:tblStylePr>
  </w:style>
  <w:style w:type="table" w:styleId="LightShading-Accent5">
    <w:name w:val="Light Shading Accent 5"/>
    <w:basedOn w:val="TableNormal"/>
    <w:uiPriority w:val="60"/>
    <w:rsid w:val="00C00568"/>
    <w:pPr>
      <w:spacing w:before="0"/>
    </w:pPr>
    <w:rPr>
      <w:color w:val="FCDD3E" w:themeColor="accent5" w:themeShade="BF"/>
    </w:rPr>
    <w:tblPr>
      <w:tblStyleRowBandSize w:val="1"/>
      <w:tblStyleColBandSize w:val="1"/>
      <w:tblBorders>
        <w:top w:val="single" w:sz="8" w:space="0" w:color="FEF0A7" w:themeColor="accent5"/>
        <w:bottom w:val="single" w:sz="8" w:space="0" w:color="FEF0A7" w:themeColor="accent5"/>
      </w:tblBorders>
    </w:tblPr>
    <w:tblStylePr w:type="firstRow">
      <w:pPr>
        <w:spacing w:before="0" w:after="0" w:line="240" w:lineRule="auto"/>
      </w:pPr>
      <w:rPr>
        <w:b/>
        <w:bCs/>
      </w:rPr>
      <w:tblPr/>
      <w:tcPr>
        <w:tcBorders>
          <w:top w:val="single" w:sz="8" w:space="0" w:color="FEF0A7" w:themeColor="accent5"/>
          <w:left w:val="nil"/>
          <w:bottom w:val="single" w:sz="8" w:space="0" w:color="FEF0A7" w:themeColor="accent5"/>
          <w:right w:val="nil"/>
          <w:insideH w:val="nil"/>
          <w:insideV w:val="nil"/>
        </w:tcBorders>
      </w:tcPr>
    </w:tblStylePr>
    <w:tblStylePr w:type="lastRow">
      <w:pPr>
        <w:spacing w:before="0" w:after="0" w:line="240" w:lineRule="auto"/>
      </w:pPr>
      <w:rPr>
        <w:b/>
        <w:bCs/>
      </w:rPr>
      <w:tblPr/>
      <w:tcPr>
        <w:tcBorders>
          <w:top w:val="single" w:sz="8" w:space="0" w:color="FEF0A7" w:themeColor="accent5"/>
          <w:left w:val="nil"/>
          <w:bottom w:val="single" w:sz="8" w:space="0" w:color="FEF0A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BE9" w:themeFill="accent5" w:themeFillTint="3F"/>
      </w:tcPr>
    </w:tblStylePr>
    <w:tblStylePr w:type="band1Horz">
      <w:tblPr/>
      <w:tcPr>
        <w:tcBorders>
          <w:left w:val="nil"/>
          <w:right w:val="nil"/>
          <w:insideH w:val="nil"/>
          <w:insideV w:val="nil"/>
        </w:tcBorders>
        <w:shd w:val="clear" w:color="auto" w:fill="FEFBE9" w:themeFill="accent5" w:themeFillTint="3F"/>
      </w:tcPr>
    </w:tblStylePr>
  </w:style>
  <w:style w:type="table" w:styleId="LightShading-Accent6">
    <w:name w:val="Light Shading Accent 6"/>
    <w:basedOn w:val="TableNormal"/>
    <w:uiPriority w:val="60"/>
    <w:rsid w:val="00C00568"/>
    <w:pPr>
      <w:spacing w:before="0"/>
    </w:pPr>
    <w:rPr>
      <w:color w:val="FBE960" w:themeColor="accent6" w:themeShade="BF"/>
    </w:rPr>
    <w:tblPr>
      <w:tblStyleRowBandSize w:val="1"/>
      <w:tblStyleColBandSize w:val="1"/>
      <w:tblBorders>
        <w:top w:val="single" w:sz="8" w:space="0" w:color="FEF9D3" w:themeColor="accent6"/>
        <w:bottom w:val="single" w:sz="8" w:space="0" w:color="FEF9D3" w:themeColor="accent6"/>
      </w:tblBorders>
    </w:tblPr>
    <w:tblStylePr w:type="firstRow">
      <w:pPr>
        <w:spacing w:before="0" w:after="0" w:line="240" w:lineRule="auto"/>
      </w:pPr>
      <w:rPr>
        <w:b/>
        <w:bCs/>
      </w:rPr>
      <w:tblPr/>
      <w:tcPr>
        <w:tcBorders>
          <w:top w:val="single" w:sz="8" w:space="0" w:color="FEF9D3" w:themeColor="accent6"/>
          <w:left w:val="nil"/>
          <w:bottom w:val="single" w:sz="8" w:space="0" w:color="FEF9D3" w:themeColor="accent6"/>
          <w:right w:val="nil"/>
          <w:insideH w:val="nil"/>
          <w:insideV w:val="nil"/>
        </w:tcBorders>
      </w:tcPr>
    </w:tblStylePr>
    <w:tblStylePr w:type="lastRow">
      <w:pPr>
        <w:spacing w:before="0" w:after="0" w:line="240" w:lineRule="auto"/>
      </w:pPr>
      <w:rPr>
        <w:b/>
        <w:bCs/>
      </w:rPr>
      <w:tblPr/>
      <w:tcPr>
        <w:tcBorders>
          <w:top w:val="single" w:sz="8" w:space="0" w:color="FEF9D3" w:themeColor="accent6"/>
          <w:left w:val="nil"/>
          <w:bottom w:val="single" w:sz="8" w:space="0" w:color="FEF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DF3" w:themeFill="accent6" w:themeFillTint="3F"/>
      </w:tcPr>
    </w:tblStylePr>
    <w:tblStylePr w:type="band1Horz">
      <w:tblPr/>
      <w:tcPr>
        <w:tcBorders>
          <w:left w:val="nil"/>
          <w:right w:val="nil"/>
          <w:insideH w:val="nil"/>
          <w:insideV w:val="nil"/>
        </w:tcBorders>
        <w:shd w:val="clear" w:color="auto" w:fill="FEFDF3"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FFD139" w:themeColor="accent1" w:themeTint="BF"/>
        <w:left w:val="single" w:sz="8" w:space="0" w:color="FFD139" w:themeColor="accent1" w:themeTint="BF"/>
        <w:bottom w:val="single" w:sz="8" w:space="0" w:color="FFD139" w:themeColor="accent1" w:themeTint="BF"/>
        <w:right w:val="single" w:sz="8" w:space="0" w:color="FFD139" w:themeColor="accent1" w:themeTint="BF"/>
        <w:insideH w:val="single" w:sz="8" w:space="0" w:color="FFD139" w:themeColor="accent1" w:themeTint="BF"/>
        <w:insideV w:val="single" w:sz="8" w:space="0" w:color="FFD139" w:themeColor="accent1" w:themeTint="BF"/>
      </w:tblBorders>
    </w:tblPr>
    <w:tcPr>
      <w:shd w:val="clear" w:color="auto" w:fill="FFEFBD" w:themeFill="accent1" w:themeFillTint="3F"/>
    </w:tcPr>
    <w:tblStylePr w:type="firstRow">
      <w:rPr>
        <w:b/>
        <w:bCs/>
      </w:rPr>
    </w:tblStylePr>
    <w:tblStylePr w:type="lastRow">
      <w:rPr>
        <w:b/>
        <w:bCs/>
      </w:rPr>
      <w:tblPr/>
      <w:tcPr>
        <w:tcBorders>
          <w:top w:val="single" w:sz="18" w:space="0" w:color="FFD139" w:themeColor="accent1" w:themeTint="BF"/>
        </w:tcBorders>
      </w:tcPr>
    </w:tblStylePr>
    <w:tblStylePr w:type="firstCol">
      <w:rPr>
        <w:b/>
        <w:bCs/>
      </w:rPr>
    </w:tblStylePr>
    <w:tblStylePr w:type="lastCol">
      <w:rPr>
        <w:b/>
        <w:bCs/>
      </w:rPr>
    </w:tblStylePr>
    <w:tblStylePr w:type="band1Vert">
      <w:tblPr/>
      <w:tcPr>
        <w:shd w:val="clear" w:color="auto" w:fill="FFE07B" w:themeFill="accent1" w:themeFillTint="7F"/>
      </w:tcPr>
    </w:tblStylePr>
    <w:tblStylePr w:type="band1Horz">
      <w:tblPr/>
      <w:tcPr>
        <w:shd w:val="clear" w:color="auto" w:fill="FFE07B"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FDE25A" w:themeColor="accent2" w:themeTint="BF"/>
        <w:left w:val="single" w:sz="8" w:space="0" w:color="FDE25A" w:themeColor="accent2" w:themeTint="BF"/>
        <w:bottom w:val="single" w:sz="8" w:space="0" w:color="FDE25A" w:themeColor="accent2" w:themeTint="BF"/>
        <w:right w:val="single" w:sz="8" w:space="0" w:color="FDE25A" w:themeColor="accent2" w:themeTint="BF"/>
        <w:insideH w:val="single" w:sz="8" w:space="0" w:color="FDE25A" w:themeColor="accent2" w:themeTint="BF"/>
        <w:insideV w:val="single" w:sz="8" w:space="0" w:color="FDE25A" w:themeColor="accent2" w:themeTint="BF"/>
      </w:tblBorders>
    </w:tblPr>
    <w:tcPr>
      <w:shd w:val="clear" w:color="auto" w:fill="FEF5C8" w:themeFill="accent2" w:themeFillTint="3F"/>
    </w:tcPr>
    <w:tblStylePr w:type="firstRow">
      <w:rPr>
        <w:b/>
        <w:bCs/>
      </w:rPr>
    </w:tblStylePr>
    <w:tblStylePr w:type="lastRow">
      <w:rPr>
        <w:b/>
        <w:bCs/>
      </w:rPr>
      <w:tblPr/>
      <w:tcPr>
        <w:tcBorders>
          <w:top w:val="single" w:sz="18" w:space="0" w:color="FDE25A" w:themeColor="accent2" w:themeTint="BF"/>
        </w:tcBorders>
      </w:tcPr>
    </w:tblStylePr>
    <w:tblStylePr w:type="firstCol">
      <w:rPr>
        <w:b/>
        <w:bCs/>
      </w:rPr>
    </w:tblStylePr>
    <w:tblStylePr w:type="lastCol">
      <w:rPr>
        <w:b/>
        <w:bCs/>
      </w:rPr>
    </w:tblStylePr>
    <w:tblStylePr w:type="band1Vert">
      <w:tblPr/>
      <w:tcPr>
        <w:shd w:val="clear" w:color="auto" w:fill="FEEC91" w:themeFill="accent2" w:themeFillTint="7F"/>
      </w:tcPr>
    </w:tblStylePr>
    <w:tblStylePr w:type="band1Horz">
      <w:tblPr/>
      <w:tcPr>
        <w:shd w:val="clear" w:color="auto" w:fill="FEEC91"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FCE859" w:themeColor="accent3" w:themeTint="BF"/>
        <w:left w:val="single" w:sz="8" w:space="0" w:color="FCE859" w:themeColor="accent3" w:themeTint="BF"/>
        <w:bottom w:val="single" w:sz="8" w:space="0" w:color="FCE859" w:themeColor="accent3" w:themeTint="BF"/>
        <w:right w:val="single" w:sz="8" w:space="0" w:color="FCE859" w:themeColor="accent3" w:themeTint="BF"/>
        <w:insideH w:val="single" w:sz="8" w:space="0" w:color="FCE859" w:themeColor="accent3" w:themeTint="BF"/>
        <w:insideV w:val="single" w:sz="8" w:space="0" w:color="FCE859" w:themeColor="accent3" w:themeTint="BF"/>
      </w:tblBorders>
    </w:tblPr>
    <w:tcPr>
      <w:shd w:val="clear" w:color="auto" w:fill="FEF7C8" w:themeFill="accent3" w:themeFillTint="3F"/>
    </w:tcPr>
    <w:tblStylePr w:type="firstRow">
      <w:rPr>
        <w:b/>
        <w:bCs/>
      </w:rPr>
    </w:tblStylePr>
    <w:tblStylePr w:type="lastRow">
      <w:rPr>
        <w:b/>
        <w:bCs/>
      </w:rPr>
      <w:tblPr/>
      <w:tcPr>
        <w:tcBorders>
          <w:top w:val="single" w:sz="18" w:space="0" w:color="FCE859" w:themeColor="accent3" w:themeTint="BF"/>
        </w:tcBorders>
      </w:tcPr>
    </w:tblStylePr>
    <w:tblStylePr w:type="firstCol">
      <w:rPr>
        <w:b/>
        <w:bCs/>
      </w:rPr>
    </w:tblStylePr>
    <w:tblStylePr w:type="lastCol">
      <w:rPr>
        <w:b/>
        <w:bCs/>
      </w:rPr>
    </w:tblStylePr>
    <w:tblStylePr w:type="band1Vert">
      <w:tblPr/>
      <w:tcPr>
        <w:shd w:val="clear" w:color="auto" w:fill="FDEF90" w:themeFill="accent3" w:themeFillTint="7F"/>
      </w:tcPr>
    </w:tblStylePr>
    <w:tblStylePr w:type="band1Horz">
      <w:tblPr/>
      <w:tcPr>
        <w:shd w:val="clear" w:color="auto" w:fill="FDEF90"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FBE59F" w:themeColor="accent4" w:themeTint="BF"/>
        <w:left w:val="single" w:sz="8" w:space="0" w:color="FBE59F" w:themeColor="accent4" w:themeTint="BF"/>
        <w:bottom w:val="single" w:sz="8" w:space="0" w:color="FBE59F" w:themeColor="accent4" w:themeTint="BF"/>
        <w:right w:val="single" w:sz="8" w:space="0" w:color="FBE59F" w:themeColor="accent4" w:themeTint="BF"/>
        <w:insideH w:val="single" w:sz="8" w:space="0" w:color="FBE59F" w:themeColor="accent4" w:themeTint="BF"/>
        <w:insideV w:val="single" w:sz="8" w:space="0" w:color="FBE59F" w:themeColor="accent4" w:themeTint="BF"/>
      </w:tblBorders>
    </w:tblPr>
    <w:tcPr>
      <w:shd w:val="clear" w:color="auto" w:fill="FDF6DF" w:themeFill="accent4" w:themeFillTint="3F"/>
    </w:tcPr>
    <w:tblStylePr w:type="firstRow">
      <w:rPr>
        <w:b/>
        <w:bCs/>
      </w:rPr>
    </w:tblStylePr>
    <w:tblStylePr w:type="lastRow">
      <w:rPr>
        <w:b/>
        <w:bCs/>
      </w:rPr>
      <w:tblPr/>
      <w:tcPr>
        <w:tcBorders>
          <w:top w:val="single" w:sz="18" w:space="0" w:color="FBE59F" w:themeColor="accent4" w:themeTint="BF"/>
        </w:tcBorders>
      </w:tcPr>
    </w:tblStylePr>
    <w:tblStylePr w:type="firstCol">
      <w:rPr>
        <w:b/>
        <w:bCs/>
      </w:rPr>
    </w:tblStylePr>
    <w:tblStylePr w:type="lastCol">
      <w:rPr>
        <w:b/>
        <w:bCs/>
      </w:rPr>
    </w:tblStylePr>
    <w:tblStylePr w:type="band1Vert">
      <w:tblPr/>
      <w:tcPr>
        <w:shd w:val="clear" w:color="auto" w:fill="FCEEBF" w:themeFill="accent4" w:themeFillTint="7F"/>
      </w:tcPr>
    </w:tblStylePr>
    <w:tblStylePr w:type="band1Horz">
      <w:tblPr/>
      <w:tcPr>
        <w:shd w:val="clear" w:color="auto" w:fill="FCEEB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FEF3BD" w:themeColor="accent5" w:themeTint="BF"/>
        <w:left w:val="single" w:sz="8" w:space="0" w:color="FEF3BD" w:themeColor="accent5" w:themeTint="BF"/>
        <w:bottom w:val="single" w:sz="8" w:space="0" w:color="FEF3BD" w:themeColor="accent5" w:themeTint="BF"/>
        <w:right w:val="single" w:sz="8" w:space="0" w:color="FEF3BD" w:themeColor="accent5" w:themeTint="BF"/>
        <w:insideH w:val="single" w:sz="8" w:space="0" w:color="FEF3BD" w:themeColor="accent5" w:themeTint="BF"/>
        <w:insideV w:val="single" w:sz="8" w:space="0" w:color="FEF3BD" w:themeColor="accent5" w:themeTint="BF"/>
      </w:tblBorders>
    </w:tblPr>
    <w:tcPr>
      <w:shd w:val="clear" w:color="auto" w:fill="FEFBE9" w:themeFill="accent5" w:themeFillTint="3F"/>
    </w:tcPr>
    <w:tblStylePr w:type="firstRow">
      <w:rPr>
        <w:b/>
        <w:bCs/>
      </w:rPr>
    </w:tblStylePr>
    <w:tblStylePr w:type="lastRow">
      <w:rPr>
        <w:b/>
        <w:bCs/>
      </w:rPr>
      <w:tblPr/>
      <w:tcPr>
        <w:tcBorders>
          <w:top w:val="single" w:sz="18" w:space="0" w:color="FEF3BD" w:themeColor="accent5" w:themeTint="BF"/>
        </w:tcBorders>
      </w:tcPr>
    </w:tblStylePr>
    <w:tblStylePr w:type="firstCol">
      <w:rPr>
        <w:b/>
        <w:bCs/>
      </w:rPr>
    </w:tblStylePr>
    <w:tblStylePr w:type="lastCol">
      <w:rPr>
        <w:b/>
        <w:bCs/>
      </w:rPr>
    </w:tblStylePr>
    <w:tblStylePr w:type="band1Vert">
      <w:tblPr/>
      <w:tcPr>
        <w:shd w:val="clear" w:color="auto" w:fill="FEF7D3" w:themeFill="accent5" w:themeFillTint="7F"/>
      </w:tcPr>
    </w:tblStylePr>
    <w:tblStylePr w:type="band1Horz">
      <w:tblPr/>
      <w:tcPr>
        <w:shd w:val="clear" w:color="auto" w:fill="FEF7D3"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FEFADD" w:themeColor="accent6" w:themeTint="BF"/>
        <w:left w:val="single" w:sz="8" w:space="0" w:color="FEFADD" w:themeColor="accent6" w:themeTint="BF"/>
        <w:bottom w:val="single" w:sz="8" w:space="0" w:color="FEFADD" w:themeColor="accent6" w:themeTint="BF"/>
        <w:right w:val="single" w:sz="8" w:space="0" w:color="FEFADD" w:themeColor="accent6" w:themeTint="BF"/>
        <w:insideH w:val="single" w:sz="8" w:space="0" w:color="FEFADD" w:themeColor="accent6" w:themeTint="BF"/>
        <w:insideV w:val="single" w:sz="8" w:space="0" w:color="FEFADD" w:themeColor="accent6" w:themeTint="BF"/>
      </w:tblBorders>
    </w:tblPr>
    <w:tcPr>
      <w:shd w:val="clear" w:color="auto" w:fill="FEFDF3" w:themeFill="accent6" w:themeFillTint="3F"/>
    </w:tcPr>
    <w:tblStylePr w:type="firstRow">
      <w:rPr>
        <w:b/>
        <w:bCs/>
      </w:rPr>
    </w:tblStylePr>
    <w:tblStylePr w:type="lastRow">
      <w:rPr>
        <w:b/>
        <w:bCs/>
      </w:rPr>
      <w:tblPr/>
      <w:tcPr>
        <w:tcBorders>
          <w:top w:val="single" w:sz="18" w:space="0" w:color="FEFADD" w:themeColor="accent6" w:themeTint="BF"/>
        </w:tcBorders>
      </w:tcPr>
    </w:tblStylePr>
    <w:tblStylePr w:type="firstCol">
      <w:rPr>
        <w:b/>
        <w:bCs/>
      </w:rPr>
    </w:tblStylePr>
    <w:tblStylePr w:type="lastCol">
      <w:rPr>
        <w:b/>
        <w:bCs/>
      </w:rPr>
    </w:tblStylePr>
    <w:tblStylePr w:type="band1Vert">
      <w:tblPr/>
      <w:tcPr>
        <w:shd w:val="clear" w:color="auto" w:fill="FEFBE8" w:themeFill="accent6" w:themeFillTint="7F"/>
      </w:tcPr>
    </w:tblStylePr>
    <w:tblStylePr w:type="band1Horz">
      <w:tblPr/>
      <w:tcPr>
        <w:shd w:val="clear" w:color="auto" w:fill="FEFBE8"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insideH w:val="single" w:sz="8" w:space="0" w:color="F6BE00" w:themeColor="accent1"/>
        <w:insideV w:val="single" w:sz="8" w:space="0" w:color="F6BE00" w:themeColor="accent1"/>
      </w:tblBorders>
    </w:tblPr>
    <w:tcPr>
      <w:shd w:val="clear" w:color="auto" w:fill="FFEFBD" w:themeFill="accent1" w:themeFillTint="3F"/>
    </w:tcPr>
    <w:tblStylePr w:type="firstRow">
      <w:rPr>
        <w:b/>
        <w:bCs/>
        <w:color w:val="000000" w:themeColor="text1"/>
      </w:rPr>
      <w:tblPr/>
      <w:tcPr>
        <w:shd w:val="clear" w:color="auto" w:fill="FFF8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A" w:themeFill="accent1" w:themeFillTint="33"/>
      </w:tcPr>
    </w:tblStylePr>
    <w:tblStylePr w:type="band1Vert">
      <w:tblPr/>
      <w:tcPr>
        <w:shd w:val="clear" w:color="auto" w:fill="FFE07B" w:themeFill="accent1" w:themeFillTint="7F"/>
      </w:tcPr>
    </w:tblStylePr>
    <w:tblStylePr w:type="band1Horz">
      <w:tblPr/>
      <w:tcPr>
        <w:tcBorders>
          <w:insideH w:val="single" w:sz="6" w:space="0" w:color="F6BE00" w:themeColor="accent1"/>
          <w:insideV w:val="single" w:sz="6" w:space="0" w:color="F6BE00" w:themeColor="accent1"/>
        </w:tcBorders>
        <w:shd w:val="clear" w:color="auto" w:fill="FFE07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DDA24" w:themeColor="accent2"/>
        <w:left w:val="single" w:sz="8" w:space="0" w:color="FDDA24" w:themeColor="accent2"/>
        <w:bottom w:val="single" w:sz="8" w:space="0" w:color="FDDA24" w:themeColor="accent2"/>
        <w:right w:val="single" w:sz="8" w:space="0" w:color="FDDA24" w:themeColor="accent2"/>
        <w:insideH w:val="single" w:sz="8" w:space="0" w:color="FDDA24" w:themeColor="accent2"/>
        <w:insideV w:val="single" w:sz="8" w:space="0" w:color="FDDA24" w:themeColor="accent2"/>
      </w:tblBorders>
    </w:tblPr>
    <w:tcPr>
      <w:shd w:val="clear" w:color="auto" w:fill="FEF5C8" w:themeFill="accent2" w:themeFillTint="3F"/>
    </w:tcPr>
    <w:tblStylePr w:type="firstRow">
      <w:rPr>
        <w:b/>
        <w:bCs/>
        <w:color w:val="000000" w:themeColor="text1"/>
      </w:rPr>
      <w:tblPr/>
      <w:tcPr>
        <w:shd w:val="clear" w:color="auto" w:fill="FEFB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7D3" w:themeFill="accent2" w:themeFillTint="33"/>
      </w:tcPr>
    </w:tblStylePr>
    <w:tblStylePr w:type="band1Vert">
      <w:tblPr/>
      <w:tcPr>
        <w:shd w:val="clear" w:color="auto" w:fill="FEEC91" w:themeFill="accent2" w:themeFillTint="7F"/>
      </w:tcPr>
    </w:tblStylePr>
    <w:tblStylePr w:type="band1Horz">
      <w:tblPr/>
      <w:tcPr>
        <w:tcBorders>
          <w:insideH w:val="single" w:sz="6" w:space="0" w:color="FDDA24" w:themeColor="accent2"/>
          <w:insideV w:val="single" w:sz="6" w:space="0" w:color="FDDA24" w:themeColor="accent2"/>
        </w:tcBorders>
        <w:shd w:val="clear" w:color="auto" w:fill="FEEC9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BE122" w:themeColor="accent3"/>
        <w:left w:val="single" w:sz="8" w:space="0" w:color="FBE122" w:themeColor="accent3"/>
        <w:bottom w:val="single" w:sz="8" w:space="0" w:color="FBE122" w:themeColor="accent3"/>
        <w:right w:val="single" w:sz="8" w:space="0" w:color="FBE122" w:themeColor="accent3"/>
        <w:insideH w:val="single" w:sz="8" w:space="0" w:color="FBE122" w:themeColor="accent3"/>
        <w:insideV w:val="single" w:sz="8" w:space="0" w:color="FBE122" w:themeColor="accent3"/>
      </w:tblBorders>
    </w:tblPr>
    <w:tcPr>
      <w:shd w:val="clear" w:color="auto" w:fill="FEF7C8" w:themeFill="accent3" w:themeFillTint="3F"/>
    </w:tcPr>
    <w:tblStylePr w:type="firstRow">
      <w:rPr>
        <w:b/>
        <w:bCs/>
        <w:color w:val="000000" w:themeColor="text1"/>
      </w:rPr>
      <w:tblPr/>
      <w:tcPr>
        <w:shd w:val="clear" w:color="auto" w:fill="FEFC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D2" w:themeFill="accent3" w:themeFillTint="33"/>
      </w:tcPr>
    </w:tblStylePr>
    <w:tblStylePr w:type="band1Vert">
      <w:tblPr/>
      <w:tcPr>
        <w:shd w:val="clear" w:color="auto" w:fill="FDEF90" w:themeFill="accent3" w:themeFillTint="7F"/>
      </w:tcPr>
    </w:tblStylePr>
    <w:tblStylePr w:type="band1Horz">
      <w:tblPr/>
      <w:tcPr>
        <w:tcBorders>
          <w:insideH w:val="single" w:sz="6" w:space="0" w:color="FBE122" w:themeColor="accent3"/>
          <w:insideV w:val="single" w:sz="6" w:space="0" w:color="FBE122" w:themeColor="accent3"/>
        </w:tcBorders>
        <w:shd w:val="clear" w:color="auto" w:fill="FDEF9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insideH w:val="single" w:sz="8" w:space="0" w:color="FADE7F" w:themeColor="accent4"/>
        <w:insideV w:val="single" w:sz="8" w:space="0" w:color="FADE7F" w:themeColor="accent4"/>
      </w:tblBorders>
    </w:tblPr>
    <w:tcPr>
      <w:shd w:val="clear" w:color="auto" w:fill="FDF6DF" w:themeFill="accent4" w:themeFillTint="3F"/>
    </w:tcPr>
    <w:tblStylePr w:type="firstRow">
      <w:rPr>
        <w:b/>
        <w:bCs/>
        <w:color w:val="000000" w:themeColor="text1"/>
      </w:rPr>
      <w:tblPr/>
      <w:tcPr>
        <w:shd w:val="clear" w:color="auto" w:fill="FEFB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8E5" w:themeFill="accent4" w:themeFillTint="33"/>
      </w:tcPr>
    </w:tblStylePr>
    <w:tblStylePr w:type="band1Vert">
      <w:tblPr/>
      <w:tcPr>
        <w:shd w:val="clear" w:color="auto" w:fill="FCEEBF" w:themeFill="accent4" w:themeFillTint="7F"/>
      </w:tcPr>
    </w:tblStylePr>
    <w:tblStylePr w:type="band1Horz">
      <w:tblPr/>
      <w:tcPr>
        <w:tcBorders>
          <w:insideH w:val="single" w:sz="6" w:space="0" w:color="FADE7F" w:themeColor="accent4"/>
          <w:insideV w:val="single" w:sz="6" w:space="0" w:color="FADE7F" w:themeColor="accent4"/>
        </w:tcBorders>
        <w:shd w:val="clear" w:color="auto" w:fill="FCEE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EF0A7" w:themeColor="accent5"/>
        <w:left w:val="single" w:sz="8" w:space="0" w:color="FEF0A7" w:themeColor="accent5"/>
        <w:bottom w:val="single" w:sz="8" w:space="0" w:color="FEF0A7" w:themeColor="accent5"/>
        <w:right w:val="single" w:sz="8" w:space="0" w:color="FEF0A7" w:themeColor="accent5"/>
        <w:insideH w:val="single" w:sz="8" w:space="0" w:color="FEF0A7" w:themeColor="accent5"/>
        <w:insideV w:val="single" w:sz="8" w:space="0" w:color="FEF0A7" w:themeColor="accent5"/>
      </w:tblBorders>
    </w:tblPr>
    <w:tcPr>
      <w:shd w:val="clear" w:color="auto" w:fill="FEFBE9" w:themeFill="accent5" w:themeFillTint="3F"/>
    </w:tcPr>
    <w:tblStylePr w:type="firstRow">
      <w:rPr>
        <w:b/>
        <w:bCs/>
        <w:color w:val="000000" w:themeColor="text1"/>
      </w:rPr>
      <w:tblPr/>
      <w:tcPr>
        <w:shd w:val="clear" w:color="auto" w:fill="FFF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BED" w:themeFill="accent5" w:themeFillTint="33"/>
      </w:tcPr>
    </w:tblStylePr>
    <w:tblStylePr w:type="band1Vert">
      <w:tblPr/>
      <w:tcPr>
        <w:shd w:val="clear" w:color="auto" w:fill="FEF7D3" w:themeFill="accent5" w:themeFillTint="7F"/>
      </w:tcPr>
    </w:tblStylePr>
    <w:tblStylePr w:type="band1Horz">
      <w:tblPr/>
      <w:tcPr>
        <w:tcBorders>
          <w:insideH w:val="single" w:sz="6" w:space="0" w:color="FEF0A7" w:themeColor="accent5"/>
          <w:insideV w:val="single" w:sz="6" w:space="0" w:color="FEF0A7" w:themeColor="accent5"/>
        </w:tcBorders>
        <w:shd w:val="clear" w:color="auto" w:fill="FEF7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EF9D3" w:themeColor="accent6"/>
        <w:left w:val="single" w:sz="8" w:space="0" w:color="FEF9D3" w:themeColor="accent6"/>
        <w:bottom w:val="single" w:sz="8" w:space="0" w:color="FEF9D3" w:themeColor="accent6"/>
        <w:right w:val="single" w:sz="8" w:space="0" w:color="FEF9D3" w:themeColor="accent6"/>
        <w:insideH w:val="single" w:sz="8" w:space="0" w:color="FEF9D3" w:themeColor="accent6"/>
        <w:insideV w:val="single" w:sz="8" w:space="0" w:color="FEF9D3" w:themeColor="accent6"/>
      </w:tblBorders>
    </w:tblPr>
    <w:tcPr>
      <w:shd w:val="clear" w:color="auto" w:fill="FEFDF3" w:themeFill="accent6" w:themeFillTint="3F"/>
    </w:tcPr>
    <w:tblStylePr w:type="firstRow">
      <w:rPr>
        <w:b/>
        <w:bCs/>
        <w:color w:val="000000" w:themeColor="text1"/>
      </w:rPr>
      <w:tblPr/>
      <w:tcPr>
        <w:shd w:val="clear" w:color="auto" w:fill="FFFE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DF6" w:themeFill="accent6" w:themeFillTint="33"/>
      </w:tcPr>
    </w:tblStylePr>
    <w:tblStylePr w:type="band1Vert">
      <w:tblPr/>
      <w:tcPr>
        <w:shd w:val="clear" w:color="auto" w:fill="FEFBE8" w:themeFill="accent6" w:themeFillTint="7F"/>
      </w:tcPr>
    </w:tblStylePr>
    <w:tblStylePr w:type="band1Horz">
      <w:tblPr/>
      <w:tcPr>
        <w:tcBorders>
          <w:insideH w:val="single" w:sz="6" w:space="0" w:color="FEF9D3" w:themeColor="accent6"/>
          <w:insideV w:val="single" w:sz="6" w:space="0" w:color="FEF9D3" w:themeColor="accent6"/>
        </w:tcBorders>
        <w:shd w:val="clear" w:color="auto" w:fill="FEFBE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BE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BE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BE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BE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0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07B"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5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A2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A2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A2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A2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C9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C91"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7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12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12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12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12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F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F90"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6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DE7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DE7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DE7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DE7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E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EB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B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F0A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F0A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F0A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F0A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7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7D3"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D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F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F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F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F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BE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BE8"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F6BE00" w:themeColor="accent1"/>
        <w:bottom w:val="single" w:sz="8" w:space="0" w:color="F6BE00" w:themeColor="accent1"/>
      </w:tblBorders>
    </w:tblPr>
    <w:tblStylePr w:type="firstRow">
      <w:rPr>
        <w:rFonts w:asciiTheme="majorHAnsi" w:eastAsiaTheme="majorEastAsia" w:hAnsiTheme="majorHAnsi" w:cstheme="majorBidi"/>
      </w:rPr>
      <w:tblPr/>
      <w:tcPr>
        <w:tcBorders>
          <w:top w:val="nil"/>
          <w:bottom w:val="single" w:sz="8" w:space="0" w:color="F6BE00" w:themeColor="accent1"/>
        </w:tcBorders>
      </w:tcPr>
    </w:tblStylePr>
    <w:tblStylePr w:type="lastRow">
      <w:rPr>
        <w:b/>
        <w:bCs/>
        <w:color w:val="53565A" w:themeColor="text2"/>
      </w:rPr>
      <w:tblPr/>
      <w:tcPr>
        <w:tcBorders>
          <w:top w:val="single" w:sz="8" w:space="0" w:color="F6BE00" w:themeColor="accent1"/>
          <w:bottom w:val="single" w:sz="8" w:space="0" w:color="F6BE00" w:themeColor="accent1"/>
        </w:tcBorders>
      </w:tcPr>
    </w:tblStylePr>
    <w:tblStylePr w:type="firstCol">
      <w:rPr>
        <w:b/>
        <w:bCs/>
      </w:rPr>
    </w:tblStylePr>
    <w:tblStylePr w:type="lastCol">
      <w:rPr>
        <w:b/>
        <w:bCs/>
      </w:rPr>
      <w:tblPr/>
      <w:tcPr>
        <w:tcBorders>
          <w:top w:val="single" w:sz="8" w:space="0" w:color="F6BE00" w:themeColor="accent1"/>
          <w:bottom w:val="single" w:sz="8" w:space="0" w:color="F6BE00" w:themeColor="accent1"/>
        </w:tcBorders>
      </w:tcPr>
    </w:tblStylePr>
    <w:tblStylePr w:type="band1Vert">
      <w:tblPr/>
      <w:tcPr>
        <w:shd w:val="clear" w:color="auto" w:fill="FFEFBD" w:themeFill="accent1" w:themeFillTint="3F"/>
      </w:tcPr>
    </w:tblStylePr>
    <w:tblStylePr w:type="band1Horz">
      <w:tblPr/>
      <w:tcPr>
        <w:shd w:val="clear" w:color="auto" w:fill="FFEFBD"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FDDA24" w:themeColor="accent2"/>
        <w:bottom w:val="single" w:sz="8" w:space="0" w:color="FDDA24" w:themeColor="accent2"/>
      </w:tblBorders>
    </w:tblPr>
    <w:tblStylePr w:type="firstRow">
      <w:rPr>
        <w:rFonts w:asciiTheme="majorHAnsi" w:eastAsiaTheme="majorEastAsia" w:hAnsiTheme="majorHAnsi" w:cstheme="majorBidi"/>
      </w:rPr>
      <w:tblPr/>
      <w:tcPr>
        <w:tcBorders>
          <w:top w:val="nil"/>
          <w:bottom w:val="single" w:sz="8" w:space="0" w:color="FDDA24" w:themeColor="accent2"/>
        </w:tcBorders>
      </w:tcPr>
    </w:tblStylePr>
    <w:tblStylePr w:type="lastRow">
      <w:rPr>
        <w:b/>
        <w:bCs/>
        <w:color w:val="53565A" w:themeColor="text2"/>
      </w:rPr>
      <w:tblPr/>
      <w:tcPr>
        <w:tcBorders>
          <w:top w:val="single" w:sz="8" w:space="0" w:color="FDDA24" w:themeColor="accent2"/>
          <w:bottom w:val="single" w:sz="8" w:space="0" w:color="FDDA24" w:themeColor="accent2"/>
        </w:tcBorders>
      </w:tcPr>
    </w:tblStylePr>
    <w:tblStylePr w:type="firstCol">
      <w:rPr>
        <w:b/>
        <w:bCs/>
      </w:rPr>
    </w:tblStylePr>
    <w:tblStylePr w:type="lastCol">
      <w:rPr>
        <w:b/>
        <w:bCs/>
      </w:rPr>
      <w:tblPr/>
      <w:tcPr>
        <w:tcBorders>
          <w:top w:val="single" w:sz="8" w:space="0" w:color="FDDA24" w:themeColor="accent2"/>
          <w:bottom w:val="single" w:sz="8" w:space="0" w:color="FDDA24" w:themeColor="accent2"/>
        </w:tcBorders>
      </w:tcPr>
    </w:tblStylePr>
    <w:tblStylePr w:type="band1Vert">
      <w:tblPr/>
      <w:tcPr>
        <w:shd w:val="clear" w:color="auto" w:fill="FEF5C8" w:themeFill="accent2" w:themeFillTint="3F"/>
      </w:tcPr>
    </w:tblStylePr>
    <w:tblStylePr w:type="band1Horz">
      <w:tblPr/>
      <w:tcPr>
        <w:shd w:val="clear" w:color="auto" w:fill="FEF5C8"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FBE122" w:themeColor="accent3"/>
        <w:bottom w:val="single" w:sz="8" w:space="0" w:color="FBE122" w:themeColor="accent3"/>
      </w:tblBorders>
    </w:tblPr>
    <w:tblStylePr w:type="firstRow">
      <w:rPr>
        <w:rFonts w:asciiTheme="majorHAnsi" w:eastAsiaTheme="majorEastAsia" w:hAnsiTheme="majorHAnsi" w:cstheme="majorBidi"/>
      </w:rPr>
      <w:tblPr/>
      <w:tcPr>
        <w:tcBorders>
          <w:top w:val="nil"/>
          <w:bottom w:val="single" w:sz="8" w:space="0" w:color="FBE122" w:themeColor="accent3"/>
        </w:tcBorders>
      </w:tcPr>
    </w:tblStylePr>
    <w:tblStylePr w:type="lastRow">
      <w:rPr>
        <w:b/>
        <w:bCs/>
        <w:color w:val="53565A" w:themeColor="text2"/>
      </w:rPr>
      <w:tblPr/>
      <w:tcPr>
        <w:tcBorders>
          <w:top w:val="single" w:sz="8" w:space="0" w:color="FBE122" w:themeColor="accent3"/>
          <w:bottom w:val="single" w:sz="8" w:space="0" w:color="FBE122" w:themeColor="accent3"/>
        </w:tcBorders>
      </w:tcPr>
    </w:tblStylePr>
    <w:tblStylePr w:type="firstCol">
      <w:rPr>
        <w:b/>
        <w:bCs/>
      </w:rPr>
    </w:tblStylePr>
    <w:tblStylePr w:type="lastCol">
      <w:rPr>
        <w:b/>
        <w:bCs/>
      </w:rPr>
      <w:tblPr/>
      <w:tcPr>
        <w:tcBorders>
          <w:top w:val="single" w:sz="8" w:space="0" w:color="FBE122" w:themeColor="accent3"/>
          <w:bottom w:val="single" w:sz="8" w:space="0" w:color="FBE122" w:themeColor="accent3"/>
        </w:tcBorders>
      </w:tcPr>
    </w:tblStylePr>
    <w:tblStylePr w:type="band1Vert">
      <w:tblPr/>
      <w:tcPr>
        <w:shd w:val="clear" w:color="auto" w:fill="FEF7C8" w:themeFill="accent3" w:themeFillTint="3F"/>
      </w:tcPr>
    </w:tblStylePr>
    <w:tblStylePr w:type="band1Horz">
      <w:tblPr/>
      <w:tcPr>
        <w:shd w:val="clear" w:color="auto" w:fill="FEF7C8"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FADE7F" w:themeColor="accent4"/>
        <w:bottom w:val="single" w:sz="8" w:space="0" w:color="FADE7F" w:themeColor="accent4"/>
      </w:tblBorders>
    </w:tblPr>
    <w:tblStylePr w:type="firstRow">
      <w:rPr>
        <w:rFonts w:asciiTheme="majorHAnsi" w:eastAsiaTheme="majorEastAsia" w:hAnsiTheme="majorHAnsi" w:cstheme="majorBidi"/>
      </w:rPr>
      <w:tblPr/>
      <w:tcPr>
        <w:tcBorders>
          <w:top w:val="nil"/>
          <w:bottom w:val="single" w:sz="8" w:space="0" w:color="FADE7F" w:themeColor="accent4"/>
        </w:tcBorders>
      </w:tcPr>
    </w:tblStylePr>
    <w:tblStylePr w:type="lastRow">
      <w:rPr>
        <w:b/>
        <w:bCs/>
        <w:color w:val="53565A" w:themeColor="text2"/>
      </w:rPr>
      <w:tblPr/>
      <w:tcPr>
        <w:tcBorders>
          <w:top w:val="single" w:sz="8" w:space="0" w:color="FADE7F" w:themeColor="accent4"/>
          <w:bottom w:val="single" w:sz="8" w:space="0" w:color="FADE7F" w:themeColor="accent4"/>
        </w:tcBorders>
      </w:tcPr>
    </w:tblStylePr>
    <w:tblStylePr w:type="firstCol">
      <w:rPr>
        <w:b/>
        <w:bCs/>
      </w:rPr>
    </w:tblStylePr>
    <w:tblStylePr w:type="lastCol">
      <w:rPr>
        <w:b/>
        <w:bCs/>
      </w:rPr>
      <w:tblPr/>
      <w:tcPr>
        <w:tcBorders>
          <w:top w:val="single" w:sz="8" w:space="0" w:color="FADE7F" w:themeColor="accent4"/>
          <w:bottom w:val="single" w:sz="8" w:space="0" w:color="FADE7F" w:themeColor="accent4"/>
        </w:tcBorders>
      </w:tcPr>
    </w:tblStylePr>
    <w:tblStylePr w:type="band1Vert">
      <w:tblPr/>
      <w:tcPr>
        <w:shd w:val="clear" w:color="auto" w:fill="FDF6DF" w:themeFill="accent4" w:themeFillTint="3F"/>
      </w:tcPr>
    </w:tblStylePr>
    <w:tblStylePr w:type="band1Horz">
      <w:tblPr/>
      <w:tcPr>
        <w:shd w:val="clear" w:color="auto" w:fill="FDF6D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FEF0A7" w:themeColor="accent5"/>
        <w:bottom w:val="single" w:sz="8" w:space="0" w:color="FEF0A7" w:themeColor="accent5"/>
      </w:tblBorders>
    </w:tblPr>
    <w:tblStylePr w:type="firstRow">
      <w:rPr>
        <w:rFonts w:asciiTheme="majorHAnsi" w:eastAsiaTheme="majorEastAsia" w:hAnsiTheme="majorHAnsi" w:cstheme="majorBidi"/>
      </w:rPr>
      <w:tblPr/>
      <w:tcPr>
        <w:tcBorders>
          <w:top w:val="nil"/>
          <w:bottom w:val="single" w:sz="8" w:space="0" w:color="FEF0A7" w:themeColor="accent5"/>
        </w:tcBorders>
      </w:tcPr>
    </w:tblStylePr>
    <w:tblStylePr w:type="lastRow">
      <w:rPr>
        <w:b/>
        <w:bCs/>
        <w:color w:val="53565A" w:themeColor="text2"/>
      </w:rPr>
      <w:tblPr/>
      <w:tcPr>
        <w:tcBorders>
          <w:top w:val="single" w:sz="8" w:space="0" w:color="FEF0A7" w:themeColor="accent5"/>
          <w:bottom w:val="single" w:sz="8" w:space="0" w:color="FEF0A7" w:themeColor="accent5"/>
        </w:tcBorders>
      </w:tcPr>
    </w:tblStylePr>
    <w:tblStylePr w:type="firstCol">
      <w:rPr>
        <w:b/>
        <w:bCs/>
      </w:rPr>
    </w:tblStylePr>
    <w:tblStylePr w:type="lastCol">
      <w:rPr>
        <w:b/>
        <w:bCs/>
      </w:rPr>
      <w:tblPr/>
      <w:tcPr>
        <w:tcBorders>
          <w:top w:val="single" w:sz="8" w:space="0" w:color="FEF0A7" w:themeColor="accent5"/>
          <w:bottom w:val="single" w:sz="8" w:space="0" w:color="FEF0A7" w:themeColor="accent5"/>
        </w:tcBorders>
      </w:tcPr>
    </w:tblStylePr>
    <w:tblStylePr w:type="band1Vert">
      <w:tblPr/>
      <w:tcPr>
        <w:shd w:val="clear" w:color="auto" w:fill="FEFBE9" w:themeFill="accent5" w:themeFillTint="3F"/>
      </w:tcPr>
    </w:tblStylePr>
    <w:tblStylePr w:type="band1Horz">
      <w:tblPr/>
      <w:tcPr>
        <w:shd w:val="clear" w:color="auto" w:fill="FEFBE9"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FEF9D3" w:themeColor="accent6"/>
        <w:bottom w:val="single" w:sz="8" w:space="0" w:color="FEF9D3" w:themeColor="accent6"/>
      </w:tblBorders>
    </w:tblPr>
    <w:tblStylePr w:type="firstRow">
      <w:rPr>
        <w:rFonts w:asciiTheme="majorHAnsi" w:eastAsiaTheme="majorEastAsia" w:hAnsiTheme="majorHAnsi" w:cstheme="majorBidi"/>
      </w:rPr>
      <w:tblPr/>
      <w:tcPr>
        <w:tcBorders>
          <w:top w:val="nil"/>
          <w:bottom w:val="single" w:sz="8" w:space="0" w:color="FEF9D3" w:themeColor="accent6"/>
        </w:tcBorders>
      </w:tcPr>
    </w:tblStylePr>
    <w:tblStylePr w:type="lastRow">
      <w:rPr>
        <w:b/>
        <w:bCs/>
        <w:color w:val="53565A" w:themeColor="text2"/>
      </w:rPr>
      <w:tblPr/>
      <w:tcPr>
        <w:tcBorders>
          <w:top w:val="single" w:sz="8" w:space="0" w:color="FEF9D3" w:themeColor="accent6"/>
          <w:bottom w:val="single" w:sz="8" w:space="0" w:color="FEF9D3" w:themeColor="accent6"/>
        </w:tcBorders>
      </w:tcPr>
    </w:tblStylePr>
    <w:tblStylePr w:type="firstCol">
      <w:rPr>
        <w:b/>
        <w:bCs/>
      </w:rPr>
    </w:tblStylePr>
    <w:tblStylePr w:type="lastCol">
      <w:rPr>
        <w:b/>
        <w:bCs/>
      </w:rPr>
      <w:tblPr/>
      <w:tcPr>
        <w:tcBorders>
          <w:top w:val="single" w:sz="8" w:space="0" w:color="FEF9D3" w:themeColor="accent6"/>
          <w:bottom w:val="single" w:sz="8" w:space="0" w:color="FEF9D3" w:themeColor="accent6"/>
        </w:tcBorders>
      </w:tcPr>
    </w:tblStylePr>
    <w:tblStylePr w:type="band1Vert">
      <w:tblPr/>
      <w:tcPr>
        <w:shd w:val="clear" w:color="auto" w:fill="FEFDF3" w:themeFill="accent6" w:themeFillTint="3F"/>
      </w:tcPr>
    </w:tblStylePr>
    <w:tblStylePr w:type="band1Horz">
      <w:tblPr/>
      <w:tcPr>
        <w:shd w:val="clear" w:color="auto" w:fill="FEFDF3"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tblBorders>
    </w:tblPr>
    <w:tblStylePr w:type="firstRow">
      <w:rPr>
        <w:sz w:val="24"/>
        <w:szCs w:val="24"/>
      </w:rPr>
      <w:tblPr/>
      <w:tcPr>
        <w:tcBorders>
          <w:top w:val="nil"/>
          <w:left w:val="nil"/>
          <w:bottom w:val="single" w:sz="24" w:space="0" w:color="F6BE00" w:themeColor="accent1"/>
          <w:right w:val="nil"/>
          <w:insideH w:val="nil"/>
          <w:insideV w:val="nil"/>
        </w:tcBorders>
        <w:shd w:val="clear" w:color="auto" w:fill="FFFFFF" w:themeFill="background1"/>
      </w:tcPr>
    </w:tblStylePr>
    <w:tblStylePr w:type="lastRow">
      <w:tblPr/>
      <w:tcPr>
        <w:tcBorders>
          <w:top w:val="single" w:sz="8" w:space="0" w:color="F6BE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BE00" w:themeColor="accent1"/>
          <w:insideH w:val="nil"/>
          <w:insideV w:val="nil"/>
        </w:tcBorders>
        <w:shd w:val="clear" w:color="auto" w:fill="FFFFFF" w:themeFill="background1"/>
      </w:tcPr>
    </w:tblStylePr>
    <w:tblStylePr w:type="lastCol">
      <w:tblPr/>
      <w:tcPr>
        <w:tcBorders>
          <w:top w:val="nil"/>
          <w:left w:val="single" w:sz="8" w:space="0" w:color="F6BE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D" w:themeFill="accent1" w:themeFillTint="3F"/>
      </w:tcPr>
    </w:tblStylePr>
    <w:tblStylePr w:type="band1Horz">
      <w:tblPr/>
      <w:tcPr>
        <w:tcBorders>
          <w:top w:val="nil"/>
          <w:bottom w:val="nil"/>
          <w:insideH w:val="nil"/>
          <w:insideV w:val="nil"/>
        </w:tcBorders>
        <w:shd w:val="clear" w:color="auto" w:fill="FFEF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DDA24" w:themeColor="accent2"/>
        <w:left w:val="single" w:sz="8" w:space="0" w:color="FDDA24" w:themeColor="accent2"/>
        <w:bottom w:val="single" w:sz="8" w:space="0" w:color="FDDA24" w:themeColor="accent2"/>
        <w:right w:val="single" w:sz="8" w:space="0" w:color="FDDA24" w:themeColor="accent2"/>
      </w:tblBorders>
    </w:tblPr>
    <w:tblStylePr w:type="firstRow">
      <w:rPr>
        <w:sz w:val="24"/>
        <w:szCs w:val="24"/>
      </w:rPr>
      <w:tblPr/>
      <w:tcPr>
        <w:tcBorders>
          <w:top w:val="nil"/>
          <w:left w:val="nil"/>
          <w:bottom w:val="single" w:sz="24" w:space="0" w:color="FDDA24" w:themeColor="accent2"/>
          <w:right w:val="nil"/>
          <w:insideH w:val="nil"/>
          <w:insideV w:val="nil"/>
        </w:tcBorders>
        <w:shd w:val="clear" w:color="auto" w:fill="FFFFFF" w:themeFill="background1"/>
      </w:tcPr>
    </w:tblStylePr>
    <w:tblStylePr w:type="lastRow">
      <w:tblPr/>
      <w:tcPr>
        <w:tcBorders>
          <w:top w:val="single" w:sz="8" w:space="0" w:color="FDDA2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A24" w:themeColor="accent2"/>
          <w:insideH w:val="nil"/>
          <w:insideV w:val="nil"/>
        </w:tcBorders>
        <w:shd w:val="clear" w:color="auto" w:fill="FFFFFF" w:themeFill="background1"/>
      </w:tcPr>
    </w:tblStylePr>
    <w:tblStylePr w:type="lastCol">
      <w:tblPr/>
      <w:tcPr>
        <w:tcBorders>
          <w:top w:val="nil"/>
          <w:left w:val="single" w:sz="8" w:space="0" w:color="FDDA2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5C8" w:themeFill="accent2" w:themeFillTint="3F"/>
      </w:tcPr>
    </w:tblStylePr>
    <w:tblStylePr w:type="band1Horz">
      <w:tblPr/>
      <w:tcPr>
        <w:tcBorders>
          <w:top w:val="nil"/>
          <w:bottom w:val="nil"/>
          <w:insideH w:val="nil"/>
          <w:insideV w:val="nil"/>
        </w:tcBorders>
        <w:shd w:val="clear" w:color="auto" w:fill="FEF5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BE122" w:themeColor="accent3"/>
        <w:left w:val="single" w:sz="8" w:space="0" w:color="FBE122" w:themeColor="accent3"/>
        <w:bottom w:val="single" w:sz="8" w:space="0" w:color="FBE122" w:themeColor="accent3"/>
        <w:right w:val="single" w:sz="8" w:space="0" w:color="FBE122" w:themeColor="accent3"/>
      </w:tblBorders>
    </w:tblPr>
    <w:tblStylePr w:type="firstRow">
      <w:rPr>
        <w:sz w:val="24"/>
        <w:szCs w:val="24"/>
      </w:rPr>
      <w:tblPr/>
      <w:tcPr>
        <w:tcBorders>
          <w:top w:val="nil"/>
          <w:left w:val="nil"/>
          <w:bottom w:val="single" w:sz="24" w:space="0" w:color="FBE122" w:themeColor="accent3"/>
          <w:right w:val="nil"/>
          <w:insideH w:val="nil"/>
          <w:insideV w:val="nil"/>
        </w:tcBorders>
        <w:shd w:val="clear" w:color="auto" w:fill="FFFFFF" w:themeFill="background1"/>
      </w:tcPr>
    </w:tblStylePr>
    <w:tblStylePr w:type="lastRow">
      <w:tblPr/>
      <w:tcPr>
        <w:tcBorders>
          <w:top w:val="single" w:sz="8" w:space="0" w:color="FBE12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122" w:themeColor="accent3"/>
          <w:insideH w:val="nil"/>
          <w:insideV w:val="nil"/>
        </w:tcBorders>
        <w:shd w:val="clear" w:color="auto" w:fill="FFFFFF" w:themeFill="background1"/>
      </w:tcPr>
    </w:tblStylePr>
    <w:tblStylePr w:type="lastCol">
      <w:tblPr/>
      <w:tcPr>
        <w:tcBorders>
          <w:top w:val="nil"/>
          <w:left w:val="single" w:sz="8" w:space="0" w:color="FBE1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7C8" w:themeFill="accent3" w:themeFillTint="3F"/>
      </w:tcPr>
    </w:tblStylePr>
    <w:tblStylePr w:type="band1Horz">
      <w:tblPr/>
      <w:tcPr>
        <w:tcBorders>
          <w:top w:val="nil"/>
          <w:bottom w:val="nil"/>
          <w:insideH w:val="nil"/>
          <w:insideV w:val="nil"/>
        </w:tcBorders>
        <w:shd w:val="clear" w:color="auto" w:fill="FEF7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tblBorders>
    </w:tblPr>
    <w:tblStylePr w:type="firstRow">
      <w:rPr>
        <w:sz w:val="24"/>
        <w:szCs w:val="24"/>
      </w:rPr>
      <w:tblPr/>
      <w:tcPr>
        <w:tcBorders>
          <w:top w:val="nil"/>
          <w:left w:val="nil"/>
          <w:bottom w:val="single" w:sz="24" w:space="0" w:color="FADE7F" w:themeColor="accent4"/>
          <w:right w:val="nil"/>
          <w:insideH w:val="nil"/>
          <w:insideV w:val="nil"/>
        </w:tcBorders>
        <w:shd w:val="clear" w:color="auto" w:fill="FFFFFF" w:themeFill="background1"/>
      </w:tcPr>
    </w:tblStylePr>
    <w:tblStylePr w:type="lastRow">
      <w:tblPr/>
      <w:tcPr>
        <w:tcBorders>
          <w:top w:val="single" w:sz="8" w:space="0" w:color="FADE7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DE7F" w:themeColor="accent4"/>
          <w:insideH w:val="nil"/>
          <w:insideV w:val="nil"/>
        </w:tcBorders>
        <w:shd w:val="clear" w:color="auto" w:fill="FFFFFF" w:themeFill="background1"/>
      </w:tcPr>
    </w:tblStylePr>
    <w:tblStylePr w:type="lastCol">
      <w:tblPr/>
      <w:tcPr>
        <w:tcBorders>
          <w:top w:val="nil"/>
          <w:left w:val="single" w:sz="8" w:space="0" w:color="FADE7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6DF" w:themeFill="accent4" w:themeFillTint="3F"/>
      </w:tcPr>
    </w:tblStylePr>
    <w:tblStylePr w:type="band1Horz">
      <w:tblPr/>
      <w:tcPr>
        <w:tcBorders>
          <w:top w:val="nil"/>
          <w:bottom w:val="nil"/>
          <w:insideH w:val="nil"/>
          <w:insideV w:val="nil"/>
        </w:tcBorders>
        <w:shd w:val="clear" w:color="auto" w:fill="FDF6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EF0A7" w:themeColor="accent5"/>
        <w:left w:val="single" w:sz="8" w:space="0" w:color="FEF0A7" w:themeColor="accent5"/>
        <w:bottom w:val="single" w:sz="8" w:space="0" w:color="FEF0A7" w:themeColor="accent5"/>
        <w:right w:val="single" w:sz="8" w:space="0" w:color="FEF0A7" w:themeColor="accent5"/>
      </w:tblBorders>
    </w:tblPr>
    <w:tblStylePr w:type="firstRow">
      <w:rPr>
        <w:sz w:val="24"/>
        <w:szCs w:val="24"/>
      </w:rPr>
      <w:tblPr/>
      <w:tcPr>
        <w:tcBorders>
          <w:top w:val="nil"/>
          <w:left w:val="nil"/>
          <w:bottom w:val="single" w:sz="24" w:space="0" w:color="FEF0A7" w:themeColor="accent5"/>
          <w:right w:val="nil"/>
          <w:insideH w:val="nil"/>
          <w:insideV w:val="nil"/>
        </w:tcBorders>
        <w:shd w:val="clear" w:color="auto" w:fill="FFFFFF" w:themeFill="background1"/>
      </w:tcPr>
    </w:tblStylePr>
    <w:tblStylePr w:type="lastRow">
      <w:tblPr/>
      <w:tcPr>
        <w:tcBorders>
          <w:top w:val="single" w:sz="8" w:space="0" w:color="FEF0A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F0A7" w:themeColor="accent5"/>
          <w:insideH w:val="nil"/>
          <w:insideV w:val="nil"/>
        </w:tcBorders>
        <w:shd w:val="clear" w:color="auto" w:fill="FFFFFF" w:themeFill="background1"/>
      </w:tcPr>
    </w:tblStylePr>
    <w:tblStylePr w:type="lastCol">
      <w:tblPr/>
      <w:tcPr>
        <w:tcBorders>
          <w:top w:val="nil"/>
          <w:left w:val="single" w:sz="8" w:space="0" w:color="FEF0A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BE9" w:themeFill="accent5" w:themeFillTint="3F"/>
      </w:tcPr>
    </w:tblStylePr>
    <w:tblStylePr w:type="band1Horz">
      <w:tblPr/>
      <w:tcPr>
        <w:tcBorders>
          <w:top w:val="nil"/>
          <w:bottom w:val="nil"/>
          <w:insideH w:val="nil"/>
          <w:insideV w:val="nil"/>
        </w:tcBorders>
        <w:shd w:val="clear" w:color="auto" w:fill="FEFB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EF9D3" w:themeColor="accent6"/>
        <w:left w:val="single" w:sz="8" w:space="0" w:color="FEF9D3" w:themeColor="accent6"/>
        <w:bottom w:val="single" w:sz="8" w:space="0" w:color="FEF9D3" w:themeColor="accent6"/>
        <w:right w:val="single" w:sz="8" w:space="0" w:color="FEF9D3" w:themeColor="accent6"/>
      </w:tblBorders>
    </w:tblPr>
    <w:tblStylePr w:type="firstRow">
      <w:rPr>
        <w:sz w:val="24"/>
        <w:szCs w:val="24"/>
      </w:rPr>
      <w:tblPr/>
      <w:tcPr>
        <w:tcBorders>
          <w:top w:val="nil"/>
          <w:left w:val="nil"/>
          <w:bottom w:val="single" w:sz="24" w:space="0" w:color="FEF9D3" w:themeColor="accent6"/>
          <w:right w:val="nil"/>
          <w:insideH w:val="nil"/>
          <w:insideV w:val="nil"/>
        </w:tcBorders>
        <w:shd w:val="clear" w:color="auto" w:fill="FFFFFF" w:themeFill="background1"/>
      </w:tcPr>
    </w:tblStylePr>
    <w:tblStylePr w:type="lastRow">
      <w:tblPr/>
      <w:tcPr>
        <w:tcBorders>
          <w:top w:val="single" w:sz="8" w:space="0" w:color="FEF9D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F9D3" w:themeColor="accent6"/>
          <w:insideH w:val="nil"/>
          <w:insideV w:val="nil"/>
        </w:tcBorders>
        <w:shd w:val="clear" w:color="auto" w:fill="FFFFFF" w:themeFill="background1"/>
      </w:tcPr>
    </w:tblStylePr>
    <w:tblStylePr w:type="lastCol">
      <w:tblPr/>
      <w:tcPr>
        <w:tcBorders>
          <w:top w:val="nil"/>
          <w:left w:val="single" w:sz="8" w:space="0" w:color="FEF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DF3" w:themeFill="accent6" w:themeFillTint="3F"/>
      </w:tcPr>
    </w:tblStylePr>
    <w:tblStylePr w:type="band1Horz">
      <w:tblPr/>
      <w:tcPr>
        <w:tcBorders>
          <w:top w:val="nil"/>
          <w:bottom w:val="nil"/>
          <w:insideH w:val="nil"/>
          <w:insideV w:val="nil"/>
        </w:tcBorders>
        <w:shd w:val="clear" w:color="auto" w:fill="FEFD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FFD139" w:themeColor="accent1" w:themeTint="BF"/>
        <w:left w:val="single" w:sz="8" w:space="0" w:color="FFD139" w:themeColor="accent1" w:themeTint="BF"/>
        <w:bottom w:val="single" w:sz="8" w:space="0" w:color="FFD139" w:themeColor="accent1" w:themeTint="BF"/>
        <w:right w:val="single" w:sz="8" w:space="0" w:color="FFD139" w:themeColor="accent1" w:themeTint="BF"/>
        <w:insideH w:val="single" w:sz="8" w:space="0" w:color="FFD139" w:themeColor="accent1" w:themeTint="BF"/>
      </w:tblBorders>
    </w:tblPr>
    <w:tblStylePr w:type="firstRow">
      <w:pPr>
        <w:spacing w:before="0" w:after="0" w:line="240" w:lineRule="auto"/>
      </w:pPr>
      <w:rPr>
        <w:b/>
        <w:bCs/>
        <w:color w:val="FFFFFF" w:themeColor="background1"/>
      </w:rPr>
      <w:tblPr/>
      <w:tcPr>
        <w:tcBorders>
          <w:top w:val="single" w:sz="8" w:space="0" w:color="FFD139" w:themeColor="accent1" w:themeTint="BF"/>
          <w:left w:val="single" w:sz="8" w:space="0" w:color="FFD139" w:themeColor="accent1" w:themeTint="BF"/>
          <w:bottom w:val="single" w:sz="8" w:space="0" w:color="FFD139" w:themeColor="accent1" w:themeTint="BF"/>
          <w:right w:val="single" w:sz="8" w:space="0" w:color="FFD139" w:themeColor="accent1" w:themeTint="BF"/>
          <w:insideH w:val="nil"/>
          <w:insideV w:val="nil"/>
        </w:tcBorders>
        <w:shd w:val="clear" w:color="auto" w:fill="F6BE00" w:themeFill="accent1"/>
      </w:tcPr>
    </w:tblStylePr>
    <w:tblStylePr w:type="lastRow">
      <w:pPr>
        <w:spacing w:before="0" w:after="0" w:line="240" w:lineRule="auto"/>
      </w:pPr>
      <w:rPr>
        <w:b/>
        <w:bCs/>
      </w:rPr>
      <w:tblPr/>
      <w:tcPr>
        <w:tcBorders>
          <w:top w:val="double" w:sz="6" w:space="0" w:color="FFD139" w:themeColor="accent1" w:themeTint="BF"/>
          <w:left w:val="single" w:sz="8" w:space="0" w:color="FFD139" w:themeColor="accent1" w:themeTint="BF"/>
          <w:bottom w:val="single" w:sz="8" w:space="0" w:color="FFD139" w:themeColor="accent1" w:themeTint="BF"/>
          <w:right w:val="single" w:sz="8" w:space="0" w:color="FFD13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FBD" w:themeFill="accent1" w:themeFillTint="3F"/>
      </w:tcPr>
    </w:tblStylePr>
    <w:tblStylePr w:type="band1Horz">
      <w:tblPr/>
      <w:tcPr>
        <w:tcBorders>
          <w:insideH w:val="nil"/>
          <w:insideV w:val="nil"/>
        </w:tcBorders>
        <w:shd w:val="clear" w:color="auto" w:fill="FFEF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FDE25A" w:themeColor="accent2" w:themeTint="BF"/>
        <w:left w:val="single" w:sz="8" w:space="0" w:color="FDE25A" w:themeColor="accent2" w:themeTint="BF"/>
        <w:bottom w:val="single" w:sz="8" w:space="0" w:color="FDE25A" w:themeColor="accent2" w:themeTint="BF"/>
        <w:right w:val="single" w:sz="8" w:space="0" w:color="FDE25A" w:themeColor="accent2" w:themeTint="BF"/>
        <w:insideH w:val="single" w:sz="8" w:space="0" w:color="FDE25A" w:themeColor="accent2" w:themeTint="BF"/>
      </w:tblBorders>
    </w:tblPr>
    <w:tblStylePr w:type="firstRow">
      <w:pPr>
        <w:spacing w:before="0" w:after="0" w:line="240" w:lineRule="auto"/>
      </w:pPr>
      <w:rPr>
        <w:b/>
        <w:bCs/>
        <w:color w:val="FFFFFF" w:themeColor="background1"/>
      </w:rPr>
      <w:tblPr/>
      <w:tcPr>
        <w:tcBorders>
          <w:top w:val="single" w:sz="8" w:space="0" w:color="FDE25A" w:themeColor="accent2" w:themeTint="BF"/>
          <w:left w:val="single" w:sz="8" w:space="0" w:color="FDE25A" w:themeColor="accent2" w:themeTint="BF"/>
          <w:bottom w:val="single" w:sz="8" w:space="0" w:color="FDE25A" w:themeColor="accent2" w:themeTint="BF"/>
          <w:right w:val="single" w:sz="8" w:space="0" w:color="FDE25A" w:themeColor="accent2" w:themeTint="BF"/>
          <w:insideH w:val="nil"/>
          <w:insideV w:val="nil"/>
        </w:tcBorders>
        <w:shd w:val="clear" w:color="auto" w:fill="FDDA24" w:themeFill="accent2"/>
      </w:tcPr>
    </w:tblStylePr>
    <w:tblStylePr w:type="lastRow">
      <w:pPr>
        <w:spacing w:before="0" w:after="0" w:line="240" w:lineRule="auto"/>
      </w:pPr>
      <w:rPr>
        <w:b/>
        <w:bCs/>
      </w:rPr>
      <w:tblPr/>
      <w:tcPr>
        <w:tcBorders>
          <w:top w:val="double" w:sz="6" w:space="0" w:color="FDE25A" w:themeColor="accent2" w:themeTint="BF"/>
          <w:left w:val="single" w:sz="8" w:space="0" w:color="FDE25A" w:themeColor="accent2" w:themeTint="BF"/>
          <w:bottom w:val="single" w:sz="8" w:space="0" w:color="FDE25A" w:themeColor="accent2" w:themeTint="BF"/>
          <w:right w:val="single" w:sz="8" w:space="0" w:color="FDE25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F5C8" w:themeFill="accent2" w:themeFillTint="3F"/>
      </w:tcPr>
    </w:tblStylePr>
    <w:tblStylePr w:type="band1Horz">
      <w:tblPr/>
      <w:tcPr>
        <w:tcBorders>
          <w:insideH w:val="nil"/>
          <w:insideV w:val="nil"/>
        </w:tcBorders>
        <w:shd w:val="clear" w:color="auto" w:fill="FEF5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FCE859" w:themeColor="accent3" w:themeTint="BF"/>
        <w:left w:val="single" w:sz="8" w:space="0" w:color="FCE859" w:themeColor="accent3" w:themeTint="BF"/>
        <w:bottom w:val="single" w:sz="8" w:space="0" w:color="FCE859" w:themeColor="accent3" w:themeTint="BF"/>
        <w:right w:val="single" w:sz="8" w:space="0" w:color="FCE859" w:themeColor="accent3" w:themeTint="BF"/>
        <w:insideH w:val="single" w:sz="8" w:space="0" w:color="FCE859" w:themeColor="accent3" w:themeTint="BF"/>
      </w:tblBorders>
    </w:tblPr>
    <w:tblStylePr w:type="firstRow">
      <w:pPr>
        <w:spacing w:before="0" w:after="0" w:line="240" w:lineRule="auto"/>
      </w:pPr>
      <w:rPr>
        <w:b/>
        <w:bCs/>
        <w:color w:val="FFFFFF" w:themeColor="background1"/>
      </w:rPr>
      <w:tblPr/>
      <w:tcPr>
        <w:tcBorders>
          <w:top w:val="single" w:sz="8" w:space="0" w:color="FCE859" w:themeColor="accent3" w:themeTint="BF"/>
          <w:left w:val="single" w:sz="8" w:space="0" w:color="FCE859" w:themeColor="accent3" w:themeTint="BF"/>
          <w:bottom w:val="single" w:sz="8" w:space="0" w:color="FCE859" w:themeColor="accent3" w:themeTint="BF"/>
          <w:right w:val="single" w:sz="8" w:space="0" w:color="FCE859" w:themeColor="accent3" w:themeTint="BF"/>
          <w:insideH w:val="nil"/>
          <w:insideV w:val="nil"/>
        </w:tcBorders>
        <w:shd w:val="clear" w:color="auto" w:fill="FBE122" w:themeFill="accent3"/>
      </w:tcPr>
    </w:tblStylePr>
    <w:tblStylePr w:type="lastRow">
      <w:pPr>
        <w:spacing w:before="0" w:after="0" w:line="240" w:lineRule="auto"/>
      </w:pPr>
      <w:rPr>
        <w:b/>
        <w:bCs/>
      </w:rPr>
      <w:tblPr/>
      <w:tcPr>
        <w:tcBorders>
          <w:top w:val="double" w:sz="6" w:space="0" w:color="FCE859" w:themeColor="accent3" w:themeTint="BF"/>
          <w:left w:val="single" w:sz="8" w:space="0" w:color="FCE859" w:themeColor="accent3" w:themeTint="BF"/>
          <w:bottom w:val="single" w:sz="8" w:space="0" w:color="FCE859" w:themeColor="accent3" w:themeTint="BF"/>
          <w:right w:val="single" w:sz="8" w:space="0" w:color="FCE8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F7C8" w:themeFill="accent3" w:themeFillTint="3F"/>
      </w:tcPr>
    </w:tblStylePr>
    <w:tblStylePr w:type="band1Horz">
      <w:tblPr/>
      <w:tcPr>
        <w:tcBorders>
          <w:insideH w:val="nil"/>
          <w:insideV w:val="nil"/>
        </w:tcBorders>
        <w:shd w:val="clear" w:color="auto" w:fill="FEF7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FBE59F" w:themeColor="accent4" w:themeTint="BF"/>
        <w:left w:val="single" w:sz="8" w:space="0" w:color="FBE59F" w:themeColor="accent4" w:themeTint="BF"/>
        <w:bottom w:val="single" w:sz="8" w:space="0" w:color="FBE59F" w:themeColor="accent4" w:themeTint="BF"/>
        <w:right w:val="single" w:sz="8" w:space="0" w:color="FBE59F" w:themeColor="accent4" w:themeTint="BF"/>
        <w:insideH w:val="single" w:sz="8" w:space="0" w:color="FBE59F" w:themeColor="accent4" w:themeTint="BF"/>
      </w:tblBorders>
    </w:tblPr>
    <w:tblStylePr w:type="firstRow">
      <w:pPr>
        <w:spacing w:before="0" w:after="0" w:line="240" w:lineRule="auto"/>
      </w:pPr>
      <w:rPr>
        <w:b/>
        <w:bCs/>
        <w:color w:val="FFFFFF" w:themeColor="background1"/>
      </w:rPr>
      <w:tblPr/>
      <w:tcPr>
        <w:tcBorders>
          <w:top w:val="single" w:sz="8" w:space="0" w:color="FBE59F" w:themeColor="accent4" w:themeTint="BF"/>
          <w:left w:val="single" w:sz="8" w:space="0" w:color="FBE59F" w:themeColor="accent4" w:themeTint="BF"/>
          <w:bottom w:val="single" w:sz="8" w:space="0" w:color="FBE59F" w:themeColor="accent4" w:themeTint="BF"/>
          <w:right w:val="single" w:sz="8" w:space="0" w:color="FBE59F" w:themeColor="accent4" w:themeTint="BF"/>
          <w:insideH w:val="nil"/>
          <w:insideV w:val="nil"/>
        </w:tcBorders>
        <w:shd w:val="clear" w:color="auto" w:fill="FADE7F" w:themeFill="accent4"/>
      </w:tcPr>
    </w:tblStylePr>
    <w:tblStylePr w:type="lastRow">
      <w:pPr>
        <w:spacing w:before="0" w:after="0" w:line="240" w:lineRule="auto"/>
      </w:pPr>
      <w:rPr>
        <w:b/>
        <w:bCs/>
      </w:rPr>
      <w:tblPr/>
      <w:tcPr>
        <w:tcBorders>
          <w:top w:val="double" w:sz="6" w:space="0" w:color="FBE59F" w:themeColor="accent4" w:themeTint="BF"/>
          <w:left w:val="single" w:sz="8" w:space="0" w:color="FBE59F" w:themeColor="accent4" w:themeTint="BF"/>
          <w:bottom w:val="single" w:sz="8" w:space="0" w:color="FBE59F" w:themeColor="accent4" w:themeTint="BF"/>
          <w:right w:val="single" w:sz="8" w:space="0" w:color="FBE5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F6DF" w:themeFill="accent4" w:themeFillTint="3F"/>
      </w:tcPr>
    </w:tblStylePr>
    <w:tblStylePr w:type="band1Horz">
      <w:tblPr/>
      <w:tcPr>
        <w:tcBorders>
          <w:insideH w:val="nil"/>
          <w:insideV w:val="nil"/>
        </w:tcBorders>
        <w:shd w:val="clear" w:color="auto" w:fill="FDF6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FEF3BD" w:themeColor="accent5" w:themeTint="BF"/>
        <w:left w:val="single" w:sz="8" w:space="0" w:color="FEF3BD" w:themeColor="accent5" w:themeTint="BF"/>
        <w:bottom w:val="single" w:sz="8" w:space="0" w:color="FEF3BD" w:themeColor="accent5" w:themeTint="BF"/>
        <w:right w:val="single" w:sz="8" w:space="0" w:color="FEF3BD" w:themeColor="accent5" w:themeTint="BF"/>
        <w:insideH w:val="single" w:sz="8" w:space="0" w:color="FEF3BD" w:themeColor="accent5" w:themeTint="BF"/>
      </w:tblBorders>
    </w:tblPr>
    <w:tblStylePr w:type="firstRow">
      <w:pPr>
        <w:spacing w:before="0" w:after="0" w:line="240" w:lineRule="auto"/>
      </w:pPr>
      <w:rPr>
        <w:b/>
        <w:bCs/>
        <w:color w:val="FFFFFF" w:themeColor="background1"/>
      </w:rPr>
      <w:tblPr/>
      <w:tcPr>
        <w:tcBorders>
          <w:top w:val="single" w:sz="8" w:space="0" w:color="FEF3BD" w:themeColor="accent5" w:themeTint="BF"/>
          <w:left w:val="single" w:sz="8" w:space="0" w:color="FEF3BD" w:themeColor="accent5" w:themeTint="BF"/>
          <w:bottom w:val="single" w:sz="8" w:space="0" w:color="FEF3BD" w:themeColor="accent5" w:themeTint="BF"/>
          <w:right w:val="single" w:sz="8" w:space="0" w:color="FEF3BD" w:themeColor="accent5" w:themeTint="BF"/>
          <w:insideH w:val="nil"/>
          <w:insideV w:val="nil"/>
        </w:tcBorders>
        <w:shd w:val="clear" w:color="auto" w:fill="FEF0A7" w:themeFill="accent5"/>
      </w:tcPr>
    </w:tblStylePr>
    <w:tblStylePr w:type="lastRow">
      <w:pPr>
        <w:spacing w:before="0" w:after="0" w:line="240" w:lineRule="auto"/>
      </w:pPr>
      <w:rPr>
        <w:b/>
        <w:bCs/>
      </w:rPr>
      <w:tblPr/>
      <w:tcPr>
        <w:tcBorders>
          <w:top w:val="double" w:sz="6" w:space="0" w:color="FEF3BD" w:themeColor="accent5" w:themeTint="BF"/>
          <w:left w:val="single" w:sz="8" w:space="0" w:color="FEF3BD" w:themeColor="accent5" w:themeTint="BF"/>
          <w:bottom w:val="single" w:sz="8" w:space="0" w:color="FEF3BD" w:themeColor="accent5" w:themeTint="BF"/>
          <w:right w:val="single" w:sz="8" w:space="0" w:color="FEF3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BE9" w:themeFill="accent5" w:themeFillTint="3F"/>
      </w:tcPr>
    </w:tblStylePr>
    <w:tblStylePr w:type="band1Horz">
      <w:tblPr/>
      <w:tcPr>
        <w:tcBorders>
          <w:insideH w:val="nil"/>
          <w:insideV w:val="nil"/>
        </w:tcBorders>
        <w:shd w:val="clear" w:color="auto" w:fill="FEFB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FEFADD" w:themeColor="accent6" w:themeTint="BF"/>
        <w:left w:val="single" w:sz="8" w:space="0" w:color="FEFADD" w:themeColor="accent6" w:themeTint="BF"/>
        <w:bottom w:val="single" w:sz="8" w:space="0" w:color="FEFADD" w:themeColor="accent6" w:themeTint="BF"/>
        <w:right w:val="single" w:sz="8" w:space="0" w:color="FEFADD" w:themeColor="accent6" w:themeTint="BF"/>
        <w:insideH w:val="single" w:sz="8" w:space="0" w:color="FEFADD" w:themeColor="accent6" w:themeTint="BF"/>
      </w:tblBorders>
    </w:tblPr>
    <w:tblStylePr w:type="firstRow">
      <w:pPr>
        <w:spacing w:before="0" w:after="0" w:line="240" w:lineRule="auto"/>
      </w:pPr>
      <w:rPr>
        <w:b/>
        <w:bCs/>
        <w:color w:val="FFFFFF" w:themeColor="background1"/>
      </w:rPr>
      <w:tblPr/>
      <w:tcPr>
        <w:tcBorders>
          <w:top w:val="single" w:sz="8" w:space="0" w:color="FEFADD" w:themeColor="accent6" w:themeTint="BF"/>
          <w:left w:val="single" w:sz="8" w:space="0" w:color="FEFADD" w:themeColor="accent6" w:themeTint="BF"/>
          <w:bottom w:val="single" w:sz="8" w:space="0" w:color="FEFADD" w:themeColor="accent6" w:themeTint="BF"/>
          <w:right w:val="single" w:sz="8" w:space="0" w:color="FEFADD" w:themeColor="accent6" w:themeTint="BF"/>
          <w:insideH w:val="nil"/>
          <w:insideV w:val="nil"/>
        </w:tcBorders>
        <w:shd w:val="clear" w:color="auto" w:fill="FEF9D3" w:themeFill="accent6"/>
      </w:tcPr>
    </w:tblStylePr>
    <w:tblStylePr w:type="lastRow">
      <w:pPr>
        <w:spacing w:before="0" w:after="0" w:line="240" w:lineRule="auto"/>
      </w:pPr>
      <w:rPr>
        <w:b/>
        <w:bCs/>
      </w:rPr>
      <w:tblPr/>
      <w:tcPr>
        <w:tcBorders>
          <w:top w:val="double" w:sz="6" w:space="0" w:color="FEFADD" w:themeColor="accent6" w:themeTint="BF"/>
          <w:left w:val="single" w:sz="8" w:space="0" w:color="FEFADD" w:themeColor="accent6" w:themeTint="BF"/>
          <w:bottom w:val="single" w:sz="8" w:space="0" w:color="FEFADD" w:themeColor="accent6" w:themeTint="BF"/>
          <w:right w:val="single" w:sz="8" w:space="0" w:color="FEFAD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DF3" w:themeFill="accent6" w:themeFillTint="3F"/>
      </w:tcPr>
    </w:tblStylePr>
    <w:tblStylePr w:type="band1Horz">
      <w:tblPr/>
      <w:tcPr>
        <w:tcBorders>
          <w:insideH w:val="nil"/>
          <w:insideV w:val="nil"/>
        </w:tcBorders>
        <w:shd w:val="clear" w:color="auto" w:fill="FEFD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BE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BE00" w:themeFill="accent1"/>
      </w:tcPr>
    </w:tblStylePr>
    <w:tblStylePr w:type="lastCol">
      <w:rPr>
        <w:b/>
        <w:bCs/>
        <w:color w:val="FFFFFF" w:themeColor="background1"/>
      </w:rPr>
      <w:tblPr/>
      <w:tcPr>
        <w:tcBorders>
          <w:left w:val="nil"/>
          <w:right w:val="nil"/>
          <w:insideH w:val="nil"/>
          <w:insideV w:val="nil"/>
        </w:tcBorders>
        <w:shd w:val="clear" w:color="auto" w:fill="F6BE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A2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A24" w:themeFill="accent2"/>
      </w:tcPr>
    </w:tblStylePr>
    <w:tblStylePr w:type="lastCol">
      <w:rPr>
        <w:b/>
        <w:bCs/>
        <w:color w:val="FFFFFF" w:themeColor="background1"/>
      </w:rPr>
      <w:tblPr/>
      <w:tcPr>
        <w:tcBorders>
          <w:left w:val="nil"/>
          <w:right w:val="nil"/>
          <w:insideH w:val="nil"/>
          <w:insideV w:val="nil"/>
        </w:tcBorders>
        <w:shd w:val="clear" w:color="auto" w:fill="FDDA2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1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122" w:themeFill="accent3"/>
      </w:tcPr>
    </w:tblStylePr>
    <w:tblStylePr w:type="lastCol">
      <w:rPr>
        <w:b/>
        <w:bCs/>
        <w:color w:val="FFFFFF" w:themeColor="background1"/>
      </w:rPr>
      <w:tblPr/>
      <w:tcPr>
        <w:tcBorders>
          <w:left w:val="nil"/>
          <w:right w:val="nil"/>
          <w:insideH w:val="nil"/>
          <w:insideV w:val="nil"/>
        </w:tcBorders>
        <w:shd w:val="clear" w:color="auto" w:fill="FBE1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DE7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DE7F" w:themeFill="accent4"/>
      </w:tcPr>
    </w:tblStylePr>
    <w:tblStylePr w:type="lastCol">
      <w:rPr>
        <w:b/>
        <w:bCs/>
        <w:color w:val="FFFFFF" w:themeColor="background1"/>
      </w:rPr>
      <w:tblPr/>
      <w:tcPr>
        <w:tcBorders>
          <w:left w:val="nil"/>
          <w:right w:val="nil"/>
          <w:insideH w:val="nil"/>
          <w:insideV w:val="nil"/>
        </w:tcBorders>
        <w:shd w:val="clear" w:color="auto" w:fill="FADE7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F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F9D3" w:themeFill="accent6"/>
      </w:tcPr>
    </w:tblStylePr>
    <w:tblStylePr w:type="lastCol">
      <w:rPr>
        <w:b/>
        <w:bCs/>
        <w:color w:val="FFFFFF" w:themeColor="background1"/>
      </w:rPr>
      <w:tblPr/>
      <w:tcPr>
        <w:tcBorders>
          <w:left w:val="nil"/>
          <w:right w:val="nil"/>
          <w:insideH w:val="nil"/>
          <w:insideV w:val="nil"/>
        </w:tcBorders>
        <w:shd w:val="clear" w:color="auto" w:fill="FEF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69"/>
    <w:rsid w:val="00A8309B"/>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A8309B"/>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697C1C"/>
    <w:pPr>
      <w:numPr>
        <w:ilvl w:val="1"/>
      </w:numPr>
    </w:pPr>
    <w:rPr>
      <w:rFonts w:ascii="Arial Black" w:eastAsiaTheme="majorEastAsia" w:hAnsi="Arial Black" w:cstheme="majorBidi"/>
      <w:b/>
      <w:iCs/>
      <w:caps/>
      <w:color w:val="FDDA24" w:themeColor="accent2"/>
      <w:spacing w:val="15"/>
      <w:sz w:val="44"/>
      <w:szCs w:val="24"/>
    </w:rPr>
  </w:style>
  <w:style w:type="character" w:customStyle="1" w:styleId="SubtitleChar">
    <w:name w:val="Subtitle Char"/>
    <w:basedOn w:val="DefaultParagraphFont"/>
    <w:link w:val="Subtitle"/>
    <w:uiPriority w:val="11"/>
    <w:semiHidden/>
    <w:rsid w:val="00697C1C"/>
    <w:rPr>
      <w:rFonts w:ascii="Arial Black" w:eastAsiaTheme="majorEastAsia" w:hAnsi="Arial Black" w:cstheme="majorBidi"/>
      <w:b/>
      <w:iCs/>
      <w:caps/>
      <w:color w:val="FDDA24" w:themeColor="accent2"/>
      <w:spacing w:val="15"/>
      <w:sz w:val="44"/>
      <w:szCs w:val="24"/>
    </w:rPr>
  </w:style>
  <w:style w:type="character" w:styleId="SubtleReference">
    <w:name w:val="Subtle Reference"/>
    <w:basedOn w:val="DefaultParagraphFont"/>
    <w:uiPriority w:val="31"/>
    <w:semiHidden/>
    <w:rsid w:val="00C00568"/>
    <w:rPr>
      <w:smallCaps/>
      <w:color w:val="FDDA24"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697C1C"/>
    <w:pPr>
      <w:spacing w:before="720" w:after="300"/>
      <w:contextualSpacing/>
    </w:pPr>
    <w:rPr>
      <w:rFonts w:asciiTheme="majorHAnsi" w:eastAsiaTheme="majorEastAsia" w:hAnsiTheme="majorHAnsi" w:cstheme="majorBidi"/>
      <w:color w:val="F6BE00" w:themeColor="accent1"/>
      <w:spacing w:val="5"/>
      <w:kern w:val="28"/>
      <w:sz w:val="52"/>
      <w:szCs w:val="52"/>
    </w:rPr>
  </w:style>
  <w:style w:type="character" w:customStyle="1" w:styleId="TitleChar">
    <w:name w:val="Title Char"/>
    <w:basedOn w:val="DefaultParagraphFont"/>
    <w:link w:val="Title"/>
    <w:uiPriority w:val="10"/>
    <w:semiHidden/>
    <w:rsid w:val="00697C1C"/>
    <w:rPr>
      <w:rFonts w:asciiTheme="majorHAnsi" w:eastAsiaTheme="majorEastAsia" w:hAnsiTheme="majorHAnsi" w:cstheme="majorBidi"/>
      <w:color w:val="F6BE00" w:themeColor="accent1"/>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ind w:left="880"/>
    </w:pPr>
  </w:style>
  <w:style w:type="paragraph" w:styleId="TOC6">
    <w:name w:val="toc 6"/>
    <w:basedOn w:val="Normal"/>
    <w:next w:val="Normal"/>
    <w:autoRedefine/>
    <w:uiPriority w:val="96"/>
    <w:semiHidden/>
    <w:rsid w:val="00C00568"/>
    <w:pPr>
      <w:ind w:left="1100"/>
    </w:pPr>
  </w:style>
  <w:style w:type="paragraph" w:styleId="TOC8">
    <w:name w:val="toc 8"/>
    <w:basedOn w:val="Normal"/>
    <w:next w:val="Normal"/>
    <w:autoRedefine/>
    <w:uiPriority w:val="96"/>
    <w:semiHidden/>
    <w:rsid w:val="00C00568"/>
    <w:pPr>
      <w:ind w:left="1540"/>
    </w:pPr>
  </w:style>
  <w:style w:type="paragraph" w:styleId="TOCHeading">
    <w:name w:val="TOC Heading"/>
    <w:basedOn w:val="Heading10"/>
    <w:next w:val="Normal"/>
    <w:uiPriority w:val="90"/>
    <w:semiHidden/>
    <w:unhideWhenUsed/>
    <w:rsid w:val="00C00568"/>
    <w:pPr>
      <w:spacing w:before="480"/>
      <w:outlineLvl w:val="9"/>
    </w:pPr>
    <w:rPr>
      <w:caps/>
      <w:color w:val="B88D00" w:themeColor="accent1" w:themeShade="BF"/>
      <w:spacing w:val="0"/>
      <w:sz w:val="28"/>
    </w:rPr>
  </w:style>
  <w:style w:type="table" w:customStyle="1" w:styleId="DTFTextTable">
    <w:name w:val="DTF Text Table"/>
    <w:basedOn w:val="DTFTable"/>
    <w:uiPriority w:val="99"/>
    <w:rsid w:val="00307660"/>
    <w:pPr>
      <w:spacing w:before="120" w:after="60" w:line="240" w:lineRule="auto"/>
      <w:jc w:val="left"/>
    </w:pPr>
    <w:rPr>
      <w:sz w:val="18"/>
    </w:rPr>
    <w:tblPr>
      <w:tblBorders>
        <w:bottom w:val="single" w:sz="8" w:space="0" w:color="F6BE00" w:themeColor="accent1"/>
      </w:tblBorders>
    </w:tblPr>
    <w:tblStylePr w:type="firstRow">
      <w:pPr>
        <w:wordWrap/>
        <w:spacing w:beforeLines="0" w:before="20" w:beforeAutospacing="0" w:afterLines="0" w:after="20" w:afterAutospacing="0" w:line="216" w:lineRule="auto"/>
        <w:jc w:val="left"/>
      </w:pPr>
      <w:rPr>
        <w:i/>
        <w:color w:val="FFFFFF" w:themeColor="background1"/>
      </w:rPr>
      <w:tblPr/>
      <w:trPr>
        <w:cantSplit w:val="0"/>
      </w:trPr>
      <w:tcPr>
        <w:shd w:val="clear" w:color="auto" w:fill="F6BE00" w:themeFill="accent1"/>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16322A"/>
    <w:rPr>
      <w:rFonts w:asciiTheme="majorHAnsi" w:hAnsiTheme="majorHAnsi"/>
      <w:sz w:val="18"/>
    </w:rPr>
  </w:style>
  <w:style w:type="paragraph" w:customStyle="1" w:styleId="ObjectiveHeading">
    <w:name w:val="Objective Heading"/>
    <w:basedOn w:val="Normal"/>
    <w:next w:val="Normal"/>
    <w:uiPriority w:val="62"/>
    <w:semiHidden/>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2B3CF4"/>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FDDA24"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4259E"/>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DPCbody">
    <w:name w:val="DPC body"/>
    <w:qFormat/>
    <w:rsid w:val="006E1925"/>
    <w:pPr>
      <w:spacing w:before="0" w:after="160" w:line="300" w:lineRule="atLeast"/>
    </w:pPr>
    <w:rPr>
      <w:rFonts w:eastAsia="Times" w:cs="Arial"/>
      <w:color w:val="000000" w:themeColor="text1"/>
      <w:sz w:val="22"/>
      <w:szCs w:val="22"/>
    </w:rPr>
  </w:style>
  <w:style w:type="paragraph" w:customStyle="1" w:styleId="DPCbodyaftertablefigure">
    <w:name w:val="DPC body after table/figure"/>
    <w:basedOn w:val="DPCbody"/>
    <w:uiPriority w:val="1"/>
    <w:rsid w:val="006E1925"/>
    <w:pPr>
      <w:spacing w:before="240"/>
    </w:pPr>
  </w:style>
  <w:style w:type="paragraph" w:customStyle="1" w:styleId="TableText">
    <w:name w:val="Table Text"/>
    <w:basedOn w:val="Normal"/>
    <w:uiPriority w:val="15"/>
    <w:qFormat/>
    <w:rsid w:val="00CC1EF2"/>
    <w:pPr>
      <w:spacing w:before="20" w:after="20" w:line="240" w:lineRule="auto"/>
    </w:pPr>
    <w:rPr>
      <w:rFonts w:ascii="Calibri" w:eastAsia="Times New Roman" w:hAnsi="Calibri" w:cs="Calibri"/>
      <w:sz w:val="18"/>
      <w:szCs w:val="22"/>
      <w:lang w:eastAsia="en-AU"/>
    </w:rPr>
  </w:style>
  <w:style w:type="paragraph" w:customStyle="1" w:styleId="Spacer">
    <w:name w:val="Spacer"/>
    <w:basedOn w:val="Normal"/>
    <w:qFormat/>
    <w:rsid w:val="00CC1EF2"/>
    <w:pPr>
      <w:spacing w:before="0" w:after="0" w:line="240" w:lineRule="auto"/>
    </w:pPr>
    <w:rPr>
      <w:sz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before="160" w:after="1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footnote text" w:uiPriority="0"/>
    <w:lsdException w:name="header" w:uiPriority="85"/>
    <w:lsdException w:name="footer" w:uiPriority="84"/>
    <w:lsdException w:name="caption" w:uiPriority="49"/>
    <w:lsdException w:name="footnote reference" w:uiPriority="0"/>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6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A21F77"/>
  </w:style>
  <w:style w:type="paragraph" w:styleId="Heading10">
    <w:name w:val="heading 1"/>
    <w:next w:val="Normal"/>
    <w:link w:val="Heading1Char"/>
    <w:uiPriority w:val="9"/>
    <w:qFormat/>
    <w:rsid w:val="00B74051"/>
    <w:pPr>
      <w:keepNext/>
      <w:keepLines/>
      <w:spacing w:before="0" w:after="600"/>
      <w:outlineLvl w:val="0"/>
    </w:pPr>
    <w:rPr>
      <w:rFonts w:asciiTheme="majorHAnsi" w:eastAsiaTheme="majorEastAsia" w:hAnsiTheme="majorHAnsi" w:cstheme="majorBidi"/>
      <w:bCs/>
      <w:color w:val="F6BE00" w:themeColor="accent1"/>
      <w:spacing w:val="-2"/>
      <w:sz w:val="36"/>
      <w:szCs w:val="28"/>
    </w:rPr>
  </w:style>
  <w:style w:type="paragraph" w:styleId="Heading20">
    <w:name w:val="heading 2"/>
    <w:basedOn w:val="Heading10"/>
    <w:next w:val="Normal"/>
    <w:link w:val="Heading2Char"/>
    <w:uiPriority w:val="9"/>
    <w:qFormat/>
    <w:rsid w:val="005B26DD"/>
    <w:pPr>
      <w:numPr>
        <w:ilvl w:val="1"/>
      </w:numPr>
      <w:spacing w:before="280" w:after="400"/>
      <w:outlineLvl w:val="1"/>
    </w:pPr>
    <w:rPr>
      <w:bCs w:val="0"/>
      <w:sz w:val="28"/>
      <w:szCs w:val="26"/>
    </w:rPr>
  </w:style>
  <w:style w:type="paragraph" w:styleId="Heading30">
    <w:name w:val="heading 3"/>
    <w:basedOn w:val="Heading20"/>
    <w:next w:val="Normal"/>
    <w:link w:val="Heading3Char"/>
    <w:uiPriority w:val="9"/>
    <w:qFormat/>
    <w:rsid w:val="003F574E"/>
    <w:pPr>
      <w:numPr>
        <w:ilvl w:val="2"/>
      </w:numPr>
      <w:spacing w:before="360" w:after="240"/>
      <w:outlineLvl w:val="2"/>
    </w:pPr>
    <w:rPr>
      <w:bCs/>
      <w:color w:val="53565A" w:themeColor="text2"/>
      <w:sz w:val="24"/>
    </w:rPr>
  </w:style>
  <w:style w:type="paragraph" w:styleId="Heading4">
    <w:name w:val="heading 4"/>
    <w:basedOn w:val="Heading30"/>
    <w:next w:val="Normal"/>
    <w:link w:val="Heading4Char"/>
    <w:uiPriority w:val="9"/>
    <w:rsid w:val="002B3CF4"/>
    <w:pPr>
      <w:numPr>
        <w:ilvl w:val="3"/>
      </w:numPr>
      <w:spacing w:before="180" w:after="120"/>
      <w:outlineLvl w:val="3"/>
    </w:pPr>
    <w:rPr>
      <w:b/>
      <w:bCs w:val="0"/>
      <w:iCs/>
      <w:spacing w:val="0"/>
      <w:sz w:val="20"/>
    </w:rPr>
  </w:style>
  <w:style w:type="paragraph" w:styleId="Heading5">
    <w:name w:val="heading 5"/>
    <w:basedOn w:val="Heading4"/>
    <w:next w:val="Normal"/>
    <w:link w:val="Heading5Char"/>
    <w:uiPriority w:val="9"/>
    <w:unhideWhenUsed/>
    <w:rsid w:val="00703A18"/>
    <w:pPr>
      <w:numPr>
        <w:ilvl w:val="4"/>
      </w:numPr>
      <w:outlineLvl w:val="4"/>
    </w:pPr>
    <w:rPr>
      <w:b w:val="0"/>
      <w:i/>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7A5E00"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B74051"/>
    <w:rPr>
      <w:rFonts w:asciiTheme="majorHAnsi" w:eastAsiaTheme="majorEastAsia" w:hAnsiTheme="majorHAnsi" w:cstheme="majorBidi"/>
      <w:bCs/>
      <w:color w:val="F6BE00" w:themeColor="accent1"/>
      <w:spacing w:val="-2"/>
      <w:sz w:val="36"/>
      <w:szCs w:val="28"/>
    </w:rPr>
  </w:style>
  <w:style w:type="paragraph" w:customStyle="1" w:styleId="SectionHeading">
    <w:name w:val="Section Heading"/>
    <w:basedOn w:val="Normal"/>
    <w:next w:val="Normal"/>
    <w:uiPriority w:val="89"/>
    <w:rsid w:val="0034041F"/>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0"/>
    <w:uiPriority w:val="9"/>
    <w:rsid w:val="003F574E"/>
    <w:rPr>
      <w:rFonts w:asciiTheme="majorHAnsi" w:eastAsiaTheme="majorEastAsia" w:hAnsiTheme="majorHAnsi" w:cstheme="majorBidi"/>
      <w:bCs/>
      <w:color w:val="53565A" w:themeColor="text2"/>
      <w:spacing w:val="-2"/>
      <w:sz w:val="24"/>
      <w:szCs w:val="26"/>
    </w:rPr>
  </w:style>
  <w:style w:type="character" w:customStyle="1" w:styleId="Heading2Char">
    <w:name w:val="Heading 2 Char"/>
    <w:basedOn w:val="DefaultParagraphFont"/>
    <w:link w:val="Heading20"/>
    <w:uiPriority w:val="9"/>
    <w:rsid w:val="005B26DD"/>
    <w:rPr>
      <w:rFonts w:asciiTheme="majorHAnsi" w:eastAsiaTheme="majorEastAsia" w:hAnsiTheme="majorHAnsi" w:cstheme="majorBidi"/>
      <w:color w:val="FDDA24" w:themeColor="accent2"/>
      <w:spacing w:val="-2"/>
      <w:sz w:val="28"/>
      <w:szCs w:val="26"/>
    </w:rPr>
  </w:style>
  <w:style w:type="character" w:customStyle="1" w:styleId="Heading4Char">
    <w:name w:val="Heading 4 Char"/>
    <w:basedOn w:val="DefaultParagraphFont"/>
    <w:link w:val="Heading4"/>
    <w:uiPriority w:val="9"/>
    <w:rsid w:val="002B3CF4"/>
    <w:rPr>
      <w:rFonts w:asciiTheme="majorHAnsi" w:eastAsiaTheme="majorEastAsia" w:hAnsiTheme="majorHAnsi" w:cstheme="majorBidi"/>
      <w:b/>
      <w:iCs/>
      <w:color w:val="F6BE00" w:themeColor="accent1"/>
      <w:szCs w:val="26"/>
    </w:rPr>
  </w:style>
  <w:style w:type="character" w:customStyle="1" w:styleId="Heading2Char0">
    <w:name w:val="Heading 2 (#) Char"/>
    <w:basedOn w:val="Heading2Char"/>
    <w:link w:val="Heading2"/>
    <w:uiPriority w:val="14"/>
    <w:rsid w:val="009475E1"/>
    <w:rPr>
      <w:rFonts w:asciiTheme="majorHAnsi" w:eastAsiaTheme="majorEastAsia" w:hAnsiTheme="majorHAnsi" w:cstheme="majorBidi"/>
      <w:color w:val="F6BE00" w:themeColor="accent1"/>
      <w:spacing w:val="-2"/>
      <w:sz w:val="28"/>
      <w:szCs w:val="26"/>
    </w:rPr>
  </w:style>
  <w:style w:type="paragraph" w:customStyle="1" w:styleId="Source">
    <w:name w:val="Source"/>
    <w:basedOn w:val="Normal"/>
    <w:next w:val="Note"/>
    <w:uiPriority w:val="51"/>
    <w:semiHidden/>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2B3CF4"/>
    <w:pPr>
      <w:pBdr>
        <w:top w:val="single" w:sz="8" w:space="3" w:color="F6BE00" w:themeColor="accent1"/>
        <w:left w:val="single" w:sz="8" w:space="5" w:color="F6BE00" w:themeColor="accent1"/>
        <w:bottom w:val="single" w:sz="8" w:space="3" w:color="F6BE00" w:themeColor="accent1"/>
        <w:right w:val="single" w:sz="8" w:space="5" w:color="F6BE00" w:themeColor="accent1"/>
      </w:pBdr>
      <w:shd w:val="clear" w:color="auto" w:fill="FEF9D3" w:themeFill="accent6"/>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B88D00" w:themeColor="accent1" w:themeShade="BF"/>
    </w:rPr>
    <w:tblPr>
      <w:tblStyleRowBandSize w:val="1"/>
      <w:tblStyleColBandSize w:val="1"/>
      <w:tblBorders>
        <w:top w:val="single" w:sz="8" w:space="0" w:color="F6BE00" w:themeColor="accent1"/>
        <w:bottom w:val="single" w:sz="8" w:space="0" w:color="F6BE00" w:themeColor="accent1"/>
      </w:tblBorders>
    </w:tblPr>
    <w:tblStylePr w:type="firstRow">
      <w:pPr>
        <w:spacing w:before="0" w:after="0" w:line="240" w:lineRule="auto"/>
      </w:pPr>
      <w:rPr>
        <w:b/>
        <w:bCs/>
      </w:rPr>
      <w:tblPr/>
      <w:tcPr>
        <w:tcBorders>
          <w:top w:val="single" w:sz="8" w:space="0" w:color="F6BE00" w:themeColor="accent1"/>
          <w:left w:val="nil"/>
          <w:bottom w:val="single" w:sz="8" w:space="0" w:color="F6BE00" w:themeColor="accent1"/>
          <w:right w:val="nil"/>
          <w:insideH w:val="nil"/>
          <w:insideV w:val="nil"/>
        </w:tcBorders>
      </w:tcPr>
    </w:tblStylePr>
    <w:tblStylePr w:type="lastRow">
      <w:pPr>
        <w:spacing w:before="0" w:after="0" w:line="240" w:lineRule="auto"/>
      </w:pPr>
      <w:rPr>
        <w:b/>
        <w:bCs/>
      </w:rPr>
      <w:tblPr/>
      <w:tcPr>
        <w:tcBorders>
          <w:top w:val="single" w:sz="8" w:space="0" w:color="F6BE00" w:themeColor="accent1"/>
          <w:left w:val="nil"/>
          <w:bottom w:val="single" w:sz="8" w:space="0" w:color="F6BE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D" w:themeFill="accent1" w:themeFillTint="3F"/>
      </w:tcPr>
    </w:tblStylePr>
    <w:tblStylePr w:type="band1Horz">
      <w:tblPr/>
      <w:tcPr>
        <w:tcBorders>
          <w:left w:val="nil"/>
          <w:right w:val="nil"/>
          <w:insideH w:val="nil"/>
          <w:insideV w:val="nil"/>
        </w:tcBorders>
        <w:shd w:val="clear" w:color="auto" w:fill="FFEFBD"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F6C523" w:themeColor="accent4" w:themeShade="BF"/>
    </w:rPr>
    <w:tblPr>
      <w:tblStyleRowBandSize w:val="1"/>
      <w:tblStyleColBandSize w:val="1"/>
      <w:tblBorders>
        <w:top w:val="single" w:sz="8" w:space="0" w:color="FADE7F" w:themeColor="accent4"/>
        <w:bottom w:val="single" w:sz="8" w:space="0" w:color="FADE7F" w:themeColor="accent4"/>
      </w:tblBorders>
    </w:tblPr>
    <w:tblStylePr w:type="firstRow">
      <w:pPr>
        <w:spacing w:before="0" w:after="0" w:line="240" w:lineRule="auto"/>
      </w:pPr>
      <w:rPr>
        <w:b/>
        <w:bCs/>
      </w:rPr>
      <w:tblPr/>
      <w:tcPr>
        <w:tcBorders>
          <w:top w:val="single" w:sz="8" w:space="0" w:color="FADE7F" w:themeColor="accent4"/>
          <w:left w:val="nil"/>
          <w:bottom w:val="single" w:sz="8" w:space="0" w:color="FADE7F" w:themeColor="accent4"/>
          <w:right w:val="nil"/>
          <w:insideH w:val="nil"/>
          <w:insideV w:val="nil"/>
        </w:tcBorders>
      </w:tcPr>
    </w:tblStylePr>
    <w:tblStylePr w:type="lastRow">
      <w:pPr>
        <w:spacing w:before="0" w:after="0" w:line="240" w:lineRule="auto"/>
      </w:pPr>
      <w:rPr>
        <w:b/>
        <w:bCs/>
      </w:rPr>
      <w:tblPr/>
      <w:tcPr>
        <w:tcBorders>
          <w:top w:val="single" w:sz="8" w:space="0" w:color="FADE7F" w:themeColor="accent4"/>
          <w:left w:val="nil"/>
          <w:bottom w:val="single" w:sz="8" w:space="0" w:color="FADE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6DF" w:themeFill="accent4" w:themeFillTint="3F"/>
      </w:tcPr>
    </w:tblStylePr>
    <w:tblStylePr w:type="band1Horz">
      <w:tblPr/>
      <w:tcPr>
        <w:tcBorders>
          <w:left w:val="nil"/>
          <w:right w:val="nil"/>
          <w:insideH w:val="nil"/>
          <w:insideV w:val="nil"/>
        </w:tcBorders>
        <w:shd w:val="clear" w:color="auto" w:fill="FDF6D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semiHidden/>
    <w:rsid w:val="009475E1"/>
    <w:pPr>
      <w:spacing w:before="40"/>
    </w:pPr>
    <w:rPr>
      <w:rFonts w:eastAsiaTheme="minorEastAsia"/>
      <w:sz w:val="18"/>
      <w:lang w:val="en-US" w:eastAsia="ja-JP"/>
    </w:rPr>
  </w:style>
  <w:style w:type="character" w:customStyle="1" w:styleId="FootnoteTextChar">
    <w:name w:val="Footnote Text Char"/>
    <w:basedOn w:val="DefaultParagraphFont"/>
    <w:link w:val="FootnoteText"/>
    <w:semiHidden/>
    <w:rsid w:val="009475E1"/>
    <w:rPr>
      <w:rFonts w:eastAsiaTheme="minorEastAsia"/>
      <w:sz w:val="18"/>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F0A7"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F0A7" w:themeFill="accent5"/>
      </w:tcPr>
    </w:tblStylePr>
    <w:tblStylePr w:type="lastCol">
      <w:rPr>
        <w:b/>
        <w:bCs/>
        <w:color w:val="FFFFFF" w:themeColor="background1"/>
      </w:rPr>
      <w:tblPr/>
      <w:tcPr>
        <w:tcBorders>
          <w:left w:val="nil"/>
          <w:right w:val="nil"/>
          <w:insideH w:val="nil"/>
          <w:insideV w:val="nil"/>
        </w:tcBorders>
        <w:shd w:val="clear" w:color="auto" w:fill="FEF0A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16322A"/>
    <w:rPr>
      <w:rFonts w:asciiTheme="majorHAnsi" w:hAnsiTheme="majorHAnsi"/>
      <w:sz w:val="18"/>
    </w:rPr>
  </w:style>
  <w:style w:type="paragraph" w:customStyle="1" w:styleId="Footerodd">
    <w:name w:val="Footer (odd)"/>
    <w:basedOn w:val="Footer"/>
    <w:link w:val="FooteroddChar"/>
    <w:uiPriority w:val="84"/>
    <w:rsid w:val="0016322A"/>
    <w:pPr>
      <w:pBdr>
        <w:top w:val="single" w:sz="6" w:space="1" w:color="auto"/>
      </w:pBdr>
      <w:tabs>
        <w:tab w:val="clear" w:pos="4513"/>
        <w:tab w:val="clear" w:pos="9026"/>
        <w:tab w:val="center" w:pos="4819"/>
        <w:tab w:val="right" w:pos="8505"/>
        <w:tab w:val="right" w:pos="14742"/>
      </w:tabs>
    </w:pPr>
    <w:rPr>
      <w:rFonts w:asciiTheme="majorHAnsi" w:hAnsiTheme="majorHAnsi"/>
      <w:sz w:val="18"/>
    </w:rPr>
  </w:style>
  <w:style w:type="paragraph" w:customStyle="1" w:styleId="NoteDash">
    <w:name w:val="Note Dash"/>
    <w:basedOn w:val="Note"/>
    <w:next w:val="Note"/>
    <w:uiPriority w:val="53"/>
    <w:semiHidden/>
    <w:rsid w:val="00E46DD4"/>
    <w:pPr>
      <w:numPr>
        <w:numId w:val="3"/>
      </w:numPr>
      <w:ind w:left="568" w:hanging="284"/>
    </w:pPr>
  </w:style>
  <w:style w:type="character" w:customStyle="1" w:styleId="NoteChar">
    <w:name w:val="Note Char"/>
    <w:basedOn w:val="DefaultParagraphFont"/>
    <w:link w:val="Note"/>
    <w:uiPriority w:val="52"/>
    <w:semiHidden/>
    <w:rsid w:val="00703A18"/>
    <w:rPr>
      <w:rFonts w:asciiTheme="majorHAnsi" w:hAnsiTheme="majorHAnsi"/>
      <w:i/>
      <w:spacing w:val="-2"/>
      <w:sz w:val="14"/>
    </w:rPr>
  </w:style>
  <w:style w:type="paragraph" w:styleId="TOC1">
    <w:name w:val="toc 1"/>
    <w:basedOn w:val="Normal"/>
    <w:next w:val="Normal"/>
    <w:uiPriority w:val="39"/>
    <w:rsid w:val="00E71773"/>
    <w:pPr>
      <w:tabs>
        <w:tab w:val="left" w:pos="851"/>
        <w:tab w:val="right" w:leader="dot" w:pos="7938"/>
      </w:tabs>
      <w:ind w:left="851" w:right="567" w:hanging="851"/>
    </w:pPr>
    <w:rPr>
      <w:rFonts w:asciiTheme="majorHAnsi" w:hAnsiTheme="majorHAnsi"/>
      <w:color w:val="F6BE00" w:themeColor="accent1"/>
      <w:spacing w:val="-2"/>
      <w:sz w:val="24"/>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semiHidden/>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703A18"/>
    <w:rPr>
      <w:rFonts w:asciiTheme="majorHAnsi" w:eastAsiaTheme="majorEastAsia" w:hAnsiTheme="majorHAnsi" w:cstheme="majorBidi"/>
      <w:i/>
      <w:iCs/>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0D2F65"/>
    <w:pPr>
      <w:tabs>
        <w:tab w:val="clear" w:pos="851"/>
        <w:tab w:val="left" w:pos="1418"/>
      </w:tabs>
      <w:spacing w:before="60" w:after="60"/>
      <w:ind w:left="1418" w:right="851" w:hanging="567"/>
    </w:pPr>
    <w:rPr>
      <w:noProof/>
      <w:color w:val="auto"/>
      <w:sz w:val="20"/>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ind w:left="420"/>
    </w:pPr>
  </w:style>
  <w:style w:type="paragraph" w:styleId="TOC4">
    <w:name w:val="toc 4"/>
    <w:next w:val="Normal"/>
    <w:uiPriority w:val="96"/>
    <w:semiHidden/>
    <w:rsid w:val="000E2126"/>
    <w:pPr>
      <w:tabs>
        <w:tab w:val="left" w:pos="1021"/>
        <w:tab w:val="right" w:leader="dot" w:pos="9072"/>
      </w:tabs>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2B3CF4"/>
    <w:pPr>
      <w:pBdr>
        <w:top w:val="single" w:sz="8" w:space="3" w:color="F6BE00" w:themeColor="accent1"/>
        <w:left w:val="single" w:sz="8" w:space="5" w:color="F6BE00" w:themeColor="accent1"/>
        <w:bottom w:val="single" w:sz="8" w:space="3" w:color="F6BE00" w:themeColor="accent1"/>
        <w:right w:val="single" w:sz="8" w:space="5" w:color="F6BE00" w:themeColor="accent1"/>
      </w:pBdr>
      <w:shd w:val="clear" w:color="auto" w:fill="FEF9D3" w:themeFill="accent6"/>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7A5E00"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semiHidden/>
    <w:qFormat/>
    <w:rsid w:val="00903544"/>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A9345E"/>
    <w:rPr>
      <w:color w:val="D6B302" w:themeColor="accent2" w:themeShade="BF"/>
    </w:rPr>
    <w:tblPr>
      <w:tblStyleRowBandSize w:val="1"/>
      <w:tblStyleColBandSize w:val="1"/>
      <w:tblBorders>
        <w:top w:val="single" w:sz="8" w:space="0" w:color="FDDA24" w:themeColor="accent2"/>
        <w:bottom w:val="single" w:sz="8" w:space="0" w:color="FDDA24" w:themeColor="accent2"/>
      </w:tblBorders>
    </w:tblPr>
    <w:tblStylePr w:type="firstRow">
      <w:pPr>
        <w:spacing w:before="0" w:after="0" w:line="240" w:lineRule="auto"/>
      </w:pPr>
      <w:rPr>
        <w:b/>
        <w:bCs/>
      </w:rPr>
      <w:tblPr/>
      <w:tcPr>
        <w:tcBorders>
          <w:top w:val="single" w:sz="8" w:space="0" w:color="FDDA24" w:themeColor="accent2"/>
          <w:left w:val="nil"/>
          <w:bottom w:val="single" w:sz="8" w:space="0" w:color="FDDA24" w:themeColor="accent2"/>
          <w:right w:val="nil"/>
          <w:insideH w:val="nil"/>
          <w:insideV w:val="nil"/>
        </w:tcBorders>
      </w:tcPr>
    </w:tblStylePr>
    <w:tblStylePr w:type="lastRow">
      <w:pPr>
        <w:spacing w:before="0" w:after="0" w:line="240" w:lineRule="auto"/>
      </w:pPr>
      <w:rPr>
        <w:b/>
        <w:bCs/>
      </w:rPr>
      <w:tblPr/>
      <w:tcPr>
        <w:tcBorders>
          <w:top w:val="single" w:sz="8" w:space="0" w:color="FDDA24" w:themeColor="accent2"/>
          <w:left w:val="nil"/>
          <w:bottom w:val="single" w:sz="8" w:space="0" w:color="FDDA2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5C8" w:themeFill="accent2" w:themeFillTint="3F"/>
      </w:tcPr>
    </w:tblStylePr>
    <w:tblStylePr w:type="band1Horz">
      <w:tblPr/>
      <w:tcPr>
        <w:tcBorders>
          <w:left w:val="nil"/>
          <w:right w:val="nil"/>
          <w:insideH w:val="nil"/>
          <w:insideV w:val="nil"/>
        </w:tcBorders>
        <w:shd w:val="clear" w:color="auto" w:fill="FEF5C8"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B74051"/>
    <w:rPr>
      <w:rFonts w:asciiTheme="majorHAnsi" w:eastAsiaTheme="majorEastAsia" w:hAnsiTheme="majorHAnsi" w:cstheme="majorBidi"/>
      <w:bCs/>
      <w:color w:val="F6BE00" w:themeColor="accent1"/>
      <w:spacing w:val="-2"/>
      <w:sz w:val="3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ind w:left="567" w:right="340" w:hanging="567"/>
    </w:pPr>
    <w:rPr>
      <w:spacing w:val="-2"/>
    </w:rPr>
  </w:style>
  <w:style w:type="paragraph" w:customStyle="1" w:styleId="Footereven">
    <w:name w:val="Footer (even)"/>
    <w:basedOn w:val="Footer"/>
    <w:link w:val="FooterevenChar"/>
    <w:uiPriority w:val="84"/>
    <w:rsid w:val="0016322A"/>
    <w:pPr>
      <w:pBdr>
        <w:top w:val="single" w:sz="6" w:space="1" w:color="auto"/>
      </w:pBdr>
      <w:tabs>
        <w:tab w:val="clear" w:pos="4513"/>
        <w:tab w:val="clear" w:pos="9026"/>
        <w:tab w:val="center" w:pos="2835"/>
        <w:tab w:val="right" w:pos="8505"/>
        <w:tab w:val="right" w:pos="14742"/>
      </w:tabs>
    </w:pPr>
    <w:rPr>
      <w:rFonts w:asciiTheme="majorHAnsi" w:hAnsiTheme="majorHAnsi"/>
      <w:sz w:val="18"/>
    </w:rPr>
  </w:style>
  <w:style w:type="table" w:customStyle="1" w:styleId="DTFTable">
    <w:name w:val="DTF Table"/>
    <w:basedOn w:val="TableNormal"/>
    <w:uiPriority w:val="99"/>
    <w:rsid w:val="003F574E"/>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F6BE00"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B74051"/>
    <w:pPr>
      <w:numPr>
        <w:numId w:val="15"/>
      </w:numPr>
    </w:pPr>
  </w:style>
  <w:style w:type="paragraph" w:customStyle="1" w:styleId="Heading2">
    <w:name w:val="Heading 2 (#)"/>
    <w:basedOn w:val="Heading20"/>
    <w:link w:val="Heading2Char0"/>
    <w:uiPriority w:val="14"/>
    <w:qFormat/>
    <w:rsid w:val="009475E1"/>
    <w:pPr>
      <w:numPr>
        <w:numId w:val="15"/>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E0089"/>
    <w:pPr>
      <w:numPr>
        <w:numId w:val="15"/>
      </w:numPr>
    </w:pPr>
    <w:rPr>
      <w:color w:val="F6BE00" w:themeColor="accent1"/>
    </w:rPr>
  </w:style>
  <w:style w:type="character" w:customStyle="1" w:styleId="Heading3Char0">
    <w:name w:val="Heading 3 (#) Char"/>
    <w:basedOn w:val="Heading3Char"/>
    <w:link w:val="Heading3"/>
    <w:uiPriority w:val="14"/>
    <w:rsid w:val="003E0089"/>
    <w:rPr>
      <w:rFonts w:asciiTheme="majorHAnsi" w:eastAsiaTheme="majorEastAsia" w:hAnsiTheme="majorHAnsi" w:cstheme="majorBidi"/>
      <w:bCs/>
      <w:color w:val="F6BE00" w:themeColor="accent1"/>
      <w:spacing w:val="-2"/>
      <w:sz w:val="24"/>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F6BE00" w:themeColor="accent1" w:shadow="1"/>
        <w:left w:val="single" w:sz="2" w:space="10" w:color="F6BE00" w:themeColor="accent1" w:shadow="1"/>
        <w:bottom w:val="single" w:sz="2" w:space="10" w:color="F6BE00" w:themeColor="accent1" w:shadow="1"/>
        <w:right w:val="single" w:sz="2" w:space="10" w:color="F6BE00" w:themeColor="accent1" w:shadow="1"/>
      </w:pBdr>
      <w:ind w:left="1152" w:right="1152"/>
    </w:pPr>
    <w:rPr>
      <w:rFonts w:eastAsiaTheme="minorEastAsia"/>
      <w:i/>
      <w:iCs/>
      <w:color w:val="F6BE00"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TableHeading"/>
    <w:next w:val="Normal"/>
    <w:uiPriority w:val="49"/>
    <w:rsid w:val="009475E1"/>
    <w:pPr>
      <w:keepNext w:val="0"/>
      <w:tabs>
        <w:tab w:val="clear" w:pos="1134"/>
        <w:tab w:val="left" w:pos="851"/>
      </w:tabs>
      <w:spacing w:before="120" w:after="0"/>
      <w:ind w:left="850" w:hanging="850"/>
    </w:pPr>
    <w:rPr>
      <w:sz w:val="16"/>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FF2CA" w:themeFill="accent1" w:themeFillTint="33"/>
    </w:tcPr>
    <w:tblStylePr w:type="firstRow">
      <w:rPr>
        <w:b/>
        <w:bCs/>
      </w:rPr>
      <w:tblPr/>
      <w:tcPr>
        <w:shd w:val="clear" w:color="auto" w:fill="FFE695" w:themeFill="accent1" w:themeFillTint="66"/>
      </w:tcPr>
    </w:tblStylePr>
    <w:tblStylePr w:type="lastRow">
      <w:rPr>
        <w:b/>
        <w:bCs/>
        <w:color w:val="000000" w:themeColor="text1"/>
      </w:rPr>
      <w:tblPr/>
      <w:tcPr>
        <w:shd w:val="clear" w:color="auto" w:fill="FFE695" w:themeFill="accent1" w:themeFillTint="66"/>
      </w:tcPr>
    </w:tblStylePr>
    <w:tblStylePr w:type="firstCol">
      <w:rPr>
        <w:color w:val="FFFFFF" w:themeColor="background1"/>
      </w:rPr>
      <w:tblPr/>
      <w:tcPr>
        <w:shd w:val="clear" w:color="auto" w:fill="B88D00" w:themeFill="accent1" w:themeFillShade="BF"/>
      </w:tcPr>
    </w:tblStylePr>
    <w:tblStylePr w:type="lastCol">
      <w:rPr>
        <w:color w:val="FFFFFF" w:themeColor="background1"/>
      </w:rPr>
      <w:tblPr/>
      <w:tcPr>
        <w:shd w:val="clear" w:color="auto" w:fill="B88D00" w:themeFill="accent1" w:themeFillShade="BF"/>
      </w:tcPr>
    </w:tblStylePr>
    <w:tblStylePr w:type="band1Vert">
      <w:tblPr/>
      <w:tcPr>
        <w:shd w:val="clear" w:color="auto" w:fill="FFE07B" w:themeFill="accent1" w:themeFillTint="7F"/>
      </w:tcPr>
    </w:tblStylePr>
    <w:tblStylePr w:type="band1Horz">
      <w:tblPr/>
      <w:tcPr>
        <w:shd w:val="clear" w:color="auto" w:fill="FFE07B"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EF7D3" w:themeFill="accent2" w:themeFillTint="33"/>
    </w:tcPr>
    <w:tblStylePr w:type="firstRow">
      <w:rPr>
        <w:b/>
        <w:bCs/>
      </w:rPr>
      <w:tblPr/>
      <w:tcPr>
        <w:shd w:val="clear" w:color="auto" w:fill="FEEFA7" w:themeFill="accent2" w:themeFillTint="66"/>
      </w:tcPr>
    </w:tblStylePr>
    <w:tblStylePr w:type="lastRow">
      <w:rPr>
        <w:b/>
        <w:bCs/>
        <w:color w:val="000000" w:themeColor="text1"/>
      </w:rPr>
      <w:tblPr/>
      <w:tcPr>
        <w:shd w:val="clear" w:color="auto" w:fill="FEEFA7" w:themeFill="accent2" w:themeFillTint="66"/>
      </w:tcPr>
    </w:tblStylePr>
    <w:tblStylePr w:type="firstCol">
      <w:rPr>
        <w:color w:val="FFFFFF" w:themeColor="background1"/>
      </w:rPr>
      <w:tblPr/>
      <w:tcPr>
        <w:shd w:val="clear" w:color="auto" w:fill="D6B302" w:themeFill="accent2" w:themeFillShade="BF"/>
      </w:tcPr>
    </w:tblStylePr>
    <w:tblStylePr w:type="lastCol">
      <w:rPr>
        <w:color w:val="FFFFFF" w:themeColor="background1"/>
      </w:rPr>
      <w:tblPr/>
      <w:tcPr>
        <w:shd w:val="clear" w:color="auto" w:fill="D6B302" w:themeFill="accent2" w:themeFillShade="BF"/>
      </w:tcPr>
    </w:tblStylePr>
    <w:tblStylePr w:type="band1Vert">
      <w:tblPr/>
      <w:tcPr>
        <w:shd w:val="clear" w:color="auto" w:fill="FEEC91" w:themeFill="accent2" w:themeFillTint="7F"/>
      </w:tcPr>
    </w:tblStylePr>
    <w:tblStylePr w:type="band1Horz">
      <w:tblPr/>
      <w:tcPr>
        <w:shd w:val="clear" w:color="auto" w:fill="FEEC91"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EF9D2" w:themeFill="accent3" w:themeFillTint="33"/>
    </w:tcPr>
    <w:tblStylePr w:type="firstRow">
      <w:rPr>
        <w:b/>
        <w:bCs/>
      </w:rPr>
      <w:tblPr/>
      <w:tcPr>
        <w:shd w:val="clear" w:color="auto" w:fill="FDF2A6" w:themeFill="accent3" w:themeFillTint="66"/>
      </w:tcPr>
    </w:tblStylePr>
    <w:tblStylePr w:type="lastRow">
      <w:rPr>
        <w:b/>
        <w:bCs/>
        <w:color w:val="000000" w:themeColor="text1"/>
      </w:rPr>
      <w:tblPr/>
      <w:tcPr>
        <w:shd w:val="clear" w:color="auto" w:fill="FDF2A6" w:themeFill="accent3" w:themeFillTint="66"/>
      </w:tcPr>
    </w:tblStylePr>
    <w:tblStylePr w:type="firstCol">
      <w:rPr>
        <w:color w:val="FFFFFF" w:themeColor="background1"/>
      </w:rPr>
      <w:tblPr/>
      <w:tcPr>
        <w:shd w:val="clear" w:color="auto" w:fill="D1B804" w:themeFill="accent3" w:themeFillShade="BF"/>
      </w:tcPr>
    </w:tblStylePr>
    <w:tblStylePr w:type="lastCol">
      <w:rPr>
        <w:color w:val="FFFFFF" w:themeColor="background1"/>
      </w:rPr>
      <w:tblPr/>
      <w:tcPr>
        <w:shd w:val="clear" w:color="auto" w:fill="D1B804" w:themeFill="accent3" w:themeFillShade="BF"/>
      </w:tcPr>
    </w:tblStylePr>
    <w:tblStylePr w:type="band1Vert">
      <w:tblPr/>
      <w:tcPr>
        <w:shd w:val="clear" w:color="auto" w:fill="FDEF90" w:themeFill="accent3" w:themeFillTint="7F"/>
      </w:tcPr>
    </w:tblStylePr>
    <w:tblStylePr w:type="band1Horz">
      <w:tblPr/>
      <w:tcPr>
        <w:shd w:val="clear" w:color="auto" w:fill="FDEF90"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EF8E5" w:themeFill="accent4" w:themeFillTint="33"/>
    </w:tcPr>
    <w:tblStylePr w:type="firstRow">
      <w:rPr>
        <w:b/>
        <w:bCs/>
      </w:rPr>
      <w:tblPr/>
      <w:tcPr>
        <w:shd w:val="clear" w:color="auto" w:fill="FDF1CB" w:themeFill="accent4" w:themeFillTint="66"/>
      </w:tcPr>
    </w:tblStylePr>
    <w:tblStylePr w:type="lastRow">
      <w:rPr>
        <w:b/>
        <w:bCs/>
        <w:color w:val="000000" w:themeColor="text1"/>
      </w:rPr>
      <w:tblPr/>
      <w:tcPr>
        <w:shd w:val="clear" w:color="auto" w:fill="FDF1CB" w:themeFill="accent4" w:themeFillTint="66"/>
      </w:tcPr>
    </w:tblStylePr>
    <w:tblStylePr w:type="firstCol">
      <w:rPr>
        <w:color w:val="FFFFFF" w:themeColor="background1"/>
      </w:rPr>
      <w:tblPr/>
      <w:tcPr>
        <w:shd w:val="clear" w:color="auto" w:fill="F6C523" w:themeFill="accent4" w:themeFillShade="BF"/>
      </w:tcPr>
    </w:tblStylePr>
    <w:tblStylePr w:type="lastCol">
      <w:rPr>
        <w:color w:val="FFFFFF" w:themeColor="background1"/>
      </w:rPr>
      <w:tblPr/>
      <w:tcPr>
        <w:shd w:val="clear" w:color="auto" w:fill="F6C523" w:themeFill="accent4" w:themeFillShade="BF"/>
      </w:tcPr>
    </w:tblStylePr>
    <w:tblStylePr w:type="band1Vert">
      <w:tblPr/>
      <w:tcPr>
        <w:shd w:val="clear" w:color="auto" w:fill="FCEEBF" w:themeFill="accent4" w:themeFillTint="7F"/>
      </w:tcPr>
    </w:tblStylePr>
    <w:tblStylePr w:type="band1Horz">
      <w:tblPr/>
      <w:tcPr>
        <w:shd w:val="clear" w:color="auto" w:fill="FCEEB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EFBED" w:themeFill="accent5" w:themeFillTint="33"/>
    </w:tcPr>
    <w:tblStylePr w:type="firstRow">
      <w:rPr>
        <w:b/>
        <w:bCs/>
      </w:rPr>
      <w:tblPr/>
      <w:tcPr>
        <w:shd w:val="clear" w:color="auto" w:fill="FEF8DB" w:themeFill="accent5" w:themeFillTint="66"/>
      </w:tcPr>
    </w:tblStylePr>
    <w:tblStylePr w:type="lastRow">
      <w:rPr>
        <w:b/>
        <w:bCs/>
        <w:color w:val="000000" w:themeColor="text1"/>
      </w:rPr>
      <w:tblPr/>
      <w:tcPr>
        <w:shd w:val="clear" w:color="auto" w:fill="FEF8DB" w:themeFill="accent5" w:themeFillTint="66"/>
      </w:tcPr>
    </w:tblStylePr>
    <w:tblStylePr w:type="firstCol">
      <w:rPr>
        <w:color w:val="FFFFFF" w:themeColor="background1"/>
      </w:rPr>
      <w:tblPr/>
      <w:tcPr>
        <w:shd w:val="clear" w:color="auto" w:fill="FCDD3E" w:themeFill="accent5" w:themeFillShade="BF"/>
      </w:tcPr>
    </w:tblStylePr>
    <w:tblStylePr w:type="lastCol">
      <w:rPr>
        <w:color w:val="FFFFFF" w:themeColor="background1"/>
      </w:rPr>
      <w:tblPr/>
      <w:tcPr>
        <w:shd w:val="clear" w:color="auto" w:fill="FCDD3E" w:themeFill="accent5" w:themeFillShade="BF"/>
      </w:tcPr>
    </w:tblStylePr>
    <w:tblStylePr w:type="band1Vert">
      <w:tblPr/>
      <w:tcPr>
        <w:shd w:val="clear" w:color="auto" w:fill="FEF7D3" w:themeFill="accent5" w:themeFillTint="7F"/>
      </w:tcPr>
    </w:tblStylePr>
    <w:tblStylePr w:type="band1Horz">
      <w:tblPr/>
      <w:tcPr>
        <w:shd w:val="clear" w:color="auto" w:fill="FEF7D3"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EFDF6" w:themeFill="accent6" w:themeFillTint="33"/>
    </w:tcPr>
    <w:tblStylePr w:type="firstRow">
      <w:rPr>
        <w:b/>
        <w:bCs/>
      </w:rPr>
      <w:tblPr/>
      <w:tcPr>
        <w:shd w:val="clear" w:color="auto" w:fill="FEFCED" w:themeFill="accent6" w:themeFillTint="66"/>
      </w:tcPr>
    </w:tblStylePr>
    <w:tblStylePr w:type="lastRow">
      <w:rPr>
        <w:b/>
        <w:bCs/>
        <w:color w:val="000000" w:themeColor="text1"/>
      </w:rPr>
      <w:tblPr/>
      <w:tcPr>
        <w:shd w:val="clear" w:color="auto" w:fill="FEFCED" w:themeFill="accent6" w:themeFillTint="66"/>
      </w:tcPr>
    </w:tblStylePr>
    <w:tblStylePr w:type="firstCol">
      <w:rPr>
        <w:color w:val="FFFFFF" w:themeColor="background1"/>
      </w:rPr>
      <w:tblPr/>
      <w:tcPr>
        <w:shd w:val="clear" w:color="auto" w:fill="FBE960" w:themeFill="accent6" w:themeFillShade="BF"/>
      </w:tcPr>
    </w:tblStylePr>
    <w:tblStylePr w:type="lastCol">
      <w:rPr>
        <w:color w:val="FFFFFF" w:themeColor="background1"/>
      </w:rPr>
      <w:tblPr/>
      <w:tcPr>
        <w:shd w:val="clear" w:color="auto" w:fill="FBE960" w:themeFill="accent6" w:themeFillShade="BF"/>
      </w:tcPr>
    </w:tblStylePr>
    <w:tblStylePr w:type="band1Vert">
      <w:tblPr/>
      <w:tcPr>
        <w:shd w:val="clear" w:color="auto" w:fill="FEFBE8" w:themeFill="accent6" w:themeFillTint="7F"/>
      </w:tcPr>
    </w:tblStylePr>
    <w:tblStylePr w:type="band1Horz">
      <w:tblPr/>
      <w:tcPr>
        <w:shd w:val="clear" w:color="auto" w:fill="FEFBE8"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4BF02" w:themeFill="accent2" w:themeFillShade="CC"/>
      </w:tcPr>
    </w:tblStylePr>
    <w:tblStylePr w:type="lastRow">
      <w:rPr>
        <w:b/>
        <w:bCs/>
        <w:color w:val="E4BF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FFF8E5" w:themeFill="accent1" w:themeFillTint="19"/>
    </w:tcPr>
    <w:tblStylePr w:type="firstRow">
      <w:rPr>
        <w:b/>
        <w:bCs/>
        <w:color w:val="FFFFFF" w:themeColor="background1"/>
      </w:rPr>
      <w:tblPr/>
      <w:tcPr>
        <w:tcBorders>
          <w:bottom w:val="single" w:sz="12" w:space="0" w:color="FFFFFF" w:themeColor="background1"/>
        </w:tcBorders>
        <w:shd w:val="clear" w:color="auto" w:fill="E4BF02" w:themeFill="accent2" w:themeFillShade="CC"/>
      </w:tcPr>
    </w:tblStylePr>
    <w:tblStylePr w:type="lastRow">
      <w:rPr>
        <w:b/>
        <w:bCs/>
        <w:color w:val="E4BF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D" w:themeFill="accent1" w:themeFillTint="3F"/>
      </w:tcPr>
    </w:tblStylePr>
    <w:tblStylePr w:type="band1Horz">
      <w:tblPr/>
      <w:tcPr>
        <w:shd w:val="clear" w:color="auto" w:fill="FFF2CA"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FEFBE9" w:themeFill="accent2" w:themeFillTint="19"/>
    </w:tcPr>
    <w:tblStylePr w:type="firstRow">
      <w:rPr>
        <w:b/>
        <w:bCs/>
        <w:color w:val="FFFFFF" w:themeColor="background1"/>
      </w:rPr>
      <w:tblPr/>
      <w:tcPr>
        <w:tcBorders>
          <w:bottom w:val="single" w:sz="12" w:space="0" w:color="FFFFFF" w:themeColor="background1"/>
        </w:tcBorders>
        <w:shd w:val="clear" w:color="auto" w:fill="E4BF02" w:themeFill="accent2" w:themeFillShade="CC"/>
      </w:tcPr>
    </w:tblStylePr>
    <w:tblStylePr w:type="lastRow">
      <w:rPr>
        <w:b/>
        <w:bCs/>
        <w:color w:val="E4BF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5C8" w:themeFill="accent2" w:themeFillTint="3F"/>
      </w:tcPr>
    </w:tblStylePr>
    <w:tblStylePr w:type="band1Horz">
      <w:tblPr/>
      <w:tcPr>
        <w:shd w:val="clear" w:color="auto" w:fill="FEF7D3"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EFCE9" w:themeFill="accent3" w:themeFillTint="19"/>
    </w:tcPr>
    <w:tblStylePr w:type="firstRow">
      <w:rPr>
        <w:b/>
        <w:bCs/>
        <w:color w:val="FFFFFF" w:themeColor="background1"/>
      </w:rPr>
      <w:tblPr/>
      <w:tcPr>
        <w:tcBorders>
          <w:bottom w:val="single" w:sz="12" w:space="0" w:color="FFFFFF" w:themeColor="background1"/>
        </w:tcBorders>
        <w:shd w:val="clear" w:color="auto" w:fill="F7CA36" w:themeFill="accent4" w:themeFillShade="CC"/>
      </w:tcPr>
    </w:tblStylePr>
    <w:tblStylePr w:type="lastRow">
      <w:rPr>
        <w:b/>
        <w:bCs/>
        <w:color w:val="F7CA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7C8" w:themeFill="accent3" w:themeFillTint="3F"/>
      </w:tcPr>
    </w:tblStylePr>
    <w:tblStylePr w:type="band1Horz">
      <w:tblPr/>
      <w:tcPr>
        <w:shd w:val="clear" w:color="auto" w:fill="FEF9D2"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FEFBF2" w:themeFill="accent4" w:themeFillTint="19"/>
    </w:tcPr>
    <w:tblStylePr w:type="firstRow">
      <w:rPr>
        <w:b/>
        <w:bCs/>
        <w:color w:val="FFFFFF" w:themeColor="background1"/>
      </w:rPr>
      <w:tblPr/>
      <w:tcPr>
        <w:tcBorders>
          <w:bottom w:val="single" w:sz="12" w:space="0" w:color="FFFFFF" w:themeColor="background1"/>
        </w:tcBorders>
        <w:shd w:val="clear" w:color="auto" w:fill="DFC504" w:themeFill="accent3" w:themeFillShade="CC"/>
      </w:tcPr>
    </w:tblStylePr>
    <w:tblStylePr w:type="lastRow">
      <w:rPr>
        <w:b/>
        <w:bCs/>
        <w:color w:val="DFC50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6DF" w:themeFill="accent4" w:themeFillTint="3F"/>
      </w:tcPr>
    </w:tblStylePr>
    <w:tblStylePr w:type="band1Horz">
      <w:tblPr/>
      <w:tcPr>
        <w:shd w:val="clear" w:color="auto" w:fill="FEF8E5"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FFFDF6" w:themeFill="accent5" w:themeFillTint="19"/>
    </w:tcPr>
    <w:tblStylePr w:type="firstRow">
      <w:rPr>
        <w:b/>
        <w:bCs/>
        <w:color w:val="FFFFFF" w:themeColor="background1"/>
      </w:rPr>
      <w:tblPr/>
      <w:tcPr>
        <w:tcBorders>
          <w:bottom w:val="single" w:sz="12" w:space="0" w:color="FFFFFF" w:themeColor="background1"/>
        </w:tcBorders>
        <w:shd w:val="clear" w:color="auto" w:fill="FCEC78" w:themeFill="accent6" w:themeFillShade="CC"/>
      </w:tcPr>
    </w:tblStylePr>
    <w:tblStylePr w:type="lastRow">
      <w:rPr>
        <w:b/>
        <w:bCs/>
        <w:color w:val="FCEC7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BE9" w:themeFill="accent5" w:themeFillTint="3F"/>
      </w:tcPr>
    </w:tblStylePr>
    <w:tblStylePr w:type="band1Horz">
      <w:tblPr/>
      <w:tcPr>
        <w:shd w:val="clear" w:color="auto" w:fill="FEFBED"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FFEFA" w:themeFill="accent6" w:themeFillTint="19"/>
    </w:tcPr>
    <w:tblStylePr w:type="firstRow">
      <w:rPr>
        <w:b/>
        <w:bCs/>
        <w:color w:val="FFFFFF" w:themeColor="background1"/>
      </w:rPr>
      <w:tblPr/>
      <w:tcPr>
        <w:tcBorders>
          <w:bottom w:val="single" w:sz="12" w:space="0" w:color="FFFFFF" w:themeColor="background1"/>
        </w:tcBorders>
        <w:shd w:val="clear" w:color="auto" w:fill="FDE153" w:themeFill="accent5" w:themeFillShade="CC"/>
      </w:tcPr>
    </w:tblStylePr>
    <w:tblStylePr w:type="lastRow">
      <w:rPr>
        <w:b/>
        <w:bCs/>
        <w:color w:val="FDE1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DF3" w:themeFill="accent6" w:themeFillTint="3F"/>
      </w:tcPr>
    </w:tblStylePr>
    <w:tblStylePr w:type="band1Horz">
      <w:tblPr/>
      <w:tcPr>
        <w:shd w:val="clear" w:color="auto" w:fill="FEFDF6"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FDDA2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DDA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FDDA24" w:themeColor="accent2"/>
        <w:left w:val="single" w:sz="4" w:space="0" w:color="F6BE00" w:themeColor="accent1"/>
        <w:bottom w:val="single" w:sz="4" w:space="0" w:color="F6BE00" w:themeColor="accent1"/>
        <w:right w:val="single" w:sz="4" w:space="0" w:color="F6BE00" w:themeColor="accent1"/>
        <w:insideH w:val="single" w:sz="4" w:space="0" w:color="FFFFFF" w:themeColor="background1"/>
        <w:insideV w:val="single" w:sz="4" w:space="0" w:color="FFFFFF" w:themeColor="background1"/>
      </w:tblBorders>
    </w:tblPr>
    <w:tcPr>
      <w:shd w:val="clear" w:color="auto" w:fill="FFF8E5" w:themeFill="accent1" w:themeFillTint="19"/>
    </w:tcPr>
    <w:tblStylePr w:type="firstRow">
      <w:rPr>
        <w:b/>
        <w:bCs/>
      </w:rPr>
      <w:tblPr/>
      <w:tcPr>
        <w:tcBorders>
          <w:top w:val="nil"/>
          <w:left w:val="nil"/>
          <w:bottom w:val="single" w:sz="24" w:space="0" w:color="FDDA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7100" w:themeFill="accent1" w:themeFillShade="99"/>
      </w:tcPr>
    </w:tblStylePr>
    <w:tblStylePr w:type="firstCol">
      <w:rPr>
        <w:color w:val="FFFFFF" w:themeColor="background1"/>
      </w:rPr>
      <w:tblPr/>
      <w:tcPr>
        <w:tcBorders>
          <w:top w:val="nil"/>
          <w:left w:val="nil"/>
          <w:bottom w:val="nil"/>
          <w:right w:val="nil"/>
          <w:insideH w:val="single" w:sz="4" w:space="0" w:color="937100" w:themeColor="accent1" w:themeShade="99"/>
          <w:insideV w:val="nil"/>
        </w:tcBorders>
        <w:shd w:val="clear" w:color="auto" w:fill="937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7100" w:themeFill="accent1" w:themeFillShade="99"/>
      </w:tcPr>
    </w:tblStylePr>
    <w:tblStylePr w:type="band1Vert">
      <w:tblPr/>
      <w:tcPr>
        <w:shd w:val="clear" w:color="auto" w:fill="FFE695" w:themeFill="accent1" w:themeFillTint="66"/>
      </w:tcPr>
    </w:tblStylePr>
    <w:tblStylePr w:type="band1Horz">
      <w:tblPr/>
      <w:tcPr>
        <w:shd w:val="clear" w:color="auto" w:fill="FFE07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FDDA24" w:themeColor="accent2"/>
        <w:left w:val="single" w:sz="4" w:space="0" w:color="FDDA24" w:themeColor="accent2"/>
        <w:bottom w:val="single" w:sz="4" w:space="0" w:color="FDDA24" w:themeColor="accent2"/>
        <w:right w:val="single" w:sz="4" w:space="0" w:color="FDDA24" w:themeColor="accent2"/>
        <w:insideH w:val="single" w:sz="4" w:space="0" w:color="FFFFFF" w:themeColor="background1"/>
        <w:insideV w:val="single" w:sz="4" w:space="0" w:color="FFFFFF" w:themeColor="background1"/>
      </w:tblBorders>
    </w:tblPr>
    <w:tcPr>
      <w:shd w:val="clear" w:color="auto" w:fill="FEFBE9" w:themeFill="accent2" w:themeFillTint="19"/>
    </w:tcPr>
    <w:tblStylePr w:type="firstRow">
      <w:rPr>
        <w:b/>
        <w:bCs/>
      </w:rPr>
      <w:tblPr/>
      <w:tcPr>
        <w:tcBorders>
          <w:top w:val="nil"/>
          <w:left w:val="nil"/>
          <w:bottom w:val="single" w:sz="24" w:space="0" w:color="FDDA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8F01" w:themeFill="accent2" w:themeFillShade="99"/>
      </w:tcPr>
    </w:tblStylePr>
    <w:tblStylePr w:type="firstCol">
      <w:rPr>
        <w:color w:val="FFFFFF" w:themeColor="background1"/>
      </w:rPr>
      <w:tblPr/>
      <w:tcPr>
        <w:tcBorders>
          <w:top w:val="nil"/>
          <w:left w:val="nil"/>
          <w:bottom w:val="nil"/>
          <w:right w:val="nil"/>
          <w:insideH w:val="single" w:sz="4" w:space="0" w:color="AB8F01" w:themeColor="accent2" w:themeShade="99"/>
          <w:insideV w:val="nil"/>
        </w:tcBorders>
        <w:shd w:val="clear" w:color="auto" w:fill="AB8F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B8F01" w:themeFill="accent2" w:themeFillShade="99"/>
      </w:tcPr>
    </w:tblStylePr>
    <w:tblStylePr w:type="band1Vert">
      <w:tblPr/>
      <w:tcPr>
        <w:shd w:val="clear" w:color="auto" w:fill="FEEFA7" w:themeFill="accent2" w:themeFillTint="66"/>
      </w:tcPr>
    </w:tblStylePr>
    <w:tblStylePr w:type="band1Horz">
      <w:tblPr/>
      <w:tcPr>
        <w:shd w:val="clear" w:color="auto" w:fill="FEEC9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FADE7F" w:themeColor="accent4"/>
        <w:left w:val="single" w:sz="4" w:space="0" w:color="FBE122" w:themeColor="accent3"/>
        <w:bottom w:val="single" w:sz="4" w:space="0" w:color="FBE122" w:themeColor="accent3"/>
        <w:right w:val="single" w:sz="4" w:space="0" w:color="FBE122" w:themeColor="accent3"/>
        <w:insideH w:val="single" w:sz="4" w:space="0" w:color="FFFFFF" w:themeColor="background1"/>
        <w:insideV w:val="single" w:sz="4" w:space="0" w:color="FFFFFF" w:themeColor="background1"/>
      </w:tblBorders>
    </w:tblPr>
    <w:tcPr>
      <w:shd w:val="clear" w:color="auto" w:fill="FEFCE9" w:themeFill="accent3" w:themeFillTint="19"/>
    </w:tcPr>
    <w:tblStylePr w:type="firstRow">
      <w:rPr>
        <w:b/>
        <w:bCs/>
      </w:rPr>
      <w:tblPr/>
      <w:tcPr>
        <w:tcBorders>
          <w:top w:val="nil"/>
          <w:left w:val="nil"/>
          <w:bottom w:val="single" w:sz="24" w:space="0" w:color="FADE7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9303" w:themeFill="accent3" w:themeFillShade="99"/>
      </w:tcPr>
    </w:tblStylePr>
    <w:tblStylePr w:type="firstCol">
      <w:rPr>
        <w:color w:val="FFFFFF" w:themeColor="background1"/>
      </w:rPr>
      <w:tblPr/>
      <w:tcPr>
        <w:tcBorders>
          <w:top w:val="nil"/>
          <w:left w:val="nil"/>
          <w:bottom w:val="nil"/>
          <w:right w:val="nil"/>
          <w:insideH w:val="single" w:sz="4" w:space="0" w:color="A79303" w:themeColor="accent3" w:themeShade="99"/>
          <w:insideV w:val="nil"/>
        </w:tcBorders>
        <w:shd w:val="clear" w:color="auto" w:fill="A7930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79303" w:themeFill="accent3" w:themeFillShade="99"/>
      </w:tcPr>
    </w:tblStylePr>
    <w:tblStylePr w:type="band1Vert">
      <w:tblPr/>
      <w:tcPr>
        <w:shd w:val="clear" w:color="auto" w:fill="FDF2A6" w:themeFill="accent3" w:themeFillTint="66"/>
      </w:tcPr>
    </w:tblStylePr>
    <w:tblStylePr w:type="band1Horz">
      <w:tblPr/>
      <w:tcPr>
        <w:shd w:val="clear" w:color="auto" w:fill="FDEF90"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FBE122" w:themeColor="accent3"/>
        <w:left w:val="single" w:sz="4" w:space="0" w:color="FADE7F" w:themeColor="accent4"/>
        <w:bottom w:val="single" w:sz="4" w:space="0" w:color="FADE7F" w:themeColor="accent4"/>
        <w:right w:val="single" w:sz="4" w:space="0" w:color="FADE7F" w:themeColor="accent4"/>
        <w:insideH w:val="single" w:sz="4" w:space="0" w:color="FFFFFF" w:themeColor="background1"/>
        <w:insideV w:val="single" w:sz="4" w:space="0" w:color="FFFFFF" w:themeColor="background1"/>
      </w:tblBorders>
    </w:tblPr>
    <w:tcPr>
      <w:shd w:val="clear" w:color="auto" w:fill="FEFBF2" w:themeFill="accent4" w:themeFillTint="19"/>
    </w:tcPr>
    <w:tblStylePr w:type="firstRow">
      <w:rPr>
        <w:b/>
        <w:bCs/>
      </w:rPr>
      <w:tblPr/>
      <w:tcPr>
        <w:tcBorders>
          <w:top w:val="nil"/>
          <w:left w:val="nil"/>
          <w:bottom w:val="single" w:sz="24" w:space="0" w:color="FBE12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A908" w:themeFill="accent4" w:themeFillShade="99"/>
      </w:tcPr>
    </w:tblStylePr>
    <w:tblStylePr w:type="firstCol">
      <w:rPr>
        <w:color w:val="FFFFFF" w:themeColor="background1"/>
      </w:rPr>
      <w:tblPr/>
      <w:tcPr>
        <w:tcBorders>
          <w:top w:val="nil"/>
          <w:left w:val="nil"/>
          <w:bottom w:val="nil"/>
          <w:right w:val="nil"/>
          <w:insideH w:val="single" w:sz="4" w:space="0" w:color="D9A908" w:themeColor="accent4" w:themeShade="99"/>
          <w:insideV w:val="nil"/>
        </w:tcBorders>
        <w:shd w:val="clear" w:color="auto" w:fill="D9A90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9A908" w:themeFill="accent4" w:themeFillShade="99"/>
      </w:tcPr>
    </w:tblStylePr>
    <w:tblStylePr w:type="band1Vert">
      <w:tblPr/>
      <w:tcPr>
        <w:shd w:val="clear" w:color="auto" w:fill="FDF1CB" w:themeFill="accent4" w:themeFillTint="66"/>
      </w:tcPr>
    </w:tblStylePr>
    <w:tblStylePr w:type="band1Horz">
      <w:tblPr/>
      <w:tcPr>
        <w:shd w:val="clear" w:color="auto" w:fill="FCEE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FEF9D3" w:themeColor="accent6"/>
        <w:left w:val="single" w:sz="4" w:space="0" w:color="FEF0A7" w:themeColor="accent5"/>
        <w:bottom w:val="single" w:sz="4" w:space="0" w:color="FEF0A7" w:themeColor="accent5"/>
        <w:right w:val="single" w:sz="4" w:space="0" w:color="FEF0A7" w:themeColor="accent5"/>
        <w:insideH w:val="single" w:sz="4" w:space="0" w:color="FFFFFF" w:themeColor="background1"/>
        <w:insideV w:val="single" w:sz="4" w:space="0" w:color="FFFFFF" w:themeColor="background1"/>
      </w:tblBorders>
    </w:tblPr>
    <w:tcPr>
      <w:shd w:val="clear" w:color="auto" w:fill="FFFDF6" w:themeFill="accent5" w:themeFillTint="19"/>
    </w:tcPr>
    <w:tblStylePr w:type="firstRow">
      <w:rPr>
        <w:b/>
        <w:bCs/>
      </w:rPr>
      <w:tblPr/>
      <w:tcPr>
        <w:tcBorders>
          <w:top w:val="nil"/>
          <w:left w:val="nil"/>
          <w:bottom w:val="single" w:sz="24" w:space="0" w:color="FEF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9D003" w:themeFill="accent5" w:themeFillShade="99"/>
      </w:tcPr>
    </w:tblStylePr>
    <w:tblStylePr w:type="firstCol">
      <w:rPr>
        <w:color w:val="FFFFFF" w:themeColor="background1"/>
      </w:rPr>
      <w:tblPr/>
      <w:tcPr>
        <w:tcBorders>
          <w:top w:val="nil"/>
          <w:left w:val="nil"/>
          <w:bottom w:val="nil"/>
          <w:right w:val="nil"/>
          <w:insideH w:val="single" w:sz="4" w:space="0" w:color="F9D003" w:themeColor="accent5" w:themeShade="99"/>
          <w:insideV w:val="nil"/>
        </w:tcBorders>
        <w:shd w:val="clear" w:color="auto" w:fill="F9D0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9D003" w:themeFill="accent5" w:themeFillShade="99"/>
      </w:tcPr>
    </w:tblStylePr>
    <w:tblStylePr w:type="band1Vert">
      <w:tblPr/>
      <w:tcPr>
        <w:shd w:val="clear" w:color="auto" w:fill="FEF8DB" w:themeFill="accent5" w:themeFillTint="66"/>
      </w:tcPr>
    </w:tblStylePr>
    <w:tblStylePr w:type="band1Horz">
      <w:tblPr/>
      <w:tcPr>
        <w:shd w:val="clear" w:color="auto" w:fill="FEF7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FEF0A7" w:themeColor="accent5"/>
        <w:left w:val="single" w:sz="4" w:space="0" w:color="FEF9D3" w:themeColor="accent6"/>
        <w:bottom w:val="single" w:sz="4" w:space="0" w:color="FEF9D3" w:themeColor="accent6"/>
        <w:right w:val="single" w:sz="4" w:space="0" w:color="FEF9D3" w:themeColor="accent6"/>
        <w:insideH w:val="single" w:sz="4" w:space="0" w:color="FFFFFF" w:themeColor="background1"/>
        <w:insideV w:val="single" w:sz="4" w:space="0" w:color="FFFFFF" w:themeColor="background1"/>
      </w:tblBorders>
    </w:tblPr>
    <w:tcPr>
      <w:shd w:val="clear" w:color="auto" w:fill="FFFEFA" w:themeFill="accent6" w:themeFillTint="19"/>
    </w:tcPr>
    <w:tblStylePr w:type="firstRow">
      <w:rPr>
        <w:b/>
        <w:bCs/>
      </w:rPr>
      <w:tblPr/>
      <w:tcPr>
        <w:tcBorders>
          <w:top w:val="nil"/>
          <w:left w:val="nil"/>
          <w:bottom w:val="single" w:sz="24" w:space="0" w:color="FEF0A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AE01D" w:themeFill="accent6" w:themeFillShade="99"/>
      </w:tcPr>
    </w:tblStylePr>
    <w:tblStylePr w:type="firstCol">
      <w:rPr>
        <w:color w:val="FFFFFF" w:themeColor="background1"/>
      </w:rPr>
      <w:tblPr/>
      <w:tcPr>
        <w:tcBorders>
          <w:top w:val="nil"/>
          <w:left w:val="nil"/>
          <w:bottom w:val="nil"/>
          <w:right w:val="nil"/>
          <w:insideH w:val="single" w:sz="4" w:space="0" w:color="FAE01D" w:themeColor="accent6" w:themeShade="99"/>
          <w:insideV w:val="nil"/>
        </w:tcBorders>
        <w:shd w:val="clear" w:color="auto" w:fill="FAE0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AE01D" w:themeFill="accent6" w:themeFillShade="99"/>
      </w:tcPr>
    </w:tblStylePr>
    <w:tblStylePr w:type="band1Vert">
      <w:tblPr/>
      <w:tcPr>
        <w:shd w:val="clear" w:color="auto" w:fill="FEFCED" w:themeFill="accent6" w:themeFillTint="66"/>
      </w:tcPr>
    </w:tblStylePr>
    <w:tblStylePr w:type="band1Horz">
      <w:tblPr/>
      <w:tcPr>
        <w:shd w:val="clear" w:color="auto" w:fill="FEFBE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F6BE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5E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88D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88D00" w:themeFill="accent1" w:themeFillShade="BF"/>
      </w:tcPr>
    </w:tblStylePr>
    <w:tblStylePr w:type="band1Vert">
      <w:tblPr/>
      <w:tcPr>
        <w:tcBorders>
          <w:top w:val="nil"/>
          <w:left w:val="nil"/>
          <w:bottom w:val="nil"/>
          <w:right w:val="nil"/>
          <w:insideH w:val="nil"/>
          <w:insideV w:val="nil"/>
        </w:tcBorders>
        <w:shd w:val="clear" w:color="auto" w:fill="B88D00" w:themeFill="accent1" w:themeFillShade="BF"/>
      </w:tcPr>
    </w:tblStylePr>
    <w:tblStylePr w:type="band1Horz">
      <w:tblPr/>
      <w:tcPr>
        <w:tcBorders>
          <w:top w:val="nil"/>
          <w:left w:val="nil"/>
          <w:bottom w:val="nil"/>
          <w:right w:val="nil"/>
          <w:insideH w:val="nil"/>
          <w:insideV w:val="nil"/>
        </w:tcBorders>
        <w:shd w:val="clear" w:color="auto" w:fill="B88D00"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FDDA2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77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6B30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6B302" w:themeFill="accent2" w:themeFillShade="BF"/>
      </w:tcPr>
    </w:tblStylePr>
    <w:tblStylePr w:type="band1Vert">
      <w:tblPr/>
      <w:tcPr>
        <w:tcBorders>
          <w:top w:val="nil"/>
          <w:left w:val="nil"/>
          <w:bottom w:val="nil"/>
          <w:right w:val="nil"/>
          <w:insideH w:val="nil"/>
          <w:insideV w:val="nil"/>
        </w:tcBorders>
        <w:shd w:val="clear" w:color="auto" w:fill="D6B302" w:themeFill="accent2" w:themeFillShade="BF"/>
      </w:tcPr>
    </w:tblStylePr>
    <w:tblStylePr w:type="band1Horz">
      <w:tblPr/>
      <w:tcPr>
        <w:tcBorders>
          <w:top w:val="nil"/>
          <w:left w:val="nil"/>
          <w:bottom w:val="nil"/>
          <w:right w:val="nil"/>
          <w:insideH w:val="nil"/>
          <w:insideV w:val="nil"/>
        </w:tcBorders>
        <w:shd w:val="clear" w:color="auto" w:fill="D6B302"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FBE12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A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1B80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1B804" w:themeFill="accent3" w:themeFillShade="BF"/>
      </w:tcPr>
    </w:tblStylePr>
    <w:tblStylePr w:type="band1Vert">
      <w:tblPr/>
      <w:tcPr>
        <w:tcBorders>
          <w:top w:val="nil"/>
          <w:left w:val="nil"/>
          <w:bottom w:val="nil"/>
          <w:right w:val="nil"/>
          <w:insideH w:val="nil"/>
          <w:insideV w:val="nil"/>
        </w:tcBorders>
        <w:shd w:val="clear" w:color="auto" w:fill="D1B804" w:themeFill="accent3" w:themeFillShade="BF"/>
      </w:tcPr>
    </w:tblStylePr>
    <w:tblStylePr w:type="band1Horz">
      <w:tblPr/>
      <w:tcPr>
        <w:tcBorders>
          <w:top w:val="nil"/>
          <w:left w:val="nil"/>
          <w:bottom w:val="nil"/>
          <w:right w:val="nil"/>
          <w:insideH w:val="nil"/>
          <w:insideV w:val="nil"/>
        </w:tcBorders>
        <w:shd w:val="clear" w:color="auto" w:fill="D1B804"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FADE7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6C52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6C523" w:themeFill="accent4" w:themeFillShade="BF"/>
      </w:tcPr>
    </w:tblStylePr>
    <w:tblStylePr w:type="band1Vert">
      <w:tblPr/>
      <w:tcPr>
        <w:tcBorders>
          <w:top w:val="nil"/>
          <w:left w:val="nil"/>
          <w:bottom w:val="nil"/>
          <w:right w:val="nil"/>
          <w:insideH w:val="nil"/>
          <w:insideV w:val="nil"/>
        </w:tcBorders>
        <w:shd w:val="clear" w:color="auto" w:fill="F6C523" w:themeFill="accent4" w:themeFillShade="BF"/>
      </w:tcPr>
    </w:tblStylePr>
    <w:tblStylePr w:type="band1Horz">
      <w:tblPr/>
      <w:tcPr>
        <w:tcBorders>
          <w:top w:val="nil"/>
          <w:left w:val="nil"/>
          <w:bottom w:val="nil"/>
          <w:right w:val="nil"/>
          <w:insideH w:val="nil"/>
          <w:insideV w:val="nil"/>
        </w:tcBorders>
        <w:shd w:val="clear" w:color="auto" w:fill="F6C523"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FEF0A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FAD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CDD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CDD3E" w:themeFill="accent5" w:themeFillShade="BF"/>
      </w:tcPr>
    </w:tblStylePr>
    <w:tblStylePr w:type="band1Vert">
      <w:tblPr/>
      <w:tcPr>
        <w:tcBorders>
          <w:top w:val="nil"/>
          <w:left w:val="nil"/>
          <w:bottom w:val="nil"/>
          <w:right w:val="nil"/>
          <w:insideH w:val="nil"/>
          <w:insideV w:val="nil"/>
        </w:tcBorders>
        <w:shd w:val="clear" w:color="auto" w:fill="FCDD3E" w:themeFill="accent5" w:themeFillShade="BF"/>
      </w:tcPr>
    </w:tblStylePr>
    <w:tblStylePr w:type="band1Horz">
      <w:tblPr/>
      <w:tcPr>
        <w:tcBorders>
          <w:top w:val="nil"/>
          <w:left w:val="nil"/>
          <w:bottom w:val="nil"/>
          <w:right w:val="nil"/>
          <w:insideH w:val="nil"/>
          <w:insideV w:val="nil"/>
        </w:tcBorders>
        <w:shd w:val="clear" w:color="auto" w:fill="FCDD3E"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FEF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2C8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E96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E960" w:themeFill="accent6" w:themeFillShade="BF"/>
      </w:tcPr>
    </w:tblStylePr>
    <w:tblStylePr w:type="band1Vert">
      <w:tblPr/>
      <w:tcPr>
        <w:tcBorders>
          <w:top w:val="nil"/>
          <w:left w:val="nil"/>
          <w:bottom w:val="nil"/>
          <w:right w:val="nil"/>
          <w:insideH w:val="nil"/>
          <w:insideV w:val="nil"/>
        </w:tcBorders>
        <w:shd w:val="clear" w:color="auto" w:fill="FBE960" w:themeFill="accent6" w:themeFillShade="BF"/>
      </w:tcPr>
    </w:tblStylePr>
    <w:tblStylePr w:type="band1Horz">
      <w:tblPr/>
      <w:tcPr>
        <w:tcBorders>
          <w:top w:val="nil"/>
          <w:left w:val="nil"/>
          <w:bottom w:val="nil"/>
          <w:right w:val="nil"/>
          <w:insideH w:val="nil"/>
          <w:insideV w:val="nil"/>
        </w:tcBorders>
        <w:shd w:val="clear" w:color="auto" w:fill="FBE96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B74051"/>
    <w:rPr>
      <w:i/>
      <w:iCs/>
      <w:color w:val="F6BE00" w:themeColor="accent1"/>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00568"/>
    <w:rPr>
      <w:color w:val="800080" w:themeColor="followedHyperlink"/>
      <w:u w:val="single"/>
    </w:rPr>
  </w:style>
  <w:style w:type="character" w:styleId="FootnoteReference">
    <w:name w:val="footnote reference"/>
    <w:basedOn w:val="DefaultParagraphFont"/>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F6BE00" w:themeColor="accent1"/>
    </w:rPr>
  </w:style>
  <w:style w:type="paragraph" w:styleId="IntenseQuote">
    <w:name w:val="Intense Quote"/>
    <w:basedOn w:val="Normal"/>
    <w:next w:val="Normal"/>
    <w:link w:val="IntenseQuoteChar"/>
    <w:uiPriority w:val="30"/>
    <w:semiHidden/>
    <w:rsid w:val="00C00568"/>
    <w:pPr>
      <w:pBdr>
        <w:bottom w:val="single" w:sz="4" w:space="4" w:color="F6BE00" w:themeColor="accent1"/>
      </w:pBdr>
      <w:spacing w:before="200" w:after="280"/>
      <w:ind w:left="936" w:right="936"/>
    </w:pPr>
    <w:rPr>
      <w:b/>
      <w:bCs/>
      <w:i/>
      <w:iCs/>
      <w:color w:val="F6BE00" w:themeColor="accent1"/>
    </w:rPr>
  </w:style>
  <w:style w:type="character" w:customStyle="1" w:styleId="IntenseQuoteChar">
    <w:name w:val="Intense Quote Char"/>
    <w:basedOn w:val="DefaultParagraphFont"/>
    <w:link w:val="IntenseQuote"/>
    <w:uiPriority w:val="30"/>
    <w:semiHidden/>
    <w:rsid w:val="00C00568"/>
    <w:rPr>
      <w:b/>
      <w:bCs/>
      <w:i/>
      <w:iCs/>
      <w:color w:val="F6BE00" w:themeColor="accent1"/>
    </w:rPr>
  </w:style>
  <w:style w:type="character" w:styleId="IntenseReference">
    <w:name w:val="Intense Reference"/>
    <w:basedOn w:val="DefaultParagraphFont"/>
    <w:uiPriority w:val="32"/>
    <w:semiHidden/>
    <w:rsid w:val="00C00568"/>
    <w:rPr>
      <w:b/>
      <w:bCs/>
      <w:smallCaps/>
      <w:color w:val="FDDA24"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insideH w:val="single" w:sz="8" w:space="0" w:color="F6BE00" w:themeColor="accent1"/>
        <w:insideV w:val="single" w:sz="8" w:space="0" w:color="F6BE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BE00" w:themeColor="accent1"/>
          <w:left w:val="single" w:sz="8" w:space="0" w:color="F6BE00" w:themeColor="accent1"/>
          <w:bottom w:val="single" w:sz="18" w:space="0" w:color="F6BE00" w:themeColor="accent1"/>
          <w:right w:val="single" w:sz="8" w:space="0" w:color="F6BE00" w:themeColor="accent1"/>
          <w:insideH w:val="nil"/>
          <w:insideV w:val="single" w:sz="8" w:space="0" w:color="F6BE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BE00" w:themeColor="accent1"/>
          <w:left w:val="single" w:sz="8" w:space="0" w:color="F6BE00" w:themeColor="accent1"/>
          <w:bottom w:val="single" w:sz="8" w:space="0" w:color="F6BE00" w:themeColor="accent1"/>
          <w:right w:val="single" w:sz="8" w:space="0" w:color="F6BE00" w:themeColor="accent1"/>
          <w:insideH w:val="nil"/>
          <w:insideV w:val="single" w:sz="8" w:space="0" w:color="F6BE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tblStylePr w:type="band1Vert">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shd w:val="clear" w:color="auto" w:fill="FFEFBD" w:themeFill="accent1" w:themeFillTint="3F"/>
      </w:tcPr>
    </w:tblStylePr>
    <w:tblStylePr w:type="band1Horz">
      <w:tblPr/>
      <w:tcPr>
        <w:tcBorders>
          <w:top w:val="single" w:sz="8" w:space="0" w:color="F6BE00" w:themeColor="accent1"/>
          <w:left w:val="single" w:sz="8" w:space="0" w:color="F6BE00" w:themeColor="accent1"/>
          <w:bottom w:val="single" w:sz="8" w:space="0" w:color="F6BE00" w:themeColor="accent1"/>
          <w:right w:val="single" w:sz="8" w:space="0" w:color="F6BE00" w:themeColor="accent1"/>
          <w:insideV w:val="single" w:sz="8" w:space="0" w:color="F6BE00" w:themeColor="accent1"/>
        </w:tcBorders>
        <w:shd w:val="clear" w:color="auto" w:fill="FFEFBD" w:themeFill="accent1" w:themeFillTint="3F"/>
      </w:tcPr>
    </w:tblStylePr>
    <w:tblStylePr w:type="band2Horz">
      <w:tblPr/>
      <w:tcPr>
        <w:tcBorders>
          <w:top w:val="single" w:sz="8" w:space="0" w:color="F6BE00" w:themeColor="accent1"/>
          <w:left w:val="single" w:sz="8" w:space="0" w:color="F6BE00" w:themeColor="accent1"/>
          <w:bottom w:val="single" w:sz="8" w:space="0" w:color="F6BE00" w:themeColor="accent1"/>
          <w:right w:val="single" w:sz="8" w:space="0" w:color="F6BE00" w:themeColor="accent1"/>
          <w:insideV w:val="single" w:sz="8" w:space="0" w:color="F6BE00"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FDDA24" w:themeColor="accent2"/>
        <w:left w:val="single" w:sz="8" w:space="0" w:color="FDDA24" w:themeColor="accent2"/>
        <w:bottom w:val="single" w:sz="8" w:space="0" w:color="FDDA24" w:themeColor="accent2"/>
        <w:right w:val="single" w:sz="8" w:space="0" w:color="FDDA24" w:themeColor="accent2"/>
        <w:insideH w:val="single" w:sz="8" w:space="0" w:color="FDDA24" w:themeColor="accent2"/>
        <w:insideV w:val="single" w:sz="8" w:space="0" w:color="FDDA2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A24" w:themeColor="accent2"/>
          <w:left w:val="single" w:sz="8" w:space="0" w:color="FDDA24" w:themeColor="accent2"/>
          <w:bottom w:val="single" w:sz="18" w:space="0" w:color="FDDA24" w:themeColor="accent2"/>
          <w:right w:val="single" w:sz="8" w:space="0" w:color="FDDA24" w:themeColor="accent2"/>
          <w:insideH w:val="nil"/>
          <w:insideV w:val="single" w:sz="8" w:space="0" w:color="FDDA2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A24" w:themeColor="accent2"/>
          <w:left w:val="single" w:sz="8" w:space="0" w:color="FDDA24" w:themeColor="accent2"/>
          <w:bottom w:val="single" w:sz="8" w:space="0" w:color="FDDA24" w:themeColor="accent2"/>
          <w:right w:val="single" w:sz="8" w:space="0" w:color="FDDA24" w:themeColor="accent2"/>
          <w:insideH w:val="nil"/>
          <w:insideV w:val="single" w:sz="8" w:space="0" w:color="FDDA2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A24" w:themeColor="accent2"/>
          <w:left w:val="single" w:sz="8" w:space="0" w:color="FDDA24" w:themeColor="accent2"/>
          <w:bottom w:val="single" w:sz="8" w:space="0" w:color="FDDA24" w:themeColor="accent2"/>
          <w:right w:val="single" w:sz="8" w:space="0" w:color="FDDA24" w:themeColor="accent2"/>
        </w:tcBorders>
      </w:tcPr>
    </w:tblStylePr>
    <w:tblStylePr w:type="band1Vert">
      <w:tblPr/>
      <w:tcPr>
        <w:tcBorders>
          <w:top w:val="single" w:sz="8" w:space="0" w:color="FDDA24" w:themeColor="accent2"/>
          <w:left w:val="single" w:sz="8" w:space="0" w:color="FDDA24" w:themeColor="accent2"/>
          <w:bottom w:val="single" w:sz="8" w:space="0" w:color="FDDA24" w:themeColor="accent2"/>
          <w:right w:val="single" w:sz="8" w:space="0" w:color="FDDA24" w:themeColor="accent2"/>
        </w:tcBorders>
        <w:shd w:val="clear" w:color="auto" w:fill="FEF5C8" w:themeFill="accent2" w:themeFillTint="3F"/>
      </w:tcPr>
    </w:tblStylePr>
    <w:tblStylePr w:type="band1Horz">
      <w:tblPr/>
      <w:tcPr>
        <w:tcBorders>
          <w:top w:val="single" w:sz="8" w:space="0" w:color="FDDA24" w:themeColor="accent2"/>
          <w:left w:val="single" w:sz="8" w:space="0" w:color="FDDA24" w:themeColor="accent2"/>
          <w:bottom w:val="single" w:sz="8" w:space="0" w:color="FDDA24" w:themeColor="accent2"/>
          <w:right w:val="single" w:sz="8" w:space="0" w:color="FDDA24" w:themeColor="accent2"/>
          <w:insideV w:val="single" w:sz="8" w:space="0" w:color="FDDA24" w:themeColor="accent2"/>
        </w:tcBorders>
        <w:shd w:val="clear" w:color="auto" w:fill="FEF5C8" w:themeFill="accent2" w:themeFillTint="3F"/>
      </w:tcPr>
    </w:tblStylePr>
    <w:tblStylePr w:type="band2Horz">
      <w:tblPr/>
      <w:tcPr>
        <w:tcBorders>
          <w:top w:val="single" w:sz="8" w:space="0" w:color="FDDA24" w:themeColor="accent2"/>
          <w:left w:val="single" w:sz="8" w:space="0" w:color="FDDA24" w:themeColor="accent2"/>
          <w:bottom w:val="single" w:sz="8" w:space="0" w:color="FDDA24" w:themeColor="accent2"/>
          <w:right w:val="single" w:sz="8" w:space="0" w:color="FDDA24" w:themeColor="accent2"/>
          <w:insideV w:val="single" w:sz="8" w:space="0" w:color="FDDA24"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FBE122" w:themeColor="accent3"/>
        <w:left w:val="single" w:sz="8" w:space="0" w:color="FBE122" w:themeColor="accent3"/>
        <w:bottom w:val="single" w:sz="8" w:space="0" w:color="FBE122" w:themeColor="accent3"/>
        <w:right w:val="single" w:sz="8" w:space="0" w:color="FBE122" w:themeColor="accent3"/>
        <w:insideH w:val="single" w:sz="8" w:space="0" w:color="FBE122" w:themeColor="accent3"/>
        <w:insideV w:val="single" w:sz="8" w:space="0" w:color="FBE1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122" w:themeColor="accent3"/>
          <w:left w:val="single" w:sz="8" w:space="0" w:color="FBE122" w:themeColor="accent3"/>
          <w:bottom w:val="single" w:sz="18" w:space="0" w:color="FBE122" w:themeColor="accent3"/>
          <w:right w:val="single" w:sz="8" w:space="0" w:color="FBE122" w:themeColor="accent3"/>
          <w:insideH w:val="nil"/>
          <w:insideV w:val="single" w:sz="8" w:space="0" w:color="FBE1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122" w:themeColor="accent3"/>
          <w:left w:val="single" w:sz="8" w:space="0" w:color="FBE122" w:themeColor="accent3"/>
          <w:bottom w:val="single" w:sz="8" w:space="0" w:color="FBE122" w:themeColor="accent3"/>
          <w:right w:val="single" w:sz="8" w:space="0" w:color="FBE122" w:themeColor="accent3"/>
          <w:insideH w:val="nil"/>
          <w:insideV w:val="single" w:sz="8" w:space="0" w:color="FBE1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122" w:themeColor="accent3"/>
          <w:left w:val="single" w:sz="8" w:space="0" w:color="FBE122" w:themeColor="accent3"/>
          <w:bottom w:val="single" w:sz="8" w:space="0" w:color="FBE122" w:themeColor="accent3"/>
          <w:right w:val="single" w:sz="8" w:space="0" w:color="FBE122" w:themeColor="accent3"/>
        </w:tcBorders>
      </w:tcPr>
    </w:tblStylePr>
    <w:tblStylePr w:type="band1Vert">
      <w:tblPr/>
      <w:tcPr>
        <w:tcBorders>
          <w:top w:val="single" w:sz="8" w:space="0" w:color="FBE122" w:themeColor="accent3"/>
          <w:left w:val="single" w:sz="8" w:space="0" w:color="FBE122" w:themeColor="accent3"/>
          <w:bottom w:val="single" w:sz="8" w:space="0" w:color="FBE122" w:themeColor="accent3"/>
          <w:right w:val="single" w:sz="8" w:space="0" w:color="FBE122" w:themeColor="accent3"/>
        </w:tcBorders>
        <w:shd w:val="clear" w:color="auto" w:fill="FEF7C8" w:themeFill="accent3" w:themeFillTint="3F"/>
      </w:tcPr>
    </w:tblStylePr>
    <w:tblStylePr w:type="band1Horz">
      <w:tblPr/>
      <w:tcPr>
        <w:tcBorders>
          <w:top w:val="single" w:sz="8" w:space="0" w:color="FBE122" w:themeColor="accent3"/>
          <w:left w:val="single" w:sz="8" w:space="0" w:color="FBE122" w:themeColor="accent3"/>
          <w:bottom w:val="single" w:sz="8" w:space="0" w:color="FBE122" w:themeColor="accent3"/>
          <w:right w:val="single" w:sz="8" w:space="0" w:color="FBE122" w:themeColor="accent3"/>
          <w:insideV w:val="single" w:sz="8" w:space="0" w:color="FBE122" w:themeColor="accent3"/>
        </w:tcBorders>
        <w:shd w:val="clear" w:color="auto" w:fill="FEF7C8" w:themeFill="accent3" w:themeFillTint="3F"/>
      </w:tcPr>
    </w:tblStylePr>
    <w:tblStylePr w:type="band2Horz">
      <w:tblPr/>
      <w:tcPr>
        <w:tcBorders>
          <w:top w:val="single" w:sz="8" w:space="0" w:color="FBE122" w:themeColor="accent3"/>
          <w:left w:val="single" w:sz="8" w:space="0" w:color="FBE122" w:themeColor="accent3"/>
          <w:bottom w:val="single" w:sz="8" w:space="0" w:color="FBE122" w:themeColor="accent3"/>
          <w:right w:val="single" w:sz="8" w:space="0" w:color="FBE122" w:themeColor="accent3"/>
          <w:insideV w:val="single" w:sz="8" w:space="0" w:color="FBE122"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insideH w:val="single" w:sz="8" w:space="0" w:color="FADE7F" w:themeColor="accent4"/>
        <w:insideV w:val="single" w:sz="8" w:space="0" w:color="FADE7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E7F" w:themeColor="accent4"/>
          <w:left w:val="single" w:sz="8" w:space="0" w:color="FADE7F" w:themeColor="accent4"/>
          <w:bottom w:val="single" w:sz="18" w:space="0" w:color="FADE7F" w:themeColor="accent4"/>
          <w:right w:val="single" w:sz="8" w:space="0" w:color="FADE7F" w:themeColor="accent4"/>
          <w:insideH w:val="nil"/>
          <w:insideV w:val="single" w:sz="8" w:space="0" w:color="FADE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E7F" w:themeColor="accent4"/>
          <w:left w:val="single" w:sz="8" w:space="0" w:color="FADE7F" w:themeColor="accent4"/>
          <w:bottom w:val="single" w:sz="8" w:space="0" w:color="FADE7F" w:themeColor="accent4"/>
          <w:right w:val="single" w:sz="8" w:space="0" w:color="FADE7F" w:themeColor="accent4"/>
          <w:insideH w:val="nil"/>
          <w:insideV w:val="single" w:sz="8" w:space="0" w:color="FADE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tblStylePr w:type="band1Vert">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shd w:val="clear" w:color="auto" w:fill="FDF6DF" w:themeFill="accent4" w:themeFillTint="3F"/>
      </w:tcPr>
    </w:tblStylePr>
    <w:tblStylePr w:type="band1Horz">
      <w:tblPr/>
      <w:tcPr>
        <w:tcBorders>
          <w:top w:val="single" w:sz="8" w:space="0" w:color="FADE7F" w:themeColor="accent4"/>
          <w:left w:val="single" w:sz="8" w:space="0" w:color="FADE7F" w:themeColor="accent4"/>
          <w:bottom w:val="single" w:sz="8" w:space="0" w:color="FADE7F" w:themeColor="accent4"/>
          <w:right w:val="single" w:sz="8" w:space="0" w:color="FADE7F" w:themeColor="accent4"/>
          <w:insideV w:val="single" w:sz="8" w:space="0" w:color="FADE7F" w:themeColor="accent4"/>
        </w:tcBorders>
        <w:shd w:val="clear" w:color="auto" w:fill="FDF6DF" w:themeFill="accent4" w:themeFillTint="3F"/>
      </w:tcPr>
    </w:tblStylePr>
    <w:tblStylePr w:type="band2Horz">
      <w:tblPr/>
      <w:tcPr>
        <w:tcBorders>
          <w:top w:val="single" w:sz="8" w:space="0" w:color="FADE7F" w:themeColor="accent4"/>
          <w:left w:val="single" w:sz="8" w:space="0" w:color="FADE7F" w:themeColor="accent4"/>
          <w:bottom w:val="single" w:sz="8" w:space="0" w:color="FADE7F" w:themeColor="accent4"/>
          <w:right w:val="single" w:sz="8" w:space="0" w:color="FADE7F" w:themeColor="accent4"/>
          <w:insideV w:val="single" w:sz="8" w:space="0" w:color="FADE7F"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FEF0A7" w:themeColor="accent5"/>
        <w:left w:val="single" w:sz="8" w:space="0" w:color="FEF0A7" w:themeColor="accent5"/>
        <w:bottom w:val="single" w:sz="8" w:space="0" w:color="FEF0A7" w:themeColor="accent5"/>
        <w:right w:val="single" w:sz="8" w:space="0" w:color="FEF0A7" w:themeColor="accent5"/>
        <w:insideH w:val="single" w:sz="8" w:space="0" w:color="FEF0A7" w:themeColor="accent5"/>
        <w:insideV w:val="single" w:sz="8" w:space="0" w:color="FEF0A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F0A7" w:themeColor="accent5"/>
          <w:left w:val="single" w:sz="8" w:space="0" w:color="FEF0A7" w:themeColor="accent5"/>
          <w:bottom w:val="single" w:sz="18" w:space="0" w:color="FEF0A7" w:themeColor="accent5"/>
          <w:right w:val="single" w:sz="8" w:space="0" w:color="FEF0A7" w:themeColor="accent5"/>
          <w:insideH w:val="nil"/>
          <w:insideV w:val="single" w:sz="8" w:space="0" w:color="FEF0A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F0A7" w:themeColor="accent5"/>
          <w:left w:val="single" w:sz="8" w:space="0" w:color="FEF0A7" w:themeColor="accent5"/>
          <w:bottom w:val="single" w:sz="8" w:space="0" w:color="FEF0A7" w:themeColor="accent5"/>
          <w:right w:val="single" w:sz="8" w:space="0" w:color="FEF0A7" w:themeColor="accent5"/>
          <w:insideH w:val="nil"/>
          <w:insideV w:val="single" w:sz="8" w:space="0" w:color="FEF0A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F0A7" w:themeColor="accent5"/>
          <w:left w:val="single" w:sz="8" w:space="0" w:color="FEF0A7" w:themeColor="accent5"/>
          <w:bottom w:val="single" w:sz="8" w:space="0" w:color="FEF0A7" w:themeColor="accent5"/>
          <w:right w:val="single" w:sz="8" w:space="0" w:color="FEF0A7" w:themeColor="accent5"/>
        </w:tcBorders>
      </w:tcPr>
    </w:tblStylePr>
    <w:tblStylePr w:type="band1Vert">
      <w:tblPr/>
      <w:tcPr>
        <w:tcBorders>
          <w:top w:val="single" w:sz="8" w:space="0" w:color="FEF0A7" w:themeColor="accent5"/>
          <w:left w:val="single" w:sz="8" w:space="0" w:color="FEF0A7" w:themeColor="accent5"/>
          <w:bottom w:val="single" w:sz="8" w:space="0" w:color="FEF0A7" w:themeColor="accent5"/>
          <w:right w:val="single" w:sz="8" w:space="0" w:color="FEF0A7" w:themeColor="accent5"/>
        </w:tcBorders>
        <w:shd w:val="clear" w:color="auto" w:fill="FEFBE9" w:themeFill="accent5" w:themeFillTint="3F"/>
      </w:tcPr>
    </w:tblStylePr>
    <w:tblStylePr w:type="band1Horz">
      <w:tblPr/>
      <w:tcPr>
        <w:tcBorders>
          <w:top w:val="single" w:sz="8" w:space="0" w:color="FEF0A7" w:themeColor="accent5"/>
          <w:left w:val="single" w:sz="8" w:space="0" w:color="FEF0A7" w:themeColor="accent5"/>
          <w:bottom w:val="single" w:sz="8" w:space="0" w:color="FEF0A7" w:themeColor="accent5"/>
          <w:right w:val="single" w:sz="8" w:space="0" w:color="FEF0A7" w:themeColor="accent5"/>
          <w:insideV w:val="single" w:sz="8" w:space="0" w:color="FEF0A7" w:themeColor="accent5"/>
        </w:tcBorders>
        <w:shd w:val="clear" w:color="auto" w:fill="FEFBE9" w:themeFill="accent5" w:themeFillTint="3F"/>
      </w:tcPr>
    </w:tblStylePr>
    <w:tblStylePr w:type="band2Horz">
      <w:tblPr/>
      <w:tcPr>
        <w:tcBorders>
          <w:top w:val="single" w:sz="8" w:space="0" w:color="FEF0A7" w:themeColor="accent5"/>
          <w:left w:val="single" w:sz="8" w:space="0" w:color="FEF0A7" w:themeColor="accent5"/>
          <w:bottom w:val="single" w:sz="8" w:space="0" w:color="FEF0A7" w:themeColor="accent5"/>
          <w:right w:val="single" w:sz="8" w:space="0" w:color="FEF0A7" w:themeColor="accent5"/>
          <w:insideV w:val="single" w:sz="8" w:space="0" w:color="FEF0A7"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FEF9D3" w:themeColor="accent6"/>
        <w:left w:val="single" w:sz="8" w:space="0" w:color="FEF9D3" w:themeColor="accent6"/>
        <w:bottom w:val="single" w:sz="8" w:space="0" w:color="FEF9D3" w:themeColor="accent6"/>
        <w:right w:val="single" w:sz="8" w:space="0" w:color="FEF9D3" w:themeColor="accent6"/>
        <w:insideH w:val="single" w:sz="8" w:space="0" w:color="FEF9D3" w:themeColor="accent6"/>
        <w:insideV w:val="single" w:sz="8" w:space="0" w:color="FEF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F9D3" w:themeColor="accent6"/>
          <w:left w:val="single" w:sz="8" w:space="0" w:color="FEF9D3" w:themeColor="accent6"/>
          <w:bottom w:val="single" w:sz="18" w:space="0" w:color="FEF9D3" w:themeColor="accent6"/>
          <w:right w:val="single" w:sz="8" w:space="0" w:color="FEF9D3" w:themeColor="accent6"/>
          <w:insideH w:val="nil"/>
          <w:insideV w:val="single" w:sz="8" w:space="0" w:color="FEF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F9D3" w:themeColor="accent6"/>
          <w:left w:val="single" w:sz="8" w:space="0" w:color="FEF9D3" w:themeColor="accent6"/>
          <w:bottom w:val="single" w:sz="8" w:space="0" w:color="FEF9D3" w:themeColor="accent6"/>
          <w:right w:val="single" w:sz="8" w:space="0" w:color="FEF9D3" w:themeColor="accent6"/>
          <w:insideH w:val="nil"/>
          <w:insideV w:val="single" w:sz="8" w:space="0" w:color="FEF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F9D3" w:themeColor="accent6"/>
          <w:left w:val="single" w:sz="8" w:space="0" w:color="FEF9D3" w:themeColor="accent6"/>
          <w:bottom w:val="single" w:sz="8" w:space="0" w:color="FEF9D3" w:themeColor="accent6"/>
          <w:right w:val="single" w:sz="8" w:space="0" w:color="FEF9D3" w:themeColor="accent6"/>
        </w:tcBorders>
      </w:tcPr>
    </w:tblStylePr>
    <w:tblStylePr w:type="band1Vert">
      <w:tblPr/>
      <w:tcPr>
        <w:tcBorders>
          <w:top w:val="single" w:sz="8" w:space="0" w:color="FEF9D3" w:themeColor="accent6"/>
          <w:left w:val="single" w:sz="8" w:space="0" w:color="FEF9D3" w:themeColor="accent6"/>
          <w:bottom w:val="single" w:sz="8" w:space="0" w:color="FEF9D3" w:themeColor="accent6"/>
          <w:right w:val="single" w:sz="8" w:space="0" w:color="FEF9D3" w:themeColor="accent6"/>
        </w:tcBorders>
        <w:shd w:val="clear" w:color="auto" w:fill="FEFDF3" w:themeFill="accent6" w:themeFillTint="3F"/>
      </w:tcPr>
    </w:tblStylePr>
    <w:tblStylePr w:type="band1Horz">
      <w:tblPr/>
      <w:tcPr>
        <w:tcBorders>
          <w:top w:val="single" w:sz="8" w:space="0" w:color="FEF9D3" w:themeColor="accent6"/>
          <w:left w:val="single" w:sz="8" w:space="0" w:color="FEF9D3" w:themeColor="accent6"/>
          <w:bottom w:val="single" w:sz="8" w:space="0" w:color="FEF9D3" w:themeColor="accent6"/>
          <w:right w:val="single" w:sz="8" w:space="0" w:color="FEF9D3" w:themeColor="accent6"/>
          <w:insideV w:val="single" w:sz="8" w:space="0" w:color="FEF9D3" w:themeColor="accent6"/>
        </w:tcBorders>
        <w:shd w:val="clear" w:color="auto" w:fill="FEFDF3" w:themeFill="accent6" w:themeFillTint="3F"/>
      </w:tcPr>
    </w:tblStylePr>
    <w:tblStylePr w:type="band2Horz">
      <w:tblPr/>
      <w:tcPr>
        <w:tcBorders>
          <w:top w:val="single" w:sz="8" w:space="0" w:color="FEF9D3" w:themeColor="accent6"/>
          <w:left w:val="single" w:sz="8" w:space="0" w:color="FEF9D3" w:themeColor="accent6"/>
          <w:bottom w:val="single" w:sz="8" w:space="0" w:color="FEF9D3" w:themeColor="accent6"/>
          <w:right w:val="single" w:sz="8" w:space="0" w:color="FEF9D3" w:themeColor="accent6"/>
          <w:insideV w:val="single" w:sz="8" w:space="0" w:color="FEF9D3"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tblBorders>
    </w:tblPr>
    <w:tblStylePr w:type="firstRow">
      <w:pPr>
        <w:spacing w:before="0" w:after="0" w:line="240" w:lineRule="auto"/>
      </w:pPr>
      <w:rPr>
        <w:b/>
        <w:bCs/>
        <w:color w:val="FFFFFF" w:themeColor="background1"/>
      </w:rPr>
      <w:tblPr/>
      <w:tcPr>
        <w:shd w:val="clear" w:color="auto" w:fill="F6BE00" w:themeFill="accent1"/>
      </w:tcPr>
    </w:tblStylePr>
    <w:tblStylePr w:type="lastRow">
      <w:pPr>
        <w:spacing w:before="0" w:after="0" w:line="240" w:lineRule="auto"/>
      </w:pPr>
      <w:rPr>
        <w:b/>
        <w:bCs/>
      </w:rPr>
      <w:tblPr/>
      <w:tcPr>
        <w:tcBorders>
          <w:top w:val="double" w:sz="6" w:space="0" w:color="F6BE00" w:themeColor="accent1"/>
          <w:left w:val="single" w:sz="8" w:space="0" w:color="F6BE00" w:themeColor="accent1"/>
          <w:bottom w:val="single" w:sz="8" w:space="0" w:color="F6BE00" w:themeColor="accent1"/>
          <w:right w:val="single" w:sz="8" w:space="0" w:color="F6BE00" w:themeColor="accent1"/>
        </w:tcBorders>
      </w:tcPr>
    </w:tblStylePr>
    <w:tblStylePr w:type="firstCol">
      <w:rPr>
        <w:b/>
        <w:bCs/>
      </w:rPr>
    </w:tblStylePr>
    <w:tblStylePr w:type="lastCol">
      <w:rPr>
        <w:b/>
        <w:bCs/>
      </w:rPr>
    </w:tblStylePr>
    <w:tblStylePr w:type="band1Vert">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tblStylePr w:type="band1Horz">
      <w:tblPr/>
      <w:tcPr>
        <w:tcBorders>
          <w:top w:val="single" w:sz="8" w:space="0" w:color="F6BE00" w:themeColor="accent1"/>
          <w:left w:val="single" w:sz="8" w:space="0" w:color="F6BE00" w:themeColor="accent1"/>
          <w:bottom w:val="single" w:sz="8" w:space="0" w:color="F6BE00" w:themeColor="accent1"/>
          <w:right w:val="single" w:sz="8" w:space="0" w:color="F6BE00"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FDDA24" w:themeColor="accent2"/>
        <w:left w:val="single" w:sz="8" w:space="0" w:color="FDDA24" w:themeColor="accent2"/>
        <w:bottom w:val="single" w:sz="8" w:space="0" w:color="FDDA24" w:themeColor="accent2"/>
        <w:right w:val="single" w:sz="8" w:space="0" w:color="FDDA24" w:themeColor="accent2"/>
      </w:tblBorders>
    </w:tblPr>
    <w:tblStylePr w:type="firstRow">
      <w:pPr>
        <w:spacing w:before="0" w:after="0" w:line="240" w:lineRule="auto"/>
      </w:pPr>
      <w:rPr>
        <w:b/>
        <w:bCs/>
        <w:color w:val="FFFFFF" w:themeColor="background1"/>
      </w:rPr>
      <w:tblPr/>
      <w:tcPr>
        <w:shd w:val="clear" w:color="auto" w:fill="FDDA24" w:themeFill="accent2"/>
      </w:tcPr>
    </w:tblStylePr>
    <w:tblStylePr w:type="lastRow">
      <w:pPr>
        <w:spacing w:before="0" w:after="0" w:line="240" w:lineRule="auto"/>
      </w:pPr>
      <w:rPr>
        <w:b/>
        <w:bCs/>
      </w:rPr>
      <w:tblPr/>
      <w:tcPr>
        <w:tcBorders>
          <w:top w:val="double" w:sz="6" w:space="0" w:color="FDDA24" w:themeColor="accent2"/>
          <w:left w:val="single" w:sz="8" w:space="0" w:color="FDDA24" w:themeColor="accent2"/>
          <w:bottom w:val="single" w:sz="8" w:space="0" w:color="FDDA24" w:themeColor="accent2"/>
          <w:right w:val="single" w:sz="8" w:space="0" w:color="FDDA24" w:themeColor="accent2"/>
        </w:tcBorders>
      </w:tcPr>
    </w:tblStylePr>
    <w:tblStylePr w:type="firstCol">
      <w:rPr>
        <w:b/>
        <w:bCs/>
      </w:rPr>
    </w:tblStylePr>
    <w:tblStylePr w:type="lastCol">
      <w:rPr>
        <w:b/>
        <w:bCs/>
      </w:rPr>
    </w:tblStylePr>
    <w:tblStylePr w:type="band1Vert">
      <w:tblPr/>
      <w:tcPr>
        <w:tcBorders>
          <w:top w:val="single" w:sz="8" w:space="0" w:color="FDDA24" w:themeColor="accent2"/>
          <w:left w:val="single" w:sz="8" w:space="0" w:color="FDDA24" w:themeColor="accent2"/>
          <w:bottom w:val="single" w:sz="8" w:space="0" w:color="FDDA24" w:themeColor="accent2"/>
          <w:right w:val="single" w:sz="8" w:space="0" w:color="FDDA24" w:themeColor="accent2"/>
        </w:tcBorders>
      </w:tcPr>
    </w:tblStylePr>
    <w:tblStylePr w:type="band1Horz">
      <w:tblPr/>
      <w:tcPr>
        <w:tcBorders>
          <w:top w:val="single" w:sz="8" w:space="0" w:color="FDDA24" w:themeColor="accent2"/>
          <w:left w:val="single" w:sz="8" w:space="0" w:color="FDDA24" w:themeColor="accent2"/>
          <w:bottom w:val="single" w:sz="8" w:space="0" w:color="FDDA24" w:themeColor="accent2"/>
          <w:right w:val="single" w:sz="8" w:space="0" w:color="FDDA24"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FBE122" w:themeColor="accent3"/>
        <w:left w:val="single" w:sz="8" w:space="0" w:color="FBE122" w:themeColor="accent3"/>
        <w:bottom w:val="single" w:sz="8" w:space="0" w:color="FBE122" w:themeColor="accent3"/>
        <w:right w:val="single" w:sz="8" w:space="0" w:color="FBE122" w:themeColor="accent3"/>
      </w:tblBorders>
    </w:tblPr>
    <w:tblStylePr w:type="firstRow">
      <w:pPr>
        <w:spacing w:before="0" w:after="0" w:line="240" w:lineRule="auto"/>
      </w:pPr>
      <w:rPr>
        <w:b/>
        <w:bCs/>
        <w:color w:val="FFFFFF" w:themeColor="background1"/>
      </w:rPr>
      <w:tblPr/>
      <w:tcPr>
        <w:shd w:val="clear" w:color="auto" w:fill="FBE122" w:themeFill="accent3"/>
      </w:tcPr>
    </w:tblStylePr>
    <w:tblStylePr w:type="lastRow">
      <w:pPr>
        <w:spacing w:before="0" w:after="0" w:line="240" w:lineRule="auto"/>
      </w:pPr>
      <w:rPr>
        <w:b/>
        <w:bCs/>
      </w:rPr>
      <w:tblPr/>
      <w:tcPr>
        <w:tcBorders>
          <w:top w:val="double" w:sz="6" w:space="0" w:color="FBE122" w:themeColor="accent3"/>
          <w:left w:val="single" w:sz="8" w:space="0" w:color="FBE122" w:themeColor="accent3"/>
          <w:bottom w:val="single" w:sz="8" w:space="0" w:color="FBE122" w:themeColor="accent3"/>
          <w:right w:val="single" w:sz="8" w:space="0" w:color="FBE122" w:themeColor="accent3"/>
        </w:tcBorders>
      </w:tcPr>
    </w:tblStylePr>
    <w:tblStylePr w:type="firstCol">
      <w:rPr>
        <w:b/>
        <w:bCs/>
      </w:rPr>
    </w:tblStylePr>
    <w:tblStylePr w:type="lastCol">
      <w:rPr>
        <w:b/>
        <w:bCs/>
      </w:rPr>
    </w:tblStylePr>
    <w:tblStylePr w:type="band1Vert">
      <w:tblPr/>
      <w:tcPr>
        <w:tcBorders>
          <w:top w:val="single" w:sz="8" w:space="0" w:color="FBE122" w:themeColor="accent3"/>
          <w:left w:val="single" w:sz="8" w:space="0" w:color="FBE122" w:themeColor="accent3"/>
          <w:bottom w:val="single" w:sz="8" w:space="0" w:color="FBE122" w:themeColor="accent3"/>
          <w:right w:val="single" w:sz="8" w:space="0" w:color="FBE122" w:themeColor="accent3"/>
        </w:tcBorders>
      </w:tcPr>
    </w:tblStylePr>
    <w:tblStylePr w:type="band1Horz">
      <w:tblPr/>
      <w:tcPr>
        <w:tcBorders>
          <w:top w:val="single" w:sz="8" w:space="0" w:color="FBE122" w:themeColor="accent3"/>
          <w:left w:val="single" w:sz="8" w:space="0" w:color="FBE122" w:themeColor="accent3"/>
          <w:bottom w:val="single" w:sz="8" w:space="0" w:color="FBE122" w:themeColor="accent3"/>
          <w:right w:val="single" w:sz="8" w:space="0" w:color="FBE122"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tblBorders>
    </w:tblPr>
    <w:tblStylePr w:type="firstRow">
      <w:pPr>
        <w:spacing w:before="0" w:after="0" w:line="240" w:lineRule="auto"/>
      </w:pPr>
      <w:rPr>
        <w:b/>
        <w:bCs/>
        <w:color w:val="FFFFFF" w:themeColor="background1"/>
      </w:rPr>
      <w:tblPr/>
      <w:tcPr>
        <w:shd w:val="clear" w:color="auto" w:fill="FADE7F" w:themeFill="accent4"/>
      </w:tcPr>
    </w:tblStylePr>
    <w:tblStylePr w:type="lastRow">
      <w:pPr>
        <w:spacing w:before="0" w:after="0" w:line="240" w:lineRule="auto"/>
      </w:pPr>
      <w:rPr>
        <w:b/>
        <w:bCs/>
      </w:rPr>
      <w:tblPr/>
      <w:tcPr>
        <w:tcBorders>
          <w:top w:val="double" w:sz="6" w:space="0" w:color="FADE7F" w:themeColor="accent4"/>
          <w:left w:val="single" w:sz="8" w:space="0" w:color="FADE7F" w:themeColor="accent4"/>
          <w:bottom w:val="single" w:sz="8" w:space="0" w:color="FADE7F" w:themeColor="accent4"/>
          <w:right w:val="single" w:sz="8" w:space="0" w:color="FADE7F" w:themeColor="accent4"/>
        </w:tcBorders>
      </w:tcPr>
    </w:tblStylePr>
    <w:tblStylePr w:type="firstCol">
      <w:rPr>
        <w:b/>
        <w:bCs/>
      </w:rPr>
    </w:tblStylePr>
    <w:tblStylePr w:type="lastCol">
      <w:rPr>
        <w:b/>
        <w:bCs/>
      </w:rPr>
    </w:tblStylePr>
    <w:tblStylePr w:type="band1Vert">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tblStylePr w:type="band1Horz">
      <w:tblPr/>
      <w:tcPr>
        <w:tcBorders>
          <w:top w:val="single" w:sz="8" w:space="0" w:color="FADE7F" w:themeColor="accent4"/>
          <w:left w:val="single" w:sz="8" w:space="0" w:color="FADE7F" w:themeColor="accent4"/>
          <w:bottom w:val="single" w:sz="8" w:space="0" w:color="FADE7F" w:themeColor="accent4"/>
          <w:right w:val="single" w:sz="8" w:space="0" w:color="FADE7F"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FEF0A7" w:themeColor="accent5"/>
        <w:left w:val="single" w:sz="8" w:space="0" w:color="FEF0A7" w:themeColor="accent5"/>
        <w:bottom w:val="single" w:sz="8" w:space="0" w:color="FEF0A7" w:themeColor="accent5"/>
        <w:right w:val="single" w:sz="8" w:space="0" w:color="FEF0A7" w:themeColor="accent5"/>
      </w:tblBorders>
    </w:tblPr>
    <w:tblStylePr w:type="firstRow">
      <w:pPr>
        <w:spacing w:before="0" w:after="0" w:line="240" w:lineRule="auto"/>
      </w:pPr>
      <w:rPr>
        <w:b/>
        <w:bCs/>
        <w:color w:val="FFFFFF" w:themeColor="background1"/>
      </w:rPr>
      <w:tblPr/>
      <w:tcPr>
        <w:shd w:val="clear" w:color="auto" w:fill="FEF0A7" w:themeFill="accent5"/>
      </w:tcPr>
    </w:tblStylePr>
    <w:tblStylePr w:type="lastRow">
      <w:pPr>
        <w:spacing w:before="0" w:after="0" w:line="240" w:lineRule="auto"/>
      </w:pPr>
      <w:rPr>
        <w:b/>
        <w:bCs/>
      </w:rPr>
      <w:tblPr/>
      <w:tcPr>
        <w:tcBorders>
          <w:top w:val="double" w:sz="6" w:space="0" w:color="FEF0A7" w:themeColor="accent5"/>
          <w:left w:val="single" w:sz="8" w:space="0" w:color="FEF0A7" w:themeColor="accent5"/>
          <w:bottom w:val="single" w:sz="8" w:space="0" w:color="FEF0A7" w:themeColor="accent5"/>
          <w:right w:val="single" w:sz="8" w:space="0" w:color="FEF0A7" w:themeColor="accent5"/>
        </w:tcBorders>
      </w:tcPr>
    </w:tblStylePr>
    <w:tblStylePr w:type="firstCol">
      <w:rPr>
        <w:b/>
        <w:bCs/>
      </w:rPr>
    </w:tblStylePr>
    <w:tblStylePr w:type="lastCol">
      <w:rPr>
        <w:b/>
        <w:bCs/>
      </w:rPr>
    </w:tblStylePr>
    <w:tblStylePr w:type="band1Vert">
      <w:tblPr/>
      <w:tcPr>
        <w:tcBorders>
          <w:top w:val="single" w:sz="8" w:space="0" w:color="FEF0A7" w:themeColor="accent5"/>
          <w:left w:val="single" w:sz="8" w:space="0" w:color="FEF0A7" w:themeColor="accent5"/>
          <w:bottom w:val="single" w:sz="8" w:space="0" w:color="FEF0A7" w:themeColor="accent5"/>
          <w:right w:val="single" w:sz="8" w:space="0" w:color="FEF0A7" w:themeColor="accent5"/>
        </w:tcBorders>
      </w:tcPr>
    </w:tblStylePr>
    <w:tblStylePr w:type="band1Horz">
      <w:tblPr/>
      <w:tcPr>
        <w:tcBorders>
          <w:top w:val="single" w:sz="8" w:space="0" w:color="FEF0A7" w:themeColor="accent5"/>
          <w:left w:val="single" w:sz="8" w:space="0" w:color="FEF0A7" w:themeColor="accent5"/>
          <w:bottom w:val="single" w:sz="8" w:space="0" w:color="FEF0A7" w:themeColor="accent5"/>
          <w:right w:val="single" w:sz="8" w:space="0" w:color="FEF0A7"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FEF9D3" w:themeColor="accent6"/>
        <w:left w:val="single" w:sz="8" w:space="0" w:color="FEF9D3" w:themeColor="accent6"/>
        <w:bottom w:val="single" w:sz="8" w:space="0" w:color="FEF9D3" w:themeColor="accent6"/>
        <w:right w:val="single" w:sz="8" w:space="0" w:color="FEF9D3" w:themeColor="accent6"/>
      </w:tblBorders>
    </w:tblPr>
    <w:tblStylePr w:type="firstRow">
      <w:pPr>
        <w:spacing w:before="0" w:after="0" w:line="240" w:lineRule="auto"/>
      </w:pPr>
      <w:rPr>
        <w:b/>
        <w:bCs/>
        <w:color w:val="FFFFFF" w:themeColor="background1"/>
      </w:rPr>
      <w:tblPr/>
      <w:tcPr>
        <w:shd w:val="clear" w:color="auto" w:fill="FEF9D3" w:themeFill="accent6"/>
      </w:tcPr>
    </w:tblStylePr>
    <w:tblStylePr w:type="lastRow">
      <w:pPr>
        <w:spacing w:before="0" w:after="0" w:line="240" w:lineRule="auto"/>
      </w:pPr>
      <w:rPr>
        <w:b/>
        <w:bCs/>
      </w:rPr>
      <w:tblPr/>
      <w:tcPr>
        <w:tcBorders>
          <w:top w:val="double" w:sz="6" w:space="0" w:color="FEF9D3" w:themeColor="accent6"/>
          <w:left w:val="single" w:sz="8" w:space="0" w:color="FEF9D3" w:themeColor="accent6"/>
          <w:bottom w:val="single" w:sz="8" w:space="0" w:color="FEF9D3" w:themeColor="accent6"/>
          <w:right w:val="single" w:sz="8" w:space="0" w:color="FEF9D3" w:themeColor="accent6"/>
        </w:tcBorders>
      </w:tcPr>
    </w:tblStylePr>
    <w:tblStylePr w:type="firstCol">
      <w:rPr>
        <w:b/>
        <w:bCs/>
      </w:rPr>
    </w:tblStylePr>
    <w:tblStylePr w:type="lastCol">
      <w:rPr>
        <w:b/>
        <w:bCs/>
      </w:rPr>
    </w:tblStylePr>
    <w:tblStylePr w:type="band1Vert">
      <w:tblPr/>
      <w:tcPr>
        <w:tcBorders>
          <w:top w:val="single" w:sz="8" w:space="0" w:color="FEF9D3" w:themeColor="accent6"/>
          <w:left w:val="single" w:sz="8" w:space="0" w:color="FEF9D3" w:themeColor="accent6"/>
          <w:bottom w:val="single" w:sz="8" w:space="0" w:color="FEF9D3" w:themeColor="accent6"/>
          <w:right w:val="single" w:sz="8" w:space="0" w:color="FEF9D3" w:themeColor="accent6"/>
        </w:tcBorders>
      </w:tcPr>
    </w:tblStylePr>
    <w:tblStylePr w:type="band1Horz">
      <w:tblPr/>
      <w:tcPr>
        <w:tcBorders>
          <w:top w:val="single" w:sz="8" w:space="0" w:color="FEF9D3" w:themeColor="accent6"/>
          <w:left w:val="single" w:sz="8" w:space="0" w:color="FEF9D3" w:themeColor="accent6"/>
          <w:bottom w:val="single" w:sz="8" w:space="0" w:color="FEF9D3" w:themeColor="accent6"/>
          <w:right w:val="single" w:sz="8" w:space="0" w:color="FEF9D3" w:themeColor="accent6"/>
        </w:tcBorders>
      </w:tcPr>
    </w:tblStylePr>
  </w:style>
  <w:style w:type="table" w:styleId="LightShading-Accent3">
    <w:name w:val="Light Shading Accent 3"/>
    <w:basedOn w:val="TableNormal"/>
    <w:uiPriority w:val="60"/>
    <w:rsid w:val="00C00568"/>
    <w:pPr>
      <w:spacing w:before="0"/>
    </w:pPr>
    <w:rPr>
      <w:color w:val="D1B804" w:themeColor="accent3" w:themeShade="BF"/>
    </w:rPr>
    <w:tblPr>
      <w:tblStyleRowBandSize w:val="1"/>
      <w:tblStyleColBandSize w:val="1"/>
      <w:tblBorders>
        <w:top w:val="single" w:sz="8" w:space="0" w:color="FBE122" w:themeColor="accent3"/>
        <w:bottom w:val="single" w:sz="8" w:space="0" w:color="FBE122" w:themeColor="accent3"/>
      </w:tblBorders>
    </w:tblPr>
    <w:tblStylePr w:type="firstRow">
      <w:pPr>
        <w:spacing w:before="0" w:after="0" w:line="240" w:lineRule="auto"/>
      </w:pPr>
      <w:rPr>
        <w:b/>
        <w:bCs/>
      </w:rPr>
      <w:tblPr/>
      <w:tcPr>
        <w:tcBorders>
          <w:top w:val="single" w:sz="8" w:space="0" w:color="FBE122" w:themeColor="accent3"/>
          <w:left w:val="nil"/>
          <w:bottom w:val="single" w:sz="8" w:space="0" w:color="FBE122" w:themeColor="accent3"/>
          <w:right w:val="nil"/>
          <w:insideH w:val="nil"/>
          <w:insideV w:val="nil"/>
        </w:tcBorders>
      </w:tcPr>
    </w:tblStylePr>
    <w:tblStylePr w:type="lastRow">
      <w:pPr>
        <w:spacing w:before="0" w:after="0" w:line="240" w:lineRule="auto"/>
      </w:pPr>
      <w:rPr>
        <w:b/>
        <w:bCs/>
      </w:rPr>
      <w:tblPr/>
      <w:tcPr>
        <w:tcBorders>
          <w:top w:val="single" w:sz="8" w:space="0" w:color="FBE122" w:themeColor="accent3"/>
          <w:left w:val="nil"/>
          <w:bottom w:val="single" w:sz="8" w:space="0" w:color="FBE1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7C8" w:themeFill="accent3" w:themeFillTint="3F"/>
      </w:tcPr>
    </w:tblStylePr>
    <w:tblStylePr w:type="band1Horz">
      <w:tblPr/>
      <w:tcPr>
        <w:tcBorders>
          <w:left w:val="nil"/>
          <w:right w:val="nil"/>
          <w:insideH w:val="nil"/>
          <w:insideV w:val="nil"/>
        </w:tcBorders>
        <w:shd w:val="clear" w:color="auto" w:fill="FEF7C8" w:themeFill="accent3" w:themeFillTint="3F"/>
      </w:tcPr>
    </w:tblStylePr>
  </w:style>
  <w:style w:type="table" w:styleId="LightShading-Accent5">
    <w:name w:val="Light Shading Accent 5"/>
    <w:basedOn w:val="TableNormal"/>
    <w:uiPriority w:val="60"/>
    <w:rsid w:val="00C00568"/>
    <w:pPr>
      <w:spacing w:before="0"/>
    </w:pPr>
    <w:rPr>
      <w:color w:val="FCDD3E" w:themeColor="accent5" w:themeShade="BF"/>
    </w:rPr>
    <w:tblPr>
      <w:tblStyleRowBandSize w:val="1"/>
      <w:tblStyleColBandSize w:val="1"/>
      <w:tblBorders>
        <w:top w:val="single" w:sz="8" w:space="0" w:color="FEF0A7" w:themeColor="accent5"/>
        <w:bottom w:val="single" w:sz="8" w:space="0" w:color="FEF0A7" w:themeColor="accent5"/>
      </w:tblBorders>
    </w:tblPr>
    <w:tblStylePr w:type="firstRow">
      <w:pPr>
        <w:spacing w:before="0" w:after="0" w:line="240" w:lineRule="auto"/>
      </w:pPr>
      <w:rPr>
        <w:b/>
        <w:bCs/>
      </w:rPr>
      <w:tblPr/>
      <w:tcPr>
        <w:tcBorders>
          <w:top w:val="single" w:sz="8" w:space="0" w:color="FEF0A7" w:themeColor="accent5"/>
          <w:left w:val="nil"/>
          <w:bottom w:val="single" w:sz="8" w:space="0" w:color="FEF0A7" w:themeColor="accent5"/>
          <w:right w:val="nil"/>
          <w:insideH w:val="nil"/>
          <w:insideV w:val="nil"/>
        </w:tcBorders>
      </w:tcPr>
    </w:tblStylePr>
    <w:tblStylePr w:type="lastRow">
      <w:pPr>
        <w:spacing w:before="0" w:after="0" w:line="240" w:lineRule="auto"/>
      </w:pPr>
      <w:rPr>
        <w:b/>
        <w:bCs/>
      </w:rPr>
      <w:tblPr/>
      <w:tcPr>
        <w:tcBorders>
          <w:top w:val="single" w:sz="8" w:space="0" w:color="FEF0A7" w:themeColor="accent5"/>
          <w:left w:val="nil"/>
          <w:bottom w:val="single" w:sz="8" w:space="0" w:color="FEF0A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BE9" w:themeFill="accent5" w:themeFillTint="3F"/>
      </w:tcPr>
    </w:tblStylePr>
    <w:tblStylePr w:type="band1Horz">
      <w:tblPr/>
      <w:tcPr>
        <w:tcBorders>
          <w:left w:val="nil"/>
          <w:right w:val="nil"/>
          <w:insideH w:val="nil"/>
          <w:insideV w:val="nil"/>
        </w:tcBorders>
        <w:shd w:val="clear" w:color="auto" w:fill="FEFBE9" w:themeFill="accent5" w:themeFillTint="3F"/>
      </w:tcPr>
    </w:tblStylePr>
  </w:style>
  <w:style w:type="table" w:styleId="LightShading-Accent6">
    <w:name w:val="Light Shading Accent 6"/>
    <w:basedOn w:val="TableNormal"/>
    <w:uiPriority w:val="60"/>
    <w:rsid w:val="00C00568"/>
    <w:pPr>
      <w:spacing w:before="0"/>
    </w:pPr>
    <w:rPr>
      <w:color w:val="FBE960" w:themeColor="accent6" w:themeShade="BF"/>
    </w:rPr>
    <w:tblPr>
      <w:tblStyleRowBandSize w:val="1"/>
      <w:tblStyleColBandSize w:val="1"/>
      <w:tblBorders>
        <w:top w:val="single" w:sz="8" w:space="0" w:color="FEF9D3" w:themeColor="accent6"/>
        <w:bottom w:val="single" w:sz="8" w:space="0" w:color="FEF9D3" w:themeColor="accent6"/>
      </w:tblBorders>
    </w:tblPr>
    <w:tblStylePr w:type="firstRow">
      <w:pPr>
        <w:spacing w:before="0" w:after="0" w:line="240" w:lineRule="auto"/>
      </w:pPr>
      <w:rPr>
        <w:b/>
        <w:bCs/>
      </w:rPr>
      <w:tblPr/>
      <w:tcPr>
        <w:tcBorders>
          <w:top w:val="single" w:sz="8" w:space="0" w:color="FEF9D3" w:themeColor="accent6"/>
          <w:left w:val="nil"/>
          <w:bottom w:val="single" w:sz="8" w:space="0" w:color="FEF9D3" w:themeColor="accent6"/>
          <w:right w:val="nil"/>
          <w:insideH w:val="nil"/>
          <w:insideV w:val="nil"/>
        </w:tcBorders>
      </w:tcPr>
    </w:tblStylePr>
    <w:tblStylePr w:type="lastRow">
      <w:pPr>
        <w:spacing w:before="0" w:after="0" w:line="240" w:lineRule="auto"/>
      </w:pPr>
      <w:rPr>
        <w:b/>
        <w:bCs/>
      </w:rPr>
      <w:tblPr/>
      <w:tcPr>
        <w:tcBorders>
          <w:top w:val="single" w:sz="8" w:space="0" w:color="FEF9D3" w:themeColor="accent6"/>
          <w:left w:val="nil"/>
          <w:bottom w:val="single" w:sz="8" w:space="0" w:color="FEF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DF3" w:themeFill="accent6" w:themeFillTint="3F"/>
      </w:tcPr>
    </w:tblStylePr>
    <w:tblStylePr w:type="band1Horz">
      <w:tblPr/>
      <w:tcPr>
        <w:tcBorders>
          <w:left w:val="nil"/>
          <w:right w:val="nil"/>
          <w:insideH w:val="nil"/>
          <w:insideV w:val="nil"/>
        </w:tcBorders>
        <w:shd w:val="clear" w:color="auto" w:fill="FEFDF3"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FFD139" w:themeColor="accent1" w:themeTint="BF"/>
        <w:left w:val="single" w:sz="8" w:space="0" w:color="FFD139" w:themeColor="accent1" w:themeTint="BF"/>
        <w:bottom w:val="single" w:sz="8" w:space="0" w:color="FFD139" w:themeColor="accent1" w:themeTint="BF"/>
        <w:right w:val="single" w:sz="8" w:space="0" w:color="FFD139" w:themeColor="accent1" w:themeTint="BF"/>
        <w:insideH w:val="single" w:sz="8" w:space="0" w:color="FFD139" w:themeColor="accent1" w:themeTint="BF"/>
        <w:insideV w:val="single" w:sz="8" w:space="0" w:color="FFD139" w:themeColor="accent1" w:themeTint="BF"/>
      </w:tblBorders>
    </w:tblPr>
    <w:tcPr>
      <w:shd w:val="clear" w:color="auto" w:fill="FFEFBD" w:themeFill="accent1" w:themeFillTint="3F"/>
    </w:tcPr>
    <w:tblStylePr w:type="firstRow">
      <w:rPr>
        <w:b/>
        <w:bCs/>
      </w:rPr>
    </w:tblStylePr>
    <w:tblStylePr w:type="lastRow">
      <w:rPr>
        <w:b/>
        <w:bCs/>
      </w:rPr>
      <w:tblPr/>
      <w:tcPr>
        <w:tcBorders>
          <w:top w:val="single" w:sz="18" w:space="0" w:color="FFD139" w:themeColor="accent1" w:themeTint="BF"/>
        </w:tcBorders>
      </w:tcPr>
    </w:tblStylePr>
    <w:tblStylePr w:type="firstCol">
      <w:rPr>
        <w:b/>
        <w:bCs/>
      </w:rPr>
    </w:tblStylePr>
    <w:tblStylePr w:type="lastCol">
      <w:rPr>
        <w:b/>
        <w:bCs/>
      </w:rPr>
    </w:tblStylePr>
    <w:tblStylePr w:type="band1Vert">
      <w:tblPr/>
      <w:tcPr>
        <w:shd w:val="clear" w:color="auto" w:fill="FFE07B" w:themeFill="accent1" w:themeFillTint="7F"/>
      </w:tcPr>
    </w:tblStylePr>
    <w:tblStylePr w:type="band1Horz">
      <w:tblPr/>
      <w:tcPr>
        <w:shd w:val="clear" w:color="auto" w:fill="FFE07B"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FDE25A" w:themeColor="accent2" w:themeTint="BF"/>
        <w:left w:val="single" w:sz="8" w:space="0" w:color="FDE25A" w:themeColor="accent2" w:themeTint="BF"/>
        <w:bottom w:val="single" w:sz="8" w:space="0" w:color="FDE25A" w:themeColor="accent2" w:themeTint="BF"/>
        <w:right w:val="single" w:sz="8" w:space="0" w:color="FDE25A" w:themeColor="accent2" w:themeTint="BF"/>
        <w:insideH w:val="single" w:sz="8" w:space="0" w:color="FDE25A" w:themeColor="accent2" w:themeTint="BF"/>
        <w:insideV w:val="single" w:sz="8" w:space="0" w:color="FDE25A" w:themeColor="accent2" w:themeTint="BF"/>
      </w:tblBorders>
    </w:tblPr>
    <w:tcPr>
      <w:shd w:val="clear" w:color="auto" w:fill="FEF5C8" w:themeFill="accent2" w:themeFillTint="3F"/>
    </w:tcPr>
    <w:tblStylePr w:type="firstRow">
      <w:rPr>
        <w:b/>
        <w:bCs/>
      </w:rPr>
    </w:tblStylePr>
    <w:tblStylePr w:type="lastRow">
      <w:rPr>
        <w:b/>
        <w:bCs/>
      </w:rPr>
      <w:tblPr/>
      <w:tcPr>
        <w:tcBorders>
          <w:top w:val="single" w:sz="18" w:space="0" w:color="FDE25A" w:themeColor="accent2" w:themeTint="BF"/>
        </w:tcBorders>
      </w:tcPr>
    </w:tblStylePr>
    <w:tblStylePr w:type="firstCol">
      <w:rPr>
        <w:b/>
        <w:bCs/>
      </w:rPr>
    </w:tblStylePr>
    <w:tblStylePr w:type="lastCol">
      <w:rPr>
        <w:b/>
        <w:bCs/>
      </w:rPr>
    </w:tblStylePr>
    <w:tblStylePr w:type="band1Vert">
      <w:tblPr/>
      <w:tcPr>
        <w:shd w:val="clear" w:color="auto" w:fill="FEEC91" w:themeFill="accent2" w:themeFillTint="7F"/>
      </w:tcPr>
    </w:tblStylePr>
    <w:tblStylePr w:type="band1Horz">
      <w:tblPr/>
      <w:tcPr>
        <w:shd w:val="clear" w:color="auto" w:fill="FEEC91"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FCE859" w:themeColor="accent3" w:themeTint="BF"/>
        <w:left w:val="single" w:sz="8" w:space="0" w:color="FCE859" w:themeColor="accent3" w:themeTint="BF"/>
        <w:bottom w:val="single" w:sz="8" w:space="0" w:color="FCE859" w:themeColor="accent3" w:themeTint="BF"/>
        <w:right w:val="single" w:sz="8" w:space="0" w:color="FCE859" w:themeColor="accent3" w:themeTint="BF"/>
        <w:insideH w:val="single" w:sz="8" w:space="0" w:color="FCE859" w:themeColor="accent3" w:themeTint="BF"/>
        <w:insideV w:val="single" w:sz="8" w:space="0" w:color="FCE859" w:themeColor="accent3" w:themeTint="BF"/>
      </w:tblBorders>
    </w:tblPr>
    <w:tcPr>
      <w:shd w:val="clear" w:color="auto" w:fill="FEF7C8" w:themeFill="accent3" w:themeFillTint="3F"/>
    </w:tcPr>
    <w:tblStylePr w:type="firstRow">
      <w:rPr>
        <w:b/>
        <w:bCs/>
      </w:rPr>
    </w:tblStylePr>
    <w:tblStylePr w:type="lastRow">
      <w:rPr>
        <w:b/>
        <w:bCs/>
      </w:rPr>
      <w:tblPr/>
      <w:tcPr>
        <w:tcBorders>
          <w:top w:val="single" w:sz="18" w:space="0" w:color="FCE859" w:themeColor="accent3" w:themeTint="BF"/>
        </w:tcBorders>
      </w:tcPr>
    </w:tblStylePr>
    <w:tblStylePr w:type="firstCol">
      <w:rPr>
        <w:b/>
        <w:bCs/>
      </w:rPr>
    </w:tblStylePr>
    <w:tblStylePr w:type="lastCol">
      <w:rPr>
        <w:b/>
        <w:bCs/>
      </w:rPr>
    </w:tblStylePr>
    <w:tblStylePr w:type="band1Vert">
      <w:tblPr/>
      <w:tcPr>
        <w:shd w:val="clear" w:color="auto" w:fill="FDEF90" w:themeFill="accent3" w:themeFillTint="7F"/>
      </w:tcPr>
    </w:tblStylePr>
    <w:tblStylePr w:type="band1Horz">
      <w:tblPr/>
      <w:tcPr>
        <w:shd w:val="clear" w:color="auto" w:fill="FDEF90"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FBE59F" w:themeColor="accent4" w:themeTint="BF"/>
        <w:left w:val="single" w:sz="8" w:space="0" w:color="FBE59F" w:themeColor="accent4" w:themeTint="BF"/>
        <w:bottom w:val="single" w:sz="8" w:space="0" w:color="FBE59F" w:themeColor="accent4" w:themeTint="BF"/>
        <w:right w:val="single" w:sz="8" w:space="0" w:color="FBE59F" w:themeColor="accent4" w:themeTint="BF"/>
        <w:insideH w:val="single" w:sz="8" w:space="0" w:color="FBE59F" w:themeColor="accent4" w:themeTint="BF"/>
        <w:insideV w:val="single" w:sz="8" w:space="0" w:color="FBE59F" w:themeColor="accent4" w:themeTint="BF"/>
      </w:tblBorders>
    </w:tblPr>
    <w:tcPr>
      <w:shd w:val="clear" w:color="auto" w:fill="FDF6DF" w:themeFill="accent4" w:themeFillTint="3F"/>
    </w:tcPr>
    <w:tblStylePr w:type="firstRow">
      <w:rPr>
        <w:b/>
        <w:bCs/>
      </w:rPr>
    </w:tblStylePr>
    <w:tblStylePr w:type="lastRow">
      <w:rPr>
        <w:b/>
        <w:bCs/>
      </w:rPr>
      <w:tblPr/>
      <w:tcPr>
        <w:tcBorders>
          <w:top w:val="single" w:sz="18" w:space="0" w:color="FBE59F" w:themeColor="accent4" w:themeTint="BF"/>
        </w:tcBorders>
      </w:tcPr>
    </w:tblStylePr>
    <w:tblStylePr w:type="firstCol">
      <w:rPr>
        <w:b/>
        <w:bCs/>
      </w:rPr>
    </w:tblStylePr>
    <w:tblStylePr w:type="lastCol">
      <w:rPr>
        <w:b/>
        <w:bCs/>
      </w:rPr>
    </w:tblStylePr>
    <w:tblStylePr w:type="band1Vert">
      <w:tblPr/>
      <w:tcPr>
        <w:shd w:val="clear" w:color="auto" w:fill="FCEEBF" w:themeFill="accent4" w:themeFillTint="7F"/>
      </w:tcPr>
    </w:tblStylePr>
    <w:tblStylePr w:type="band1Horz">
      <w:tblPr/>
      <w:tcPr>
        <w:shd w:val="clear" w:color="auto" w:fill="FCEEB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FEF3BD" w:themeColor="accent5" w:themeTint="BF"/>
        <w:left w:val="single" w:sz="8" w:space="0" w:color="FEF3BD" w:themeColor="accent5" w:themeTint="BF"/>
        <w:bottom w:val="single" w:sz="8" w:space="0" w:color="FEF3BD" w:themeColor="accent5" w:themeTint="BF"/>
        <w:right w:val="single" w:sz="8" w:space="0" w:color="FEF3BD" w:themeColor="accent5" w:themeTint="BF"/>
        <w:insideH w:val="single" w:sz="8" w:space="0" w:color="FEF3BD" w:themeColor="accent5" w:themeTint="BF"/>
        <w:insideV w:val="single" w:sz="8" w:space="0" w:color="FEF3BD" w:themeColor="accent5" w:themeTint="BF"/>
      </w:tblBorders>
    </w:tblPr>
    <w:tcPr>
      <w:shd w:val="clear" w:color="auto" w:fill="FEFBE9" w:themeFill="accent5" w:themeFillTint="3F"/>
    </w:tcPr>
    <w:tblStylePr w:type="firstRow">
      <w:rPr>
        <w:b/>
        <w:bCs/>
      </w:rPr>
    </w:tblStylePr>
    <w:tblStylePr w:type="lastRow">
      <w:rPr>
        <w:b/>
        <w:bCs/>
      </w:rPr>
      <w:tblPr/>
      <w:tcPr>
        <w:tcBorders>
          <w:top w:val="single" w:sz="18" w:space="0" w:color="FEF3BD" w:themeColor="accent5" w:themeTint="BF"/>
        </w:tcBorders>
      </w:tcPr>
    </w:tblStylePr>
    <w:tblStylePr w:type="firstCol">
      <w:rPr>
        <w:b/>
        <w:bCs/>
      </w:rPr>
    </w:tblStylePr>
    <w:tblStylePr w:type="lastCol">
      <w:rPr>
        <w:b/>
        <w:bCs/>
      </w:rPr>
    </w:tblStylePr>
    <w:tblStylePr w:type="band1Vert">
      <w:tblPr/>
      <w:tcPr>
        <w:shd w:val="clear" w:color="auto" w:fill="FEF7D3" w:themeFill="accent5" w:themeFillTint="7F"/>
      </w:tcPr>
    </w:tblStylePr>
    <w:tblStylePr w:type="band1Horz">
      <w:tblPr/>
      <w:tcPr>
        <w:shd w:val="clear" w:color="auto" w:fill="FEF7D3"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FEFADD" w:themeColor="accent6" w:themeTint="BF"/>
        <w:left w:val="single" w:sz="8" w:space="0" w:color="FEFADD" w:themeColor="accent6" w:themeTint="BF"/>
        <w:bottom w:val="single" w:sz="8" w:space="0" w:color="FEFADD" w:themeColor="accent6" w:themeTint="BF"/>
        <w:right w:val="single" w:sz="8" w:space="0" w:color="FEFADD" w:themeColor="accent6" w:themeTint="BF"/>
        <w:insideH w:val="single" w:sz="8" w:space="0" w:color="FEFADD" w:themeColor="accent6" w:themeTint="BF"/>
        <w:insideV w:val="single" w:sz="8" w:space="0" w:color="FEFADD" w:themeColor="accent6" w:themeTint="BF"/>
      </w:tblBorders>
    </w:tblPr>
    <w:tcPr>
      <w:shd w:val="clear" w:color="auto" w:fill="FEFDF3" w:themeFill="accent6" w:themeFillTint="3F"/>
    </w:tcPr>
    <w:tblStylePr w:type="firstRow">
      <w:rPr>
        <w:b/>
        <w:bCs/>
      </w:rPr>
    </w:tblStylePr>
    <w:tblStylePr w:type="lastRow">
      <w:rPr>
        <w:b/>
        <w:bCs/>
      </w:rPr>
      <w:tblPr/>
      <w:tcPr>
        <w:tcBorders>
          <w:top w:val="single" w:sz="18" w:space="0" w:color="FEFADD" w:themeColor="accent6" w:themeTint="BF"/>
        </w:tcBorders>
      </w:tcPr>
    </w:tblStylePr>
    <w:tblStylePr w:type="firstCol">
      <w:rPr>
        <w:b/>
        <w:bCs/>
      </w:rPr>
    </w:tblStylePr>
    <w:tblStylePr w:type="lastCol">
      <w:rPr>
        <w:b/>
        <w:bCs/>
      </w:rPr>
    </w:tblStylePr>
    <w:tblStylePr w:type="band1Vert">
      <w:tblPr/>
      <w:tcPr>
        <w:shd w:val="clear" w:color="auto" w:fill="FEFBE8" w:themeFill="accent6" w:themeFillTint="7F"/>
      </w:tcPr>
    </w:tblStylePr>
    <w:tblStylePr w:type="band1Horz">
      <w:tblPr/>
      <w:tcPr>
        <w:shd w:val="clear" w:color="auto" w:fill="FEFBE8"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insideH w:val="single" w:sz="8" w:space="0" w:color="F6BE00" w:themeColor="accent1"/>
        <w:insideV w:val="single" w:sz="8" w:space="0" w:color="F6BE00" w:themeColor="accent1"/>
      </w:tblBorders>
    </w:tblPr>
    <w:tcPr>
      <w:shd w:val="clear" w:color="auto" w:fill="FFEFBD" w:themeFill="accent1" w:themeFillTint="3F"/>
    </w:tcPr>
    <w:tblStylePr w:type="firstRow">
      <w:rPr>
        <w:b/>
        <w:bCs/>
        <w:color w:val="000000" w:themeColor="text1"/>
      </w:rPr>
      <w:tblPr/>
      <w:tcPr>
        <w:shd w:val="clear" w:color="auto" w:fill="FFF8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A" w:themeFill="accent1" w:themeFillTint="33"/>
      </w:tcPr>
    </w:tblStylePr>
    <w:tblStylePr w:type="band1Vert">
      <w:tblPr/>
      <w:tcPr>
        <w:shd w:val="clear" w:color="auto" w:fill="FFE07B" w:themeFill="accent1" w:themeFillTint="7F"/>
      </w:tcPr>
    </w:tblStylePr>
    <w:tblStylePr w:type="band1Horz">
      <w:tblPr/>
      <w:tcPr>
        <w:tcBorders>
          <w:insideH w:val="single" w:sz="6" w:space="0" w:color="F6BE00" w:themeColor="accent1"/>
          <w:insideV w:val="single" w:sz="6" w:space="0" w:color="F6BE00" w:themeColor="accent1"/>
        </w:tcBorders>
        <w:shd w:val="clear" w:color="auto" w:fill="FFE07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DDA24" w:themeColor="accent2"/>
        <w:left w:val="single" w:sz="8" w:space="0" w:color="FDDA24" w:themeColor="accent2"/>
        <w:bottom w:val="single" w:sz="8" w:space="0" w:color="FDDA24" w:themeColor="accent2"/>
        <w:right w:val="single" w:sz="8" w:space="0" w:color="FDDA24" w:themeColor="accent2"/>
        <w:insideH w:val="single" w:sz="8" w:space="0" w:color="FDDA24" w:themeColor="accent2"/>
        <w:insideV w:val="single" w:sz="8" w:space="0" w:color="FDDA24" w:themeColor="accent2"/>
      </w:tblBorders>
    </w:tblPr>
    <w:tcPr>
      <w:shd w:val="clear" w:color="auto" w:fill="FEF5C8" w:themeFill="accent2" w:themeFillTint="3F"/>
    </w:tcPr>
    <w:tblStylePr w:type="firstRow">
      <w:rPr>
        <w:b/>
        <w:bCs/>
        <w:color w:val="000000" w:themeColor="text1"/>
      </w:rPr>
      <w:tblPr/>
      <w:tcPr>
        <w:shd w:val="clear" w:color="auto" w:fill="FEFB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7D3" w:themeFill="accent2" w:themeFillTint="33"/>
      </w:tcPr>
    </w:tblStylePr>
    <w:tblStylePr w:type="band1Vert">
      <w:tblPr/>
      <w:tcPr>
        <w:shd w:val="clear" w:color="auto" w:fill="FEEC91" w:themeFill="accent2" w:themeFillTint="7F"/>
      </w:tcPr>
    </w:tblStylePr>
    <w:tblStylePr w:type="band1Horz">
      <w:tblPr/>
      <w:tcPr>
        <w:tcBorders>
          <w:insideH w:val="single" w:sz="6" w:space="0" w:color="FDDA24" w:themeColor="accent2"/>
          <w:insideV w:val="single" w:sz="6" w:space="0" w:color="FDDA24" w:themeColor="accent2"/>
        </w:tcBorders>
        <w:shd w:val="clear" w:color="auto" w:fill="FEEC9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BE122" w:themeColor="accent3"/>
        <w:left w:val="single" w:sz="8" w:space="0" w:color="FBE122" w:themeColor="accent3"/>
        <w:bottom w:val="single" w:sz="8" w:space="0" w:color="FBE122" w:themeColor="accent3"/>
        <w:right w:val="single" w:sz="8" w:space="0" w:color="FBE122" w:themeColor="accent3"/>
        <w:insideH w:val="single" w:sz="8" w:space="0" w:color="FBE122" w:themeColor="accent3"/>
        <w:insideV w:val="single" w:sz="8" w:space="0" w:color="FBE122" w:themeColor="accent3"/>
      </w:tblBorders>
    </w:tblPr>
    <w:tcPr>
      <w:shd w:val="clear" w:color="auto" w:fill="FEF7C8" w:themeFill="accent3" w:themeFillTint="3F"/>
    </w:tcPr>
    <w:tblStylePr w:type="firstRow">
      <w:rPr>
        <w:b/>
        <w:bCs/>
        <w:color w:val="000000" w:themeColor="text1"/>
      </w:rPr>
      <w:tblPr/>
      <w:tcPr>
        <w:shd w:val="clear" w:color="auto" w:fill="FEFC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D2" w:themeFill="accent3" w:themeFillTint="33"/>
      </w:tcPr>
    </w:tblStylePr>
    <w:tblStylePr w:type="band1Vert">
      <w:tblPr/>
      <w:tcPr>
        <w:shd w:val="clear" w:color="auto" w:fill="FDEF90" w:themeFill="accent3" w:themeFillTint="7F"/>
      </w:tcPr>
    </w:tblStylePr>
    <w:tblStylePr w:type="band1Horz">
      <w:tblPr/>
      <w:tcPr>
        <w:tcBorders>
          <w:insideH w:val="single" w:sz="6" w:space="0" w:color="FBE122" w:themeColor="accent3"/>
          <w:insideV w:val="single" w:sz="6" w:space="0" w:color="FBE122" w:themeColor="accent3"/>
        </w:tcBorders>
        <w:shd w:val="clear" w:color="auto" w:fill="FDEF9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insideH w:val="single" w:sz="8" w:space="0" w:color="FADE7F" w:themeColor="accent4"/>
        <w:insideV w:val="single" w:sz="8" w:space="0" w:color="FADE7F" w:themeColor="accent4"/>
      </w:tblBorders>
    </w:tblPr>
    <w:tcPr>
      <w:shd w:val="clear" w:color="auto" w:fill="FDF6DF" w:themeFill="accent4" w:themeFillTint="3F"/>
    </w:tcPr>
    <w:tblStylePr w:type="firstRow">
      <w:rPr>
        <w:b/>
        <w:bCs/>
        <w:color w:val="000000" w:themeColor="text1"/>
      </w:rPr>
      <w:tblPr/>
      <w:tcPr>
        <w:shd w:val="clear" w:color="auto" w:fill="FEFB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8E5" w:themeFill="accent4" w:themeFillTint="33"/>
      </w:tcPr>
    </w:tblStylePr>
    <w:tblStylePr w:type="band1Vert">
      <w:tblPr/>
      <w:tcPr>
        <w:shd w:val="clear" w:color="auto" w:fill="FCEEBF" w:themeFill="accent4" w:themeFillTint="7F"/>
      </w:tcPr>
    </w:tblStylePr>
    <w:tblStylePr w:type="band1Horz">
      <w:tblPr/>
      <w:tcPr>
        <w:tcBorders>
          <w:insideH w:val="single" w:sz="6" w:space="0" w:color="FADE7F" w:themeColor="accent4"/>
          <w:insideV w:val="single" w:sz="6" w:space="0" w:color="FADE7F" w:themeColor="accent4"/>
        </w:tcBorders>
        <w:shd w:val="clear" w:color="auto" w:fill="FCEE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EF0A7" w:themeColor="accent5"/>
        <w:left w:val="single" w:sz="8" w:space="0" w:color="FEF0A7" w:themeColor="accent5"/>
        <w:bottom w:val="single" w:sz="8" w:space="0" w:color="FEF0A7" w:themeColor="accent5"/>
        <w:right w:val="single" w:sz="8" w:space="0" w:color="FEF0A7" w:themeColor="accent5"/>
        <w:insideH w:val="single" w:sz="8" w:space="0" w:color="FEF0A7" w:themeColor="accent5"/>
        <w:insideV w:val="single" w:sz="8" w:space="0" w:color="FEF0A7" w:themeColor="accent5"/>
      </w:tblBorders>
    </w:tblPr>
    <w:tcPr>
      <w:shd w:val="clear" w:color="auto" w:fill="FEFBE9" w:themeFill="accent5" w:themeFillTint="3F"/>
    </w:tcPr>
    <w:tblStylePr w:type="firstRow">
      <w:rPr>
        <w:b/>
        <w:bCs/>
        <w:color w:val="000000" w:themeColor="text1"/>
      </w:rPr>
      <w:tblPr/>
      <w:tcPr>
        <w:shd w:val="clear" w:color="auto" w:fill="FFF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BED" w:themeFill="accent5" w:themeFillTint="33"/>
      </w:tcPr>
    </w:tblStylePr>
    <w:tblStylePr w:type="band1Vert">
      <w:tblPr/>
      <w:tcPr>
        <w:shd w:val="clear" w:color="auto" w:fill="FEF7D3" w:themeFill="accent5" w:themeFillTint="7F"/>
      </w:tcPr>
    </w:tblStylePr>
    <w:tblStylePr w:type="band1Horz">
      <w:tblPr/>
      <w:tcPr>
        <w:tcBorders>
          <w:insideH w:val="single" w:sz="6" w:space="0" w:color="FEF0A7" w:themeColor="accent5"/>
          <w:insideV w:val="single" w:sz="6" w:space="0" w:color="FEF0A7" w:themeColor="accent5"/>
        </w:tcBorders>
        <w:shd w:val="clear" w:color="auto" w:fill="FEF7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EF9D3" w:themeColor="accent6"/>
        <w:left w:val="single" w:sz="8" w:space="0" w:color="FEF9D3" w:themeColor="accent6"/>
        <w:bottom w:val="single" w:sz="8" w:space="0" w:color="FEF9D3" w:themeColor="accent6"/>
        <w:right w:val="single" w:sz="8" w:space="0" w:color="FEF9D3" w:themeColor="accent6"/>
        <w:insideH w:val="single" w:sz="8" w:space="0" w:color="FEF9D3" w:themeColor="accent6"/>
        <w:insideV w:val="single" w:sz="8" w:space="0" w:color="FEF9D3" w:themeColor="accent6"/>
      </w:tblBorders>
    </w:tblPr>
    <w:tcPr>
      <w:shd w:val="clear" w:color="auto" w:fill="FEFDF3" w:themeFill="accent6" w:themeFillTint="3F"/>
    </w:tcPr>
    <w:tblStylePr w:type="firstRow">
      <w:rPr>
        <w:b/>
        <w:bCs/>
        <w:color w:val="000000" w:themeColor="text1"/>
      </w:rPr>
      <w:tblPr/>
      <w:tcPr>
        <w:shd w:val="clear" w:color="auto" w:fill="FFFE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DF6" w:themeFill="accent6" w:themeFillTint="33"/>
      </w:tcPr>
    </w:tblStylePr>
    <w:tblStylePr w:type="band1Vert">
      <w:tblPr/>
      <w:tcPr>
        <w:shd w:val="clear" w:color="auto" w:fill="FEFBE8" w:themeFill="accent6" w:themeFillTint="7F"/>
      </w:tcPr>
    </w:tblStylePr>
    <w:tblStylePr w:type="band1Horz">
      <w:tblPr/>
      <w:tcPr>
        <w:tcBorders>
          <w:insideH w:val="single" w:sz="6" w:space="0" w:color="FEF9D3" w:themeColor="accent6"/>
          <w:insideV w:val="single" w:sz="6" w:space="0" w:color="FEF9D3" w:themeColor="accent6"/>
        </w:tcBorders>
        <w:shd w:val="clear" w:color="auto" w:fill="FEFBE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BE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BE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BE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BE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0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07B"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5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A2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A2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A2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A2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C9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C91"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7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12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12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12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12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F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F90"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6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DE7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DE7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DE7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DE7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E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EB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B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F0A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F0A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F0A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F0A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7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7D3"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D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F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F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F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F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BE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BE8"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F6BE00" w:themeColor="accent1"/>
        <w:bottom w:val="single" w:sz="8" w:space="0" w:color="F6BE00" w:themeColor="accent1"/>
      </w:tblBorders>
    </w:tblPr>
    <w:tblStylePr w:type="firstRow">
      <w:rPr>
        <w:rFonts w:asciiTheme="majorHAnsi" w:eastAsiaTheme="majorEastAsia" w:hAnsiTheme="majorHAnsi" w:cstheme="majorBidi"/>
      </w:rPr>
      <w:tblPr/>
      <w:tcPr>
        <w:tcBorders>
          <w:top w:val="nil"/>
          <w:bottom w:val="single" w:sz="8" w:space="0" w:color="F6BE00" w:themeColor="accent1"/>
        </w:tcBorders>
      </w:tcPr>
    </w:tblStylePr>
    <w:tblStylePr w:type="lastRow">
      <w:rPr>
        <w:b/>
        <w:bCs/>
        <w:color w:val="53565A" w:themeColor="text2"/>
      </w:rPr>
      <w:tblPr/>
      <w:tcPr>
        <w:tcBorders>
          <w:top w:val="single" w:sz="8" w:space="0" w:color="F6BE00" w:themeColor="accent1"/>
          <w:bottom w:val="single" w:sz="8" w:space="0" w:color="F6BE00" w:themeColor="accent1"/>
        </w:tcBorders>
      </w:tcPr>
    </w:tblStylePr>
    <w:tblStylePr w:type="firstCol">
      <w:rPr>
        <w:b/>
        <w:bCs/>
      </w:rPr>
    </w:tblStylePr>
    <w:tblStylePr w:type="lastCol">
      <w:rPr>
        <w:b/>
        <w:bCs/>
      </w:rPr>
      <w:tblPr/>
      <w:tcPr>
        <w:tcBorders>
          <w:top w:val="single" w:sz="8" w:space="0" w:color="F6BE00" w:themeColor="accent1"/>
          <w:bottom w:val="single" w:sz="8" w:space="0" w:color="F6BE00" w:themeColor="accent1"/>
        </w:tcBorders>
      </w:tcPr>
    </w:tblStylePr>
    <w:tblStylePr w:type="band1Vert">
      <w:tblPr/>
      <w:tcPr>
        <w:shd w:val="clear" w:color="auto" w:fill="FFEFBD" w:themeFill="accent1" w:themeFillTint="3F"/>
      </w:tcPr>
    </w:tblStylePr>
    <w:tblStylePr w:type="band1Horz">
      <w:tblPr/>
      <w:tcPr>
        <w:shd w:val="clear" w:color="auto" w:fill="FFEFBD"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FDDA24" w:themeColor="accent2"/>
        <w:bottom w:val="single" w:sz="8" w:space="0" w:color="FDDA24" w:themeColor="accent2"/>
      </w:tblBorders>
    </w:tblPr>
    <w:tblStylePr w:type="firstRow">
      <w:rPr>
        <w:rFonts w:asciiTheme="majorHAnsi" w:eastAsiaTheme="majorEastAsia" w:hAnsiTheme="majorHAnsi" w:cstheme="majorBidi"/>
      </w:rPr>
      <w:tblPr/>
      <w:tcPr>
        <w:tcBorders>
          <w:top w:val="nil"/>
          <w:bottom w:val="single" w:sz="8" w:space="0" w:color="FDDA24" w:themeColor="accent2"/>
        </w:tcBorders>
      </w:tcPr>
    </w:tblStylePr>
    <w:tblStylePr w:type="lastRow">
      <w:rPr>
        <w:b/>
        <w:bCs/>
        <w:color w:val="53565A" w:themeColor="text2"/>
      </w:rPr>
      <w:tblPr/>
      <w:tcPr>
        <w:tcBorders>
          <w:top w:val="single" w:sz="8" w:space="0" w:color="FDDA24" w:themeColor="accent2"/>
          <w:bottom w:val="single" w:sz="8" w:space="0" w:color="FDDA24" w:themeColor="accent2"/>
        </w:tcBorders>
      </w:tcPr>
    </w:tblStylePr>
    <w:tblStylePr w:type="firstCol">
      <w:rPr>
        <w:b/>
        <w:bCs/>
      </w:rPr>
    </w:tblStylePr>
    <w:tblStylePr w:type="lastCol">
      <w:rPr>
        <w:b/>
        <w:bCs/>
      </w:rPr>
      <w:tblPr/>
      <w:tcPr>
        <w:tcBorders>
          <w:top w:val="single" w:sz="8" w:space="0" w:color="FDDA24" w:themeColor="accent2"/>
          <w:bottom w:val="single" w:sz="8" w:space="0" w:color="FDDA24" w:themeColor="accent2"/>
        </w:tcBorders>
      </w:tcPr>
    </w:tblStylePr>
    <w:tblStylePr w:type="band1Vert">
      <w:tblPr/>
      <w:tcPr>
        <w:shd w:val="clear" w:color="auto" w:fill="FEF5C8" w:themeFill="accent2" w:themeFillTint="3F"/>
      </w:tcPr>
    </w:tblStylePr>
    <w:tblStylePr w:type="band1Horz">
      <w:tblPr/>
      <w:tcPr>
        <w:shd w:val="clear" w:color="auto" w:fill="FEF5C8"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FBE122" w:themeColor="accent3"/>
        <w:bottom w:val="single" w:sz="8" w:space="0" w:color="FBE122" w:themeColor="accent3"/>
      </w:tblBorders>
    </w:tblPr>
    <w:tblStylePr w:type="firstRow">
      <w:rPr>
        <w:rFonts w:asciiTheme="majorHAnsi" w:eastAsiaTheme="majorEastAsia" w:hAnsiTheme="majorHAnsi" w:cstheme="majorBidi"/>
      </w:rPr>
      <w:tblPr/>
      <w:tcPr>
        <w:tcBorders>
          <w:top w:val="nil"/>
          <w:bottom w:val="single" w:sz="8" w:space="0" w:color="FBE122" w:themeColor="accent3"/>
        </w:tcBorders>
      </w:tcPr>
    </w:tblStylePr>
    <w:tblStylePr w:type="lastRow">
      <w:rPr>
        <w:b/>
        <w:bCs/>
        <w:color w:val="53565A" w:themeColor="text2"/>
      </w:rPr>
      <w:tblPr/>
      <w:tcPr>
        <w:tcBorders>
          <w:top w:val="single" w:sz="8" w:space="0" w:color="FBE122" w:themeColor="accent3"/>
          <w:bottom w:val="single" w:sz="8" w:space="0" w:color="FBE122" w:themeColor="accent3"/>
        </w:tcBorders>
      </w:tcPr>
    </w:tblStylePr>
    <w:tblStylePr w:type="firstCol">
      <w:rPr>
        <w:b/>
        <w:bCs/>
      </w:rPr>
    </w:tblStylePr>
    <w:tblStylePr w:type="lastCol">
      <w:rPr>
        <w:b/>
        <w:bCs/>
      </w:rPr>
      <w:tblPr/>
      <w:tcPr>
        <w:tcBorders>
          <w:top w:val="single" w:sz="8" w:space="0" w:color="FBE122" w:themeColor="accent3"/>
          <w:bottom w:val="single" w:sz="8" w:space="0" w:color="FBE122" w:themeColor="accent3"/>
        </w:tcBorders>
      </w:tcPr>
    </w:tblStylePr>
    <w:tblStylePr w:type="band1Vert">
      <w:tblPr/>
      <w:tcPr>
        <w:shd w:val="clear" w:color="auto" w:fill="FEF7C8" w:themeFill="accent3" w:themeFillTint="3F"/>
      </w:tcPr>
    </w:tblStylePr>
    <w:tblStylePr w:type="band1Horz">
      <w:tblPr/>
      <w:tcPr>
        <w:shd w:val="clear" w:color="auto" w:fill="FEF7C8"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FADE7F" w:themeColor="accent4"/>
        <w:bottom w:val="single" w:sz="8" w:space="0" w:color="FADE7F" w:themeColor="accent4"/>
      </w:tblBorders>
    </w:tblPr>
    <w:tblStylePr w:type="firstRow">
      <w:rPr>
        <w:rFonts w:asciiTheme="majorHAnsi" w:eastAsiaTheme="majorEastAsia" w:hAnsiTheme="majorHAnsi" w:cstheme="majorBidi"/>
      </w:rPr>
      <w:tblPr/>
      <w:tcPr>
        <w:tcBorders>
          <w:top w:val="nil"/>
          <w:bottom w:val="single" w:sz="8" w:space="0" w:color="FADE7F" w:themeColor="accent4"/>
        </w:tcBorders>
      </w:tcPr>
    </w:tblStylePr>
    <w:tblStylePr w:type="lastRow">
      <w:rPr>
        <w:b/>
        <w:bCs/>
        <w:color w:val="53565A" w:themeColor="text2"/>
      </w:rPr>
      <w:tblPr/>
      <w:tcPr>
        <w:tcBorders>
          <w:top w:val="single" w:sz="8" w:space="0" w:color="FADE7F" w:themeColor="accent4"/>
          <w:bottom w:val="single" w:sz="8" w:space="0" w:color="FADE7F" w:themeColor="accent4"/>
        </w:tcBorders>
      </w:tcPr>
    </w:tblStylePr>
    <w:tblStylePr w:type="firstCol">
      <w:rPr>
        <w:b/>
        <w:bCs/>
      </w:rPr>
    </w:tblStylePr>
    <w:tblStylePr w:type="lastCol">
      <w:rPr>
        <w:b/>
        <w:bCs/>
      </w:rPr>
      <w:tblPr/>
      <w:tcPr>
        <w:tcBorders>
          <w:top w:val="single" w:sz="8" w:space="0" w:color="FADE7F" w:themeColor="accent4"/>
          <w:bottom w:val="single" w:sz="8" w:space="0" w:color="FADE7F" w:themeColor="accent4"/>
        </w:tcBorders>
      </w:tcPr>
    </w:tblStylePr>
    <w:tblStylePr w:type="band1Vert">
      <w:tblPr/>
      <w:tcPr>
        <w:shd w:val="clear" w:color="auto" w:fill="FDF6DF" w:themeFill="accent4" w:themeFillTint="3F"/>
      </w:tcPr>
    </w:tblStylePr>
    <w:tblStylePr w:type="band1Horz">
      <w:tblPr/>
      <w:tcPr>
        <w:shd w:val="clear" w:color="auto" w:fill="FDF6D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FEF0A7" w:themeColor="accent5"/>
        <w:bottom w:val="single" w:sz="8" w:space="0" w:color="FEF0A7" w:themeColor="accent5"/>
      </w:tblBorders>
    </w:tblPr>
    <w:tblStylePr w:type="firstRow">
      <w:rPr>
        <w:rFonts w:asciiTheme="majorHAnsi" w:eastAsiaTheme="majorEastAsia" w:hAnsiTheme="majorHAnsi" w:cstheme="majorBidi"/>
      </w:rPr>
      <w:tblPr/>
      <w:tcPr>
        <w:tcBorders>
          <w:top w:val="nil"/>
          <w:bottom w:val="single" w:sz="8" w:space="0" w:color="FEF0A7" w:themeColor="accent5"/>
        </w:tcBorders>
      </w:tcPr>
    </w:tblStylePr>
    <w:tblStylePr w:type="lastRow">
      <w:rPr>
        <w:b/>
        <w:bCs/>
        <w:color w:val="53565A" w:themeColor="text2"/>
      </w:rPr>
      <w:tblPr/>
      <w:tcPr>
        <w:tcBorders>
          <w:top w:val="single" w:sz="8" w:space="0" w:color="FEF0A7" w:themeColor="accent5"/>
          <w:bottom w:val="single" w:sz="8" w:space="0" w:color="FEF0A7" w:themeColor="accent5"/>
        </w:tcBorders>
      </w:tcPr>
    </w:tblStylePr>
    <w:tblStylePr w:type="firstCol">
      <w:rPr>
        <w:b/>
        <w:bCs/>
      </w:rPr>
    </w:tblStylePr>
    <w:tblStylePr w:type="lastCol">
      <w:rPr>
        <w:b/>
        <w:bCs/>
      </w:rPr>
      <w:tblPr/>
      <w:tcPr>
        <w:tcBorders>
          <w:top w:val="single" w:sz="8" w:space="0" w:color="FEF0A7" w:themeColor="accent5"/>
          <w:bottom w:val="single" w:sz="8" w:space="0" w:color="FEF0A7" w:themeColor="accent5"/>
        </w:tcBorders>
      </w:tcPr>
    </w:tblStylePr>
    <w:tblStylePr w:type="band1Vert">
      <w:tblPr/>
      <w:tcPr>
        <w:shd w:val="clear" w:color="auto" w:fill="FEFBE9" w:themeFill="accent5" w:themeFillTint="3F"/>
      </w:tcPr>
    </w:tblStylePr>
    <w:tblStylePr w:type="band1Horz">
      <w:tblPr/>
      <w:tcPr>
        <w:shd w:val="clear" w:color="auto" w:fill="FEFBE9"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FEF9D3" w:themeColor="accent6"/>
        <w:bottom w:val="single" w:sz="8" w:space="0" w:color="FEF9D3" w:themeColor="accent6"/>
      </w:tblBorders>
    </w:tblPr>
    <w:tblStylePr w:type="firstRow">
      <w:rPr>
        <w:rFonts w:asciiTheme="majorHAnsi" w:eastAsiaTheme="majorEastAsia" w:hAnsiTheme="majorHAnsi" w:cstheme="majorBidi"/>
      </w:rPr>
      <w:tblPr/>
      <w:tcPr>
        <w:tcBorders>
          <w:top w:val="nil"/>
          <w:bottom w:val="single" w:sz="8" w:space="0" w:color="FEF9D3" w:themeColor="accent6"/>
        </w:tcBorders>
      </w:tcPr>
    </w:tblStylePr>
    <w:tblStylePr w:type="lastRow">
      <w:rPr>
        <w:b/>
        <w:bCs/>
        <w:color w:val="53565A" w:themeColor="text2"/>
      </w:rPr>
      <w:tblPr/>
      <w:tcPr>
        <w:tcBorders>
          <w:top w:val="single" w:sz="8" w:space="0" w:color="FEF9D3" w:themeColor="accent6"/>
          <w:bottom w:val="single" w:sz="8" w:space="0" w:color="FEF9D3" w:themeColor="accent6"/>
        </w:tcBorders>
      </w:tcPr>
    </w:tblStylePr>
    <w:tblStylePr w:type="firstCol">
      <w:rPr>
        <w:b/>
        <w:bCs/>
      </w:rPr>
    </w:tblStylePr>
    <w:tblStylePr w:type="lastCol">
      <w:rPr>
        <w:b/>
        <w:bCs/>
      </w:rPr>
      <w:tblPr/>
      <w:tcPr>
        <w:tcBorders>
          <w:top w:val="single" w:sz="8" w:space="0" w:color="FEF9D3" w:themeColor="accent6"/>
          <w:bottom w:val="single" w:sz="8" w:space="0" w:color="FEF9D3" w:themeColor="accent6"/>
        </w:tcBorders>
      </w:tcPr>
    </w:tblStylePr>
    <w:tblStylePr w:type="band1Vert">
      <w:tblPr/>
      <w:tcPr>
        <w:shd w:val="clear" w:color="auto" w:fill="FEFDF3" w:themeFill="accent6" w:themeFillTint="3F"/>
      </w:tcPr>
    </w:tblStylePr>
    <w:tblStylePr w:type="band1Horz">
      <w:tblPr/>
      <w:tcPr>
        <w:shd w:val="clear" w:color="auto" w:fill="FEFDF3"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6BE00" w:themeColor="accent1"/>
        <w:left w:val="single" w:sz="8" w:space="0" w:color="F6BE00" w:themeColor="accent1"/>
        <w:bottom w:val="single" w:sz="8" w:space="0" w:color="F6BE00" w:themeColor="accent1"/>
        <w:right w:val="single" w:sz="8" w:space="0" w:color="F6BE00" w:themeColor="accent1"/>
      </w:tblBorders>
    </w:tblPr>
    <w:tblStylePr w:type="firstRow">
      <w:rPr>
        <w:sz w:val="24"/>
        <w:szCs w:val="24"/>
      </w:rPr>
      <w:tblPr/>
      <w:tcPr>
        <w:tcBorders>
          <w:top w:val="nil"/>
          <w:left w:val="nil"/>
          <w:bottom w:val="single" w:sz="24" w:space="0" w:color="F6BE00" w:themeColor="accent1"/>
          <w:right w:val="nil"/>
          <w:insideH w:val="nil"/>
          <w:insideV w:val="nil"/>
        </w:tcBorders>
        <w:shd w:val="clear" w:color="auto" w:fill="FFFFFF" w:themeFill="background1"/>
      </w:tcPr>
    </w:tblStylePr>
    <w:tblStylePr w:type="lastRow">
      <w:tblPr/>
      <w:tcPr>
        <w:tcBorders>
          <w:top w:val="single" w:sz="8" w:space="0" w:color="F6BE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BE00" w:themeColor="accent1"/>
          <w:insideH w:val="nil"/>
          <w:insideV w:val="nil"/>
        </w:tcBorders>
        <w:shd w:val="clear" w:color="auto" w:fill="FFFFFF" w:themeFill="background1"/>
      </w:tcPr>
    </w:tblStylePr>
    <w:tblStylePr w:type="lastCol">
      <w:tblPr/>
      <w:tcPr>
        <w:tcBorders>
          <w:top w:val="nil"/>
          <w:left w:val="single" w:sz="8" w:space="0" w:color="F6BE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D" w:themeFill="accent1" w:themeFillTint="3F"/>
      </w:tcPr>
    </w:tblStylePr>
    <w:tblStylePr w:type="band1Horz">
      <w:tblPr/>
      <w:tcPr>
        <w:tcBorders>
          <w:top w:val="nil"/>
          <w:bottom w:val="nil"/>
          <w:insideH w:val="nil"/>
          <w:insideV w:val="nil"/>
        </w:tcBorders>
        <w:shd w:val="clear" w:color="auto" w:fill="FFEF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DDA24" w:themeColor="accent2"/>
        <w:left w:val="single" w:sz="8" w:space="0" w:color="FDDA24" w:themeColor="accent2"/>
        <w:bottom w:val="single" w:sz="8" w:space="0" w:color="FDDA24" w:themeColor="accent2"/>
        <w:right w:val="single" w:sz="8" w:space="0" w:color="FDDA24" w:themeColor="accent2"/>
      </w:tblBorders>
    </w:tblPr>
    <w:tblStylePr w:type="firstRow">
      <w:rPr>
        <w:sz w:val="24"/>
        <w:szCs w:val="24"/>
      </w:rPr>
      <w:tblPr/>
      <w:tcPr>
        <w:tcBorders>
          <w:top w:val="nil"/>
          <w:left w:val="nil"/>
          <w:bottom w:val="single" w:sz="24" w:space="0" w:color="FDDA24" w:themeColor="accent2"/>
          <w:right w:val="nil"/>
          <w:insideH w:val="nil"/>
          <w:insideV w:val="nil"/>
        </w:tcBorders>
        <w:shd w:val="clear" w:color="auto" w:fill="FFFFFF" w:themeFill="background1"/>
      </w:tcPr>
    </w:tblStylePr>
    <w:tblStylePr w:type="lastRow">
      <w:tblPr/>
      <w:tcPr>
        <w:tcBorders>
          <w:top w:val="single" w:sz="8" w:space="0" w:color="FDDA2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A24" w:themeColor="accent2"/>
          <w:insideH w:val="nil"/>
          <w:insideV w:val="nil"/>
        </w:tcBorders>
        <w:shd w:val="clear" w:color="auto" w:fill="FFFFFF" w:themeFill="background1"/>
      </w:tcPr>
    </w:tblStylePr>
    <w:tblStylePr w:type="lastCol">
      <w:tblPr/>
      <w:tcPr>
        <w:tcBorders>
          <w:top w:val="nil"/>
          <w:left w:val="single" w:sz="8" w:space="0" w:color="FDDA2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5C8" w:themeFill="accent2" w:themeFillTint="3F"/>
      </w:tcPr>
    </w:tblStylePr>
    <w:tblStylePr w:type="band1Horz">
      <w:tblPr/>
      <w:tcPr>
        <w:tcBorders>
          <w:top w:val="nil"/>
          <w:bottom w:val="nil"/>
          <w:insideH w:val="nil"/>
          <w:insideV w:val="nil"/>
        </w:tcBorders>
        <w:shd w:val="clear" w:color="auto" w:fill="FEF5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BE122" w:themeColor="accent3"/>
        <w:left w:val="single" w:sz="8" w:space="0" w:color="FBE122" w:themeColor="accent3"/>
        <w:bottom w:val="single" w:sz="8" w:space="0" w:color="FBE122" w:themeColor="accent3"/>
        <w:right w:val="single" w:sz="8" w:space="0" w:color="FBE122" w:themeColor="accent3"/>
      </w:tblBorders>
    </w:tblPr>
    <w:tblStylePr w:type="firstRow">
      <w:rPr>
        <w:sz w:val="24"/>
        <w:szCs w:val="24"/>
      </w:rPr>
      <w:tblPr/>
      <w:tcPr>
        <w:tcBorders>
          <w:top w:val="nil"/>
          <w:left w:val="nil"/>
          <w:bottom w:val="single" w:sz="24" w:space="0" w:color="FBE122" w:themeColor="accent3"/>
          <w:right w:val="nil"/>
          <w:insideH w:val="nil"/>
          <w:insideV w:val="nil"/>
        </w:tcBorders>
        <w:shd w:val="clear" w:color="auto" w:fill="FFFFFF" w:themeFill="background1"/>
      </w:tcPr>
    </w:tblStylePr>
    <w:tblStylePr w:type="lastRow">
      <w:tblPr/>
      <w:tcPr>
        <w:tcBorders>
          <w:top w:val="single" w:sz="8" w:space="0" w:color="FBE12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122" w:themeColor="accent3"/>
          <w:insideH w:val="nil"/>
          <w:insideV w:val="nil"/>
        </w:tcBorders>
        <w:shd w:val="clear" w:color="auto" w:fill="FFFFFF" w:themeFill="background1"/>
      </w:tcPr>
    </w:tblStylePr>
    <w:tblStylePr w:type="lastCol">
      <w:tblPr/>
      <w:tcPr>
        <w:tcBorders>
          <w:top w:val="nil"/>
          <w:left w:val="single" w:sz="8" w:space="0" w:color="FBE1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7C8" w:themeFill="accent3" w:themeFillTint="3F"/>
      </w:tcPr>
    </w:tblStylePr>
    <w:tblStylePr w:type="band1Horz">
      <w:tblPr/>
      <w:tcPr>
        <w:tcBorders>
          <w:top w:val="nil"/>
          <w:bottom w:val="nil"/>
          <w:insideH w:val="nil"/>
          <w:insideV w:val="nil"/>
        </w:tcBorders>
        <w:shd w:val="clear" w:color="auto" w:fill="FEF7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ADE7F" w:themeColor="accent4"/>
        <w:left w:val="single" w:sz="8" w:space="0" w:color="FADE7F" w:themeColor="accent4"/>
        <w:bottom w:val="single" w:sz="8" w:space="0" w:color="FADE7F" w:themeColor="accent4"/>
        <w:right w:val="single" w:sz="8" w:space="0" w:color="FADE7F" w:themeColor="accent4"/>
      </w:tblBorders>
    </w:tblPr>
    <w:tblStylePr w:type="firstRow">
      <w:rPr>
        <w:sz w:val="24"/>
        <w:szCs w:val="24"/>
      </w:rPr>
      <w:tblPr/>
      <w:tcPr>
        <w:tcBorders>
          <w:top w:val="nil"/>
          <w:left w:val="nil"/>
          <w:bottom w:val="single" w:sz="24" w:space="0" w:color="FADE7F" w:themeColor="accent4"/>
          <w:right w:val="nil"/>
          <w:insideH w:val="nil"/>
          <w:insideV w:val="nil"/>
        </w:tcBorders>
        <w:shd w:val="clear" w:color="auto" w:fill="FFFFFF" w:themeFill="background1"/>
      </w:tcPr>
    </w:tblStylePr>
    <w:tblStylePr w:type="lastRow">
      <w:tblPr/>
      <w:tcPr>
        <w:tcBorders>
          <w:top w:val="single" w:sz="8" w:space="0" w:color="FADE7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DE7F" w:themeColor="accent4"/>
          <w:insideH w:val="nil"/>
          <w:insideV w:val="nil"/>
        </w:tcBorders>
        <w:shd w:val="clear" w:color="auto" w:fill="FFFFFF" w:themeFill="background1"/>
      </w:tcPr>
    </w:tblStylePr>
    <w:tblStylePr w:type="lastCol">
      <w:tblPr/>
      <w:tcPr>
        <w:tcBorders>
          <w:top w:val="nil"/>
          <w:left w:val="single" w:sz="8" w:space="0" w:color="FADE7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6DF" w:themeFill="accent4" w:themeFillTint="3F"/>
      </w:tcPr>
    </w:tblStylePr>
    <w:tblStylePr w:type="band1Horz">
      <w:tblPr/>
      <w:tcPr>
        <w:tcBorders>
          <w:top w:val="nil"/>
          <w:bottom w:val="nil"/>
          <w:insideH w:val="nil"/>
          <w:insideV w:val="nil"/>
        </w:tcBorders>
        <w:shd w:val="clear" w:color="auto" w:fill="FDF6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EF0A7" w:themeColor="accent5"/>
        <w:left w:val="single" w:sz="8" w:space="0" w:color="FEF0A7" w:themeColor="accent5"/>
        <w:bottom w:val="single" w:sz="8" w:space="0" w:color="FEF0A7" w:themeColor="accent5"/>
        <w:right w:val="single" w:sz="8" w:space="0" w:color="FEF0A7" w:themeColor="accent5"/>
      </w:tblBorders>
    </w:tblPr>
    <w:tblStylePr w:type="firstRow">
      <w:rPr>
        <w:sz w:val="24"/>
        <w:szCs w:val="24"/>
      </w:rPr>
      <w:tblPr/>
      <w:tcPr>
        <w:tcBorders>
          <w:top w:val="nil"/>
          <w:left w:val="nil"/>
          <w:bottom w:val="single" w:sz="24" w:space="0" w:color="FEF0A7" w:themeColor="accent5"/>
          <w:right w:val="nil"/>
          <w:insideH w:val="nil"/>
          <w:insideV w:val="nil"/>
        </w:tcBorders>
        <w:shd w:val="clear" w:color="auto" w:fill="FFFFFF" w:themeFill="background1"/>
      </w:tcPr>
    </w:tblStylePr>
    <w:tblStylePr w:type="lastRow">
      <w:tblPr/>
      <w:tcPr>
        <w:tcBorders>
          <w:top w:val="single" w:sz="8" w:space="0" w:color="FEF0A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F0A7" w:themeColor="accent5"/>
          <w:insideH w:val="nil"/>
          <w:insideV w:val="nil"/>
        </w:tcBorders>
        <w:shd w:val="clear" w:color="auto" w:fill="FFFFFF" w:themeFill="background1"/>
      </w:tcPr>
    </w:tblStylePr>
    <w:tblStylePr w:type="lastCol">
      <w:tblPr/>
      <w:tcPr>
        <w:tcBorders>
          <w:top w:val="nil"/>
          <w:left w:val="single" w:sz="8" w:space="0" w:color="FEF0A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BE9" w:themeFill="accent5" w:themeFillTint="3F"/>
      </w:tcPr>
    </w:tblStylePr>
    <w:tblStylePr w:type="band1Horz">
      <w:tblPr/>
      <w:tcPr>
        <w:tcBorders>
          <w:top w:val="nil"/>
          <w:bottom w:val="nil"/>
          <w:insideH w:val="nil"/>
          <w:insideV w:val="nil"/>
        </w:tcBorders>
        <w:shd w:val="clear" w:color="auto" w:fill="FEFB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EF9D3" w:themeColor="accent6"/>
        <w:left w:val="single" w:sz="8" w:space="0" w:color="FEF9D3" w:themeColor="accent6"/>
        <w:bottom w:val="single" w:sz="8" w:space="0" w:color="FEF9D3" w:themeColor="accent6"/>
        <w:right w:val="single" w:sz="8" w:space="0" w:color="FEF9D3" w:themeColor="accent6"/>
      </w:tblBorders>
    </w:tblPr>
    <w:tblStylePr w:type="firstRow">
      <w:rPr>
        <w:sz w:val="24"/>
        <w:szCs w:val="24"/>
      </w:rPr>
      <w:tblPr/>
      <w:tcPr>
        <w:tcBorders>
          <w:top w:val="nil"/>
          <w:left w:val="nil"/>
          <w:bottom w:val="single" w:sz="24" w:space="0" w:color="FEF9D3" w:themeColor="accent6"/>
          <w:right w:val="nil"/>
          <w:insideH w:val="nil"/>
          <w:insideV w:val="nil"/>
        </w:tcBorders>
        <w:shd w:val="clear" w:color="auto" w:fill="FFFFFF" w:themeFill="background1"/>
      </w:tcPr>
    </w:tblStylePr>
    <w:tblStylePr w:type="lastRow">
      <w:tblPr/>
      <w:tcPr>
        <w:tcBorders>
          <w:top w:val="single" w:sz="8" w:space="0" w:color="FEF9D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F9D3" w:themeColor="accent6"/>
          <w:insideH w:val="nil"/>
          <w:insideV w:val="nil"/>
        </w:tcBorders>
        <w:shd w:val="clear" w:color="auto" w:fill="FFFFFF" w:themeFill="background1"/>
      </w:tcPr>
    </w:tblStylePr>
    <w:tblStylePr w:type="lastCol">
      <w:tblPr/>
      <w:tcPr>
        <w:tcBorders>
          <w:top w:val="nil"/>
          <w:left w:val="single" w:sz="8" w:space="0" w:color="FEF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DF3" w:themeFill="accent6" w:themeFillTint="3F"/>
      </w:tcPr>
    </w:tblStylePr>
    <w:tblStylePr w:type="band1Horz">
      <w:tblPr/>
      <w:tcPr>
        <w:tcBorders>
          <w:top w:val="nil"/>
          <w:bottom w:val="nil"/>
          <w:insideH w:val="nil"/>
          <w:insideV w:val="nil"/>
        </w:tcBorders>
        <w:shd w:val="clear" w:color="auto" w:fill="FEFD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FFD139" w:themeColor="accent1" w:themeTint="BF"/>
        <w:left w:val="single" w:sz="8" w:space="0" w:color="FFD139" w:themeColor="accent1" w:themeTint="BF"/>
        <w:bottom w:val="single" w:sz="8" w:space="0" w:color="FFD139" w:themeColor="accent1" w:themeTint="BF"/>
        <w:right w:val="single" w:sz="8" w:space="0" w:color="FFD139" w:themeColor="accent1" w:themeTint="BF"/>
        <w:insideH w:val="single" w:sz="8" w:space="0" w:color="FFD139" w:themeColor="accent1" w:themeTint="BF"/>
      </w:tblBorders>
    </w:tblPr>
    <w:tblStylePr w:type="firstRow">
      <w:pPr>
        <w:spacing w:before="0" w:after="0" w:line="240" w:lineRule="auto"/>
      </w:pPr>
      <w:rPr>
        <w:b/>
        <w:bCs/>
        <w:color w:val="FFFFFF" w:themeColor="background1"/>
      </w:rPr>
      <w:tblPr/>
      <w:tcPr>
        <w:tcBorders>
          <w:top w:val="single" w:sz="8" w:space="0" w:color="FFD139" w:themeColor="accent1" w:themeTint="BF"/>
          <w:left w:val="single" w:sz="8" w:space="0" w:color="FFD139" w:themeColor="accent1" w:themeTint="BF"/>
          <w:bottom w:val="single" w:sz="8" w:space="0" w:color="FFD139" w:themeColor="accent1" w:themeTint="BF"/>
          <w:right w:val="single" w:sz="8" w:space="0" w:color="FFD139" w:themeColor="accent1" w:themeTint="BF"/>
          <w:insideH w:val="nil"/>
          <w:insideV w:val="nil"/>
        </w:tcBorders>
        <w:shd w:val="clear" w:color="auto" w:fill="F6BE00" w:themeFill="accent1"/>
      </w:tcPr>
    </w:tblStylePr>
    <w:tblStylePr w:type="lastRow">
      <w:pPr>
        <w:spacing w:before="0" w:after="0" w:line="240" w:lineRule="auto"/>
      </w:pPr>
      <w:rPr>
        <w:b/>
        <w:bCs/>
      </w:rPr>
      <w:tblPr/>
      <w:tcPr>
        <w:tcBorders>
          <w:top w:val="double" w:sz="6" w:space="0" w:color="FFD139" w:themeColor="accent1" w:themeTint="BF"/>
          <w:left w:val="single" w:sz="8" w:space="0" w:color="FFD139" w:themeColor="accent1" w:themeTint="BF"/>
          <w:bottom w:val="single" w:sz="8" w:space="0" w:color="FFD139" w:themeColor="accent1" w:themeTint="BF"/>
          <w:right w:val="single" w:sz="8" w:space="0" w:color="FFD13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FBD" w:themeFill="accent1" w:themeFillTint="3F"/>
      </w:tcPr>
    </w:tblStylePr>
    <w:tblStylePr w:type="band1Horz">
      <w:tblPr/>
      <w:tcPr>
        <w:tcBorders>
          <w:insideH w:val="nil"/>
          <w:insideV w:val="nil"/>
        </w:tcBorders>
        <w:shd w:val="clear" w:color="auto" w:fill="FFEF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FDE25A" w:themeColor="accent2" w:themeTint="BF"/>
        <w:left w:val="single" w:sz="8" w:space="0" w:color="FDE25A" w:themeColor="accent2" w:themeTint="BF"/>
        <w:bottom w:val="single" w:sz="8" w:space="0" w:color="FDE25A" w:themeColor="accent2" w:themeTint="BF"/>
        <w:right w:val="single" w:sz="8" w:space="0" w:color="FDE25A" w:themeColor="accent2" w:themeTint="BF"/>
        <w:insideH w:val="single" w:sz="8" w:space="0" w:color="FDE25A" w:themeColor="accent2" w:themeTint="BF"/>
      </w:tblBorders>
    </w:tblPr>
    <w:tblStylePr w:type="firstRow">
      <w:pPr>
        <w:spacing w:before="0" w:after="0" w:line="240" w:lineRule="auto"/>
      </w:pPr>
      <w:rPr>
        <w:b/>
        <w:bCs/>
        <w:color w:val="FFFFFF" w:themeColor="background1"/>
      </w:rPr>
      <w:tblPr/>
      <w:tcPr>
        <w:tcBorders>
          <w:top w:val="single" w:sz="8" w:space="0" w:color="FDE25A" w:themeColor="accent2" w:themeTint="BF"/>
          <w:left w:val="single" w:sz="8" w:space="0" w:color="FDE25A" w:themeColor="accent2" w:themeTint="BF"/>
          <w:bottom w:val="single" w:sz="8" w:space="0" w:color="FDE25A" w:themeColor="accent2" w:themeTint="BF"/>
          <w:right w:val="single" w:sz="8" w:space="0" w:color="FDE25A" w:themeColor="accent2" w:themeTint="BF"/>
          <w:insideH w:val="nil"/>
          <w:insideV w:val="nil"/>
        </w:tcBorders>
        <w:shd w:val="clear" w:color="auto" w:fill="FDDA24" w:themeFill="accent2"/>
      </w:tcPr>
    </w:tblStylePr>
    <w:tblStylePr w:type="lastRow">
      <w:pPr>
        <w:spacing w:before="0" w:after="0" w:line="240" w:lineRule="auto"/>
      </w:pPr>
      <w:rPr>
        <w:b/>
        <w:bCs/>
      </w:rPr>
      <w:tblPr/>
      <w:tcPr>
        <w:tcBorders>
          <w:top w:val="double" w:sz="6" w:space="0" w:color="FDE25A" w:themeColor="accent2" w:themeTint="BF"/>
          <w:left w:val="single" w:sz="8" w:space="0" w:color="FDE25A" w:themeColor="accent2" w:themeTint="BF"/>
          <w:bottom w:val="single" w:sz="8" w:space="0" w:color="FDE25A" w:themeColor="accent2" w:themeTint="BF"/>
          <w:right w:val="single" w:sz="8" w:space="0" w:color="FDE25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F5C8" w:themeFill="accent2" w:themeFillTint="3F"/>
      </w:tcPr>
    </w:tblStylePr>
    <w:tblStylePr w:type="band1Horz">
      <w:tblPr/>
      <w:tcPr>
        <w:tcBorders>
          <w:insideH w:val="nil"/>
          <w:insideV w:val="nil"/>
        </w:tcBorders>
        <w:shd w:val="clear" w:color="auto" w:fill="FEF5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FCE859" w:themeColor="accent3" w:themeTint="BF"/>
        <w:left w:val="single" w:sz="8" w:space="0" w:color="FCE859" w:themeColor="accent3" w:themeTint="BF"/>
        <w:bottom w:val="single" w:sz="8" w:space="0" w:color="FCE859" w:themeColor="accent3" w:themeTint="BF"/>
        <w:right w:val="single" w:sz="8" w:space="0" w:color="FCE859" w:themeColor="accent3" w:themeTint="BF"/>
        <w:insideH w:val="single" w:sz="8" w:space="0" w:color="FCE859" w:themeColor="accent3" w:themeTint="BF"/>
      </w:tblBorders>
    </w:tblPr>
    <w:tblStylePr w:type="firstRow">
      <w:pPr>
        <w:spacing w:before="0" w:after="0" w:line="240" w:lineRule="auto"/>
      </w:pPr>
      <w:rPr>
        <w:b/>
        <w:bCs/>
        <w:color w:val="FFFFFF" w:themeColor="background1"/>
      </w:rPr>
      <w:tblPr/>
      <w:tcPr>
        <w:tcBorders>
          <w:top w:val="single" w:sz="8" w:space="0" w:color="FCE859" w:themeColor="accent3" w:themeTint="BF"/>
          <w:left w:val="single" w:sz="8" w:space="0" w:color="FCE859" w:themeColor="accent3" w:themeTint="BF"/>
          <w:bottom w:val="single" w:sz="8" w:space="0" w:color="FCE859" w:themeColor="accent3" w:themeTint="BF"/>
          <w:right w:val="single" w:sz="8" w:space="0" w:color="FCE859" w:themeColor="accent3" w:themeTint="BF"/>
          <w:insideH w:val="nil"/>
          <w:insideV w:val="nil"/>
        </w:tcBorders>
        <w:shd w:val="clear" w:color="auto" w:fill="FBE122" w:themeFill="accent3"/>
      </w:tcPr>
    </w:tblStylePr>
    <w:tblStylePr w:type="lastRow">
      <w:pPr>
        <w:spacing w:before="0" w:after="0" w:line="240" w:lineRule="auto"/>
      </w:pPr>
      <w:rPr>
        <w:b/>
        <w:bCs/>
      </w:rPr>
      <w:tblPr/>
      <w:tcPr>
        <w:tcBorders>
          <w:top w:val="double" w:sz="6" w:space="0" w:color="FCE859" w:themeColor="accent3" w:themeTint="BF"/>
          <w:left w:val="single" w:sz="8" w:space="0" w:color="FCE859" w:themeColor="accent3" w:themeTint="BF"/>
          <w:bottom w:val="single" w:sz="8" w:space="0" w:color="FCE859" w:themeColor="accent3" w:themeTint="BF"/>
          <w:right w:val="single" w:sz="8" w:space="0" w:color="FCE8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F7C8" w:themeFill="accent3" w:themeFillTint="3F"/>
      </w:tcPr>
    </w:tblStylePr>
    <w:tblStylePr w:type="band1Horz">
      <w:tblPr/>
      <w:tcPr>
        <w:tcBorders>
          <w:insideH w:val="nil"/>
          <w:insideV w:val="nil"/>
        </w:tcBorders>
        <w:shd w:val="clear" w:color="auto" w:fill="FEF7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FBE59F" w:themeColor="accent4" w:themeTint="BF"/>
        <w:left w:val="single" w:sz="8" w:space="0" w:color="FBE59F" w:themeColor="accent4" w:themeTint="BF"/>
        <w:bottom w:val="single" w:sz="8" w:space="0" w:color="FBE59F" w:themeColor="accent4" w:themeTint="BF"/>
        <w:right w:val="single" w:sz="8" w:space="0" w:color="FBE59F" w:themeColor="accent4" w:themeTint="BF"/>
        <w:insideH w:val="single" w:sz="8" w:space="0" w:color="FBE59F" w:themeColor="accent4" w:themeTint="BF"/>
      </w:tblBorders>
    </w:tblPr>
    <w:tblStylePr w:type="firstRow">
      <w:pPr>
        <w:spacing w:before="0" w:after="0" w:line="240" w:lineRule="auto"/>
      </w:pPr>
      <w:rPr>
        <w:b/>
        <w:bCs/>
        <w:color w:val="FFFFFF" w:themeColor="background1"/>
      </w:rPr>
      <w:tblPr/>
      <w:tcPr>
        <w:tcBorders>
          <w:top w:val="single" w:sz="8" w:space="0" w:color="FBE59F" w:themeColor="accent4" w:themeTint="BF"/>
          <w:left w:val="single" w:sz="8" w:space="0" w:color="FBE59F" w:themeColor="accent4" w:themeTint="BF"/>
          <w:bottom w:val="single" w:sz="8" w:space="0" w:color="FBE59F" w:themeColor="accent4" w:themeTint="BF"/>
          <w:right w:val="single" w:sz="8" w:space="0" w:color="FBE59F" w:themeColor="accent4" w:themeTint="BF"/>
          <w:insideH w:val="nil"/>
          <w:insideV w:val="nil"/>
        </w:tcBorders>
        <w:shd w:val="clear" w:color="auto" w:fill="FADE7F" w:themeFill="accent4"/>
      </w:tcPr>
    </w:tblStylePr>
    <w:tblStylePr w:type="lastRow">
      <w:pPr>
        <w:spacing w:before="0" w:after="0" w:line="240" w:lineRule="auto"/>
      </w:pPr>
      <w:rPr>
        <w:b/>
        <w:bCs/>
      </w:rPr>
      <w:tblPr/>
      <w:tcPr>
        <w:tcBorders>
          <w:top w:val="double" w:sz="6" w:space="0" w:color="FBE59F" w:themeColor="accent4" w:themeTint="BF"/>
          <w:left w:val="single" w:sz="8" w:space="0" w:color="FBE59F" w:themeColor="accent4" w:themeTint="BF"/>
          <w:bottom w:val="single" w:sz="8" w:space="0" w:color="FBE59F" w:themeColor="accent4" w:themeTint="BF"/>
          <w:right w:val="single" w:sz="8" w:space="0" w:color="FBE5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F6DF" w:themeFill="accent4" w:themeFillTint="3F"/>
      </w:tcPr>
    </w:tblStylePr>
    <w:tblStylePr w:type="band1Horz">
      <w:tblPr/>
      <w:tcPr>
        <w:tcBorders>
          <w:insideH w:val="nil"/>
          <w:insideV w:val="nil"/>
        </w:tcBorders>
        <w:shd w:val="clear" w:color="auto" w:fill="FDF6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FEF3BD" w:themeColor="accent5" w:themeTint="BF"/>
        <w:left w:val="single" w:sz="8" w:space="0" w:color="FEF3BD" w:themeColor="accent5" w:themeTint="BF"/>
        <w:bottom w:val="single" w:sz="8" w:space="0" w:color="FEF3BD" w:themeColor="accent5" w:themeTint="BF"/>
        <w:right w:val="single" w:sz="8" w:space="0" w:color="FEF3BD" w:themeColor="accent5" w:themeTint="BF"/>
        <w:insideH w:val="single" w:sz="8" w:space="0" w:color="FEF3BD" w:themeColor="accent5" w:themeTint="BF"/>
      </w:tblBorders>
    </w:tblPr>
    <w:tblStylePr w:type="firstRow">
      <w:pPr>
        <w:spacing w:before="0" w:after="0" w:line="240" w:lineRule="auto"/>
      </w:pPr>
      <w:rPr>
        <w:b/>
        <w:bCs/>
        <w:color w:val="FFFFFF" w:themeColor="background1"/>
      </w:rPr>
      <w:tblPr/>
      <w:tcPr>
        <w:tcBorders>
          <w:top w:val="single" w:sz="8" w:space="0" w:color="FEF3BD" w:themeColor="accent5" w:themeTint="BF"/>
          <w:left w:val="single" w:sz="8" w:space="0" w:color="FEF3BD" w:themeColor="accent5" w:themeTint="BF"/>
          <w:bottom w:val="single" w:sz="8" w:space="0" w:color="FEF3BD" w:themeColor="accent5" w:themeTint="BF"/>
          <w:right w:val="single" w:sz="8" w:space="0" w:color="FEF3BD" w:themeColor="accent5" w:themeTint="BF"/>
          <w:insideH w:val="nil"/>
          <w:insideV w:val="nil"/>
        </w:tcBorders>
        <w:shd w:val="clear" w:color="auto" w:fill="FEF0A7" w:themeFill="accent5"/>
      </w:tcPr>
    </w:tblStylePr>
    <w:tblStylePr w:type="lastRow">
      <w:pPr>
        <w:spacing w:before="0" w:after="0" w:line="240" w:lineRule="auto"/>
      </w:pPr>
      <w:rPr>
        <w:b/>
        <w:bCs/>
      </w:rPr>
      <w:tblPr/>
      <w:tcPr>
        <w:tcBorders>
          <w:top w:val="double" w:sz="6" w:space="0" w:color="FEF3BD" w:themeColor="accent5" w:themeTint="BF"/>
          <w:left w:val="single" w:sz="8" w:space="0" w:color="FEF3BD" w:themeColor="accent5" w:themeTint="BF"/>
          <w:bottom w:val="single" w:sz="8" w:space="0" w:color="FEF3BD" w:themeColor="accent5" w:themeTint="BF"/>
          <w:right w:val="single" w:sz="8" w:space="0" w:color="FEF3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BE9" w:themeFill="accent5" w:themeFillTint="3F"/>
      </w:tcPr>
    </w:tblStylePr>
    <w:tblStylePr w:type="band1Horz">
      <w:tblPr/>
      <w:tcPr>
        <w:tcBorders>
          <w:insideH w:val="nil"/>
          <w:insideV w:val="nil"/>
        </w:tcBorders>
        <w:shd w:val="clear" w:color="auto" w:fill="FEFB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FEFADD" w:themeColor="accent6" w:themeTint="BF"/>
        <w:left w:val="single" w:sz="8" w:space="0" w:color="FEFADD" w:themeColor="accent6" w:themeTint="BF"/>
        <w:bottom w:val="single" w:sz="8" w:space="0" w:color="FEFADD" w:themeColor="accent6" w:themeTint="BF"/>
        <w:right w:val="single" w:sz="8" w:space="0" w:color="FEFADD" w:themeColor="accent6" w:themeTint="BF"/>
        <w:insideH w:val="single" w:sz="8" w:space="0" w:color="FEFADD" w:themeColor="accent6" w:themeTint="BF"/>
      </w:tblBorders>
    </w:tblPr>
    <w:tblStylePr w:type="firstRow">
      <w:pPr>
        <w:spacing w:before="0" w:after="0" w:line="240" w:lineRule="auto"/>
      </w:pPr>
      <w:rPr>
        <w:b/>
        <w:bCs/>
        <w:color w:val="FFFFFF" w:themeColor="background1"/>
      </w:rPr>
      <w:tblPr/>
      <w:tcPr>
        <w:tcBorders>
          <w:top w:val="single" w:sz="8" w:space="0" w:color="FEFADD" w:themeColor="accent6" w:themeTint="BF"/>
          <w:left w:val="single" w:sz="8" w:space="0" w:color="FEFADD" w:themeColor="accent6" w:themeTint="BF"/>
          <w:bottom w:val="single" w:sz="8" w:space="0" w:color="FEFADD" w:themeColor="accent6" w:themeTint="BF"/>
          <w:right w:val="single" w:sz="8" w:space="0" w:color="FEFADD" w:themeColor="accent6" w:themeTint="BF"/>
          <w:insideH w:val="nil"/>
          <w:insideV w:val="nil"/>
        </w:tcBorders>
        <w:shd w:val="clear" w:color="auto" w:fill="FEF9D3" w:themeFill="accent6"/>
      </w:tcPr>
    </w:tblStylePr>
    <w:tblStylePr w:type="lastRow">
      <w:pPr>
        <w:spacing w:before="0" w:after="0" w:line="240" w:lineRule="auto"/>
      </w:pPr>
      <w:rPr>
        <w:b/>
        <w:bCs/>
      </w:rPr>
      <w:tblPr/>
      <w:tcPr>
        <w:tcBorders>
          <w:top w:val="double" w:sz="6" w:space="0" w:color="FEFADD" w:themeColor="accent6" w:themeTint="BF"/>
          <w:left w:val="single" w:sz="8" w:space="0" w:color="FEFADD" w:themeColor="accent6" w:themeTint="BF"/>
          <w:bottom w:val="single" w:sz="8" w:space="0" w:color="FEFADD" w:themeColor="accent6" w:themeTint="BF"/>
          <w:right w:val="single" w:sz="8" w:space="0" w:color="FEFAD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DF3" w:themeFill="accent6" w:themeFillTint="3F"/>
      </w:tcPr>
    </w:tblStylePr>
    <w:tblStylePr w:type="band1Horz">
      <w:tblPr/>
      <w:tcPr>
        <w:tcBorders>
          <w:insideH w:val="nil"/>
          <w:insideV w:val="nil"/>
        </w:tcBorders>
        <w:shd w:val="clear" w:color="auto" w:fill="FEFD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BE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BE00" w:themeFill="accent1"/>
      </w:tcPr>
    </w:tblStylePr>
    <w:tblStylePr w:type="lastCol">
      <w:rPr>
        <w:b/>
        <w:bCs/>
        <w:color w:val="FFFFFF" w:themeColor="background1"/>
      </w:rPr>
      <w:tblPr/>
      <w:tcPr>
        <w:tcBorders>
          <w:left w:val="nil"/>
          <w:right w:val="nil"/>
          <w:insideH w:val="nil"/>
          <w:insideV w:val="nil"/>
        </w:tcBorders>
        <w:shd w:val="clear" w:color="auto" w:fill="F6BE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A2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A24" w:themeFill="accent2"/>
      </w:tcPr>
    </w:tblStylePr>
    <w:tblStylePr w:type="lastCol">
      <w:rPr>
        <w:b/>
        <w:bCs/>
        <w:color w:val="FFFFFF" w:themeColor="background1"/>
      </w:rPr>
      <w:tblPr/>
      <w:tcPr>
        <w:tcBorders>
          <w:left w:val="nil"/>
          <w:right w:val="nil"/>
          <w:insideH w:val="nil"/>
          <w:insideV w:val="nil"/>
        </w:tcBorders>
        <w:shd w:val="clear" w:color="auto" w:fill="FDDA2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1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122" w:themeFill="accent3"/>
      </w:tcPr>
    </w:tblStylePr>
    <w:tblStylePr w:type="lastCol">
      <w:rPr>
        <w:b/>
        <w:bCs/>
        <w:color w:val="FFFFFF" w:themeColor="background1"/>
      </w:rPr>
      <w:tblPr/>
      <w:tcPr>
        <w:tcBorders>
          <w:left w:val="nil"/>
          <w:right w:val="nil"/>
          <w:insideH w:val="nil"/>
          <w:insideV w:val="nil"/>
        </w:tcBorders>
        <w:shd w:val="clear" w:color="auto" w:fill="FBE1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DE7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DE7F" w:themeFill="accent4"/>
      </w:tcPr>
    </w:tblStylePr>
    <w:tblStylePr w:type="lastCol">
      <w:rPr>
        <w:b/>
        <w:bCs/>
        <w:color w:val="FFFFFF" w:themeColor="background1"/>
      </w:rPr>
      <w:tblPr/>
      <w:tcPr>
        <w:tcBorders>
          <w:left w:val="nil"/>
          <w:right w:val="nil"/>
          <w:insideH w:val="nil"/>
          <w:insideV w:val="nil"/>
        </w:tcBorders>
        <w:shd w:val="clear" w:color="auto" w:fill="FADE7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F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F9D3" w:themeFill="accent6"/>
      </w:tcPr>
    </w:tblStylePr>
    <w:tblStylePr w:type="lastCol">
      <w:rPr>
        <w:b/>
        <w:bCs/>
        <w:color w:val="FFFFFF" w:themeColor="background1"/>
      </w:rPr>
      <w:tblPr/>
      <w:tcPr>
        <w:tcBorders>
          <w:left w:val="nil"/>
          <w:right w:val="nil"/>
          <w:insideH w:val="nil"/>
          <w:insideV w:val="nil"/>
        </w:tcBorders>
        <w:shd w:val="clear" w:color="auto" w:fill="FEF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69"/>
    <w:rsid w:val="00A8309B"/>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A8309B"/>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697C1C"/>
    <w:pPr>
      <w:numPr>
        <w:ilvl w:val="1"/>
      </w:numPr>
    </w:pPr>
    <w:rPr>
      <w:rFonts w:ascii="Arial Black" w:eastAsiaTheme="majorEastAsia" w:hAnsi="Arial Black" w:cstheme="majorBidi"/>
      <w:b/>
      <w:iCs/>
      <w:caps/>
      <w:color w:val="FDDA24" w:themeColor="accent2"/>
      <w:spacing w:val="15"/>
      <w:sz w:val="44"/>
      <w:szCs w:val="24"/>
    </w:rPr>
  </w:style>
  <w:style w:type="character" w:customStyle="1" w:styleId="SubtitleChar">
    <w:name w:val="Subtitle Char"/>
    <w:basedOn w:val="DefaultParagraphFont"/>
    <w:link w:val="Subtitle"/>
    <w:uiPriority w:val="11"/>
    <w:semiHidden/>
    <w:rsid w:val="00697C1C"/>
    <w:rPr>
      <w:rFonts w:ascii="Arial Black" w:eastAsiaTheme="majorEastAsia" w:hAnsi="Arial Black" w:cstheme="majorBidi"/>
      <w:b/>
      <w:iCs/>
      <w:caps/>
      <w:color w:val="FDDA24" w:themeColor="accent2"/>
      <w:spacing w:val="15"/>
      <w:sz w:val="44"/>
      <w:szCs w:val="24"/>
    </w:rPr>
  </w:style>
  <w:style w:type="character" w:styleId="SubtleReference">
    <w:name w:val="Subtle Reference"/>
    <w:basedOn w:val="DefaultParagraphFont"/>
    <w:uiPriority w:val="31"/>
    <w:semiHidden/>
    <w:rsid w:val="00C00568"/>
    <w:rPr>
      <w:smallCaps/>
      <w:color w:val="FDDA24"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697C1C"/>
    <w:pPr>
      <w:spacing w:before="720" w:after="300"/>
      <w:contextualSpacing/>
    </w:pPr>
    <w:rPr>
      <w:rFonts w:asciiTheme="majorHAnsi" w:eastAsiaTheme="majorEastAsia" w:hAnsiTheme="majorHAnsi" w:cstheme="majorBidi"/>
      <w:color w:val="F6BE00" w:themeColor="accent1"/>
      <w:spacing w:val="5"/>
      <w:kern w:val="28"/>
      <w:sz w:val="52"/>
      <w:szCs w:val="52"/>
    </w:rPr>
  </w:style>
  <w:style w:type="character" w:customStyle="1" w:styleId="TitleChar">
    <w:name w:val="Title Char"/>
    <w:basedOn w:val="DefaultParagraphFont"/>
    <w:link w:val="Title"/>
    <w:uiPriority w:val="10"/>
    <w:semiHidden/>
    <w:rsid w:val="00697C1C"/>
    <w:rPr>
      <w:rFonts w:asciiTheme="majorHAnsi" w:eastAsiaTheme="majorEastAsia" w:hAnsiTheme="majorHAnsi" w:cstheme="majorBidi"/>
      <w:color w:val="F6BE00" w:themeColor="accent1"/>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ind w:left="880"/>
    </w:pPr>
  </w:style>
  <w:style w:type="paragraph" w:styleId="TOC6">
    <w:name w:val="toc 6"/>
    <w:basedOn w:val="Normal"/>
    <w:next w:val="Normal"/>
    <w:autoRedefine/>
    <w:uiPriority w:val="96"/>
    <w:semiHidden/>
    <w:rsid w:val="00C00568"/>
    <w:pPr>
      <w:ind w:left="1100"/>
    </w:pPr>
  </w:style>
  <w:style w:type="paragraph" w:styleId="TOC8">
    <w:name w:val="toc 8"/>
    <w:basedOn w:val="Normal"/>
    <w:next w:val="Normal"/>
    <w:autoRedefine/>
    <w:uiPriority w:val="96"/>
    <w:semiHidden/>
    <w:rsid w:val="00C00568"/>
    <w:pPr>
      <w:ind w:left="1540"/>
    </w:pPr>
  </w:style>
  <w:style w:type="paragraph" w:styleId="TOCHeading">
    <w:name w:val="TOC Heading"/>
    <w:basedOn w:val="Heading10"/>
    <w:next w:val="Normal"/>
    <w:uiPriority w:val="90"/>
    <w:semiHidden/>
    <w:unhideWhenUsed/>
    <w:rsid w:val="00C00568"/>
    <w:pPr>
      <w:spacing w:before="480"/>
      <w:outlineLvl w:val="9"/>
    </w:pPr>
    <w:rPr>
      <w:caps/>
      <w:color w:val="B88D00" w:themeColor="accent1" w:themeShade="BF"/>
      <w:spacing w:val="0"/>
      <w:sz w:val="28"/>
    </w:rPr>
  </w:style>
  <w:style w:type="table" w:customStyle="1" w:styleId="DTFTextTable">
    <w:name w:val="DTF Text Table"/>
    <w:basedOn w:val="DTFTable"/>
    <w:uiPriority w:val="99"/>
    <w:rsid w:val="00307660"/>
    <w:pPr>
      <w:spacing w:before="120" w:after="60" w:line="240" w:lineRule="auto"/>
      <w:jc w:val="left"/>
    </w:pPr>
    <w:rPr>
      <w:sz w:val="18"/>
    </w:rPr>
    <w:tblPr>
      <w:tblBorders>
        <w:bottom w:val="single" w:sz="8" w:space="0" w:color="F6BE00" w:themeColor="accent1"/>
      </w:tblBorders>
    </w:tblPr>
    <w:tblStylePr w:type="firstRow">
      <w:pPr>
        <w:wordWrap/>
        <w:spacing w:beforeLines="0" w:before="20" w:beforeAutospacing="0" w:afterLines="0" w:after="20" w:afterAutospacing="0" w:line="216" w:lineRule="auto"/>
        <w:jc w:val="left"/>
      </w:pPr>
      <w:rPr>
        <w:i/>
        <w:color w:val="FFFFFF" w:themeColor="background1"/>
      </w:rPr>
      <w:tblPr/>
      <w:trPr>
        <w:cantSplit w:val="0"/>
      </w:trPr>
      <w:tcPr>
        <w:shd w:val="clear" w:color="auto" w:fill="F6BE00" w:themeFill="accent1"/>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16322A"/>
    <w:rPr>
      <w:rFonts w:asciiTheme="majorHAnsi" w:hAnsiTheme="majorHAnsi"/>
      <w:sz w:val="18"/>
    </w:rPr>
  </w:style>
  <w:style w:type="paragraph" w:customStyle="1" w:styleId="ObjectiveHeading">
    <w:name w:val="Objective Heading"/>
    <w:basedOn w:val="Normal"/>
    <w:next w:val="Normal"/>
    <w:uiPriority w:val="62"/>
    <w:semiHidden/>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2B3CF4"/>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FDDA24"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4259E"/>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DPCbody">
    <w:name w:val="DPC body"/>
    <w:qFormat/>
    <w:rsid w:val="006E1925"/>
    <w:pPr>
      <w:spacing w:before="0" w:after="160" w:line="300" w:lineRule="atLeast"/>
    </w:pPr>
    <w:rPr>
      <w:rFonts w:eastAsia="Times" w:cs="Arial"/>
      <w:color w:val="000000" w:themeColor="text1"/>
      <w:sz w:val="22"/>
      <w:szCs w:val="22"/>
    </w:rPr>
  </w:style>
  <w:style w:type="paragraph" w:customStyle="1" w:styleId="DPCbodyaftertablefigure">
    <w:name w:val="DPC body after table/figure"/>
    <w:basedOn w:val="DPCbody"/>
    <w:uiPriority w:val="1"/>
    <w:rsid w:val="006E1925"/>
    <w:pPr>
      <w:spacing w:before="240"/>
    </w:pPr>
  </w:style>
  <w:style w:type="paragraph" w:customStyle="1" w:styleId="TableText">
    <w:name w:val="Table Text"/>
    <w:basedOn w:val="Normal"/>
    <w:uiPriority w:val="15"/>
    <w:qFormat/>
    <w:rsid w:val="00CC1EF2"/>
    <w:pPr>
      <w:spacing w:before="20" w:after="20" w:line="240" w:lineRule="auto"/>
    </w:pPr>
    <w:rPr>
      <w:rFonts w:ascii="Calibri" w:eastAsia="Times New Roman" w:hAnsi="Calibri" w:cs="Calibri"/>
      <w:sz w:val="18"/>
      <w:szCs w:val="22"/>
      <w:lang w:eastAsia="en-AU"/>
    </w:rPr>
  </w:style>
  <w:style w:type="paragraph" w:customStyle="1" w:styleId="Spacer">
    <w:name w:val="Spacer"/>
    <w:basedOn w:val="Normal"/>
    <w:qFormat/>
    <w:rsid w:val="00CC1EF2"/>
    <w:pPr>
      <w:spacing w:before="0" w:after="0" w:line="240" w:lineRule="auto"/>
    </w:pPr>
    <w:rPr>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header" Target="header6.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29" Type="http://schemas.openxmlformats.org/officeDocument/2006/relationships/hyperlink" Target="http://www.dtf.vic.gov.au/investmentmanage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https://www.climatechange.vic.gov.au/adapting-to-climate-change-impacts" TargetMode="External"/><Relationship Id="rId37" Type="http://schemas.openxmlformats.org/officeDocument/2006/relationships/header" Target="head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image" Target="media/image5.png"/><Relationship Id="rId28" Type="http://schemas.microsoft.com/office/2007/relationships/hdphoto" Target="media/hdphoto1.wdp"/><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www.dpc.vic.gov.au/index.php/news-publications/value-creation-and-capture-framewor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hyperlink" Target="http://www.dtf.vic.gov.au/Investment-Planning-and-Evaluation/High-Value-High-Risk" TargetMode="Externa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Publications/Investment-planning-and-evaluation-publications/Lifecycle-guidance/Technical-guid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TF standard">
  <a:themeElements>
    <a:clrScheme name="Brand Victoria - Yellow">
      <a:dk1>
        <a:sysClr val="windowText" lastClr="000000"/>
      </a:dk1>
      <a:lt1>
        <a:sysClr val="window" lastClr="FFFFFF"/>
      </a:lt1>
      <a:dk2>
        <a:srgbClr val="53565A"/>
      </a:dk2>
      <a:lt2>
        <a:srgbClr val="D9D9D6"/>
      </a:lt2>
      <a:accent1>
        <a:srgbClr val="F6BE00"/>
      </a:accent1>
      <a:accent2>
        <a:srgbClr val="FDDA24"/>
      </a:accent2>
      <a:accent3>
        <a:srgbClr val="FBE122"/>
      </a:accent3>
      <a:accent4>
        <a:srgbClr val="FADE7F"/>
      </a:accent4>
      <a:accent5>
        <a:srgbClr val="FEF0A7"/>
      </a:accent5>
      <a:accent6>
        <a:srgbClr val="FEF9D3"/>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F420-4B6B-4C63-8362-167FE96A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8938</Words>
  <Characters>50948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[chapter title]</vt:lpstr>
    </vt:vector>
  </TitlesOfParts>
  <Company>Victorian Government</Company>
  <LinksUpToDate>false</LinksUpToDate>
  <CharactersWithSpaces>59767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dc:title>
  <dc:subject>[publication name]</dc:subject>
  <dc:creator>Deidre Steain</dc:creator>
  <cp:lastModifiedBy>Alana Condon</cp:lastModifiedBy>
  <cp:revision>2</cp:revision>
  <cp:lastPrinted>2016-12-19T05:36:00Z</cp:lastPrinted>
  <dcterms:created xsi:type="dcterms:W3CDTF">2018-02-09T05:15:00Z</dcterms:created>
  <dcterms:modified xsi:type="dcterms:W3CDTF">2018-02-09T05:15:00Z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aa2e79c0-d4d3-43ad-a378-791ab7a61a97</vt:lpwstr>
  </property>
  <property fmtid="{D5CDD505-2E9C-101B-9397-08002B2CF9AE}" pid="4" name="PSPFClassification">
    <vt:lpwstr>Do Not Mark</vt:lpwstr>
  </property>
</Properties>
</file>