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A7" w:rsidRPr="001C0F2B" w:rsidRDefault="006F214D" w:rsidP="001C0F2B">
      <w:pPr>
        <w:pStyle w:val="Title"/>
      </w:pPr>
      <w:bookmarkStart w:id="0" w:name="_GoBack"/>
      <w:bookmarkEnd w:id="0"/>
      <w:r>
        <w:rPr>
          <w:noProof/>
          <w:lang w:eastAsia="en-AU"/>
        </w:rPr>
        <w:t>Ian Smart</w:t>
      </w:r>
    </w:p>
    <w:p w:rsidR="007A3CA7" w:rsidRPr="001C0F2B" w:rsidRDefault="006F214D" w:rsidP="001C0F2B">
      <w:pPr>
        <w:pStyle w:val="Title"/>
      </w:pPr>
      <w:r>
        <w:t>Optias Pty Ltd</w:t>
      </w:r>
    </w:p>
    <w:p w:rsidR="00F456ED" w:rsidRPr="001C0F2B" w:rsidRDefault="000C660C" w:rsidP="001C0F2B">
      <w:pPr>
        <w:pStyle w:val="Subtitle"/>
      </w:pPr>
      <w:r w:rsidRPr="001C0F2B">
        <w:t>Accredited Investment Management Facilitator</w:t>
      </w:r>
    </w:p>
    <w:p w:rsidR="008F499A" w:rsidRPr="001C0F2B" w:rsidRDefault="008F499A" w:rsidP="001C0F2B">
      <w:pPr>
        <w:pStyle w:val="Heading1"/>
      </w:pPr>
      <w:r w:rsidRPr="001C0F2B">
        <w:t xml:space="preserve">Organisation Overview </w:t>
      </w:r>
    </w:p>
    <w:p w:rsidR="00F56981" w:rsidRDefault="006F0091" w:rsidP="001C0F2B">
      <w:pPr>
        <w:rPr>
          <w:rFonts w:cstheme="minorHAnsi"/>
        </w:rPr>
      </w:pPr>
      <w:r>
        <w:rPr>
          <w:rFonts w:cstheme="minorHAnsi"/>
        </w:rPr>
        <w:t xml:space="preserve">Dr </w:t>
      </w:r>
      <w:r w:rsidR="006F214D">
        <w:rPr>
          <w:rFonts w:cstheme="minorHAnsi"/>
        </w:rPr>
        <w:t>Ian Smart is an independent consultant engaged in improving efficiency and effectiveness in private and public sector organisations through the application of the investment management standard</w:t>
      </w:r>
      <w:r>
        <w:rPr>
          <w:rFonts w:cstheme="minorHAnsi"/>
        </w:rPr>
        <w:t>, s</w:t>
      </w:r>
      <w:r w:rsidR="006F214D">
        <w:rPr>
          <w:rFonts w:cstheme="minorHAnsi"/>
        </w:rPr>
        <w:t xml:space="preserve">trategic </w:t>
      </w:r>
      <w:r>
        <w:rPr>
          <w:rFonts w:cstheme="minorHAnsi"/>
        </w:rPr>
        <w:t xml:space="preserve">and business </w:t>
      </w:r>
      <w:r w:rsidR="006F214D">
        <w:rPr>
          <w:rFonts w:cstheme="minorHAnsi"/>
        </w:rPr>
        <w:t>planning</w:t>
      </w:r>
      <w:r w:rsidR="00CB50C9">
        <w:rPr>
          <w:rFonts w:cstheme="minorHAnsi"/>
        </w:rPr>
        <w:t>, mathematical techniques</w:t>
      </w:r>
      <w:r>
        <w:rPr>
          <w:rFonts w:cstheme="minorHAnsi"/>
        </w:rPr>
        <w:t xml:space="preserve"> and</w:t>
      </w:r>
      <w:r w:rsidR="006F214D">
        <w:rPr>
          <w:rFonts w:cstheme="minorHAnsi"/>
        </w:rPr>
        <w:t xml:space="preserve"> </w:t>
      </w:r>
      <w:r>
        <w:rPr>
          <w:rFonts w:cstheme="minorHAnsi"/>
        </w:rPr>
        <w:t xml:space="preserve">considerable experience.  </w:t>
      </w:r>
      <w:r w:rsidR="00377F73">
        <w:rPr>
          <w:rFonts w:cstheme="minorHAnsi"/>
        </w:rPr>
        <w:t>Ian has worked at senior executive levels in both private and public organisations.  He has a strong technical base from his years as a scientific researcher and in high technology businesses.  Through</w:t>
      </w:r>
      <w:r>
        <w:rPr>
          <w:rFonts w:cstheme="minorHAnsi"/>
        </w:rPr>
        <w:t xml:space="preserve"> his company Optias, Ian also has access to advanced mathematical techniques such as global optimisation and data mining, and tools and resources to support enhanced internet security and electronic commerce. </w:t>
      </w:r>
    </w:p>
    <w:p w:rsidR="008F499A" w:rsidRPr="001C0F2B" w:rsidRDefault="008F499A" w:rsidP="001C0F2B">
      <w:pPr>
        <w:pStyle w:val="Heading1"/>
      </w:pPr>
      <w:r w:rsidRPr="001C0F2B">
        <w:t>Facilitator Profile</w:t>
      </w:r>
    </w:p>
    <w:p w:rsidR="006F0091" w:rsidRDefault="006F0091" w:rsidP="001C0F2B">
      <w:pPr>
        <w:rPr>
          <w:rFonts w:cstheme="minorHAnsi"/>
        </w:rPr>
      </w:pPr>
      <w:r>
        <w:rPr>
          <w:rFonts w:cstheme="minorHAnsi"/>
        </w:rPr>
        <w:t xml:space="preserve">Ian </w:t>
      </w:r>
      <w:r w:rsidR="00AF0393">
        <w:rPr>
          <w:rFonts w:cstheme="minorHAnsi"/>
        </w:rPr>
        <w:t>has</w:t>
      </w:r>
      <w:r>
        <w:rPr>
          <w:rFonts w:cstheme="minorHAnsi"/>
        </w:rPr>
        <w:t xml:space="preserve"> considerable experience as a senior executive in government, business and over the last </w:t>
      </w:r>
      <w:r w:rsidR="00AF0393">
        <w:rPr>
          <w:rFonts w:cstheme="minorHAnsi"/>
        </w:rPr>
        <w:t xml:space="preserve">15 years </w:t>
      </w:r>
      <w:r>
        <w:rPr>
          <w:rFonts w:cstheme="minorHAnsi"/>
        </w:rPr>
        <w:t>as an entrepreneur</w:t>
      </w:r>
      <w:r w:rsidR="00554EA3">
        <w:rPr>
          <w:rFonts w:cstheme="minorHAnsi"/>
        </w:rPr>
        <w:t xml:space="preserve"> in biotechnology and ICT.</w:t>
      </w:r>
      <w:r>
        <w:rPr>
          <w:rFonts w:cstheme="minorHAnsi"/>
        </w:rPr>
        <w:t xml:space="preserve">  This </w:t>
      </w:r>
      <w:r w:rsidR="00554EA3">
        <w:rPr>
          <w:rFonts w:cstheme="minorHAnsi"/>
        </w:rPr>
        <w:t xml:space="preserve">provides Ian with broad experience </w:t>
      </w:r>
      <w:r w:rsidR="00AF0393">
        <w:rPr>
          <w:rFonts w:cstheme="minorHAnsi"/>
        </w:rPr>
        <w:t xml:space="preserve">that </w:t>
      </w:r>
      <w:r w:rsidR="00554EA3">
        <w:rPr>
          <w:rFonts w:cstheme="minorHAnsi"/>
        </w:rPr>
        <w:t>informs</w:t>
      </w:r>
      <w:r w:rsidR="00AF0393">
        <w:rPr>
          <w:rFonts w:cstheme="minorHAnsi"/>
        </w:rPr>
        <w:t xml:space="preserve"> his extensive work as a facilitator and consultant.  Ian is a skilled developer of business cases, applying his </w:t>
      </w:r>
      <w:r w:rsidR="005467FA">
        <w:rPr>
          <w:rFonts w:cstheme="minorHAnsi"/>
        </w:rPr>
        <w:t>knowledge</w:t>
      </w:r>
      <w:r w:rsidR="00296278">
        <w:rPr>
          <w:rFonts w:cstheme="minorHAnsi"/>
        </w:rPr>
        <w:t xml:space="preserve"> and </w:t>
      </w:r>
      <w:r w:rsidR="005467FA">
        <w:rPr>
          <w:rFonts w:cstheme="minorHAnsi"/>
        </w:rPr>
        <w:t xml:space="preserve">analytical </w:t>
      </w:r>
      <w:r w:rsidR="00296278">
        <w:rPr>
          <w:rFonts w:cstheme="minorHAnsi"/>
        </w:rPr>
        <w:t xml:space="preserve">capabilities to the development of financial, risk and investment evaluation (including economic, social and environmental impacts) models.  Dr Smart has completed </w:t>
      </w:r>
      <w:r w:rsidR="00831648">
        <w:rPr>
          <w:rFonts w:cstheme="minorHAnsi"/>
        </w:rPr>
        <w:t xml:space="preserve">more than 30 business cases in support of government investments.  In the course of developing many of these plans, Dr Smart </w:t>
      </w:r>
      <w:r w:rsidR="00296278">
        <w:rPr>
          <w:rFonts w:cstheme="minorHAnsi"/>
        </w:rPr>
        <w:t>uncover</w:t>
      </w:r>
      <w:r w:rsidR="007C09FE">
        <w:rPr>
          <w:rFonts w:cstheme="minorHAnsi"/>
        </w:rPr>
        <w:t xml:space="preserve">ed new information and evidence and developed innovative approaches </w:t>
      </w:r>
      <w:r w:rsidR="00296278">
        <w:rPr>
          <w:rFonts w:cstheme="minorHAnsi"/>
        </w:rPr>
        <w:t>in support of the investment proposal, considerably strengthening the business case.</w:t>
      </w:r>
    </w:p>
    <w:p w:rsidR="00411180" w:rsidRPr="001C0F2B" w:rsidRDefault="00411180" w:rsidP="001C0F2B">
      <w:pPr>
        <w:rPr>
          <w:rFonts w:cstheme="minorHAnsi"/>
          <w:b/>
          <w:sz w:val="24"/>
          <w:szCs w:val="24"/>
        </w:rPr>
      </w:pPr>
    </w:p>
    <w:p w:rsidR="00411180" w:rsidRPr="001C0F2B" w:rsidRDefault="00411180" w:rsidP="001C0F2B">
      <w:pPr>
        <w:rPr>
          <w:rFonts w:cstheme="minorHAnsi"/>
          <w:b/>
          <w:sz w:val="24"/>
          <w:szCs w:val="24"/>
        </w:rPr>
      </w:pPr>
    </w:p>
    <w:p w:rsidR="00F56981" w:rsidRDefault="00F56981">
      <w:pPr>
        <w:rPr>
          <w:rFonts w:asciiTheme="majorHAnsi" w:eastAsiaTheme="majorEastAsia" w:hAnsiTheme="majorHAnsi" w:cstheme="majorBidi"/>
          <w:b/>
          <w:bCs/>
          <w:color w:val="365F91" w:themeColor="accent1" w:themeShade="BF"/>
          <w:sz w:val="28"/>
          <w:szCs w:val="28"/>
        </w:rPr>
      </w:pPr>
      <w:r>
        <w:br w:type="page"/>
      </w:r>
    </w:p>
    <w:p w:rsidR="00E50972" w:rsidRPr="001C0F2B" w:rsidRDefault="008F499A" w:rsidP="001C0F2B">
      <w:pPr>
        <w:pStyle w:val="Heading1"/>
      </w:pPr>
      <w:r w:rsidRPr="001C0F2B">
        <w:lastRenderedPageBreak/>
        <w:t xml:space="preserve">About Investment Management </w:t>
      </w:r>
    </w:p>
    <w:p w:rsidR="001C0F2B" w:rsidRPr="001C0F2B" w:rsidRDefault="001B06A1" w:rsidP="001C0F2B">
      <w:pPr>
        <w:rPr>
          <w:rFonts w:cstheme="minorHAnsi"/>
        </w:rPr>
      </w:pPr>
      <w:r w:rsidRPr="001C0F2B">
        <w:rPr>
          <w:rFonts w:cstheme="minorHAnsi"/>
        </w:rPr>
        <w:t>The Investment Management Standard (IMS) is a collection of simple, commonsense ideas and practices that help organisation to direct resources to deliver the best outcomes.</w:t>
      </w:r>
    </w:p>
    <w:p w:rsidR="001B0F21" w:rsidRPr="001C0F2B" w:rsidRDefault="001B06A1" w:rsidP="001C0F2B">
      <w:pPr>
        <w:rPr>
          <w:rFonts w:cstheme="minorHAnsi"/>
        </w:rPr>
      </w:pPr>
      <w:r w:rsidRPr="001C0F2B">
        <w:rPr>
          <w:rFonts w:cstheme="minorHAnsi"/>
        </w:rPr>
        <w:t>The standard has been evolving since 2004 as a response to investment practices that were increasingly complex but failed to focus on the real need for an investment or the benefits that would be delivered. Its uses have expanded to the point that it is now a system that can support the primary investment decision-making functions of any organisation on multiple levels, from a decision about a single investment initiative to whole-of-organisation decisions that refocu</w:t>
      </w:r>
      <w:r w:rsidR="001C0F2B" w:rsidRPr="001C0F2B">
        <w:rPr>
          <w:rFonts w:cstheme="minorHAnsi"/>
        </w:rPr>
        <w:t xml:space="preserve">s the organisation’s direction. </w:t>
      </w:r>
      <w:r w:rsidR="00F608FD" w:rsidRPr="001C0F2B">
        <w:rPr>
          <w:rFonts w:cstheme="minorHAnsi"/>
        </w:rPr>
        <w:t xml:space="preserve">For more information on </w:t>
      </w:r>
      <w:r w:rsidR="00022B3F" w:rsidRPr="001C0F2B">
        <w:rPr>
          <w:rFonts w:cstheme="minorHAnsi"/>
        </w:rPr>
        <w:t>how</w:t>
      </w:r>
      <w:r w:rsidR="00751BCF" w:rsidRPr="001C0F2B">
        <w:rPr>
          <w:rFonts w:cstheme="minorHAnsi"/>
        </w:rPr>
        <w:t xml:space="preserve"> IMS can be used to </w:t>
      </w:r>
      <w:r w:rsidRPr="001C0F2B">
        <w:rPr>
          <w:rFonts w:cstheme="minorHAnsi"/>
        </w:rPr>
        <w:t>aid</w:t>
      </w:r>
      <w:r w:rsidR="00751BCF" w:rsidRPr="001C0F2B">
        <w:rPr>
          <w:rFonts w:cstheme="minorHAnsi"/>
        </w:rPr>
        <w:t xml:space="preserve"> your organisation</w:t>
      </w:r>
      <w:r w:rsidR="00F608FD" w:rsidRPr="001C0F2B">
        <w:rPr>
          <w:rFonts w:cstheme="minorHAnsi"/>
        </w:rPr>
        <w:t xml:space="preserve"> </w:t>
      </w:r>
      <w:r w:rsidR="005A4434" w:rsidRPr="001C0F2B">
        <w:rPr>
          <w:rFonts w:cstheme="minorHAnsi"/>
        </w:rPr>
        <w:t xml:space="preserve">go to </w:t>
      </w:r>
      <w:hyperlink r:id="rId8" w:history="1">
        <w:r w:rsidR="005A4434" w:rsidRPr="001C0F2B">
          <w:rPr>
            <w:rStyle w:val="Hyperlink"/>
            <w:rFonts w:cstheme="minorHAnsi"/>
          </w:rPr>
          <w:t>www.dtf.vic.gov/investmentmanagement</w:t>
        </w:r>
      </w:hyperlink>
      <w:r w:rsidR="00022B3F" w:rsidRPr="001C0F2B">
        <w:rPr>
          <w:rFonts w:cstheme="minorHAnsi"/>
        </w:rPr>
        <w:t>.</w:t>
      </w:r>
      <w:r w:rsidR="005A4434" w:rsidRPr="001C0F2B">
        <w:rPr>
          <w:rFonts w:cstheme="minorHAnsi"/>
        </w:rPr>
        <w:t xml:space="preserve"> </w:t>
      </w:r>
    </w:p>
    <w:p w:rsidR="00A919FC" w:rsidRPr="001C0F2B" w:rsidRDefault="00A0042A" w:rsidP="001C0F2B">
      <w:pPr>
        <w:pStyle w:val="Heading1"/>
      </w:pPr>
      <w:r w:rsidRPr="001C0F2B">
        <w:t>Costs</w:t>
      </w:r>
    </w:p>
    <w:p w:rsidR="001B06A1" w:rsidRPr="001C0F2B" w:rsidRDefault="000327B6" w:rsidP="001C0F2B">
      <w:r w:rsidRPr="001C0F2B">
        <w:rPr>
          <w:b/>
        </w:rPr>
        <w:t>Note:</w:t>
      </w:r>
      <w:r w:rsidRPr="001C0F2B">
        <w:t xml:space="preserve"> As part of the engagement you might choose to do one or all workshop for the particular practise</w:t>
      </w:r>
      <w:r w:rsidRPr="001C0F2B">
        <w:rPr>
          <w:b/>
        </w:rPr>
        <w:t xml:space="preserve">. </w:t>
      </w:r>
      <w:r w:rsidRPr="001C0F2B">
        <w:t>Consult the facilitator and make yourself familiar with</w:t>
      </w:r>
      <w:r w:rsidR="001B06A1" w:rsidRPr="001C0F2B">
        <w:t xml:space="preserve"> </w:t>
      </w:r>
      <w:r w:rsidR="00F50F1A">
        <w:t xml:space="preserve">the </w:t>
      </w:r>
      <w:hyperlink r:id="rId9" w:history="1">
        <w:r w:rsidR="00F50F1A" w:rsidRPr="00F50F1A">
          <w:rPr>
            <w:rStyle w:val="Hyperlink"/>
          </w:rPr>
          <w:t>investment management practises</w:t>
        </w:r>
      </w:hyperlink>
      <w:r w:rsidR="001B06A1" w:rsidRPr="001C0F2B">
        <w:t>.</w:t>
      </w:r>
      <w:r w:rsidR="001C0F2B">
        <w:t xml:space="preserve"> </w:t>
      </w:r>
      <w:r w:rsidRPr="001C0F2B">
        <w:t xml:space="preserve">If any prior IMS workshops have been developed on your investment make sure you inform the facilitator. </w:t>
      </w:r>
    </w:p>
    <w:tbl>
      <w:tblPr>
        <w:tblStyle w:val="TableGrid"/>
        <w:tblW w:w="5000" w:type="pct"/>
        <w:tblLook w:val="04A0" w:firstRow="1" w:lastRow="0" w:firstColumn="1" w:lastColumn="0" w:noHBand="0" w:noVBand="1"/>
      </w:tblPr>
      <w:tblGrid>
        <w:gridCol w:w="5753"/>
        <w:gridCol w:w="1744"/>
        <w:gridCol w:w="1745"/>
      </w:tblGrid>
      <w:tr w:rsidR="001C0F2B" w:rsidRPr="001C0F2B" w:rsidTr="00F56981">
        <w:trPr>
          <w:trHeight w:val="185"/>
        </w:trPr>
        <w:tc>
          <w:tcPr>
            <w:tcW w:w="5753" w:type="dxa"/>
            <w:vMerge w:val="restart"/>
          </w:tcPr>
          <w:p w:rsidR="001C0F2B" w:rsidRPr="001C0F2B" w:rsidRDefault="001C0F2B" w:rsidP="000579AF">
            <w:pPr>
              <w:pStyle w:val="TableText"/>
            </w:pPr>
            <w:r w:rsidRPr="001C0F2B">
              <w:t>Service</w:t>
            </w:r>
          </w:p>
        </w:tc>
        <w:tc>
          <w:tcPr>
            <w:tcW w:w="3489" w:type="dxa"/>
            <w:gridSpan w:val="2"/>
          </w:tcPr>
          <w:p w:rsidR="001C0F2B" w:rsidRPr="001C0F2B" w:rsidRDefault="001C0F2B" w:rsidP="000579AF">
            <w:pPr>
              <w:pStyle w:val="TableText"/>
            </w:pPr>
            <w:r w:rsidRPr="001C0F2B">
              <w:t>Cost (inc. GST)</w:t>
            </w:r>
          </w:p>
        </w:tc>
      </w:tr>
      <w:tr w:rsidR="001C0F2B" w:rsidRPr="001C0F2B" w:rsidTr="00F56981">
        <w:trPr>
          <w:trHeight w:val="185"/>
        </w:trPr>
        <w:tc>
          <w:tcPr>
            <w:tcW w:w="5753" w:type="dxa"/>
            <w:vMerge/>
          </w:tcPr>
          <w:p w:rsidR="001C0F2B" w:rsidRPr="001C0F2B" w:rsidRDefault="001C0F2B" w:rsidP="000579AF">
            <w:pPr>
              <w:pStyle w:val="TableText"/>
            </w:pPr>
          </w:p>
        </w:tc>
        <w:tc>
          <w:tcPr>
            <w:tcW w:w="1744" w:type="dxa"/>
          </w:tcPr>
          <w:p w:rsidR="001C0F2B" w:rsidRPr="001C0F2B" w:rsidRDefault="001C0F2B" w:rsidP="000579AF">
            <w:pPr>
              <w:pStyle w:val="TableText"/>
            </w:pPr>
            <w:r w:rsidRPr="001C0F2B">
              <w:t>Per Workshop</w:t>
            </w:r>
          </w:p>
        </w:tc>
        <w:tc>
          <w:tcPr>
            <w:tcW w:w="1745" w:type="dxa"/>
          </w:tcPr>
          <w:p w:rsidR="001C0F2B" w:rsidRPr="001C0F2B" w:rsidRDefault="001C0F2B" w:rsidP="000579AF">
            <w:pPr>
              <w:pStyle w:val="TableText"/>
            </w:pPr>
            <w:r w:rsidRPr="001C0F2B">
              <w:t>Package</w:t>
            </w:r>
          </w:p>
        </w:tc>
      </w:tr>
      <w:tr w:rsidR="001C0F2B" w:rsidRPr="001C0F2B" w:rsidTr="00F56981">
        <w:tc>
          <w:tcPr>
            <w:tcW w:w="9242" w:type="dxa"/>
            <w:gridSpan w:val="3"/>
          </w:tcPr>
          <w:p w:rsidR="001C0F2B" w:rsidRPr="001C0F2B" w:rsidRDefault="001C0F2B" w:rsidP="000579AF">
            <w:pPr>
              <w:pStyle w:val="TableText"/>
            </w:pPr>
            <w:r w:rsidRPr="001C0F2B">
              <w:t xml:space="preserve">Shape new Investments </w:t>
            </w:r>
          </w:p>
        </w:tc>
      </w:tr>
      <w:tr w:rsidR="001C0F2B" w:rsidRPr="001C0F2B" w:rsidTr="00F56981">
        <w:trPr>
          <w:trHeight w:val="184"/>
        </w:trPr>
        <w:tc>
          <w:tcPr>
            <w:tcW w:w="5753" w:type="dxa"/>
            <w:vMerge w:val="restart"/>
          </w:tcPr>
          <w:p w:rsidR="001C0F2B" w:rsidRPr="001C0F2B" w:rsidRDefault="001C0F2B" w:rsidP="000579AF">
            <w:pPr>
              <w:pStyle w:val="TableText"/>
            </w:pPr>
            <w:r w:rsidRPr="001C0F2B">
              <w:t>Problem Definition</w:t>
            </w:r>
          </w:p>
          <w:p w:rsidR="001C0F2B" w:rsidRPr="001C0F2B" w:rsidRDefault="001C0F2B" w:rsidP="000579AF">
            <w:pPr>
              <w:pStyle w:val="TableText"/>
            </w:pPr>
            <w:r w:rsidRPr="001C0F2B">
              <w:t>Benefit Definition</w:t>
            </w:r>
          </w:p>
          <w:p w:rsidR="001C0F2B" w:rsidRPr="001C0F2B" w:rsidRDefault="001C0F2B" w:rsidP="000579AF">
            <w:pPr>
              <w:pStyle w:val="TableText"/>
            </w:pPr>
            <w:r w:rsidRPr="001C0F2B">
              <w:t>Strategic Response</w:t>
            </w:r>
          </w:p>
          <w:p w:rsidR="001C0F2B" w:rsidRPr="001C0F2B" w:rsidRDefault="001C0F2B" w:rsidP="000579AF">
            <w:pPr>
              <w:pStyle w:val="TableText"/>
            </w:pPr>
            <w:r w:rsidRPr="001C0F2B">
              <w:t>Solution Definition</w:t>
            </w:r>
          </w:p>
        </w:tc>
        <w:tc>
          <w:tcPr>
            <w:tcW w:w="1744" w:type="dxa"/>
          </w:tcPr>
          <w:p w:rsidR="001C0F2B" w:rsidRPr="001C0F2B" w:rsidRDefault="001C0F2B" w:rsidP="00554EA3">
            <w:pPr>
              <w:pStyle w:val="TableText"/>
            </w:pPr>
            <w:r w:rsidRPr="001C0F2B">
              <w:t>$</w:t>
            </w:r>
            <w:r w:rsidR="00554EA3">
              <w:t>1,650</w:t>
            </w:r>
          </w:p>
        </w:tc>
        <w:tc>
          <w:tcPr>
            <w:tcW w:w="1745" w:type="dxa"/>
            <w:vMerge w:val="restart"/>
            <w:vAlign w:val="center"/>
          </w:tcPr>
          <w:p w:rsidR="001C0F2B" w:rsidRPr="001C0F2B" w:rsidRDefault="001C0F2B" w:rsidP="007C09FE">
            <w:pPr>
              <w:pStyle w:val="TableText"/>
            </w:pPr>
            <w:r w:rsidRPr="001C0F2B">
              <w:t>$</w:t>
            </w:r>
            <w:r w:rsidR="007C09FE">
              <w:t>6,600</w:t>
            </w:r>
          </w:p>
        </w:tc>
      </w:tr>
      <w:tr w:rsidR="00554EA3" w:rsidRPr="001C0F2B" w:rsidTr="00F56981">
        <w:trPr>
          <w:trHeight w:val="182"/>
        </w:trPr>
        <w:tc>
          <w:tcPr>
            <w:tcW w:w="5753" w:type="dxa"/>
            <w:vMerge/>
          </w:tcPr>
          <w:p w:rsidR="00554EA3" w:rsidRPr="001C0F2B" w:rsidRDefault="00554EA3" w:rsidP="000579AF">
            <w:pPr>
              <w:pStyle w:val="TableText"/>
            </w:pPr>
          </w:p>
        </w:tc>
        <w:tc>
          <w:tcPr>
            <w:tcW w:w="1744" w:type="dxa"/>
          </w:tcPr>
          <w:p w:rsidR="00554EA3" w:rsidRPr="001C0F2B" w:rsidRDefault="00554EA3" w:rsidP="00211734">
            <w:pPr>
              <w:pStyle w:val="TableText"/>
            </w:pPr>
            <w:r w:rsidRPr="001C0F2B">
              <w:t>$</w:t>
            </w:r>
            <w:r>
              <w:t>1,650</w:t>
            </w:r>
          </w:p>
        </w:tc>
        <w:tc>
          <w:tcPr>
            <w:tcW w:w="1745" w:type="dxa"/>
            <w:vMerge/>
          </w:tcPr>
          <w:p w:rsidR="00554EA3" w:rsidRPr="001C0F2B" w:rsidRDefault="00554EA3" w:rsidP="000579AF">
            <w:pPr>
              <w:pStyle w:val="TableText"/>
            </w:pPr>
          </w:p>
        </w:tc>
      </w:tr>
      <w:tr w:rsidR="00554EA3" w:rsidRPr="001C0F2B" w:rsidTr="00F56981">
        <w:trPr>
          <w:trHeight w:val="182"/>
        </w:trPr>
        <w:tc>
          <w:tcPr>
            <w:tcW w:w="5753" w:type="dxa"/>
            <w:vMerge/>
          </w:tcPr>
          <w:p w:rsidR="00554EA3" w:rsidRPr="001C0F2B" w:rsidRDefault="00554EA3" w:rsidP="000579AF">
            <w:pPr>
              <w:pStyle w:val="TableText"/>
            </w:pPr>
          </w:p>
        </w:tc>
        <w:tc>
          <w:tcPr>
            <w:tcW w:w="1744" w:type="dxa"/>
          </w:tcPr>
          <w:p w:rsidR="00554EA3" w:rsidRPr="001C0F2B" w:rsidRDefault="00554EA3" w:rsidP="00211734">
            <w:pPr>
              <w:pStyle w:val="TableText"/>
            </w:pPr>
            <w:r w:rsidRPr="001C0F2B">
              <w:t>$</w:t>
            </w:r>
            <w:r>
              <w:t>1,650</w:t>
            </w:r>
          </w:p>
        </w:tc>
        <w:tc>
          <w:tcPr>
            <w:tcW w:w="1745" w:type="dxa"/>
            <w:vMerge/>
          </w:tcPr>
          <w:p w:rsidR="00554EA3" w:rsidRPr="001C0F2B" w:rsidRDefault="00554EA3" w:rsidP="000579AF">
            <w:pPr>
              <w:pStyle w:val="TableText"/>
            </w:pPr>
          </w:p>
        </w:tc>
      </w:tr>
      <w:tr w:rsidR="00554EA3" w:rsidRPr="001C0F2B" w:rsidTr="00F56981">
        <w:trPr>
          <w:trHeight w:val="182"/>
        </w:trPr>
        <w:tc>
          <w:tcPr>
            <w:tcW w:w="5753" w:type="dxa"/>
            <w:vMerge/>
          </w:tcPr>
          <w:p w:rsidR="00554EA3" w:rsidRPr="001C0F2B" w:rsidRDefault="00554EA3" w:rsidP="000579AF">
            <w:pPr>
              <w:pStyle w:val="TableText"/>
            </w:pPr>
          </w:p>
        </w:tc>
        <w:tc>
          <w:tcPr>
            <w:tcW w:w="1744" w:type="dxa"/>
          </w:tcPr>
          <w:p w:rsidR="00554EA3" w:rsidRPr="001C0F2B" w:rsidRDefault="00554EA3" w:rsidP="00211734">
            <w:pPr>
              <w:pStyle w:val="TableText"/>
            </w:pPr>
            <w:r w:rsidRPr="001C0F2B">
              <w:t>$</w:t>
            </w:r>
            <w:r>
              <w:t>1,650</w:t>
            </w:r>
          </w:p>
        </w:tc>
        <w:tc>
          <w:tcPr>
            <w:tcW w:w="1745" w:type="dxa"/>
            <w:vMerge/>
          </w:tcPr>
          <w:p w:rsidR="00554EA3" w:rsidRPr="001C0F2B" w:rsidRDefault="00554EA3" w:rsidP="000579AF">
            <w:pPr>
              <w:pStyle w:val="TableText"/>
            </w:pPr>
          </w:p>
        </w:tc>
      </w:tr>
      <w:tr w:rsidR="001C0F2B" w:rsidRPr="001C0F2B" w:rsidTr="00F56981">
        <w:tc>
          <w:tcPr>
            <w:tcW w:w="9242" w:type="dxa"/>
            <w:gridSpan w:val="3"/>
          </w:tcPr>
          <w:p w:rsidR="001C0F2B" w:rsidRPr="001C0F2B" w:rsidRDefault="001C0F2B" w:rsidP="000579AF">
            <w:pPr>
              <w:pStyle w:val="TableText"/>
            </w:pPr>
            <w:r w:rsidRPr="001C0F2B">
              <w:t>Prioritise investment proposals</w:t>
            </w:r>
            <w:r>
              <w:rPr>
                <w:color w:val="0000FF"/>
                <w:u w:val="single"/>
                <w:lang w:eastAsia="en-AU"/>
              </w:rPr>
              <w:t xml:space="preserve"> </w:t>
            </w:r>
          </w:p>
        </w:tc>
      </w:tr>
      <w:tr w:rsidR="00296278" w:rsidRPr="001C0F2B" w:rsidTr="00F56981">
        <w:trPr>
          <w:trHeight w:val="184"/>
        </w:trPr>
        <w:tc>
          <w:tcPr>
            <w:tcW w:w="5753" w:type="dxa"/>
            <w:vMerge w:val="restart"/>
          </w:tcPr>
          <w:p w:rsidR="00296278" w:rsidRPr="001C0F2B" w:rsidRDefault="00296278" w:rsidP="000579AF">
            <w:pPr>
              <w:pStyle w:val="TableText"/>
            </w:pPr>
            <w:r w:rsidRPr="001C0F2B">
              <w:t>Problem Definition (Program)</w:t>
            </w:r>
          </w:p>
          <w:p w:rsidR="00296278" w:rsidRPr="001C0F2B" w:rsidRDefault="00296278" w:rsidP="000579AF">
            <w:pPr>
              <w:pStyle w:val="TableText"/>
            </w:pPr>
            <w:r w:rsidRPr="001C0F2B">
              <w:t>Benefit definition (Program)</w:t>
            </w:r>
          </w:p>
          <w:p w:rsidR="00296278" w:rsidRPr="001C0F2B" w:rsidRDefault="00296278" w:rsidP="000579AF">
            <w:pPr>
              <w:pStyle w:val="TableText"/>
            </w:pPr>
            <w:r w:rsidRPr="001C0F2B">
              <w:t>Strategic Response</w:t>
            </w:r>
          </w:p>
          <w:p w:rsidR="00296278" w:rsidRPr="001C0F2B" w:rsidRDefault="00296278" w:rsidP="000579AF">
            <w:pPr>
              <w:pStyle w:val="TableText"/>
            </w:pPr>
            <w:r w:rsidRPr="001C0F2B">
              <w:t>Solution Definition (Program)</w:t>
            </w:r>
          </w:p>
          <w:p w:rsidR="00296278" w:rsidRPr="001C0F2B" w:rsidRDefault="00296278" w:rsidP="000579AF">
            <w:pPr>
              <w:pStyle w:val="TableText"/>
            </w:pPr>
            <w:r w:rsidRPr="001C0F2B">
              <w:t>Investment Prioritisation (Optional)</w:t>
            </w:r>
          </w:p>
        </w:tc>
        <w:tc>
          <w:tcPr>
            <w:tcW w:w="1744" w:type="dxa"/>
          </w:tcPr>
          <w:p w:rsidR="00296278" w:rsidRPr="001C0F2B" w:rsidRDefault="00296278" w:rsidP="00211734">
            <w:pPr>
              <w:pStyle w:val="TableText"/>
            </w:pPr>
            <w:r w:rsidRPr="001C0F2B">
              <w:t>$</w:t>
            </w:r>
            <w:r>
              <w:t>1,650</w:t>
            </w:r>
          </w:p>
        </w:tc>
        <w:tc>
          <w:tcPr>
            <w:tcW w:w="1745" w:type="dxa"/>
            <w:vMerge w:val="restart"/>
            <w:vAlign w:val="center"/>
          </w:tcPr>
          <w:p w:rsidR="00296278" w:rsidRPr="001C0F2B" w:rsidRDefault="00296278" w:rsidP="007C09FE">
            <w:pPr>
              <w:pStyle w:val="TableText"/>
            </w:pPr>
            <w:r w:rsidRPr="001C0F2B">
              <w:t>$</w:t>
            </w:r>
            <w:r w:rsidR="007C09FE">
              <w:t>8,250</w:t>
            </w:r>
          </w:p>
        </w:tc>
      </w:tr>
      <w:tr w:rsidR="00296278" w:rsidRPr="001C0F2B" w:rsidTr="00F56981">
        <w:trPr>
          <w:trHeight w:val="184"/>
        </w:trPr>
        <w:tc>
          <w:tcPr>
            <w:tcW w:w="5753" w:type="dxa"/>
            <w:vMerge/>
          </w:tcPr>
          <w:p w:rsidR="00296278" w:rsidRPr="001C0F2B" w:rsidRDefault="00296278" w:rsidP="000579AF">
            <w:pPr>
              <w:pStyle w:val="TableText"/>
            </w:pPr>
          </w:p>
        </w:tc>
        <w:tc>
          <w:tcPr>
            <w:tcW w:w="1744" w:type="dxa"/>
          </w:tcPr>
          <w:p w:rsidR="00296278" w:rsidRPr="001C0F2B" w:rsidRDefault="00296278" w:rsidP="00211734">
            <w:pPr>
              <w:pStyle w:val="TableText"/>
            </w:pPr>
            <w:r w:rsidRPr="001C0F2B">
              <w:t>$</w:t>
            </w:r>
            <w:r>
              <w:t>1,650</w:t>
            </w:r>
          </w:p>
        </w:tc>
        <w:tc>
          <w:tcPr>
            <w:tcW w:w="1745" w:type="dxa"/>
            <w:vMerge/>
          </w:tcPr>
          <w:p w:rsidR="00296278" w:rsidRPr="001C0F2B" w:rsidRDefault="00296278" w:rsidP="000579AF">
            <w:pPr>
              <w:pStyle w:val="TableText"/>
            </w:pPr>
          </w:p>
        </w:tc>
      </w:tr>
      <w:tr w:rsidR="00296278" w:rsidRPr="001C0F2B" w:rsidTr="00F56981">
        <w:trPr>
          <w:trHeight w:val="184"/>
        </w:trPr>
        <w:tc>
          <w:tcPr>
            <w:tcW w:w="5753" w:type="dxa"/>
            <w:vMerge/>
          </w:tcPr>
          <w:p w:rsidR="00296278" w:rsidRPr="001C0F2B" w:rsidRDefault="00296278" w:rsidP="000579AF">
            <w:pPr>
              <w:pStyle w:val="TableText"/>
            </w:pPr>
          </w:p>
        </w:tc>
        <w:tc>
          <w:tcPr>
            <w:tcW w:w="1744" w:type="dxa"/>
          </w:tcPr>
          <w:p w:rsidR="00296278" w:rsidRPr="001C0F2B" w:rsidRDefault="00296278" w:rsidP="00211734">
            <w:pPr>
              <w:pStyle w:val="TableText"/>
            </w:pPr>
            <w:r w:rsidRPr="001C0F2B">
              <w:t>$</w:t>
            </w:r>
            <w:r>
              <w:t>1,650</w:t>
            </w:r>
          </w:p>
        </w:tc>
        <w:tc>
          <w:tcPr>
            <w:tcW w:w="1745" w:type="dxa"/>
            <w:vMerge/>
          </w:tcPr>
          <w:p w:rsidR="00296278" w:rsidRPr="001C0F2B" w:rsidRDefault="00296278" w:rsidP="000579AF">
            <w:pPr>
              <w:pStyle w:val="TableText"/>
            </w:pPr>
          </w:p>
        </w:tc>
      </w:tr>
      <w:tr w:rsidR="00296278" w:rsidRPr="001C0F2B" w:rsidTr="00F56981">
        <w:trPr>
          <w:trHeight w:val="184"/>
        </w:trPr>
        <w:tc>
          <w:tcPr>
            <w:tcW w:w="5753" w:type="dxa"/>
            <w:vMerge/>
          </w:tcPr>
          <w:p w:rsidR="00296278" w:rsidRPr="001C0F2B" w:rsidRDefault="00296278" w:rsidP="000579AF">
            <w:pPr>
              <w:pStyle w:val="TableText"/>
            </w:pPr>
          </w:p>
        </w:tc>
        <w:tc>
          <w:tcPr>
            <w:tcW w:w="1744" w:type="dxa"/>
          </w:tcPr>
          <w:p w:rsidR="00296278" w:rsidRPr="001C0F2B" w:rsidRDefault="00296278" w:rsidP="00211734">
            <w:pPr>
              <w:pStyle w:val="TableText"/>
            </w:pPr>
            <w:r w:rsidRPr="001C0F2B">
              <w:t>$</w:t>
            </w:r>
            <w:r>
              <w:t>1,650</w:t>
            </w:r>
          </w:p>
        </w:tc>
        <w:tc>
          <w:tcPr>
            <w:tcW w:w="1745" w:type="dxa"/>
            <w:vMerge/>
          </w:tcPr>
          <w:p w:rsidR="00296278" w:rsidRPr="001C0F2B" w:rsidRDefault="00296278" w:rsidP="000579AF">
            <w:pPr>
              <w:pStyle w:val="TableText"/>
            </w:pPr>
          </w:p>
        </w:tc>
      </w:tr>
      <w:tr w:rsidR="00296278" w:rsidRPr="001C0F2B" w:rsidTr="00F56981">
        <w:trPr>
          <w:trHeight w:val="184"/>
        </w:trPr>
        <w:tc>
          <w:tcPr>
            <w:tcW w:w="5753" w:type="dxa"/>
            <w:vMerge/>
          </w:tcPr>
          <w:p w:rsidR="00296278" w:rsidRPr="001C0F2B" w:rsidRDefault="00296278" w:rsidP="000579AF">
            <w:pPr>
              <w:pStyle w:val="TableText"/>
            </w:pPr>
          </w:p>
        </w:tc>
        <w:tc>
          <w:tcPr>
            <w:tcW w:w="1744" w:type="dxa"/>
          </w:tcPr>
          <w:p w:rsidR="00296278" w:rsidRPr="001C0F2B" w:rsidRDefault="00296278" w:rsidP="00211734">
            <w:pPr>
              <w:pStyle w:val="TableText"/>
            </w:pPr>
            <w:r w:rsidRPr="001C0F2B">
              <w:t>$</w:t>
            </w:r>
            <w:r>
              <w:t>1,650</w:t>
            </w:r>
          </w:p>
        </w:tc>
        <w:tc>
          <w:tcPr>
            <w:tcW w:w="1745" w:type="dxa"/>
            <w:vMerge/>
          </w:tcPr>
          <w:p w:rsidR="00296278" w:rsidRPr="001C0F2B" w:rsidRDefault="00296278" w:rsidP="000579AF">
            <w:pPr>
              <w:pStyle w:val="TableText"/>
            </w:pPr>
          </w:p>
        </w:tc>
      </w:tr>
      <w:tr w:rsidR="001C0F2B" w:rsidRPr="001C0F2B" w:rsidTr="00F56981">
        <w:tc>
          <w:tcPr>
            <w:tcW w:w="9242" w:type="dxa"/>
            <w:gridSpan w:val="3"/>
          </w:tcPr>
          <w:p w:rsidR="001C0F2B" w:rsidRPr="001C0F2B" w:rsidRDefault="001C0F2B" w:rsidP="000579AF">
            <w:pPr>
              <w:pStyle w:val="TableText"/>
            </w:pPr>
            <w:r w:rsidRPr="001C0F2B">
              <w:t>Develop new policy</w:t>
            </w:r>
          </w:p>
        </w:tc>
      </w:tr>
      <w:tr w:rsidR="00296278" w:rsidRPr="001C0F2B" w:rsidTr="00F56981">
        <w:trPr>
          <w:trHeight w:val="184"/>
        </w:trPr>
        <w:tc>
          <w:tcPr>
            <w:tcW w:w="5753" w:type="dxa"/>
            <w:vMerge w:val="restart"/>
          </w:tcPr>
          <w:p w:rsidR="00296278" w:rsidRPr="001C0F2B" w:rsidRDefault="00296278" w:rsidP="000579AF">
            <w:pPr>
              <w:pStyle w:val="TableText"/>
            </w:pPr>
            <w:r w:rsidRPr="001C0F2B">
              <w:t>Problem Definition (Program)</w:t>
            </w:r>
          </w:p>
          <w:p w:rsidR="00296278" w:rsidRPr="001C0F2B" w:rsidRDefault="00296278" w:rsidP="000579AF">
            <w:pPr>
              <w:pStyle w:val="TableText"/>
            </w:pPr>
            <w:r w:rsidRPr="001C0F2B">
              <w:t>Benefit definition (Program)</w:t>
            </w:r>
          </w:p>
          <w:p w:rsidR="00296278" w:rsidRPr="001C0F2B" w:rsidRDefault="00296278" w:rsidP="000579AF">
            <w:pPr>
              <w:pStyle w:val="TableText"/>
            </w:pPr>
            <w:r w:rsidRPr="001C0F2B">
              <w:t>Strategic Response</w:t>
            </w:r>
          </w:p>
          <w:p w:rsidR="00296278" w:rsidRPr="001C0F2B" w:rsidRDefault="00296278" w:rsidP="000579AF">
            <w:pPr>
              <w:pStyle w:val="TableText"/>
            </w:pPr>
            <w:r w:rsidRPr="001C0F2B">
              <w:t>Solution Definition (Program)</w:t>
            </w:r>
          </w:p>
        </w:tc>
        <w:tc>
          <w:tcPr>
            <w:tcW w:w="1744" w:type="dxa"/>
          </w:tcPr>
          <w:p w:rsidR="00296278" w:rsidRPr="001C0F2B" w:rsidRDefault="00296278" w:rsidP="00211734">
            <w:pPr>
              <w:pStyle w:val="TableText"/>
            </w:pPr>
            <w:r w:rsidRPr="001C0F2B">
              <w:t>$</w:t>
            </w:r>
            <w:r>
              <w:t>1,650</w:t>
            </w:r>
          </w:p>
        </w:tc>
        <w:tc>
          <w:tcPr>
            <w:tcW w:w="1745" w:type="dxa"/>
            <w:vMerge w:val="restart"/>
            <w:vAlign w:val="center"/>
          </w:tcPr>
          <w:p w:rsidR="00296278" w:rsidRPr="001C0F2B" w:rsidRDefault="00296278" w:rsidP="007C09FE">
            <w:pPr>
              <w:pStyle w:val="TableText"/>
            </w:pPr>
            <w:r w:rsidRPr="001C0F2B">
              <w:t>$</w:t>
            </w:r>
            <w:r w:rsidR="007C09FE">
              <w:t>6,600</w:t>
            </w:r>
          </w:p>
        </w:tc>
      </w:tr>
      <w:tr w:rsidR="00296278" w:rsidRPr="001C0F2B" w:rsidTr="00F56981">
        <w:trPr>
          <w:trHeight w:val="182"/>
        </w:trPr>
        <w:tc>
          <w:tcPr>
            <w:tcW w:w="5753" w:type="dxa"/>
            <w:vMerge/>
          </w:tcPr>
          <w:p w:rsidR="00296278" w:rsidRPr="001C0F2B" w:rsidRDefault="00296278" w:rsidP="000579AF">
            <w:pPr>
              <w:pStyle w:val="TableText"/>
            </w:pPr>
          </w:p>
        </w:tc>
        <w:tc>
          <w:tcPr>
            <w:tcW w:w="1744" w:type="dxa"/>
          </w:tcPr>
          <w:p w:rsidR="00296278" w:rsidRPr="001C0F2B" w:rsidRDefault="00296278" w:rsidP="00211734">
            <w:pPr>
              <w:pStyle w:val="TableText"/>
            </w:pPr>
            <w:r w:rsidRPr="001C0F2B">
              <w:t>$</w:t>
            </w:r>
            <w:r>
              <w:t>1,650</w:t>
            </w:r>
          </w:p>
        </w:tc>
        <w:tc>
          <w:tcPr>
            <w:tcW w:w="1745" w:type="dxa"/>
            <w:vMerge/>
          </w:tcPr>
          <w:p w:rsidR="00296278" w:rsidRPr="001C0F2B" w:rsidRDefault="00296278" w:rsidP="000579AF">
            <w:pPr>
              <w:pStyle w:val="TableText"/>
            </w:pPr>
          </w:p>
        </w:tc>
      </w:tr>
      <w:tr w:rsidR="00296278" w:rsidRPr="001C0F2B" w:rsidTr="00F56981">
        <w:trPr>
          <w:trHeight w:val="182"/>
        </w:trPr>
        <w:tc>
          <w:tcPr>
            <w:tcW w:w="5753" w:type="dxa"/>
            <w:vMerge/>
          </w:tcPr>
          <w:p w:rsidR="00296278" w:rsidRPr="001C0F2B" w:rsidRDefault="00296278" w:rsidP="000579AF">
            <w:pPr>
              <w:pStyle w:val="TableText"/>
            </w:pPr>
          </w:p>
        </w:tc>
        <w:tc>
          <w:tcPr>
            <w:tcW w:w="1744" w:type="dxa"/>
          </w:tcPr>
          <w:p w:rsidR="00296278" w:rsidRPr="001C0F2B" w:rsidRDefault="00296278" w:rsidP="00211734">
            <w:pPr>
              <w:pStyle w:val="TableText"/>
            </w:pPr>
            <w:r w:rsidRPr="001C0F2B">
              <w:t>$</w:t>
            </w:r>
            <w:r>
              <w:t>1,650</w:t>
            </w:r>
          </w:p>
        </w:tc>
        <w:tc>
          <w:tcPr>
            <w:tcW w:w="1745" w:type="dxa"/>
            <w:vMerge/>
          </w:tcPr>
          <w:p w:rsidR="00296278" w:rsidRPr="001C0F2B" w:rsidRDefault="00296278" w:rsidP="000579AF">
            <w:pPr>
              <w:pStyle w:val="TableText"/>
            </w:pPr>
          </w:p>
        </w:tc>
      </w:tr>
      <w:tr w:rsidR="00296278" w:rsidRPr="001C0F2B" w:rsidTr="00F56981">
        <w:trPr>
          <w:trHeight w:val="182"/>
        </w:trPr>
        <w:tc>
          <w:tcPr>
            <w:tcW w:w="5753" w:type="dxa"/>
            <w:vMerge/>
          </w:tcPr>
          <w:p w:rsidR="00296278" w:rsidRPr="001C0F2B" w:rsidRDefault="00296278" w:rsidP="000579AF">
            <w:pPr>
              <w:pStyle w:val="TableText"/>
            </w:pPr>
          </w:p>
        </w:tc>
        <w:tc>
          <w:tcPr>
            <w:tcW w:w="1744" w:type="dxa"/>
          </w:tcPr>
          <w:p w:rsidR="00296278" w:rsidRPr="001C0F2B" w:rsidRDefault="00296278" w:rsidP="00211734">
            <w:pPr>
              <w:pStyle w:val="TableText"/>
            </w:pPr>
            <w:r w:rsidRPr="001C0F2B">
              <w:t>$</w:t>
            </w:r>
            <w:r>
              <w:t>1,650</w:t>
            </w:r>
          </w:p>
        </w:tc>
        <w:tc>
          <w:tcPr>
            <w:tcW w:w="1745" w:type="dxa"/>
            <w:vMerge/>
          </w:tcPr>
          <w:p w:rsidR="00296278" w:rsidRPr="001C0F2B" w:rsidRDefault="00296278" w:rsidP="000579AF">
            <w:pPr>
              <w:pStyle w:val="TableText"/>
            </w:pPr>
          </w:p>
        </w:tc>
      </w:tr>
      <w:tr w:rsidR="00296278" w:rsidRPr="001C0F2B" w:rsidTr="00F56981">
        <w:tc>
          <w:tcPr>
            <w:tcW w:w="9242" w:type="dxa"/>
            <w:gridSpan w:val="3"/>
          </w:tcPr>
          <w:p w:rsidR="00296278" w:rsidRPr="001C0F2B" w:rsidRDefault="00296278" w:rsidP="000579AF">
            <w:pPr>
              <w:pStyle w:val="TableText"/>
            </w:pPr>
            <w:r w:rsidRPr="001C0F2B">
              <w:t xml:space="preserve">Re-focus an organisation to </w:t>
            </w:r>
            <w:hyperlink r:id="rId10" w:tgtFrame="_top" w:tooltip="Clarify an organisation's role and improve its effectiveness" w:history="1">
              <w:r w:rsidRPr="001C0F2B">
                <w:t>improve its effectiveness</w:t>
              </w:r>
            </w:hyperlink>
          </w:p>
        </w:tc>
      </w:tr>
      <w:tr w:rsidR="007C09FE" w:rsidRPr="001C0F2B" w:rsidTr="00F56981">
        <w:trPr>
          <w:trHeight w:val="184"/>
        </w:trPr>
        <w:tc>
          <w:tcPr>
            <w:tcW w:w="5753" w:type="dxa"/>
            <w:vMerge w:val="restart"/>
          </w:tcPr>
          <w:p w:rsidR="007C09FE" w:rsidRPr="001C0F2B" w:rsidRDefault="007C09FE" w:rsidP="000579AF">
            <w:pPr>
              <w:pStyle w:val="TableText"/>
            </w:pPr>
            <w:r w:rsidRPr="001C0F2B">
              <w:t>Organisational Expectation</w:t>
            </w:r>
          </w:p>
          <w:p w:rsidR="007C09FE" w:rsidRPr="001C0F2B" w:rsidRDefault="007C09FE" w:rsidP="000579AF">
            <w:pPr>
              <w:pStyle w:val="TableText"/>
            </w:pPr>
            <w:r w:rsidRPr="001C0F2B">
              <w:t>Current Effectiveness</w:t>
            </w:r>
          </w:p>
          <w:p w:rsidR="007C09FE" w:rsidRPr="001C0F2B" w:rsidRDefault="007C09FE" w:rsidP="000579AF">
            <w:pPr>
              <w:pStyle w:val="TableText"/>
            </w:pPr>
            <w:r w:rsidRPr="001C0F2B">
              <w:t>Potential Changes</w:t>
            </w:r>
          </w:p>
          <w:p w:rsidR="007C09FE" w:rsidRPr="001C0F2B" w:rsidRDefault="007C09FE" w:rsidP="000579AF">
            <w:pPr>
              <w:pStyle w:val="TableText"/>
            </w:pPr>
            <w:r w:rsidRPr="001C0F2B">
              <w:t>Intended Changes</w:t>
            </w:r>
          </w:p>
        </w:tc>
        <w:tc>
          <w:tcPr>
            <w:tcW w:w="1744" w:type="dxa"/>
          </w:tcPr>
          <w:p w:rsidR="007C09FE" w:rsidRPr="001C0F2B" w:rsidRDefault="007C09FE" w:rsidP="00EE551B">
            <w:pPr>
              <w:pStyle w:val="TableText"/>
            </w:pPr>
            <w:r w:rsidRPr="001C0F2B">
              <w:t>$</w:t>
            </w:r>
            <w:r>
              <w:t>1,650</w:t>
            </w:r>
          </w:p>
        </w:tc>
        <w:tc>
          <w:tcPr>
            <w:tcW w:w="1745" w:type="dxa"/>
            <w:vMerge w:val="restart"/>
            <w:vAlign w:val="center"/>
          </w:tcPr>
          <w:p w:rsidR="007C09FE" w:rsidRPr="001C0F2B" w:rsidRDefault="007C09FE" w:rsidP="00EE551B">
            <w:pPr>
              <w:pStyle w:val="TableText"/>
            </w:pPr>
            <w:r w:rsidRPr="001C0F2B">
              <w:t>$</w:t>
            </w:r>
            <w:r>
              <w:t>6,600</w:t>
            </w:r>
          </w:p>
        </w:tc>
      </w:tr>
      <w:tr w:rsidR="007C09FE" w:rsidRPr="001C0F2B" w:rsidTr="00F56981">
        <w:trPr>
          <w:trHeight w:val="182"/>
        </w:trPr>
        <w:tc>
          <w:tcPr>
            <w:tcW w:w="5753" w:type="dxa"/>
            <w:vMerge/>
          </w:tcPr>
          <w:p w:rsidR="007C09FE" w:rsidRPr="001C0F2B" w:rsidRDefault="007C09FE" w:rsidP="000579AF">
            <w:pPr>
              <w:pStyle w:val="TableText"/>
            </w:pPr>
          </w:p>
        </w:tc>
        <w:tc>
          <w:tcPr>
            <w:tcW w:w="1744" w:type="dxa"/>
          </w:tcPr>
          <w:p w:rsidR="007C09FE" w:rsidRPr="001C0F2B" w:rsidRDefault="007C09FE" w:rsidP="00EE551B">
            <w:pPr>
              <w:pStyle w:val="TableText"/>
            </w:pPr>
            <w:r w:rsidRPr="001C0F2B">
              <w:t>$</w:t>
            </w:r>
            <w:r>
              <w:t>1,650</w:t>
            </w:r>
          </w:p>
        </w:tc>
        <w:tc>
          <w:tcPr>
            <w:tcW w:w="1745" w:type="dxa"/>
            <w:vMerge/>
          </w:tcPr>
          <w:p w:rsidR="007C09FE" w:rsidRPr="001C0F2B" w:rsidRDefault="007C09FE" w:rsidP="000579AF">
            <w:pPr>
              <w:pStyle w:val="TableText"/>
            </w:pPr>
          </w:p>
        </w:tc>
      </w:tr>
      <w:tr w:rsidR="007C09FE" w:rsidRPr="001C0F2B" w:rsidTr="00F56981">
        <w:trPr>
          <w:trHeight w:val="182"/>
        </w:trPr>
        <w:tc>
          <w:tcPr>
            <w:tcW w:w="5753" w:type="dxa"/>
            <w:vMerge/>
          </w:tcPr>
          <w:p w:rsidR="007C09FE" w:rsidRPr="001C0F2B" w:rsidRDefault="007C09FE" w:rsidP="000579AF">
            <w:pPr>
              <w:pStyle w:val="TableText"/>
            </w:pPr>
          </w:p>
        </w:tc>
        <w:tc>
          <w:tcPr>
            <w:tcW w:w="1744" w:type="dxa"/>
          </w:tcPr>
          <w:p w:rsidR="007C09FE" w:rsidRPr="001C0F2B" w:rsidRDefault="007C09FE" w:rsidP="00EE551B">
            <w:pPr>
              <w:pStyle w:val="TableText"/>
            </w:pPr>
            <w:r w:rsidRPr="001C0F2B">
              <w:t>$</w:t>
            </w:r>
            <w:r>
              <w:t>1,650</w:t>
            </w:r>
          </w:p>
        </w:tc>
        <w:tc>
          <w:tcPr>
            <w:tcW w:w="1745" w:type="dxa"/>
            <w:vMerge/>
          </w:tcPr>
          <w:p w:rsidR="007C09FE" w:rsidRPr="001C0F2B" w:rsidRDefault="007C09FE" w:rsidP="000579AF">
            <w:pPr>
              <w:pStyle w:val="TableText"/>
            </w:pPr>
          </w:p>
        </w:tc>
      </w:tr>
      <w:tr w:rsidR="007C09FE" w:rsidRPr="001C0F2B" w:rsidTr="00F56981">
        <w:trPr>
          <w:trHeight w:val="182"/>
        </w:trPr>
        <w:tc>
          <w:tcPr>
            <w:tcW w:w="5753" w:type="dxa"/>
            <w:vMerge/>
          </w:tcPr>
          <w:p w:rsidR="007C09FE" w:rsidRPr="001C0F2B" w:rsidRDefault="007C09FE" w:rsidP="000579AF">
            <w:pPr>
              <w:pStyle w:val="TableText"/>
            </w:pPr>
          </w:p>
        </w:tc>
        <w:tc>
          <w:tcPr>
            <w:tcW w:w="1744" w:type="dxa"/>
          </w:tcPr>
          <w:p w:rsidR="007C09FE" w:rsidRPr="001C0F2B" w:rsidRDefault="007C09FE" w:rsidP="00EE551B">
            <w:pPr>
              <w:pStyle w:val="TableText"/>
            </w:pPr>
            <w:r w:rsidRPr="001C0F2B">
              <w:t>$</w:t>
            </w:r>
            <w:r>
              <w:t>1,650</w:t>
            </w:r>
          </w:p>
        </w:tc>
        <w:tc>
          <w:tcPr>
            <w:tcW w:w="1745" w:type="dxa"/>
            <w:vMerge/>
          </w:tcPr>
          <w:p w:rsidR="007C09FE" w:rsidRPr="001C0F2B" w:rsidRDefault="007C09FE" w:rsidP="000579AF">
            <w:pPr>
              <w:pStyle w:val="TableText"/>
            </w:pPr>
          </w:p>
        </w:tc>
      </w:tr>
      <w:tr w:rsidR="007C09FE" w:rsidRPr="001C0F2B" w:rsidTr="00F56981">
        <w:tc>
          <w:tcPr>
            <w:tcW w:w="9242" w:type="dxa"/>
            <w:gridSpan w:val="3"/>
          </w:tcPr>
          <w:p w:rsidR="007C09FE" w:rsidRPr="001C0F2B" w:rsidRDefault="007C09FE" w:rsidP="000579AF">
            <w:pPr>
              <w:pStyle w:val="TableText"/>
            </w:pPr>
            <w:r w:rsidRPr="001C0F2B">
              <w:t>Monitor an organisation’s outcomes</w:t>
            </w:r>
          </w:p>
        </w:tc>
      </w:tr>
      <w:tr w:rsidR="007C09FE" w:rsidRPr="001C0F2B" w:rsidTr="00F56981">
        <w:trPr>
          <w:trHeight w:val="184"/>
        </w:trPr>
        <w:tc>
          <w:tcPr>
            <w:tcW w:w="5753" w:type="dxa"/>
            <w:vMerge w:val="restart"/>
          </w:tcPr>
          <w:p w:rsidR="007C09FE" w:rsidRPr="001C0F2B" w:rsidRDefault="007C09FE" w:rsidP="000579AF">
            <w:pPr>
              <w:pStyle w:val="TableText"/>
            </w:pPr>
            <w:r w:rsidRPr="001C0F2B">
              <w:t>Organisational Expectation</w:t>
            </w:r>
          </w:p>
          <w:p w:rsidR="007C09FE" w:rsidRPr="001C0F2B" w:rsidRDefault="007C09FE" w:rsidP="000579AF">
            <w:pPr>
              <w:pStyle w:val="TableText"/>
            </w:pPr>
            <w:r w:rsidRPr="001C0F2B">
              <w:t>Benefit Definition (Organisation)</w:t>
            </w:r>
          </w:p>
          <w:p w:rsidR="007C09FE" w:rsidRPr="001C0F2B" w:rsidRDefault="007C09FE" w:rsidP="000579AF">
            <w:pPr>
              <w:pStyle w:val="TableText"/>
            </w:pPr>
            <w:r w:rsidRPr="001C0F2B">
              <w:t>Benefit Validation (Organisation)</w:t>
            </w:r>
          </w:p>
          <w:p w:rsidR="007C09FE" w:rsidRPr="001C0F2B" w:rsidRDefault="007C09FE" w:rsidP="000579AF">
            <w:pPr>
              <w:pStyle w:val="TableText"/>
            </w:pPr>
            <w:r w:rsidRPr="001C0F2B">
              <w:t xml:space="preserve">Organisational Effectiveness </w:t>
            </w:r>
          </w:p>
        </w:tc>
        <w:tc>
          <w:tcPr>
            <w:tcW w:w="1744" w:type="dxa"/>
          </w:tcPr>
          <w:p w:rsidR="007C09FE" w:rsidRPr="001C0F2B" w:rsidRDefault="007C09FE" w:rsidP="00EE551B">
            <w:pPr>
              <w:pStyle w:val="TableText"/>
            </w:pPr>
            <w:r w:rsidRPr="001C0F2B">
              <w:t>$</w:t>
            </w:r>
            <w:r>
              <w:t>1,650</w:t>
            </w:r>
          </w:p>
        </w:tc>
        <w:tc>
          <w:tcPr>
            <w:tcW w:w="1745" w:type="dxa"/>
            <w:vMerge w:val="restart"/>
            <w:vAlign w:val="center"/>
          </w:tcPr>
          <w:p w:rsidR="007C09FE" w:rsidRPr="001C0F2B" w:rsidRDefault="007C09FE" w:rsidP="00EE551B">
            <w:pPr>
              <w:pStyle w:val="TableText"/>
            </w:pPr>
            <w:r w:rsidRPr="001C0F2B">
              <w:t>$</w:t>
            </w:r>
            <w:r>
              <w:t>6,600</w:t>
            </w:r>
          </w:p>
        </w:tc>
      </w:tr>
      <w:tr w:rsidR="007C09FE" w:rsidRPr="001C0F2B" w:rsidTr="00F56981">
        <w:trPr>
          <w:trHeight w:val="182"/>
        </w:trPr>
        <w:tc>
          <w:tcPr>
            <w:tcW w:w="5753" w:type="dxa"/>
            <w:vMerge/>
          </w:tcPr>
          <w:p w:rsidR="007C09FE" w:rsidRPr="001C0F2B" w:rsidRDefault="007C09FE" w:rsidP="000579AF">
            <w:pPr>
              <w:pStyle w:val="TableText"/>
            </w:pPr>
          </w:p>
        </w:tc>
        <w:tc>
          <w:tcPr>
            <w:tcW w:w="1744" w:type="dxa"/>
          </w:tcPr>
          <w:p w:rsidR="007C09FE" w:rsidRPr="001C0F2B" w:rsidRDefault="007C09FE" w:rsidP="00EE551B">
            <w:pPr>
              <w:pStyle w:val="TableText"/>
            </w:pPr>
            <w:r w:rsidRPr="001C0F2B">
              <w:t>$</w:t>
            </w:r>
            <w:r>
              <w:t>1,650</w:t>
            </w:r>
          </w:p>
        </w:tc>
        <w:tc>
          <w:tcPr>
            <w:tcW w:w="1745" w:type="dxa"/>
            <w:vMerge/>
          </w:tcPr>
          <w:p w:rsidR="007C09FE" w:rsidRPr="001C0F2B" w:rsidRDefault="007C09FE" w:rsidP="000579AF">
            <w:pPr>
              <w:pStyle w:val="TableText"/>
            </w:pPr>
          </w:p>
        </w:tc>
      </w:tr>
      <w:tr w:rsidR="007C09FE" w:rsidRPr="001C0F2B" w:rsidTr="00F56981">
        <w:trPr>
          <w:trHeight w:val="182"/>
        </w:trPr>
        <w:tc>
          <w:tcPr>
            <w:tcW w:w="5753" w:type="dxa"/>
            <w:vMerge/>
          </w:tcPr>
          <w:p w:rsidR="007C09FE" w:rsidRPr="001C0F2B" w:rsidRDefault="007C09FE" w:rsidP="000579AF">
            <w:pPr>
              <w:pStyle w:val="TableText"/>
            </w:pPr>
          </w:p>
        </w:tc>
        <w:tc>
          <w:tcPr>
            <w:tcW w:w="1744" w:type="dxa"/>
          </w:tcPr>
          <w:p w:rsidR="007C09FE" w:rsidRPr="001C0F2B" w:rsidRDefault="007C09FE" w:rsidP="00EE551B">
            <w:pPr>
              <w:pStyle w:val="TableText"/>
            </w:pPr>
            <w:r w:rsidRPr="001C0F2B">
              <w:t>$</w:t>
            </w:r>
            <w:r>
              <w:t>1,650</w:t>
            </w:r>
          </w:p>
        </w:tc>
        <w:tc>
          <w:tcPr>
            <w:tcW w:w="1745" w:type="dxa"/>
            <w:vMerge/>
          </w:tcPr>
          <w:p w:rsidR="007C09FE" w:rsidRPr="001C0F2B" w:rsidRDefault="007C09FE" w:rsidP="000579AF">
            <w:pPr>
              <w:pStyle w:val="TableText"/>
            </w:pPr>
          </w:p>
        </w:tc>
      </w:tr>
      <w:tr w:rsidR="007C09FE" w:rsidRPr="001C0F2B" w:rsidTr="00F56981">
        <w:trPr>
          <w:trHeight w:val="182"/>
        </w:trPr>
        <w:tc>
          <w:tcPr>
            <w:tcW w:w="5753" w:type="dxa"/>
            <w:vMerge/>
          </w:tcPr>
          <w:p w:rsidR="007C09FE" w:rsidRPr="001C0F2B" w:rsidRDefault="007C09FE" w:rsidP="000579AF">
            <w:pPr>
              <w:pStyle w:val="TableText"/>
            </w:pPr>
          </w:p>
        </w:tc>
        <w:tc>
          <w:tcPr>
            <w:tcW w:w="1744" w:type="dxa"/>
          </w:tcPr>
          <w:p w:rsidR="007C09FE" w:rsidRPr="001C0F2B" w:rsidRDefault="007C09FE" w:rsidP="00EE551B">
            <w:pPr>
              <w:pStyle w:val="TableText"/>
            </w:pPr>
            <w:r w:rsidRPr="001C0F2B">
              <w:t>$</w:t>
            </w:r>
            <w:r>
              <w:t>1,650</w:t>
            </w:r>
          </w:p>
        </w:tc>
        <w:tc>
          <w:tcPr>
            <w:tcW w:w="1745" w:type="dxa"/>
            <w:vMerge/>
          </w:tcPr>
          <w:p w:rsidR="007C09FE" w:rsidRPr="001C0F2B" w:rsidRDefault="007C09FE" w:rsidP="000579AF">
            <w:pPr>
              <w:pStyle w:val="TableText"/>
            </w:pPr>
          </w:p>
        </w:tc>
      </w:tr>
    </w:tbl>
    <w:p w:rsidR="000579AF" w:rsidRDefault="006D2D22" w:rsidP="000579AF">
      <w:pPr>
        <w:pStyle w:val="Heading1"/>
      </w:pPr>
      <w:r w:rsidRPr="001C0F2B">
        <w:t>Contact Details</w:t>
      </w:r>
    </w:p>
    <w:p w:rsidR="006D2D22" w:rsidRPr="001C0F2B" w:rsidRDefault="00AF0393" w:rsidP="00F56981">
      <w:pPr>
        <w:pStyle w:val="NoSpacing"/>
      </w:pPr>
      <w:r>
        <w:t>Ian Smart</w:t>
      </w:r>
    </w:p>
    <w:p w:rsidR="00AF0393" w:rsidRDefault="00AF0393" w:rsidP="00F56981">
      <w:pPr>
        <w:pStyle w:val="NoSpacing"/>
      </w:pPr>
      <w:r>
        <w:t>Optias Pty Ltd</w:t>
      </w:r>
    </w:p>
    <w:p w:rsidR="006D2D22" w:rsidRPr="001C0F2B" w:rsidRDefault="00AF0393" w:rsidP="00F56981">
      <w:pPr>
        <w:pStyle w:val="NoSpacing"/>
      </w:pPr>
      <w:r>
        <w:t>PO Box 14, Carlton North 3054 Victoria</w:t>
      </w:r>
    </w:p>
    <w:p w:rsidR="006D2D22" w:rsidRPr="001C0F2B" w:rsidRDefault="006D2D22" w:rsidP="00F56981">
      <w:pPr>
        <w:pStyle w:val="NoSpacing"/>
      </w:pPr>
      <w:r w:rsidRPr="001C0F2B">
        <w:t xml:space="preserve">Ph: </w:t>
      </w:r>
      <w:r w:rsidR="00AF0393">
        <w:t>03 9376 3931</w:t>
      </w:r>
      <w:r w:rsidRPr="001C0F2B">
        <w:t xml:space="preserve"> </w:t>
      </w:r>
      <w:r w:rsidR="001C0F2B" w:rsidRPr="001C0F2B">
        <w:t>M</w:t>
      </w:r>
      <w:r w:rsidRPr="001C0F2B">
        <w:t xml:space="preserve">ob: </w:t>
      </w:r>
      <w:r w:rsidR="00AF0393">
        <w:t>0402 315 515</w:t>
      </w:r>
    </w:p>
    <w:p w:rsidR="006D2D22" w:rsidRPr="001C0F2B" w:rsidRDefault="006D2D22" w:rsidP="00F56981">
      <w:pPr>
        <w:pStyle w:val="NoSpacing"/>
        <w:rPr>
          <w:szCs w:val="24"/>
        </w:rPr>
      </w:pPr>
      <w:r w:rsidRPr="001C0F2B">
        <w:t>E</w:t>
      </w:r>
      <w:r w:rsidR="001C0F2B" w:rsidRPr="001C0F2B">
        <w:t xml:space="preserve">mail: </w:t>
      </w:r>
      <w:hyperlink r:id="rId11" w:history="1">
        <w:r w:rsidR="00AF0393" w:rsidRPr="00EB64F1">
          <w:rPr>
            <w:rStyle w:val="Hyperlink"/>
          </w:rPr>
          <w:t>ian@optias.com.au</w:t>
        </w:r>
      </w:hyperlink>
      <w:r w:rsidR="00AF0393">
        <w:t xml:space="preserve"> </w:t>
      </w:r>
    </w:p>
    <w:sectPr w:rsidR="006D2D22" w:rsidRPr="001C0F2B" w:rsidSect="000579AF">
      <w:headerReference w:type="default" r:id="rId1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FF" w:rsidRDefault="00254CFF" w:rsidP="007A3CA7">
      <w:pPr>
        <w:spacing w:after="0" w:line="240" w:lineRule="auto"/>
      </w:pPr>
      <w:r>
        <w:separator/>
      </w:r>
    </w:p>
  </w:endnote>
  <w:endnote w:type="continuationSeparator" w:id="0">
    <w:p w:rsidR="00254CFF" w:rsidRDefault="00254CFF" w:rsidP="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FF" w:rsidRDefault="00254CFF" w:rsidP="007A3CA7">
      <w:pPr>
        <w:spacing w:after="0" w:line="240" w:lineRule="auto"/>
      </w:pPr>
      <w:r>
        <w:separator/>
      </w:r>
    </w:p>
  </w:footnote>
  <w:footnote w:type="continuationSeparator" w:id="0">
    <w:p w:rsidR="00254CFF" w:rsidRDefault="00254CFF" w:rsidP="007A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FE" w:rsidRDefault="007C09FE">
    <w:pPr>
      <w:pStyle w:val="Header"/>
    </w:pPr>
    <w:r w:rsidRPr="007C09FE">
      <w:rPr>
        <w:noProof/>
        <w:lang w:eastAsia="en-AU"/>
      </w:rPr>
      <w:drawing>
        <wp:inline distT="0" distB="0" distL="0" distR="0">
          <wp:extent cx="2781300" cy="50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81300" cy="50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EA670"/>
    <w:lvl w:ilvl="0">
      <w:start w:val="1"/>
      <w:numFmt w:val="decimal"/>
      <w:lvlText w:val="%1."/>
      <w:lvlJc w:val="left"/>
      <w:pPr>
        <w:tabs>
          <w:tab w:val="num" w:pos="1492"/>
        </w:tabs>
        <w:ind w:left="1492" w:hanging="360"/>
      </w:pPr>
    </w:lvl>
  </w:abstractNum>
  <w:abstractNum w:abstractNumId="1">
    <w:nsid w:val="FFFFFF7D"/>
    <w:multiLevelType w:val="singleLevel"/>
    <w:tmpl w:val="1602972C"/>
    <w:lvl w:ilvl="0">
      <w:start w:val="1"/>
      <w:numFmt w:val="decimal"/>
      <w:lvlText w:val="%1."/>
      <w:lvlJc w:val="left"/>
      <w:pPr>
        <w:tabs>
          <w:tab w:val="num" w:pos="1209"/>
        </w:tabs>
        <w:ind w:left="1209" w:hanging="360"/>
      </w:pPr>
    </w:lvl>
  </w:abstractNum>
  <w:abstractNum w:abstractNumId="2">
    <w:nsid w:val="FFFFFF7E"/>
    <w:multiLevelType w:val="singleLevel"/>
    <w:tmpl w:val="8C84222A"/>
    <w:lvl w:ilvl="0">
      <w:start w:val="1"/>
      <w:numFmt w:val="decimal"/>
      <w:lvlText w:val="%1."/>
      <w:lvlJc w:val="left"/>
      <w:pPr>
        <w:tabs>
          <w:tab w:val="num" w:pos="926"/>
        </w:tabs>
        <w:ind w:left="926" w:hanging="360"/>
      </w:pPr>
    </w:lvl>
  </w:abstractNum>
  <w:abstractNum w:abstractNumId="3">
    <w:nsid w:val="FFFFFF7F"/>
    <w:multiLevelType w:val="singleLevel"/>
    <w:tmpl w:val="C6342BCA"/>
    <w:lvl w:ilvl="0">
      <w:start w:val="1"/>
      <w:numFmt w:val="decimal"/>
      <w:lvlText w:val="%1."/>
      <w:lvlJc w:val="left"/>
      <w:pPr>
        <w:tabs>
          <w:tab w:val="num" w:pos="643"/>
        </w:tabs>
        <w:ind w:left="643" w:hanging="360"/>
      </w:pPr>
    </w:lvl>
  </w:abstractNum>
  <w:abstractNum w:abstractNumId="4">
    <w:nsid w:val="FFFFFF80"/>
    <w:multiLevelType w:val="singleLevel"/>
    <w:tmpl w:val="E4CC2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CC1D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BE01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F66E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4A5A4"/>
    <w:lvl w:ilvl="0">
      <w:start w:val="1"/>
      <w:numFmt w:val="decimal"/>
      <w:lvlText w:val="%1."/>
      <w:lvlJc w:val="left"/>
      <w:pPr>
        <w:tabs>
          <w:tab w:val="num" w:pos="360"/>
        </w:tabs>
        <w:ind w:left="360" w:hanging="360"/>
      </w:pPr>
    </w:lvl>
  </w:abstractNum>
  <w:abstractNum w:abstractNumId="9">
    <w:nsid w:val="FFFFFF89"/>
    <w:multiLevelType w:val="singleLevel"/>
    <w:tmpl w:val="F536D4E8"/>
    <w:lvl w:ilvl="0">
      <w:start w:val="1"/>
      <w:numFmt w:val="bullet"/>
      <w:lvlText w:val=""/>
      <w:lvlJc w:val="left"/>
      <w:pPr>
        <w:tabs>
          <w:tab w:val="num" w:pos="360"/>
        </w:tabs>
        <w:ind w:left="360" w:hanging="360"/>
      </w:pPr>
      <w:rPr>
        <w:rFonts w:ascii="Symbol" w:hAnsi="Symbol" w:hint="default"/>
      </w:rPr>
    </w:lvl>
  </w:abstractNum>
  <w:abstractNum w:abstractNumId="10">
    <w:nsid w:val="00394C1F"/>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F850A3"/>
    <w:multiLevelType w:val="hybridMultilevel"/>
    <w:tmpl w:val="3B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9C72DE"/>
    <w:multiLevelType w:val="hybridMultilevel"/>
    <w:tmpl w:val="EFCC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FF463F"/>
    <w:multiLevelType w:val="hybridMultilevel"/>
    <w:tmpl w:val="4C888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C7264E"/>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354D3B"/>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451035"/>
    <w:multiLevelType w:val="hybridMultilevel"/>
    <w:tmpl w:val="E32E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E2A7FF5"/>
    <w:multiLevelType w:val="hybridMultilevel"/>
    <w:tmpl w:val="3B88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59"/>
    <w:rsid w:val="00022B3F"/>
    <w:rsid w:val="000327B6"/>
    <w:rsid w:val="000579AF"/>
    <w:rsid w:val="00064160"/>
    <w:rsid w:val="000A12BB"/>
    <w:rsid w:val="000C660C"/>
    <w:rsid w:val="001007EF"/>
    <w:rsid w:val="00130792"/>
    <w:rsid w:val="001646CF"/>
    <w:rsid w:val="001B06A1"/>
    <w:rsid w:val="001B0F21"/>
    <w:rsid w:val="001C0F2B"/>
    <w:rsid w:val="002263EF"/>
    <w:rsid w:val="00254CFF"/>
    <w:rsid w:val="00296278"/>
    <w:rsid w:val="002A2124"/>
    <w:rsid w:val="003276D6"/>
    <w:rsid w:val="00365619"/>
    <w:rsid w:val="003778A0"/>
    <w:rsid w:val="00377F73"/>
    <w:rsid w:val="003A3B61"/>
    <w:rsid w:val="003A5A97"/>
    <w:rsid w:val="003C156B"/>
    <w:rsid w:val="0041081E"/>
    <w:rsid w:val="00411180"/>
    <w:rsid w:val="004508AD"/>
    <w:rsid w:val="004857F7"/>
    <w:rsid w:val="00527196"/>
    <w:rsid w:val="005467FA"/>
    <w:rsid w:val="00554EA3"/>
    <w:rsid w:val="005858C8"/>
    <w:rsid w:val="00595635"/>
    <w:rsid w:val="005A4434"/>
    <w:rsid w:val="005D229A"/>
    <w:rsid w:val="005D3805"/>
    <w:rsid w:val="005D5DEB"/>
    <w:rsid w:val="006B2215"/>
    <w:rsid w:val="006D2D22"/>
    <w:rsid w:val="006E1346"/>
    <w:rsid w:val="006F0091"/>
    <w:rsid w:val="006F214D"/>
    <w:rsid w:val="00726FEF"/>
    <w:rsid w:val="00744E4E"/>
    <w:rsid w:val="00751BCF"/>
    <w:rsid w:val="007805B8"/>
    <w:rsid w:val="007A3CA7"/>
    <w:rsid w:val="007C09FE"/>
    <w:rsid w:val="007E04F9"/>
    <w:rsid w:val="00831648"/>
    <w:rsid w:val="008F2687"/>
    <w:rsid w:val="008F499A"/>
    <w:rsid w:val="009302ED"/>
    <w:rsid w:val="009400B0"/>
    <w:rsid w:val="00943A55"/>
    <w:rsid w:val="00973959"/>
    <w:rsid w:val="009C2687"/>
    <w:rsid w:val="009C28C8"/>
    <w:rsid w:val="009D227F"/>
    <w:rsid w:val="009F3566"/>
    <w:rsid w:val="00A0042A"/>
    <w:rsid w:val="00A455CE"/>
    <w:rsid w:val="00A64F48"/>
    <w:rsid w:val="00A919FC"/>
    <w:rsid w:val="00AF0393"/>
    <w:rsid w:val="00B16219"/>
    <w:rsid w:val="00B531CC"/>
    <w:rsid w:val="00B7541E"/>
    <w:rsid w:val="00B755A2"/>
    <w:rsid w:val="00B96A55"/>
    <w:rsid w:val="00BB077D"/>
    <w:rsid w:val="00BC6878"/>
    <w:rsid w:val="00C14BFC"/>
    <w:rsid w:val="00C41019"/>
    <w:rsid w:val="00C75E71"/>
    <w:rsid w:val="00CB50C9"/>
    <w:rsid w:val="00D059AF"/>
    <w:rsid w:val="00D40EA5"/>
    <w:rsid w:val="00D425BC"/>
    <w:rsid w:val="00DD2FD5"/>
    <w:rsid w:val="00DF49EF"/>
    <w:rsid w:val="00E27586"/>
    <w:rsid w:val="00E50972"/>
    <w:rsid w:val="00E51060"/>
    <w:rsid w:val="00EB0C04"/>
    <w:rsid w:val="00EC29D7"/>
    <w:rsid w:val="00EF1624"/>
    <w:rsid w:val="00EF2A02"/>
    <w:rsid w:val="00F21C4E"/>
    <w:rsid w:val="00F456ED"/>
    <w:rsid w:val="00F50F1A"/>
    <w:rsid w:val="00F56981"/>
    <w:rsid w:val="00F608FD"/>
    <w:rsid w:val="00F727B9"/>
    <w:rsid w:val="00FB5480"/>
    <w:rsid w:val="00FB5C29"/>
    <w:rsid w:val="00FB747D"/>
    <w:rsid w:val="00FF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investmentmanage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an@optias.com.au" TargetMode="External"/><Relationship Id="rId5" Type="http://schemas.openxmlformats.org/officeDocument/2006/relationships/webSettings" Target="webSettings.xml"/><Relationship Id="rId10" Type="http://schemas.openxmlformats.org/officeDocument/2006/relationships/hyperlink" Target="http://www.dtf.vic.gov.au/CA25713E0002EF43/pages/the-practices-clarify-an-organisation's-roles" TargetMode="External"/><Relationship Id="rId4" Type="http://schemas.openxmlformats.org/officeDocument/2006/relationships/settings" Target="settings.xml"/><Relationship Id="rId9" Type="http://schemas.openxmlformats.org/officeDocument/2006/relationships/hyperlink" Target="http://www.dtf.vic.gov.au/investmentmanag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Eldar</dc:creator>
  <cp:lastModifiedBy>Elizabeth Ascroft</cp:lastModifiedBy>
  <cp:revision>2</cp:revision>
  <cp:lastPrinted>2012-08-02T06:05:00Z</cp:lastPrinted>
  <dcterms:created xsi:type="dcterms:W3CDTF">2018-02-14T03:07:00Z</dcterms:created>
  <dcterms:modified xsi:type="dcterms:W3CDTF">2018-02-14T03:07:00Z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89584494-a71d-42b6-9b2a-fb582a907597</vt:lpwstr>
  </property>
  <property fmtid="{D5CDD505-2E9C-101B-9397-08002B2CF9AE}" pid="3" name="PSPFClassification">
    <vt:lpwstr>Do Not Mark</vt:lpwstr>
  </property>
</Properties>
</file>