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Default="00BA4A3A" w:rsidP="00012F6F">
      <w:pPr>
        <w:pStyle w:val="Title"/>
      </w:pPr>
      <w:r>
        <w:t>Guidelines for Evaluation of Statements of Expectations</w:t>
      </w:r>
      <w:r w:rsidR="00171837">
        <w:t xml:space="preserve"> for Regulators</w:t>
      </w:r>
    </w:p>
    <w:p w:rsidR="00750CBE" w:rsidRPr="00A54DDA" w:rsidRDefault="00BA4A3A" w:rsidP="00A54DDA">
      <w:pPr>
        <w:pStyle w:val="TertiaryTitle"/>
        <w:rPr>
          <w:sz w:val="28"/>
        </w:rPr>
      </w:pPr>
      <w:r w:rsidRPr="00A54DDA">
        <w:rPr>
          <w:sz w:val="28"/>
        </w:rPr>
        <w:t>Department of Treasury and Finance</w:t>
      </w:r>
    </w:p>
    <w:p w:rsidR="00750CBE" w:rsidRDefault="00750CBE">
      <w:r>
        <w:br w:type="page"/>
      </w:r>
      <w:bookmarkStart w:id="0" w:name="_GoBack"/>
      <w:bookmarkEnd w:id="0"/>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6025F1" w:rsidP="006F6693">
      <w:pPr>
        <w:ind w:right="1826"/>
        <w:rPr>
          <w:rFonts w:cstheme="minorHAnsi"/>
          <w:spacing w:val="0"/>
          <w:sz w:val="19"/>
          <w:szCs w:val="19"/>
        </w:rPr>
      </w:pPr>
      <w:r>
        <w:rPr>
          <w:rFonts w:cstheme="minorHAnsi"/>
          <w:spacing w:val="0"/>
          <w:sz w:val="19"/>
          <w:szCs w:val="19"/>
        </w:rPr>
        <w:t>© State of Victoria 2018</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694F028F" wp14:editId="17221054">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750CBE" w:rsidP="008D0281">
      <w:pPr>
        <w:pStyle w:val="NormalTight"/>
      </w:pPr>
      <w:r w:rsidRPr="00C92338">
        <w:t xml:space="preserve">ISBN </w:t>
      </w:r>
      <w:r w:rsidR="006025F1">
        <w:t>978</w:t>
      </w:r>
      <w:r w:rsidRPr="00C92338">
        <w:t>-</w:t>
      </w:r>
      <w:r w:rsidR="006025F1">
        <w:t>x</w:t>
      </w:r>
      <w:r w:rsidRPr="00C92338">
        <w:t>-</w:t>
      </w:r>
      <w:r w:rsidR="006025F1">
        <w:t>xxxx</w:t>
      </w:r>
      <w:r w:rsidRPr="00C92338">
        <w:t>-</w:t>
      </w:r>
      <w:r w:rsidR="006025F1">
        <w:t>xxx</w:t>
      </w:r>
      <w:r w:rsidRPr="00C92338">
        <w:t>-</w:t>
      </w:r>
      <w:r w:rsidR="006025F1">
        <w:t>x</w:t>
      </w:r>
    </w:p>
    <w:p w:rsidR="00750CBE" w:rsidRPr="00C92338" w:rsidRDefault="00AC2624" w:rsidP="008D0281">
      <w:pPr>
        <w:pStyle w:val="NormalTight"/>
      </w:pPr>
      <w:r>
        <w:t xml:space="preserve">Published </w:t>
      </w:r>
      <w:r w:rsidR="005006A5">
        <w:t>January 2018</w:t>
      </w:r>
    </w:p>
    <w:p w:rsidR="00750CBE" w:rsidRPr="00C92338" w:rsidRDefault="00750CBE" w:rsidP="008D0281">
      <w:pPr>
        <w:pStyle w:val="NormalTight"/>
      </w:pPr>
    </w:p>
    <w:p w:rsidR="00750CBE" w:rsidRPr="00C92338" w:rsidRDefault="00750CBE" w:rsidP="008D0281">
      <w:pPr>
        <w:pStyle w:val="NormalTight"/>
      </w:pPr>
      <w:r w:rsidRPr="00C92338">
        <w:t xml:space="preserve">If you would like to receive this publication in an accessible format please  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9E6F56">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BC4708" w:rsidRDefault="00CD3D1B">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503969028" w:history="1">
        <w:r w:rsidR="00BC4708" w:rsidRPr="001A5CDE">
          <w:rPr>
            <w:rStyle w:val="Hyperlink"/>
          </w:rPr>
          <w:t>1.</w:t>
        </w:r>
        <w:r w:rsidR="00BC4708">
          <w:rPr>
            <w:spacing w:val="0"/>
            <w:sz w:val="22"/>
            <w:szCs w:val="22"/>
            <w:lang w:eastAsia="en-AU"/>
          </w:rPr>
          <w:tab/>
        </w:r>
        <w:r w:rsidR="00BC4708" w:rsidRPr="001A5CDE">
          <w:rPr>
            <w:rStyle w:val="Hyperlink"/>
          </w:rPr>
          <w:t>Introduction</w:t>
        </w:r>
        <w:r w:rsidR="00BC4708">
          <w:rPr>
            <w:webHidden/>
          </w:rPr>
          <w:tab/>
        </w:r>
        <w:r w:rsidR="00BC4708">
          <w:rPr>
            <w:webHidden/>
          </w:rPr>
          <w:fldChar w:fldCharType="begin"/>
        </w:r>
        <w:r w:rsidR="00BC4708">
          <w:rPr>
            <w:webHidden/>
          </w:rPr>
          <w:instrText xml:space="preserve"> PAGEREF _Toc503969028 \h </w:instrText>
        </w:r>
        <w:r w:rsidR="00BC4708">
          <w:rPr>
            <w:webHidden/>
          </w:rPr>
        </w:r>
        <w:r w:rsidR="00BC4708">
          <w:rPr>
            <w:webHidden/>
          </w:rPr>
          <w:fldChar w:fldCharType="separate"/>
        </w:r>
        <w:r w:rsidR="00BC4708">
          <w:rPr>
            <w:webHidden/>
          </w:rPr>
          <w:t>1</w:t>
        </w:r>
        <w:r w:rsidR="00BC4708">
          <w:rPr>
            <w:webHidden/>
          </w:rPr>
          <w:fldChar w:fldCharType="end"/>
        </w:r>
      </w:hyperlink>
    </w:p>
    <w:p w:rsidR="00BC4708" w:rsidRDefault="00A646F2">
      <w:pPr>
        <w:pStyle w:val="TOC4"/>
        <w:rPr>
          <w:spacing w:val="0"/>
          <w:sz w:val="22"/>
          <w:szCs w:val="22"/>
          <w:lang w:eastAsia="en-AU"/>
        </w:rPr>
      </w:pPr>
      <w:hyperlink w:anchor="_Toc503969029" w:history="1">
        <w:r w:rsidR="00BC4708" w:rsidRPr="001A5CDE">
          <w:rPr>
            <w:rStyle w:val="Hyperlink"/>
          </w:rPr>
          <w:t>2.</w:t>
        </w:r>
        <w:r w:rsidR="00BC4708">
          <w:rPr>
            <w:spacing w:val="0"/>
            <w:sz w:val="22"/>
            <w:szCs w:val="22"/>
            <w:lang w:eastAsia="en-AU"/>
          </w:rPr>
          <w:tab/>
        </w:r>
        <w:r w:rsidR="00BC4708" w:rsidRPr="001A5CDE">
          <w:rPr>
            <w:rStyle w:val="Hyperlink"/>
          </w:rPr>
          <w:t>Overview of the SOE Framework including the evaluation requirements</w:t>
        </w:r>
        <w:r w:rsidR="00BC4708">
          <w:rPr>
            <w:webHidden/>
          </w:rPr>
          <w:tab/>
        </w:r>
        <w:r w:rsidR="00BC4708">
          <w:rPr>
            <w:webHidden/>
          </w:rPr>
          <w:fldChar w:fldCharType="begin"/>
        </w:r>
        <w:r w:rsidR="00BC4708">
          <w:rPr>
            <w:webHidden/>
          </w:rPr>
          <w:instrText xml:space="preserve"> PAGEREF _Toc503969029 \h </w:instrText>
        </w:r>
        <w:r w:rsidR="00BC4708">
          <w:rPr>
            <w:webHidden/>
          </w:rPr>
        </w:r>
        <w:r w:rsidR="00BC4708">
          <w:rPr>
            <w:webHidden/>
          </w:rPr>
          <w:fldChar w:fldCharType="separate"/>
        </w:r>
        <w:r w:rsidR="00BC4708">
          <w:rPr>
            <w:webHidden/>
          </w:rPr>
          <w:t>2</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30" w:history="1">
        <w:r w:rsidR="00BC4708" w:rsidRPr="001A5CDE">
          <w:rPr>
            <w:rStyle w:val="Hyperlink"/>
          </w:rPr>
          <w:t>2.1</w:t>
        </w:r>
        <w:r w:rsidR="00BC4708">
          <w:rPr>
            <w:spacing w:val="0"/>
            <w:sz w:val="22"/>
            <w:szCs w:val="22"/>
            <w:lang w:eastAsia="en-AU"/>
          </w:rPr>
          <w:tab/>
        </w:r>
        <w:r w:rsidR="00BC4708" w:rsidRPr="001A5CDE">
          <w:rPr>
            <w:rStyle w:val="Hyperlink"/>
          </w:rPr>
          <w:t>Snapshot of the SOE Framework</w:t>
        </w:r>
        <w:r w:rsidR="00BC4708">
          <w:rPr>
            <w:webHidden/>
          </w:rPr>
          <w:tab/>
        </w:r>
        <w:r w:rsidR="00BC4708">
          <w:rPr>
            <w:webHidden/>
          </w:rPr>
          <w:fldChar w:fldCharType="begin"/>
        </w:r>
        <w:r w:rsidR="00BC4708">
          <w:rPr>
            <w:webHidden/>
          </w:rPr>
          <w:instrText xml:space="preserve"> PAGEREF _Toc503969030 \h </w:instrText>
        </w:r>
        <w:r w:rsidR="00BC4708">
          <w:rPr>
            <w:webHidden/>
          </w:rPr>
        </w:r>
        <w:r w:rsidR="00BC4708">
          <w:rPr>
            <w:webHidden/>
          </w:rPr>
          <w:fldChar w:fldCharType="separate"/>
        </w:r>
        <w:r w:rsidR="00BC4708">
          <w:rPr>
            <w:webHidden/>
          </w:rPr>
          <w:t>2</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31" w:history="1">
        <w:r w:rsidR="00BC4708" w:rsidRPr="001A5CDE">
          <w:rPr>
            <w:rStyle w:val="Hyperlink"/>
          </w:rPr>
          <w:t>2.2</w:t>
        </w:r>
        <w:r w:rsidR="00BC4708">
          <w:rPr>
            <w:spacing w:val="0"/>
            <w:sz w:val="22"/>
            <w:szCs w:val="22"/>
            <w:lang w:eastAsia="en-AU"/>
          </w:rPr>
          <w:tab/>
        </w:r>
        <w:r w:rsidR="00BC4708" w:rsidRPr="001A5CDE">
          <w:rPr>
            <w:rStyle w:val="Hyperlink"/>
          </w:rPr>
          <w:t>The SOE process</w:t>
        </w:r>
        <w:r w:rsidR="00BC4708">
          <w:rPr>
            <w:webHidden/>
          </w:rPr>
          <w:tab/>
        </w:r>
        <w:r w:rsidR="00BC4708">
          <w:rPr>
            <w:webHidden/>
          </w:rPr>
          <w:fldChar w:fldCharType="begin"/>
        </w:r>
        <w:r w:rsidR="00BC4708">
          <w:rPr>
            <w:webHidden/>
          </w:rPr>
          <w:instrText xml:space="preserve"> PAGEREF _Toc503969031 \h </w:instrText>
        </w:r>
        <w:r w:rsidR="00BC4708">
          <w:rPr>
            <w:webHidden/>
          </w:rPr>
        </w:r>
        <w:r w:rsidR="00BC4708">
          <w:rPr>
            <w:webHidden/>
          </w:rPr>
          <w:fldChar w:fldCharType="separate"/>
        </w:r>
        <w:r w:rsidR="00BC4708">
          <w:rPr>
            <w:webHidden/>
          </w:rPr>
          <w:t>4</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32" w:history="1">
        <w:r w:rsidR="00BC4708" w:rsidRPr="001A5CDE">
          <w:rPr>
            <w:rStyle w:val="Hyperlink"/>
          </w:rPr>
          <w:t>2.3</w:t>
        </w:r>
        <w:r w:rsidR="00BC4708">
          <w:rPr>
            <w:spacing w:val="0"/>
            <w:sz w:val="22"/>
            <w:szCs w:val="22"/>
            <w:lang w:eastAsia="en-AU"/>
          </w:rPr>
          <w:tab/>
        </w:r>
        <w:r w:rsidR="00BC4708" w:rsidRPr="001A5CDE">
          <w:rPr>
            <w:rStyle w:val="Hyperlink"/>
          </w:rPr>
          <w:t>SOE evaluation requirements</w:t>
        </w:r>
        <w:r w:rsidR="00BC4708">
          <w:rPr>
            <w:webHidden/>
          </w:rPr>
          <w:tab/>
        </w:r>
        <w:r w:rsidR="00BC4708">
          <w:rPr>
            <w:webHidden/>
          </w:rPr>
          <w:fldChar w:fldCharType="begin"/>
        </w:r>
        <w:r w:rsidR="00BC4708">
          <w:rPr>
            <w:webHidden/>
          </w:rPr>
          <w:instrText xml:space="preserve"> PAGEREF _Toc503969032 \h </w:instrText>
        </w:r>
        <w:r w:rsidR="00BC4708">
          <w:rPr>
            <w:webHidden/>
          </w:rPr>
        </w:r>
        <w:r w:rsidR="00BC4708">
          <w:rPr>
            <w:webHidden/>
          </w:rPr>
          <w:fldChar w:fldCharType="separate"/>
        </w:r>
        <w:r w:rsidR="00BC4708">
          <w:rPr>
            <w:webHidden/>
          </w:rPr>
          <w:t>5</w:t>
        </w:r>
        <w:r w:rsidR="00BC4708">
          <w:rPr>
            <w:webHidden/>
          </w:rPr>
          <w:fldChar w:fldCharType="end"/>
        </w:r>
      </w:hyperlink>
    </w:p>
    <w:p w:rsidR="00BC4708" w:rsidRDefault="00A646F2">
      <w:pPr>
        <w:pStyle w:val="TOC4"/>
        <w:rPr>
          <w:spacing w:val="0"/>
          <w:sz w:val="22"/>
          <w:szCs w:val="22"/>
          <w:lang w:eastAsia="en-AU"/>
        </w:rPr>
      </w:pPr>
      <w:hyperlink w:anchor="_Toc503969033" w:history="1">
        <w:r w:rsidR="00BC4708" w:rsidRPr="001A5CDE">
          <w:rPr>
            <w:rStyle w:val="Hyperlink"/>
          </w:rPr>
          <w:t>3.</w:t>
        </w:r>
        <w:r w:rsidR="00BC4708">
          <w:rPr>
            <w:spacing w:val="0"/>
            <w:sz w:val="22"/>
            <w:szCs w:val="22"/>
            <w:lang w:eastAsia="en-AU"/>
          </w:rPr>
          <w:tab/>
        </w:r>
        <w:r w:rsidR="00BC4708" w:rsidRPr="001A5CDE">
          <w:rPr>
            <w:rStyle w:val="Hyperlink"/>
          </w:rPr>
          <w:t>Evaluation roles and responsibilities</w:t>
        </w:r>
        <w:r w:rsidR="00BC4708">
          <w:rPr>
            <w:webHidden/>
          </w:rPr>
          <w:tab/>
        </w:r>
        <w:r w:rsidR="00BC4708">
          <w:rPr>
            <w:webHidden/>
          </w:rPr>
          <w:fldChar w:fldCharType="begin"/>
        </w:r>
        <w:r w:rsidR="00BC4708">
          <w:rPr>
            <w:webHidden/>
          </w:rPr>
          <w:instrText xml:space="preserve"> PAGEREF _Toc503969033 \h </w:instrText>
        </w:r>
        <w:r w:rsidR="00BC4708">
          <w:rPr>
            <w:webHidden/>
          </w:rPr>
        </w:r>
        <w:r w:rsidR="00BC4708">
          <w:rPr>
            <w:webHidden/>
          </w:rPr>
          <w:fldChar w:fldCharType="separate"/>
        </w:r>
        <w:r w:rsidR="00BC4708">
          <w:rPr>
            <w:webHidden/>
          </w:rPr>
          <w:t>5</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34" w:history="1">
        <w:r w:rsidR="00BC4708" w:rsidRPr="001A5CDE">
          <w:rPr>
            <w:rStyle w:val="Hyperlink"/>
          </w:rPr>
          <w:t>3.1</w:t>
        </w:r>
        <w:r w:rsidR="00BC4708">
          <w:rPr>
            <w:spacing w:val="0"/>
            <w:sz w:val="22"/>
            <w:szCs w:val="22"/>
            <w:lang w:eastAsia="en-AU"/>
          </w:rPr>
          <w:tab/>
        </w:r>
        <w:r w:rsidR="00BC4708" w:rsidRPr="001A5CDE">
          <w:rPr>
            <w:rStyle w:val="Hyperlink"/>
          </w:rPr>
          <w:t>Responsible Ministers, departments and regulators</w:t>
        </w:r>
        <w:r w:rsidR="00BC4708">
          <w:rPr>
            <w:webHidden/>
          </w:rPr>
          <w:tab/>
        </w:r>
        <w:r w:rsidR="00BC4708">
          <w:rPr>
            <w:webHidden/>
          </w:rPr>
          <w:fldChar w:fldCharType="begin"/>
        </w:r>
        <w:r w:rsidR="00BC4708">
          <w:rPr>
            <w:webHidden/>
          </w:rPr>
          <w:instrText xml:space="preserve"> PAGEREF _Toc503969034 \h </w:instrText>
        </w:r>
        <w:r w:rsidR="00BC4708">
          <w:rPr>
            <w:webHidden/>
          </w:rPr>
        </w:r>
        <w:r w:rsidR="00BC4708">
          <w:rPr>
            <w:webHidden/>
          </w:rPr>
          <w:fldChar w:fldCharType="separate"/>
        </w:r>
        <w:r w:rsidR="00BC4708">
          <w:rPr>
            <w:webHidden/>
          </w:rPr>
          <w:t>5</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35" w:history="1">
        <w:r w:rsidR="00BC4708" w:rsidRPr="001A5CDE">
          <w:rPr>
            <w:rStyle w:val="Hyperlink"/>
          </w:rPr>
          <w:t>3.2</w:t>
        </w:r>
        <w:r w:rsidR="00BC4708">
          <w:rPr>
            <w:spacing w:val="0"/>
            <w:sz w:val="22"/>
            <w:szCs w:val="22"/>
            <w:lang w:eastAsia="en-AU"/>
          </w:rPr>
          <w:tab/>
        </w:r>
        <w:r w:rsidR="00BC4708" w:rsidRPr="001A5CDE">
          <w:rPr>
            <w:rStyle w:val="Hyperlink"/>
          </w:rPr>
          <w:t>Review by the Commissioner for Better Regulation</w:t>
        </w:r>
        <w:r w:rsidR="00BC4708">
          <w:rPr>
            <w:webHidden/>
          </w:rPr>
          <w:tab/>
        </w:r>
        <w:r w:rsidR="00BC4708">
          <w:rPr>
            <w:webHidden/>
          </w:rPr>
          <w:fldChar w:fldCharType="begin"/>
        </w:r>
        <w:r w:rsidR="00BC4708">
          <w:rPr>
            <w:webHidden/>
          </w:rPr>
          <w:instrText xml:space="preserve"> PAGEREF _Toc503969035 \h </w:instrText>
        </w:r>
        <w:r w:rsidR="00BC4708">
          <w:rPr>
            <w:webHidden/>
          </w:rPr>
        </w:r>
        <w:r w:rsidR="00BC4708">
          <w:rPr>
            <w:webHidden/>
          </w:rPr>
          <w:fldChar w:fldCharType="separate"/>
        </w:r>
        <w:r w:rsidR="00BC4708">
          <w:rPr>
            <w:webHidden/>
          </w:rPr>
          <w:t>6</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36" w:history="1">
        <w:r w:rsidR="00BC4708" w:rsidRPr="001A5CDE">
          <w:rPr>
            <w:rStyle w:val="Hyperlink"/>
          </w:rPr>
          <w:t>3.3</w:t>
        </w:r>
        <w:r w:rsidR="00BC4708">
          <w:rPr>
            <w:spacing w:val="0"/>
            <w:sz w:val="22"/>
            <w:szCs w:val="22"/>
            <w:lang w:eastAsia="en-AU"/>
          </w:rPr>
          <w:tab/>
        </w:r>
        <w:r w:rsidR="00BC4708" w:rsidRPr="001A5CDE">
          <w:rPr>
            <w:rStyle w:val="Hyperlink"/>
          </w:rPr>
          <w:t>DTF review of the SOE Framework</w:t>
        </w:r>
        <w:r w:rsidR="00BC4708">
          <w:rPr>
            <w:webHidden/>
          </w:rPr>
          <w:tab/>
        </w:r>
        <w:r w:rsidR="00BC4708">
          <w:rPr>
            <w:webHidden/>
          </w:rPr>
          <w:fldChar w:fldCharType="begin"/>
        </w:r>
        <w:r w:rsidR="00BC4708">
          <w:rPr>
            <w:webHidden/>
          </w:rPr>
          <w:instrText xml:space="preserve"> PAGEREF _Toc503969036 \h </w:instrText>
        </w:r>
        <w:r w:rsidR="00BC4708">
          <w:rPr>
            <w:webHidden/>
          </w:rPr>
        </w:r>
        <w:r w:rsidR="00BC4708">
          <w:rPr>
            <w:webHidden/>
          </w:rPr>
          <w:fldChar w:fldCharType="separate"/>
        </w:r>
        <w:r w:rsidR="00BC4708">
          <w:rPr>
            <w:webHidden/>
          </w:rPr>
          <w:t>6</w:t>
        </w:r>
        <w:r w:rsidR="00BC4708">
          <w:rPr>
            <w:webHidden/>
          </w:rPr>
          <w:fldChar w:fldCharType="end"/>
        </w:r>
      </w:hyperlink>
    </w:p>
    <w:p w:rsidR="00BC4708" w:rsidRDefault="00A646F2">
      <w:pPr>
        <w:pStyle w:val="TOC4"/>
        <w:rPr>
          <w:spacing w:val="0"/>
          <w:sz w:val="22"/>
          <w:szCs w:val="22"/>
          <w:lang w:eastAsia="en-AU"/>
        </w:rPr>
      </w:pPr>
      <w:hyperlink w:anchor="_Toc503969037" w:history="1">
        <w:r w:rsidR="00BC4708" w:rsidRPr="001A5CDE">
          <w:rPr>
            <w:rStyle w:val="Hyperlink"/>
          </w:rPr>
          <w:t>4.</w:t>
        </w:r>
        <w:r w:rsidR="00BC4708">
          <w:rPr>
            <w:spacing w:val="0"/>
            <w:sz w:val="22"/>
            <w:szCs w:val="22"/>
            <w:lang w:eastAsia="en-AU"/>
          </w:rPr>
          <w:tab/>
        </w:r>
        <w:r w:rsidR="00BC4708" w:rsidRPr="001A5CDE">
          <w:rPr>
            <w:rStyle w:val="Hyperlink"/>
          </w:rPr>
          <w:t>Process for evaluations</w:t>
        </w:r>
        <w:r w:rsidR="00BC4708">
          <w:rPr>
            <w:webHidden/>
          </w:rPr>
          <w:tab/>
        </w:r>
        <w:r w:rsidR="00BC4708">
          <w:rPr>
            <w:webHidden/>
          </w:rPr>
          <w:fldChar w:fldCharType="begin"/>
        </w:r>
        <w:r w:rsidR="00BC4708">
          <w:rPr>
            <w:webHidden/>
          </w:rPr>
          <w:instrText xml:space="preserve"> PAGEREF _Toc503969037 \h </w:instrText>
        </w:r>
        <w:r w:rsidR="00BC4708">
          <w:rPr>
            <w:webHidden/>
          </w:rPr>
        </w:r>
        <w:r w:rsidR="00BC4708">
          <w:rPr>
            <w:webHidden/>
          </w:rPr>
          <w:fldChar w:fldCharType="separate"/>
        </w:r>
        <w:r w:rsidR="00BC4708">
          <w:rPr>
            <w:webHidden/>
          </w:rPr>
          <w:t>7</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38" w:history="1">
        <w:r w:rsidR="00BC4708" w:rsidRPr="001A5CDE">
          <w:rPr>
            <w:rStyle w:val="Hyperlink"/>
          </w:rPr>
          <w:t>4.1</w:t>
        </w:r>
        <w:r w:rsidR="00BC4708">
          <w:rPr>
            <w:spacing w:val="0"/>
            <w:sz w:val="22"/>
            <w:szCs w:val="22"/>
            <w:lang w:eastAsia="en-AU"/>
          </w:rPr>
          <w:tab/>
        </w:r>
        <w:r w:rsidR="00BC4708" w:rsidRPr="001A5CDE">
          <w:rPr>
            <w:rStyle w:val="Hyperlink"/>
          </w:rPr>
          <w:t>The proportionality principle</w:t>
        </w:r>
        <w:r w:rsidR="00BC4708">
          <w:rPr>
            <w:webHidden/>
          </w:rPr>
          <w:tab/>
        </w:r>
        <w:r w:rsidR="00BC4708">
          <w:rPr>
            <w:webHidden/>
          </w:rPr>
          <w:fldChar w:fldCharType="begin"/>
        </w:r>
        <w:r w:rsidR="00BC4708">
          <w:rPr>
            <w:webHidden/>
          </w:rPr>
          <w:instrText xml:space="preserve"> PAGEREF _Toc503969038 \h </w:instrText>
        </w:r>
        <w:r w:rsidR="00BC4708">
          <w:rPr>
            <w:webHidden/>
          </w:rPr>
        </w:r>
        <w:r w:rsidR="00BC4708">
          <w:rPr>
            <w:webHidden/>
          </w:rPr>
          <w:fldChar w:fldCharType="separate"/>
        </w:r>
        <w:r w:rsidR="00BC4708">
          <w:rPr>
            <w:webHidden/>
          </w:rPr>
          <w:t>7</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39" w:history="1">
        <w:r w:rsidR="00BC4708" w:rsidRPr="001A5CDE">
          <w:rPr>
            <w:rStyle w:val="Hyperlink"/>
          </w:rPr>
          <w:t>4.2</w:t>
        </w:r>
        <w:r w:rsidR="00BC4708">
          <w:rPr>
            <w:spacing w:val="0"/>
            <w:sz w:val="22"/>
            <w:szCs w:val="22"/>
            <w:lang w:eastAsia="en-AU"/>
          </w:rPr>
          <w:tab/>
        </w:r>
        <w:r w:rsidR="00BC4708" w:rsidRPr="001A5CDE">
          <w:rPr>
            <w:rStyle w:val="Hyperlink"/>
          </w:rPr>
          <w:t>Suggested timing of evaluations</w:t>
        </w:r>
        <w:r w:rsidR="00BC4708">
          <w:rPr>
            <w:webHidden/>
          </w:rPr>
          <w:tab/>
        </w:r>
        <w:r w:rsidR="00BC4708">
          <w:rPr>
            <w:webHidden/>
          </w:rPr>
          <w:fldChar w:fldCharType="begin"/>
        </w:r>
        <w:r w:rsidR="00BC4708">
          <w:rPr>
            <w:webHidden/>
          </w:rPr>
          <w:instrText xml:space="preserve"> PAGEREF _Toc503969039 \h </w:instrText>
        </w:r>
        <w:r w:rsidR="00BC4708">
          <w:rPr>
            <w:webHidden/>
          </w:rPr>
        </w:r>
        <w:r w:rsidR="00BC4708">
          <w:rPr>
            <w:webHidden/>
          </w:rPr>
          <w:fldChar w:fldCharType="separate"/>
        </w:r>
        <w:r w:rsidR="00BC4708">
          <w:rPr>
            <w:webHidden/>
          </w:rPr>
          <w:t>7</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40" w:history="1">
        <w:r w:rsidR="00BC4708" w:rsidRPr="001A5CDE">
          <w:rPr>
            <w:rStyle w:val="Hyperlink"/>
          </w:rPr>
          <w:t>4.3</w:t>
        </w:r>
        <w:r w:rsidR="00BC4708">
          <w:rPr>
            <w:spacing w:val="0"/>
            <w:sz w:val="22"/>
            <w:szCs w:val="22"/>
            <w:lang w:eastAsia="en-AU"/>
          </w:rPr>
          <w:tab/>
        </w:r>
        <w:r w:rsidR="00BC4708" w:rsidRPr="001A5CDE">
          <w:rPr>
            <w:rStyle w:val="Hyperlink"/>
          </w:rPr>
          <w:t>The evaluation plan</w:t>
        </w:r>
        <w:r w:rsidR="00BC4708">
          <w:rPr>
            <w:webHidden/>
          </w:rPr>
          <w:tab/>
        </w:r>
        <w:r w:rsidR="00BC4708">
          <w:rPr>
            <w:webHidden/>
          </w:rPr>
          <w:fldChar w:fldCharType="begin"/>
        </w:r>
        <w:r w:rsidR="00BC4708">
          <w:rPr>
            <w:webHidden/>
          </w:rPr>
          <w:instrText xml:space="preserve"> PAGEREF _Toc503969040 \h </w:instrText>
        </w:r>
        <w:r w:rsidR="00BC4708">
          <w:rPr>
            <w:webHidden/>
          </w:rPr>
        </w:r>
        <w:r w:rsidR="00BC4708">
          <w:rPr>
            <w:webHidden/>
          </w:rPr>
          <w:fldChar w:fldCharType="separate"/>
        </w:r>
        <w:r w:rsidR="00BC4708">
          <w:rPr>
            <w:webHidden/>
          </w:rPr>
          <w:t>8</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41" w:history="1">
        <w:r w:rsidR="00BC4708" w:rsidRPr="001A5CDE">
          <w:rPr>
            <w:rStyle w:val="Hyperlink"/>
          </w:rPr>
          <w:t>4.4</w:t>
        </w:r>
        <w:r w:rsidR="00BC4708">
          <w:rPr>
            <w:spacing w:val="0"/>
            <w:sz w:val="22"/>
            <w:szCs w:val="22"/>
            <w:lang w:eastAsia="en-AU"/>
          </w:rPr>
          <w:tab/>
        </w:r>
        <w:r w:rsidR="00BC4708" w:rsidRPr="001A5CDE">
          <w:rPr>
            <w:rStyle w:val="Hyperlink"/>
          </w:rPr>
          <w:t>The evaluation report</w:t>
        </w:r>
        <w:r w:rsidR="00BC4708">
          <w:rPr>
            <w:webHidden/>
          </w:rPr>
          <w:tab/>
        </w:r>
        <w:r w:rsidR="00BC4708">
          <w:rPr>
            <w:webHidden/>
          </w:rPr>
          <w:fldChar w:fldCharType="begin"/>
        </w:r>
        <w:r w:rsidR="00BC4708">
          <w:rPr>
            <w:webHidden/>
          </w:rPr>
          <w:instrText xml:space="preserve"> PAGEREF _Toc503969041 \h </w:instrText>
        </w:r>
        <w:r w:rsidR="00BC4708">
          <w:rPr>
            <w:webHidden/>
          </w:rPr>
        </w:r>
        <w:r w:rsidR="00BC4708">
          <w:rPr>
            <w:webHidden/>
          </w:rPr>
          <w:fldChar w:fldCharType="separate"/>
        </w:r>
        <w:r w:rsidR="00BC4708">
          <w:rPr>
            <w:webHidden/>
          </w:rPr>
          <w:t>9</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42" w:history="1">
        <w:r w:rsidR="00BC4708" w:rsidRPr="001A5CDE">
          <w:rPr>
            <w:rStyle w:val="Hyperlink"/>
          </w:rPr>
          <w:t>4.5</w:t>
        </w:r>
        <w:r w:rsidR="00BC4708">
          <w:rPr>
            <w:spacing w:val="0"/>
            <w:sz w:val="22"/>
            <w:szCs w:val="22"/>
            <w:lang w:eastAsia="en-AU"/>
          </w:rPr>
          <w:tab/>
        </w:r>
        <w:r w:rsidR="00BC4708" w:rsidRPr="001A5CDE">
          <w:rPr>
            <w:rStyle w:val="Hyperlink"/>
          </w:rPr>
          <w:t>Publication of evaluation reports</w:t>
        </w:r>
        <w:r w:rsidR="00BC4708">
          <w:rPr>
            <w:webHidden/>
          </w:rPr>
          <w:tab/>
        </w:r>
        <w:r w:rsidR="00BC4708">
          <w:rPr>
            <w:webHidden/>
          </w:rPr>
          <w:fldChar w:fldCharType="begin"/>
        </w:r>
        <w:r w:rsidR="00BC4708">
          <w:rPr>
            <w:webHidden/>
          </w:rPr>
          <w:instrText xml:space="preserve"> PAGEREF _Toc503969042 \h </w:instrText>
        </w:r>
        <w:r w:rsidR="00BC4708">
          <w:rPr>
            <w:webHidden/>
          </w:rPr>
        </w:r>
        <w:r w:rsidR="00BC4708">
          <w:rPr>
            <w:webHidden/>
          </w:rPr>
          <w:fldChar w:fldCharType="separate"/>
        </w:r>
        <w:r w:rsidR="00BC4708">
          <w:rPr>
            <w:webHidden/>
          </w:rPr>
          <w:t>10</w:t>
        </w:r>
        <w:r w:rsidR="00BC4708">
          <w:rPr>
            <w:webHidden/>
          </w:rPr>
          <w:fldChar w:fldCharType="end"/>
        </w:r>
      </w:hyperlink>
    </w:p>
    <w:p w:rsidR="00BC4708" w:rsidRDefault="00A646F2">
      <w:pPr>
        <w:pStyle w:val="TOC4"/>
        <w:rPr>
          <w:spacing w:val="0"/>
          <w:sz w:val="22"/>
          <w:szCs w:val="22"/>
          <w:lang w:eastAsia="en-AU"/>
        </w:rPr>
      </w:pPr>
      <w:hyperlink w:anchor="_Toc503969043" w:history="1">
        <w:r w:rsidR="00BC4708" w:rsidRPr="001A5CDE">
          <w:rPr>
            <w:rStyle w:val="Hyperlink"/>
          </w:rPr>
          <w:t>5.</w:t>
        </w:r>
        <w:r w:rsidR="00BC4708">
          <w:rPr>
            <w:spacing w:val="0"/>
            <w:sz w:val="22"/>
            <w:szCs w:val="22"/>
            <w:lang w:eastAsia="en-AU"/>
          </w:rPr>
          <w:tab/>
        </w:r>
        <w:r w:rsidR="00BC4708" w:rsidRPr="001A5CDE">
          <w:rPr>
            <w:rStyle w:val="Hyperlink"/>
          </w:rPr>
          <w:t>Suggested data collection table for SOE process evaluation</w:t>
        </w:r>
        <w:r w:rsidR="00BC4708">
          <w:rPr>
            <w:webHidden/>
          </w:rPr>
          <w:tab/>
        </w:r>
        <w:r w:rsidR="00BC4708">
          <w:rPr>
            <w:webHidden/>
          </w:rPr>
          <w:fldChar w:fldCharType="begin"/>
        </w:r>
        <w:r w:rsidR="00BC4708">
          <w:rPr>
            <w:webHidden/>
          </w:rPr>
          <w:instrText xml:space="preserve"> PAGEREF _Toc503969043 \h </w:instrText>
        </w:r>
        <w:r w:rsidR="00BC4708">
          <w:rPr>
            <w:webHidden/>
          </w:rPr>
        </w:r>
        <w:r w:rsidR="00BC4708">
          <w:rPr>
            <w:webHidden/>
          </w:rPr>
          <w:fldChar w:fldCharType="separate"/>
        </w:r>
        <w:r w:rsidR="00BC4708">
          <w:rPr>
            <w:webHidden/>
          </w:rPr>
          <w:t>11</w:t>
        </w:r>
        <w:r w:rsidR="00BC4708">
          <w:rPr>
            <w:webHidden/>
          </w:rPr>
          <w:fldChar w:fldCharType="end"/>
        </w:r>
      </w:hyperlink>
    </w:p>
    <w:p w:rsidR="00BC4708" w:rsidRDefault="00A646F2">
      <w:pPr>
        <w:pStyle w:val="TOC4"/>
        <w:rPr>
          <w:spacing w:val="0"/>
          <w:sz w:val="22"/>
          <w:szCs w:val="22"/>
          <w:lang w:eastAsia="en-AU"/>
        </w:rPr>
      </w:pPr>
      <w:hyperlink w:anchor="_Toc503969044" w:history="1">
        <w:r w:rsidR="00BC4708" w:rsidRPr="001A5CDE">
          <w:rPr>
            <w:rStyle w:val="Hyperlink"/>
          </w:rPr>
          <w:t>6.</w:t>
        </w:r>
        <w:r w:rsidR="00BC4708">
          <w:rPr>
            <w:spacing w:val="0"/>
            <w:sz w:val="22"/>
            <w:szCs w:val="22"/>
            <w:lang w:eastAsia="en-AU"/>
          </w:rPr>
          <w:tab/>
        </w:r>
        <w:r w:rsidR="00BC4708" w:rsidRPr="001A5CDE">
          <w:rPr>
            <w:rStyle w:val="Hyperlink"/>
          </w:rPr>
          <w:t>Suggested data collection table for SOE outcome evaluation</w:t>
        </w:r>
        <w:r w:rsidR="00BC4708">
          <w:rPr>
            <w:webHidden/>
          </w:rPr>
          <w:tab/>
        </w:r>
        <w:r w:rsidR="00BC4708">
          <w:rPr>
            <w:webHidden/>
          </w:rPr>
          <w:fldChar w:fldCharType="begin"/>
        </w:r>
        <w:r w:rsidR="00BC4708">
          <w:rPr>
            <w:webHidden/>
          </w:rPr>
          <w:instrText xml:space="preserve"> PAGEREF _Toc503969044 \h </w:instrText>
        </w:r>
        <w:r w:rsidR="00BC4708">
          <w:rPr>
            <w:webHidden/>
          </w:rPr>
        </w:r>
        <w:r w:rsidR="00BC4708">
          <w:rPr>
            <w:webHidden/>
          </w:rPr>
          <w:fldChar w:fldCharType="separate"/>
        </w:r>
        <w:r w:rsidR="00BC4708">
          <w:rPr>
            <w:webHidden/>
          </w:rPr>
          <w:t>12</w:t>
        </w:r>
        <w:r w:rsidR="00BC4708">
          <w:rPr>
            <w:webHidden/>
          </w:rPr>
          <w:fldChar w:fldCharType="end"/>
        </w:r>
      </w:hyperlink>
    </w:p>
    <w:p w:rsidR="00BC4708" w:rsidRDefault="00A646F2">
      <w:pPr>
        <w:pStyle w:val="TOC5"/>
        <w:tabs>
          <w:tab w:val="left" w:pos="1080"/>
        </w:tabs>
        <w:rPr>
          <w:spacing w:val="0"/>
          <w:sz w:val="22"/>
          <w:szCs w:val="22"/>
          <w:lang w:eastAsia="en-AU"/>
        </w:rPr>
      </w:pPr>
      <w:hyperlink w:anchor="_Toc503969045" w:history="1">
        <w:r w:rsidR="00BC4708" w:rsidRPr="001A5CDE">
          <w:rPr>
            <w:rStyle w:val="Hyperlink"/>
          </w:rPr>
          <w:t>6.1</w:t>
        </w:r>
        <w:r w:rsidR="00BC4708">
          <w:rPr>
            <w:spacing w:val="0"/>
            <w:sz w:val="22"/>
            <w:szCs w:val="22"/>
            <w:lang w:eastAsia="en-AU"/>
          </w:rPr>
          <w:tab/>
        </w:r>
        <w:r w:rsidR="00BC4708" w:rsidRPr="001A5CDE">
          <w:rPr>
            <w:rStyle w:val="Hyperlink"/>
          </w:rPr>
          <w:t>Examples</w:t>
        </w:r>
        <w:r w:rsidR="00BC4708">
          <w:rPr>
            <w:webHidden/>
          </w:rPr>
          <w:tab/>
        </w:r>
        <w:r w:rsidR="00BC4708">
          <w:rPr>
            <w:webHidden/>
          </w:rPr>
          <w:fldChar w:fldCharType="begin"/>
        </w:r>
        <w:r w:rsidR="00BC4708">
          <w:rPr>
            <w:webHidden/>
          </w:rPr>
          <w:instrText xml:space="preserve"> PAGEREF _Toc503969045 \h </w:instrText>
        </w:r>
        <w:r w:rsidR="00BC4708">
          <w:rPr>
            <w:webHidden/>
          </w:rPr>
        </w:r>
        <w:r w:rsidR="00BC4708">
          <w:rPr>
            <w:webHidden/>
          </w:rPr>
          <w:fldChar w:fldCharType="separate"/>
        </w:r>
        <w:r w:rsidR="00BC4708">
          <w:rPr>
            <w:webHidden/>
          </w:rPr>
          <w:t>13</w:t>
        </w:r>
        <w:r w:rsidR="00BC4708">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21"/>
          <w:headerReference w:type="default" r:id="rId22"/>
          <w:footerReference w:type="even" r:id="rId23"/>
          <w:footerReference w:type="default" r:id="rId24"/>
          <w:type w:val="oddPage"/>
          <w:pgSz w:w="11906" w:h="16838" w:code="9"/>
          <w:pgMar w:top="2160" w:right="1440" w:bottom="1440" w:left="1440" w:header="706" w:footer="461" w:gutter="0"/>
          <w:pgNumType w:fmt="lowerRoman" w:start="1"/>
          <w:cols w:space="708"/>
          <w:docGrid w:linePitch="360"/>
        </w:sectPr>
      </w:pPr>
    </w:p>
    <w:p w:rsidR="00FF4E99" w:rsidRDefault="00BA4A3A" w:rsidP="00BA4A3A">
      <w:pPr>
        <w:pStyle w:val="Heading1numbered"/>
        <w:ind w:left="0" w:firstLine="0"/>
      </w:pPr>
      <w:bookmarkStart w:id="1" w:name="_Toc503969028"/>
      <w:r>
        <w:lastRenderedPageBreak/>
        <w:t>Introduction</w:t>
      </w:r>
      <w:bookmarkEnd w:id="1"/>
    </w:p>
    <w:p w:rsidR="00BA4A3A" w:rsidRDefault="00BA4A3A" w:rsidP="00BA4A3A">
      <w:pPr>
        <w:ind w:left="851"/>
      </w:pPr>
      <w:r>
        <w:t xml:space="preserve">Under the </w:t>
      </w:r>
      <w:r w:rsidRPr="00F4587C">
        <w:t>Statement of Expectations (SOE)</w:t>
      </w:r>
      <w:r>
        <w:t xml:space="preserve"> Framework</w:t>
      </w:r>
      <w:r w:rsidR="00171837">
        <w:t xml:space="preserve"> for Regulators (the SOE Framework)</w:t>
      </w:r>
      <w:r>
        <w:t xml:space="preserve">, there is a mandatory requirement </w:t>
      </w:r>
      <w:r w:rsidRPr="0026152E">
        <w:t xml:space="preserve">for departments to evaluate </w:t>
      </w:r>
      <w:r w:rsidR="00653993" w:rsidRPr="0026152E">
        <w:t xml:space="preserve">the </w:t>
      </w:r>
      <w:r w:rsidRPr="0026152E">
        <w:t>SOEs</w:t>
      </w:r>
      <w:r w:rsidR="00653993" w:rsidRPr="0026152E">
        <w:t xml:space="preserve"> of the regulators within their portfolio</w:t>
      </w:r>
      <w:r w:rsidR="00BC7613">
        <w:t>s</w:t>
      </w:r>
      <w:r w:rsidRPr="0026152E">
        <w:t>. This is a new</w:t>
      </w:r>
      <w:r>
        <w:t xml:space="preserve"> requirement and </w:t>
      </w:r>
      <w:r w:rsidR="009A251A">
        <w:t xml:space="preserve">this document provides </w:t>
      </w:r>
      <w:r>
        <w:t>guidelines for the evaluations.</w:t>
      </w:r>
    </w:p>
    <w:p w:rsidR="00BA4A3A" w:rsidRDefault="00BA4A3A" w:rsidP="00C62744">
      <w:pPr>
        <w:ind w:left="851"/>
      </w:pPr>
      <w:r w:rsidRPr="00F4587C">
        <w:t xml:space="preserve">The Government’s objective is for the </w:t>
      </w:r>
      <w:r>
        <w:t xml:space="preserve">SOE </w:t>
      </w:r>
      <w:r w:rsidRPr="00F4587C">
        <w:t>Framework to promote greater efficiency and effectiveness in the administration and enforcement of regulation</w:t>
      </w:r>
      <w:r>
        <w:t xml:space="preserve">. SOEs should establish clear expectations of regulator performance and improvement between responsible Ministers and regulators to improve regulator outcomes and reduce costs on regulated parties. </w:t>
      </w:r>
    </w:p>
    <w:p w:rsidR="0033558E" w:rsidRPr="00EB2754" w:rsidRDefault="00BA4A3A">
      <w:pPr>
        <w:ind w:left="851"/>
      </w:pPr>
      <w:r w:rsidRPr="005E16A1">
        <w:t xml:space="preserve">The </w:t>
      </w:r>
      <w:r w:rsidR="00653993" w:rsidRPr="005E16A1">
        <w:t>evaluation requirement is consistent with the Victorian Government’s commitment to better regulation and a culture of continuous improvement.</w:t>
      </w:r>
      <w:r w:rsidR="00653993">
        <w:t xml:space="preserve"> </w:t>
      </w:r>
      <w:r w:rsidR="0026152E">
        <w:t>The requirement also meets the Victorian Auditor</w:t>
      </w:r>
      <w:r w:rsidR="009A251A">
        <w:t>-</w:t>
      </w:r>
      <w:r w:rsidR="0026152E">
        <w:t>General’s recommendation that the Department of Treasury and Finance</w:t>
      </w:r>
      <w:r w:rsidR="00841DCF">
        <w:t xml:space="preserve"> (DTF)</w:t>
      </w:r>
      <w:r w:rsidR="0026152E">
        <w:t xml:space="preserve"> develop appropriate evaluation frameworks for regulatory reform programs before they are implemented</w:t>
      </w:r>
      <w:r w:rsidR="009A251A">
        <w:t>, which</w:t>
      </w:r>
      <w:r w:rsidR="0026152E">
        <w:t xml:space="preserve"> clearly describe how performance will be assessed and who is responsible for doing this.</w:t>
      </w:r>
      <w:r w:rsidR="0026152E">
        <w:rPr>
          <w:rStyle w:val="FootnoteReference"/>
        </w:rPr>
        <w:footnoteReference w:id="1"/>
      </w:r>
      <w:r w:rsidR="0026152E">
        <w:t xml:space="preserve"> </w:t>
      </w:r>
      <w:r w:rsidR="00653993">
        <w:t xml:space="preserve">Within the context of the SOE Framework, evaluations will </w:t>
      </w:r>
      <w:r w:rsidR="009A251A">
        <w:t xml:space="preserve">help </w:t>
      </w:r>
      <w:r w:rsidR="00653993">
        <w:t>improv</w:t>
      </w:r>
      <w:r w:rsidR="009A251A">
        <w:t>e</w:t>
      </w:r>
      <w:r w:rsidR="00653993">
        <w:t xml:space="preserve"> </w:t>
      </w:r>
      <w:r w:rsidR="00473666">
        <w:t xml:space="preserve">the </w:t>
      </w:r>
      <w:r w:rsidR="009D3B43">
        <w:t xml:space="preserve">SOE process, the </w:t>
      </w:r>
      <w:r w:rsidR="00140361">
        <w:t>quality of SOEs</w:t>
      </w:r>
      <w:r w:rsidR="009D3B43">
        <w:t xml:space="preserve"> and the influence of the SOE Framework</w:t>
      </w:r>
      <w:r w:rsidR="0033558E">
        <w:t xml:space="preserve">. As such, evaluations should be completed in time for their findings to </w:t>
      </w:r>
      <w:r w:rsidR="009A251A">
        <w:t>inform</w:t>
      </w:r>
      <w:r w:rsidR="0033558E">
        <w:t xml:space="preserve"> the development of the regulator’s next SOE.</w:t>
      </w:r>
    </w:p>
    <w:p w:rsidR="00EB2754" w:rsidRDefault="00653993">
      <w:pPr>
        <w:ind w:left="851"/>
      </w:pPr>
      <w:r>
        <w:t xml:space="preserve">Evaluation is more than just measuring whether stated improvements and targets have been delivered. </w:t>
      </w:r>
      <w:r w:rsidR="00140361">
        <w:t xml:space="preserve">Evaluations will </w:t>
      </w:r>
      <w:r w:rsidR="009A251A">
        <w:t xml:space="preserve">enhance </w:t>
      </w:r>
      <w:r w:rsidR="00140361">
        <w:t>the process for selecting improvements and targets</w:t>
      </w:r>
      <w:r w:rsidR="009A251A">
        <w:t>,</w:t>
      </w:r>
      <w:r w:rsidR="00140361">
        <w:t xml:space="preserve"> and</w:t>
      </w:r>
      <w:r w:rsidR="00473666">
        <w:t xml:space="preserve"> improve our understanding of regulatory practices and how efficient and effective different approaches are in achieving defined outcomes.</w:t>
      </w:r>
      <w:r w:rsidR="002B5BE4">
        <w:t xml:space="preserve"> This will support the SOE </w:t>
      </w:r>
      <w:r w:rsidR="009A251A">
        <w:t>F</w:t>
      </w:r>
      <w:r w:rsidR="002B5BE4">
        <w:t xml:space="preserve">ramework </w:t>
      </w:r>
      <w:r w:rsidR="009A251A">
        <w:t xml:space="preserve">outcome, which </w:t>
      </w:r>
      <w:r w:rsidR="002B5BE4">
        <w:t>regulators</w:t>
      </w:r>
      <w:r w:rsidR="009A251A">
        <w:t xml:space="preserve"> use to</w:t>
      </w:r>
      <w:r w:rsidR="002B5BE4">
        <w:t xml:space="preserve"> learn from each other to better understand and implement best practice.</w:t>
      </w:r>
    </w:p>
    <w:p w:rsidR="00C60EE1" w:rsidRDefault="00C60EE1" w:rsidP="002C769D">
      <w:pPr>
        <w:pStyle w:val="Heading1numbered"/>
        <w:tabs>
          <w:tab w:val="clear" w:pos="792"/>
          <w:tab w:val="num" w:pos="851"/>
        </w:tabs>
        <w:ind w:left="851" w:hanging="851"/>
      </w:pPr>
      <w:bookmarkStart w:id="2" w:name="_Toc503969029"/>
      <w:r>
        <w:t>Overview of the SOE Framework including evaluation requirements</w:t>
      </w:r>
      <w:bookmarkEnd w:id="2"/>
    </w:p>
    <w:p w:rsidR="00C60EE1" w:rsidRPr="00790B79" w:rsidRDefault="00C60EE1" w:rsidP="00C60EE1">
      <w:pPr>
        <w:pStyle w:val="Heading2numbered"/>
      </w:pPr>
      <w:bookmarkStart w:id="3" w:name="_Toc503969030"/>
      <w:r>
        <w:t xml:space="preserve">Snapshot of the </w:t>
      </w:r>
      <w:r w:rsidRPr="00790B79">
        <w:t>SOE Framework</w:t>
      </w:r>
      <w:bookmarkEnd w:id="3"/>
    </w:p>
    <w:p w:rsidR="00C60EE1" w:rsidRDefault="00C60EE1" w:rsidP="004B1C4F">
      <w:pPr>
        <w:pStyle w:val="NormalIndent"/>
      </w:pPr>
      <w:r>
        <w:t>The SOE Framework seeks to i</w:t>
      </w:r>
      <w:r w:rsidRPr="00790B79">
        <w:t xml:space="preserve">mprove regulator performance </w:t>
      </w:r>
      <w:r w:rsidR="00240AC7">
        <w:t>by</w:t>
      </w:r>
      <w:r w:rsidR="00240AC7" w:rsidRPr="00790B79">
        <w:t xml:space="preserve"> </w:t>
      </w:r>
      <w:r w:rsidRPr="00790B79">
        <w:t>promoting greater efficiency and effectiveness in the administration and enforcement of regulation to deliver better economic and social outcomes for Victoria.</w:t>
      </w:r>
    </w:p>
    <w:p w:rsidR="001B7205" w:rsidRDefault="001B7205" w:rsidP="004B1C4F">
      <w:pPr>
        <w:pStyle w:val="NormalIndent"/>
      </w:pPr>
    </w:p>
    <w:p w:rsidR="001B7205" w:rsidRPr="00790B79" w:rsidRDefault="001B7205" w:rsidP="004B1C4F">
      <w:pPr>
        <w:pStyle w:val="NormalIndent"/>
      </w:pPr>
    </w:p>
    <w:p w:rsidR="00C60EE1" w:rsidRPr="00790B79" w:rsidRDefault="00391BFE" w:rsidP="002F478B">
      <w:pPr>
        <w:ind w:left="851"/>
        <w:rPr>
          <w:rFonts w:asciiTheme="majorHAnsi" w:hAnsiTheme="majorHAnsi"/>
          <w:b/>
          <w:color w:val="0063A6" w:themeColor="accent1"/>
        </w:rPr>
      </w:pPr>
      <w:r>
        <w:rPr>
          <w:rFonts w:asciiTheme="majorHAnsi" w:hAnsiTheme="majorHAnsi"/>
          <w:b/>
          <w:color w:val="0063A6" w:themeColor="accent1"/>
        </w:rPr>
        <w:lastRenderedPageBreak/>
        <w:t>The SOE Framework has</w:t>
      </w:r>
      <w:r w:rsidR="00C60EE1" w:rsidRPr="00790B79">
        <w:rPr>
          <w:rFonts w:asciiTheme="majorHAnsi" w:hAnsiTheme="majorHAnsi"/>
          <w:b/>
          <w:color w:val="0063A6" w:themeColor="accent1"/>
        </w:rPr>
        <w:t xml:space="preserve"> nine elements of good regulatory practice </w:t>
      </w:r>
    </w:p>
    <w:tbl>
      <w:tblPr>
        <w:tblStyle w:val="DTFtexttableindent"/>
        <w:tblW w:w="0" w:type="auto"/>
        <w:tblLook w:val="0620" w:firstRow="1" w:lastRow="0" w:firstColumn="0" w:lastColumn="0" w:noHBand="1" w:noVBand="1"/>
      </w:tblPr>
      <w:tblGrid>
        <w:gridCol w:w="4139"/>
        <w:gridCol w:w="4139"/>
      </w:tblGrid>
      <w:tr w:rsidR="002F478B" w:rsidRPr="00790B79" w:rsidTr="004B1C4F">
        <w:trPr>
          <w:cnfStyle w:val="100000000000" w:firstRow="1" w:lastRow="0" w:firstColumn="0" w:lastColumn="0" w:oddVBand="0" w:evenVBand="0" w:oddHBand="0" w:evenHBand="0" w:firstRowFirstColumn="0" w:firstRowLastColumn="0" w:lastRowFirstColumn="0" w:lastRowLastColumn="0"/>
        </w:trPr>
        <w:tc>
          <w:tcPr>
            <w:tcW w:w="4139" w:type="dxa"/>
          </w:tcPr>
          <w:p w:rsidR="00C60EE1" w:rsidRPr="00790B79" w:rsidRDefault="00C60EE1" w:rsidP="002C769D">
            <w:pPr>
              <w:rPr>
                <w:rFonts w:asciiTheme="majorHAnsi" w:hAnsiTheme="majorHAnsi"/>
                <w:b w:val="0"/>
              </w:rPr>
            </w:pPr>
            <w:r w:rsidRPr="00790B79">
              <w:rPr>
                <w:rFonts w:asciiTheme="majorHAnsi" w:hAnsiTheme="majorHAnsi"/>
              </w:rPr>
              <w:t>Performance objectives</w:t>
            </w:r>
          </w:p>
        </w:tc>
        <w:tc>
          <w:tcPr>
            <w:tcW w:w="4139" w:type="dxa"/>
          </w:tcPr>
          <w:p w:rsidR="00C60EE1" w:rsidRPr="00790B79" w:rsidRDefault="00C60EE1" w:rsidP="002C769D">
            <w:pPr>
              <w:rPr>
                <w:rFonts w:asciiTheme="majorHAnsi" w:hAnsiTheme="majorHAnsi"/>
                <w:b w:val="0"/>
              </w:rPr>
            </w:pPr>
            <w:r w:rsidRPr="00790B79">
              <w:rPr>
                <w:rFonts w:asciiTheme="majorHAnsi" w:hAnsiTheme="majorHAnsi"/>
              </w:rPr>
              <w:t>Governance objectives</w:t>
            </w:r>
          </w:p>
        </w:tc>
      </w:tr>
      <w:tr w:rsidR="002F478B" w:rsidRPr="00790B79" w:rsidTr="004B1C4F">
        <w:tc>
          <w:tcPr>
            <w:tcW w:w="4139" w:type="dxa"/>
          </w:tcPr>
          <w:p w:rsidR="00C60EE1" w:rsidRPr="00790B79" w:rsidRDefault="00C60EE1" w:rsidP="002C769D">
            <w:pPr>
              <w:rPr>
                <w:rFonts w:asciiTheme="majorHAnsi" w:hAnsiTheme="majorHAnsi"/>
              </w:rPr>
            </w:pPr>
            <w:r w:rsidRPr="00790B79">
              <w:rPr>
                <w:rFonts w:asciiTheme="majorHAnsi" w:hAnsiTheme="majorHAnsi"/>
              </w:rPr>
              <w:t>Timeliness</w:t>
            </w:r>
          </w:p>
        </w:tc>
        <w:tc>
          <w:tcPr>
            <w:tcW w:w="4139" w:type="dxa"/>
          </w:tcPr>
          <w:p w:rsidR="00C60EE1" w:rsidRPr="00790B79" w:rsidRDefault="00C60EE1" w:rsidP="002C769D">
            <w:pPr>
              <w:rPr>
                <w:rFonts w:asciiTheme="majorHAnsi" w:hAnsiTheme="majorHAnsi"/>
              </w:rPr>
            </w:pPr>
            <w:r w:rsidRPr="00790B79">
              <w:rPr>
                <w:rFonts w:asciiTheme="majorHAnsi" w:hAnsiTheme="majorHAnsi"/>
              </w:rPr>
              <w:t>Role clarity</w:t>
            </w:r>
          </w:p>
        </w:tc>
      </w:tr>
      <w:tr w:rsidR="002F478B" w:rsidRPr="00790B79" w:rsidTr="004B1C4F">
        <w:tc>
          <w:tcPr>
            <w:tcW w:w="4139" w:type="dxa"/>
          </w:tcPr>
          <w:p w:rsidR="00C60EE1" w:rsidRPr="00790B79" w:rsidRDefault="00C60EE1" w:rsidP="002C769D">
            <w:pPr>
              <w:rPr>
                <w:rFonts w:asciiTheme="majorHAnsi" w:hAnsiTheme="majorHAnsi"/>
              </w:rPr>
            </w:pPr>
            <w:r w:rsidRPr="00790B79">
              <w:rPr>
                <w:rFonts w:asciiTheme="majorHAnsi" w:hAnsiTheme="majorHAnsi"/>
              </w:rPr>
              <w:t>Risk-based strategies</w:t>
            </w:r>
          </w:p>
        </w:tc>
        <w:tc>
          <w:tcPr>
            <w:tcW w:w="4139" w:type="dxa"/>
          </w:tcPr>
          <w:p w:rsidR="00C60EE1" w:rsidRPr="00790B79" w:rsidRDefault="00C60EE1" w:rsidP="002C769D">
            <w:pPr>
              <w:rPr>
                <w:rFonts w:asciiTheme="majorHAnsi" w:hAnsiTheme="majorHAnsi"/>
              </w:rPr>
            </w:pPr>
            <w:r w:rsidRPr="00790B79">
              <w:rPr>
                <w:rFonts w:asciiTheme="majorHAnsi" w:hAnsiTheme="majorHAnsi"/>
              </w:rPr>
              <w:t>Cooperation among regulators</w:t>
            </w:r>
          </w:p>
        </w:tc>
      </w:tr>
      <w:tr w:rsidR="002F478B" w:rsidRPr="00790B79" w:rsidTr="004B1C4F">
        <w:tc>
          <w:tcPr>
            <w:tcW w:w="4139" w:type="dxa"/>
          </w:tcPr>
          <w:p w:rsidR="00C60EE1" w:rsidRPr="00790B79" w:rsidRDefault="00C60EE1" w:rsidP="002C769D">
            <w:pPr>
              <w:rPr>
                <w:rFonts w:asciiTheme="majorHAnsi" w:hAnsiTheme="majorHAnsi"/>
              </w:rPr>
            </w:pPr>
            <w:r w:rsidRPr="00790B79">
              <w:rPr>
                <w:rFonts w:asciiTheme="majorHAnsi" w:hAnsiTheme="majorHAnsi"/>
              </w:rPr>
              <w:t>Compliance</w:t>
            </w:r>
            <w:r w:rsidR="00240AC7">
              <w:rPr>
                <w:rFonts w:asciiTheme="majorHAnsi" w:hAnsiTheme="majorHAnsi"/>
              </w:rPr>
              <w:t>-</w:t>
            </w:r>
            <w:r w:rsidRPr="00790B79">
              <w:rPr>
                <w:rFonts w:asciiTheme="majorHAnsi" w:hAnsiTheme="majorHAnsi"/>
              </w:rPr>
              <w:t>related assistance and advice</w:t>
            </w:r>
          </w:p>
        </w:tc>
        <w:tc>
          <w:tcPr>
            <w:tcW w:w="4139" w:type="dxa"/>
          </w:tcPr>
          <w:p w:rsidR="00C60EE1" w:rsidRPr="00790B79" w:rsidRDefault="00C60EE1" w:rsidP="002C769D">
            <w:pPr>
              <w:rPr>
                <w:rFonts w:asciiTheme="majorHAnsi" w:hAnsiTheme="majorHAnsi"/>
              </w:rPr>
            </w:pPr>
            <w:r w:rsidRPr="00790B79">
              <w:rPr>
                <w:rFonts w:asciiTheme="majorHAnsi" w:hAnsiTheme="majorHAnsi"/>
              </w:rPr>
              <w:t>Stakeholder consultation and engagement</w:t>
            </w:r>
          </w:p>
        </w:tc>
      </w:tr>
      <w:tr w:rsidR="002F478B" w:rsidRPr="00790B79" w:rsidTr="004B1C4F">
        <w:tc>
          <w:tcPr>
            <w:tcW w:w="4139" w:type="dxa"/>
          </w:tcPr>
          <w:p w:rsidR="00C60EE1" w:rsidRPr="00790B79" w:rsidRDefault="00C60EE1" w:rsidP="002C769D">
            <w:pPr>
              <w:rPr>
                <w:rFonts w:asciiTheme="majorHAnsi" w:hAnsiTheme="majorHAnsi"/>
              </w:rPr>
            </w:pPr>
            <w:r w:rsidRPr="00790B79">
              <w:rPr>
                <w:rFonts w:asciiTheme="majorHAnsi" w:hAnsiTheme="majorHAnsi"/>
              </w:rPr>
              <w:t>Incentive-based regulation</w:t>
            </w:r>
          </w:p>
        </w:tc>
        <w:tc>
          <w:tcPr>
            <w:tcW w:w="4139" w:type="dxa"/>
          </w:tcPr>
          <w:p w:rsidR="00C60EE1" w:rsidRPr="00790B79" w:rsidRDefault="00C60EE1" w:rsidP="002C769D">
            <w:pPr>
              <w:rPr>
                <w:rFonts w:asciiTheme="majorHAnsi" w:hAnsiTheme="majorHAnsi"/>
              </w:rPr>
            </w:pPr>
            <w:r w:rsidRPr="00790B79">
              <w:rPr>
                <w:rFonts w:asciiTheme="majorHAnsi" w:hAnsiTheme="majorHAnsi"/>
              </w:rPr>
              <w:t>Accountability and transparency</w:t>
            </w:r>
          </w:p>
        </w:tc>
      </w:tr>
      <w:tr w:rsidR="002F478B" w:rsidRPr="00790B79" w:rsidTr="004B1C4F">
        <w:tc>
          <w:tcPr>
            <w:tcW w:w="4139" w:type="dxa"/>
          </w:tcPr>
          <w:p w:rsidR="00C60EE1" w:rsidRPr="00790B79" w:rsidRDefault="00C60EE1" w:rsidP="002C769D">
            <w:pPr>
              <w:rPr>
                <w:rFonts w:asciiTheme="majorHAnsi" w:hAnsiTheme="majorHAnsi"/>
              </w:rPr>
            </w:pPr>
            <w:r w:rsidRPr="00790B79">
              <w:rPr>
                <w:rFonts w:asciiTheme="majorHAnsi" w:hAnsiTheme="majorHAnsi"/>
              </w:rPr>
              <w:t>Clear and consistent regulatory activities</w:t>
            </w:r>
          </w:p>
        </w:tc>
        <w:tc>
          <w:tcPr>
            <w:tcW w:w="4139" w:type="dxa"/>
          </w:tcPr>
          <w:p w:rsidR="00C60EE1" w:rsidRPr="00790B79" w:rsidRDefault="00C60EE1" w:rsidP="002C769D">
            <w:pPr>
              <w:rPr>
                <w:rFonts w:asciiTheme="majorHAnsi" w:hAnsiTheme="majorHAnsi"/>
              </w:rPr>
            </w:pPr>
          </w:p>
        </w:tc>
      </w:tr>
    </w:tbl>
    <w:p w:rsidR="0026152E" w:rsidRDefault="0026152E" w:rsidP="00805015">
      <w:pPr>
        <w:pStyle w:val="NormalIndent"/>
      </w:pPr>
    </w:p>
    <w:p w:rsidR="00C60EE1" w:rsidRPr="00805015" w:rsidRDefault="00391BFE" w:rsidP="00805015">
      <w:pPr>
        <w:pStyle w:val="NormalIndent"/>
        <w:rPr>
          <w:b/>
        </w:rPr>
      </w:pPr>
      <w:r>
        <w:rPr>
          <w:b/>
          <w:color w:val="0063A6" w:themeColor="accent1"/>
        </w:rPr>
        <w:t>Focus on these nine elements i</w:t>
      </w:r>
      <w:r w:rsidR="00C60EE1" w:rsidRPr="00805015">
        <w:rPr>
          <w:b/>
          <w:color w:val="0063A6" w:themeColor="accent1"/>
        </w:rPr>
        <w:t>n order to:</w:t>
      </w:r>
    </w:p>
    <w:p w:rsidR="00C60EE1" w:rsidRPr="00AB3582" w:rsidRDefault="00805015" w:rsidP="004B1C4F">
      <w:pPr>
        <w:pStyle w:val="Bulletindent"/>
      </w:pPr>
      <w:r w:rsidRPr="00AB3582">
        <w:t xml:space="preserve">improve </w:t>
      </w:r>
      <w:r w:rsidR="00C60EE1" w:rsidRPr="00AB3582">
        <w:t>regulator performance</w:t>
      </w:r>
      <w:r>
        <w:t>;</w:t>
      </w:r>
    </w:p>
    <w:p w:rsidR="00C60EE1" w:rsidRPr="00AB3582" w:rsidRDefault="00805015" w:rsidP="004B1C4F">
      <w:pPr>
        <w:pStyle w:val="Bulletindent"/>
      </w:pPr>
      <w:r w:rsidRPr="00AB3582">
        <w:t xml:space="preserve">improve </w:t>
      </w:r>
      <w:r w:rsidR="00C60EE1" w:rsidRPr="00AB3582">
        <w:t>regulator outcomes</w:t>
      </w:r>
      <w:r>
        <w:t>; and</w:t>
      </w:r>
    </w:p>
    <w:p w:rsidR="00C60EE1" w:rsidRPr="00AB3582" w:rsidRDefault="00805015" w:rsidP="004B1C4F">
      <w:pPr>
        <w:pStyle w:val="Bulletindent"/>
      </w:pPr>
      <w:r w:rsidRPr="00AB3582">
        <w:t xml:space="preserve">reduce </w:t>
      </w:r>
      <w:r w:rsidR="00C60EE1" w:rsidRPr="00AB3582">
        <w:t>costs on regulated parties</w:t>
      </w:r>
      <w:r>
        <w:t>.</w:t>
      </w:r>
    </w:p>
    <w:p w:rsidR="00C60EE1" w:rsidRDefault="0026152E" w:rsidP="004B1C4F">
      <w:pPr>
        <w:pStyle w:val="NormalIndent"/>
      </w:pPr>
      <w:r>
        <w:t xml:space="preserve">The diagram </w:t>
      </w:r>
      <w:r w:rsidR="00240AC7">
        <w:t xml:space="preserve">on page 3 </w:t>
      </w:r>
      <w:r>
        <w:t xml:space="preserve">illustrates the hierarchy of the mandatory, recommended and suggested elements of good regulatory practice. </w:t>
      </w:r>
      <w:r w:rsidR="00D971C2">
        <w:t>SOEs must include improvements and targets for the three mandatory elements of good regulatory practice as well as two to seven additional improvements and targets</w:t>
      </w:r>
      <w:r w:rsidR="00240AC7">
        <w:t>,</w:t>
      </w:r>
      <w:r w:rsidR="00D971C2">
        <w:t xml:space="preserve"> depending on the size of the regulator</w:t>
      </w:r>
      <w:r w:rsidR="00240AC7">
        <w:t>.</w:t>
      </w:r>
      <w:r w:rsidR="00D971C2">
        <w:t xml:space="preserve"> (</w:t>
      </w:r>
      <w:r w:rsidR="00240AC7">
        <w:t>I</w:t>
      </w:r>
      <w:r w:rsidR="00D971C2">
        <w:t>t is recommended incentive-based regulation be included as one of these targets</w:t>
      </w:r>
      <w:r w:rsidR="00240AC7">
        <w:t>.</w:t>
      </w:r>
      <w:r w:rsidR="00D971C2">
        <w:t>)</w:t>
      </w:r>
      <w:r>
        <w:t xml:space="preserve"> </w:t>
      </w:r>
    </w:p>
    <w:p w:rsidR="0068430D" w:rsidRDefault="0068430D" w:rsidP="00A54DDA">
      <w:pPr>
        <w:rPr>
          <w:rFonts w:eastAsiaTheme="majorEastAsia"/>
        </w:rPr>
      </w:pPr>
    </w:p>
    <w:p w:rsidR="00EB2A43" w:rsidRDefault="00EB2A43" w:rsidP="00A54DDA">
      <w:pPr>
        <w:rPr>
          <w:rFonts w:eastAsiaTheme="majorEastAsia"/>
        </w:rPr>
      </w:pPr>
    </w:p>
    <w:p w:rsidR="00EB2A43" w:rsidRDefault="00EC6EF0" w:rsidP="00A54DDA">
      <w:pPr>
        <w:rPr>
          <w:rFonts w:eastAsiaTheme="majorEastAsia"/>
        </w:rPr>
      </w:pPr>
      <w:r>
        <w:object w:dxaOrig="8254" w:dyaOrig="9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461.2pt" o:ole="">
            <v:imagedata r:id="rId25" o:title=""/>
          </v:shape>
          <o:OLEObject Type="Embed" ProgID="Visio.Drawing.11" ShapeID="_x0000_i1025" DrawAspect="Content" ObjectID="_1580124671" r:id="rId26"/>
        </w:object>
      </w:r>
    </w:p>
    <w:p w:rsidR="00A54DDA" w:rsidRDefault="00A54DDA" w:rsidP="00A54DDA">
      <w:pPr>
        <w:rPr>
          <w:rFonts w:eastAsiaTheme="majorEastAsia"/>
        </w:rPr>
      </w:pPr>
    </w:p>
    <w:p w:rsidR="00F72766" w:rsidRDefault="00F72766" w:rsidP="00632F2E"/>
    <w:p w:rsidR="00F72766" w:rsidRDefault="00F72766" w:rsidP="00632F2E">
      <w:pPr>
        <w:sectPr w:rsidR="00F72766" w:rsidSect="00841617">
          <w:headerReference w:type="even" r:id="rId27"/>
          <w:headerReference w:type="default" r:id="rId28"/>
          <w:footerReference w:type="even" r:id="rId29"/>
          <w:footerReference w:type="default" r:id="rId30"/>
          <w:type w:val="oddPage"/>
          <w:pgSz w:w="11906" w:h="16838" w:code="9"/>
          <w:pgMar w:top="2160" w:right="1440" w:bottom="1980" w:left="1440" w:header="706" w:footer="461" w:gutter="0"/>
          <w:pgNumType w:start="1"/>
          <w:cols w:space="708"/>
          <w:docGrid w:linePitch="360"/>
        </w:sectPr>
      </w:pPr>
    </w:p>
    <w:p w:rsidR="00D3647A" w:rsidRDefault="00D3647A" w:rsidP="00D3647A">
      <w:pPr>
        <w:pStyle w:val="Heading2numbered"/>
      </w:pPr>
      <w:bookmarkStart w:id="4" w:name="_Toc503969031"/>
      <w:r>
        <w:lastRenderedPageBreak/>
        <w:t>The SOE process</w:t>
      </w:r>
      <w:bookmarkEnd w:id="4"/>
    </w:p>
    <w:p w:rsidR="00F72766" w:rsidRDefault="00D3647A" w:rsidP="00D3647A">
      <w:pPr>
        <w:pStyle w:val="NormalIndent"/>
      </w:pPr>
      <w:r>
        <w:t>Th</w:t>
      </w:r>
      <w:r w:rsidR="00841DCF">
        <w:t>is</w:t>
      </w:r>
      <w:r>
        <w:t xml:space="preserve"> diagram illustrates the key activities under the SOE Framework, and who is responsible for each part of the process in preparing the mandatory outputs.</w:t>
      </w:r>
    </w:p>
    <w:p w:rsidR="00EB2A43" w:rsidRDefault="00EB2A43" w:rsidP="00D3647A">
      <w:pPr>
        <w:pStyle w:val="NormalIndent"/>
      </w:pPr>
      <w:r>
        <w:object w:dxaOrig="15858" w:dyaOrig="8574">
          <v:shape id="_x0000_i1026" type="#_x0000_t75" style="width:657.5pt;height:355.25pt" o:ole="">
            <v:imagedata r:id="rId31" o:title=""/>
          </v:shape>
          <o:OLEObject Type="Embed" ProgID="Visio.Drawing.11" ShapeID="_x0000_i1026" DrawAspect="Content" ObjectID="_1580124672" r:id="rId32"/>
        </w:object>
      </w:r>
    </w:p>
    <w:p w:rsidR="00F72766" w:rsidRDefault="00F72766" w:rsidP="00632F2E"/>
    <w:p w:rsidR="00F72766" w:rsidRDefault="00F72766" w:rsidP="00632F2E">
      <w:pPr>
        <w:sectPr w:rsidR="00F72766" w:rsidSect="00422DDC">
          <w:headerReference w:type="even" r:id="rId33"/>
          <w:headerReference w:type="default" r:id="rId34"/>
          <w:footerReference w:type="even" r:id="rId35"/>
          <w:footerReference w:type="default" r:id="rId36"/>
          <w:pgSz w:w="16838" w:h="11906" w:orient="landscape" w:code="9"/>
          <w:pgMar w:top="1267" w:right="1440" w:bottom="1354" w:left="1440" w:header="446" w:footer="461" w:gutter="0"/>
          <w:cols w:space="708"/>
          <w:docGrid w:linePitch="360"/>
        </w:sectPr>
      </w:pPr>
    </w:p>
    <w:p w:rsidR="008013B9" w:rsidRDefault="008013B9" w:rsidP="002C769D">
      <w:pPr>
        <w:pStyle w:val="Heading2numbered"/>
      </w:pPr>
      <w:bookmarkStart w:id="5" w:name="_Toc499563692"/>
      <w:bookmarkStart w:id="6" w:name="_Toc499563831"/>
      <w:bookmarkStart w:id="7" w:name="_Toc499563861"/>
      <w:bookmarkStart w:id="8" w:name="_Toc499565747"/>
      <w:bookmarkStart w:id="9" w:name="_Toc499566095"/>
      <w:bookmarkStart w:id="10" w:name="_Toc499575278"/>
      <w:bookmarkStart w:id="11" w:name="_Toc499575339"/>
      <w:bookmarkStart w:id="12" w:name="_Toc503969032"/>
      <w:bookmarkEnd w:id="5"/>
      <w:bookmarkEnd w:id="6"/>
      <w:bookmarkEnd w:id="7"/>
      <w:bookmarkEnd w:id="8"/>
      <w:bookmarkEnd w:id="9"/>
      <w:bookmarkEnd w:id="10"/>
      <w:bookmarkEnd w:id="11"/>
      <w:r>
        <w:lastRenderedPageBreak/>
        <w:t>SOE e</w:t>
      </w:r>
      <w:r w:rsidRPr="00790B79">
        <w:t>valuatio</w:t>
      </w:r>
      <w:r w:rsidR="002F478B">
        <w:t xml:space="preserve">n </w:t>
      </w:r>
      <w:r w:rsidR="0065255F">
        <w:t>requirements</w:t>
      </w:r>
      <w:bookmarkEnd w:id="12"/>
    </w:p>
    <w:p w:rsidR="008013B9" w:rsidRPr="00481760" w:rsidRDefault="008013B9" w:rsidP="004B1C4F">
      <w:pPr>
        <w:pStyle w:val="NormalIndent"/>
      </w:pPr>
      <w:r>
        <w:t xml:space="preserve">The SOE evaluation requirements are intended to </w:t>
      </w:r>
      <w:r w:rsidR="00C60EE1">
        <w:t>ensure an objective review of the SOE Framework</w:t>
      </w:r>
      <w:r w:rsidR="00841DCF">
        <w:t>’s success</w:t>
      </w:r>
      <w:r w:rsidR="00C60EE1">
        <w:t xml:space="preserve"> </w:t>
      </w:r>
      <w:r w:rsidRPr="008013B9">
        <w:t xml:space="preserve">in </w:t>
      </w:r>
      <w:r w:rsidR="00C60EE1">
        <w:t>improving regulator performance</w:t>
      </w:r>
      <w:r w:rsidR="00391BFE">
        <w:t>,</w:t>
      </w:r>
      <w:r w:rsidR="00841DCF">
        <w:t xml:space="preserve"> </w:t>
      </w:r>
      <w:r w:rsidR="00391BFE">
        <w:t>improving</w:t>
      </w:r>
      <w:r w:rsidR="00C60EE1">
        <w:t xml:space="preserve"> regulator </w:t>
      </w:r>
      <w:r w:rsidR="00391BFE">
        <w:t>outcomes and</w:t>
      </w:r>
      <w:r w:rsidR="00C60EE1">
        <w:t xml:space="preserve"> reducing costs </w:t>
      </w:r>
      <w:r w:rsidR="00841DCF">
        <w:t xml:space="preserve">for </w:t>
      </w:r>
      <w:r w:rsidR="00391BFE">
        <w:t>regulated parties.</w:t>
      </w:r>
      <w:r w:rsidR="00C60EE1">
        <w:t xml:space="preserve"> </w:t>
      </w:r>
      <w:r w:rsidR="00391BFE">
        <w:t>The evaluation should recommend</w:t>
      </w:r>
      <w:r w:rsidRPr="008013B9">
        <w:t xml:space="preserve"> appropriate actions</w:t>
      </w:r>
      <w:r w:rsidR="00C60EE1">
        <w:t xml:space="preserve"> for improvement for future SOEs and future iterations of the SOE Framework</w:t>
      </w:r>
      <w:r w:rsidRPr="008013B9">
        <w:t>.</w:t>
      </w:r>
      <w:r w:rsidR="00D71A1E">
        <w:t xml:space="preserve"> </w:t>
      </w:r>
      <w:r w:rsidR="00481760">
        <w:t>The purpose of the SOE evaluation is to identify opportunities for continuous improvement in the SOE process, the quality of SOEs and the SOE Framework.</w:t>
      </w:r>
    </w:p>
    <w:p w:rsidR="008013B9" w:rsidRPr="002F478B" w:rsidRDefault="008013B9" w:rsidP="007C5E63">
      <w:pPr>
        <w:pStyle w:val="Spacer"/>
      </w:pPr>
    </w:p>
    <w:tbl>
      <w:tblPr>
        <w:tblStyle w:val="DTFtexttableindent"/>
        <w:tblW w:w="0" w:type="auto"/>
        <w:tblLook w:val="0620" w:firstRow="1" w:lastRow="0" w:firstColumn="0" w:lastColumn="0" w:noHBand="1" w:noVBand="1"/>
      </w:tblPr>
      <w:tblGrid>
        <w:gridCol w:w="2456"/>
        <w:gridCol w:w="5822"/>
      </w:tblGrid>
      <w:tr w:rsidR="00C60EE1" w:rsidRPr="00C60EE1" w:rsidTr="007C5E63">
        <w:trPr>
          <w:cnfStyle w:val="100000000000" w:firstRow="1" w:lastRow="0" w:firstColumn="0" w:lastColumn="0" w:oddVBand="0" w:evenVBand="0" w:oddHBand="0" w:evenHBand="0" w:firstRowFirstColumn="0" w:firstRowLastColumn="0" w:lastRowFirstColumn="0" w:lastRowLastColumn="0"/>
        </w:trPr>
        <w:tc>
          <w:tcPr>
            <w:tcW w:w="2456" w:type="dxa"/>
          </w:tcPr>
          <w:p w:rsidR="008013B9" w:rsidRPr="002C769D" w:rsidRDefault="008013B9" w:rsidP="007C5E63">
            <w:pPr>
              <w:pStyle w:val="Tableheader"/>
              <w:rPr>
                <w:b w:val="0"/>
              </w:rPr>
            </w:pPr>
            <w:r w:rsidRPr="002C769D">
              <w:t>Type of evaluation</w:t>
            </w:r>
          </w:p>
        </w:tc>
        <w:tc>
          <w:tcPr>
            <w:tcW w:w="5822" w:type="dxa"/>
          </w:tcPr>
          <w:p w:rsidR="008013B9" w:rsidRPr="002C769D" w:rsidRDefault="008013B9" w:rsidP="007C5E63">
            <w:pPr>
              <w:pStyle w:val="Tableheader"/>
              <w:rPr>
                <w:b w:val="0"/>
              </w:rPr>
            </w:pPr>
            <w:r w:rsidRPr="002C769D">
              <w:t>Suggested key evaluation questions</w:t>
            </w:r>
          </w:p>
        </w:tc>
      </w:tr>
      <w:tr w:rsidR="008013B9" w:rsidTr="007C5E63">
        <w:tc>
          <w:tcPr>
            <w:tcW w:w="2456" w:type="dxa"/>
          </w:tcPr>
          <w:p w:rsidR="008013B9" w:rsidRPr="00AB3582" w:rsidRDefault="007F1453" w:rsidP="002F478B">
            <w:pPr>
              <w:rPr>
                <w:rFonts w:asciiTheme="majorHAnsi" w:hAnsiTheme="majorHAnsi"/>
                <w:color w:val="000000" w:themeColor="text1"/>
              </w:rPr>
            </w:pPr>
            <w:r>
              <w:rPr>
                <w:rFonts w:asciiTheme="majorHAnsi" w:hAnsiTheme="majorHAnsi"/>
                <w:color w:val="000000" w:themeColor="text1"/>
              </w:rPr>
              <w:t xml:space="preserve">Process </w:t>
            </w:r>
            <w:r w:rsidR="00841DCF">
              <w:rPr>
                <w:rFonts w:asciiTheme="majorHAnsi" w:hAnsiTheme="majorHAnsi"/>
                <w:color w:val="000000" w:themeColor="text1"/>
              </w:rPr>
              <w:t>e</w:t>
            </w:r>
            <w:r>
              <w:rPr>
                <w:rFonts w:asciiTheme="majorHAnsi" w:hAnsiTheme="majorHAnsi"/>
                <w:color w:val="000000" w:themeColor="text1"/>
              </w:rPr>
              <w:t>valuation</w:t>
            </w:r>
          </w:p>
        </w:tc>
        <w:tc>
          <w:tcPr>
            <w:tcW w:w="5822" w:type="dxa"/>
          </w:tcPr>
          <w:p w:rsidR="007F1453" w:rsidRDefault="007F1453" w:rsidP="002C769D">
            <w:pPr>
              <w:rPr>
                <w:rFonts w:asciiTheme="majorHAnsi" w:hAnsiTheme="majorHAnsi"/>
              </w:rPr>
            </w:pPr>
            <w:r>
              <w:rPr>
                <w:rFonts w:asciiTheme="majorHAnsi" w:hAnsiTheme="majorHAnsi"/>
              </w:rPr>
              <w:t>How appropriate was the process for developing the SOE letter?</w:t>
            </w:r>
          </w:p>
          <w:p w:rsidR="008013B9" w:rsidRPr="00790B79" w:rsidRDefault="007F1453" w:rsidP="002C769D">
            <w:pPr>
              <w:rPr>
                <w:rFonts w:asciiTheme="majorHAnsi" w:hAnsiTheme="majorHAnsi"/>
              </w:rPr>
            </w:pPr>
            <w:r>
              <w:rPr>
                <w:rFonts w:asciiTheme="majorHAnsi" w:hAnsiTheme="majorHAnsi"/>
              </w:rPr>
              <w:t xml:space="preserve">Did the regulator deliver the improvements and targets established in the SOE letter and regulator response on time and on budget? </w:t>
            </w:r>
          </w:p>
        </w:tc>
      </w:tr>
      <w:tr w:rsidR="008013B9" w:rsidTr="007C5E63">
        <w:tc>
          <w:tcPr>
            <w:tcW w:w="2456" w:type="dxa"/>
          </w:tcPr>
          <w:p w:rsidR="008013B9" w:rsidRPr="00AB3582" w:rsidRDefault="007F1453" w:rsidP="002F478B">
            <w:pPr>
              <w:rPr>
                <w:rFonts w:asciiTheme="majorHAnsi" w:hAnsiTheme="majorHAnsi"/>
                <w:color w:val="000000" w:themeColor="text1"/>
              </w:rPr>
            </w:pPr>
            <w:r>
              <w:rPr>
                <w:rFonts w:asciiTheme="majorHAnsi" w:hAnsiTheme="majorHAnsi"/>
                <w:color w:val="000000" w:themeColor="text1"/>
              </w:rPr>
              <w:t xml:space="preserve">Outcome </w:t>
            </w:r>
            <w:r w:rsidR="00841DCF">
              <w:rPr>
                <w:rFonts w:asciiTheme="majorHAnsi" w:hAnsiTheme="majorHAnsi"/>
                <w:color w:val="000000" w:themeColor="text1"/>
              </w:rPr>
              <w:t>e</w:t>
            </w:r>
            <w:r>
              <w:rPr>
                <w:rFonts w:asciiTheme="majorHAnsi" w:hAnsiTheme="majorHAnsi"/>
                <w:color w:val="000000" w:themeColor="text1"/>
              </w:rPr>
              <w:t>valuation</w:t>
            </w:r>
          </w:p>
        </w:tc>
        <w:tc>
          <w:tcPr>
            <w:tcW w:w="5822" w:type="dxa"/>
          </w:tcPr>
          <w:p w:rsidR="008013B9" w:rsidRDefault="008013B9" w:rsidP="002C769D">
            <w:pPr>
              <w:rPr>
                <w:rFonts w:asciiTheme="majorHAnsi" w:hAnsiTheme="majorHAnsi"/>
              </w:rPr>
            </w:pPr>
            <w:r w:rsidRPr="00790B79">
              <w:rPr>
                <w:rFonts w:asciiTheme="majorHAnsi" w:hAnsiTheme="majorHAnsi"/>
              </w:rPr>
              <w:t xml:space="preserve">What </w:t>
            </w:r>
            <w:r w:rsidR="007F1453">
              <w:rPr>
                <w:rFonts w:asciiTheme="majorHAnsi" w:hAnsiTheme="majorHAnsi"/>
              </w:rPr>
              <w:t>difference</w:t>
            </w:r>
            <w:r w:rsidRPr="00790B79">
              <w:rPr>
                <w:rFonts w:asciiTheme="majorHAnsi" w:hAnsiTheme="majorHAnsi"/>
              </w:rPr>
              <w:t xml:space="preserve"> did the SOE </w:t>
            </w:r>
            <w:r w:rsidR="007F1453">
              <w:rPr>
                <w:rFonts w:asciiTheme="majorHAnsi" w:hAnsiTheme="majorHAnsi"/>
              </w:rPr>
              <w:t>make towards achieving greater efficiency and effectiveness in the administration and enforcement of regulation?</w:t>
            </w:r>
          </w:p>
        </w:tc>
      </w:tr>
    </w:tbl>
    <w:p w:rsidR="008013B9" w:rsidRDefault="008013B9" w:rsidP="007C5E63">
      <w:pPr>
        <w:pStyle w:val="Spacer"/>
      </w:pPr>
    </w:p>
    <w:p w:rsidR="008013B9" w:rsidRPr="00790B79" w:rsidRDefault="008013B9" w:rsidP="002C769D">
      <w:pPr>
        <w:ind w:left="851"/>
        <w:rPr>
          <w:rFonts w:asciiTheme="majorHAnsi" w:hAnsiTheme="majorHAnsi"/>
        </w:rPr>
      </w:pPr>
      <w:r w:rsidRPr="00985A78">
        <w:rPr>
          <w:rFonts w:asciiTheme="majorHAnsi" w:hAnsiTheme="majorHAnsi"/>
        </w:rPr>
        <w:t xml:space="preserve">The </w:t>
      </w:r>
      <w:r w:rsidR="00841DCF" w:rsidRPr="00985A78">
        <w:rPr>
          <w:rFonts w:asciiTheme="majorHAnsi" w:hAnsiTheme="majorHAnsi"/>
        </w:rPr>
        <w:t>e</w:t>
      </w:r>
      <w:r w:rsidRPr="00985A78">
        <w:rPr>
          <w:rFonts w:asciiTheme="majorHAnsi" w:hAnsiTheme="majorHAnsi"/>
        </w:rPr>
        <w:t xml:space="preserve">valuation </w:t>
      </w:r>
      <w:r w:rsidR="00A61498" w:rsidRPr="00985A78">
        <w:rPr>
          <w:rFonts w:asciiTheme="majorHAnsi" w:hAnsiTheme="majorHAnsi"/>
        </w:rPr>
        <w:t>r</w:t>
      </w:r>
      <w:r w:rsidRPr="00985A78">
        <w:rPr>
          <w:rFonts w:asciiTheme="majorHAnsi" w:hAnsiTheme="majorHAnsi"/>
        </w:rPr>
        <w:t xml:space="preserve">eport </w:t>
      </w:r>
      <w:r>
        <w:rPr>
          <w:rFonts w:asciiTheme="majorHAnsi" w:hAnsiTheme="majorHAnsi"/>
        </w:rPr>
        <w:t xml:space="preserve">should identify lessons applicable going forward and make recommendations for improvement for future SOEs and the SOE Framework. </w:t>
      </w:r>
    </w:p>
    <w:p w:rsidR="008013B9" w:rsidRPr="00C635A3" w:rsidRDefault="008013B9" w:rsidP="008013B9">
      <w:pPr>
        <w:pStyle w:val="Heading1numbered"/>
        <w:ind w:left="0" w:firstLine="0"/>
      </w:pPr>
      <w:bookmarkStart w:id="13" w:name="_Toc503969033"/>
      <w:r w:rsidRPr="00C635A3">
        <w:t>Evaluation roles and responsibilities</w:t>
      </w:r>
      <w:bookmarkEnd w:id="13"/>
    </w:p>
    <w:p w:rsidR="00AC4C81" w:rsidRPr="00D23CB7" w:rsidRDefault="00C8462C" w:rsidP="00AC4C81">
      <w:pPr>
        <w:pStyle w:val="Heading2numbered"/>
      </w:pPr>
      <w:bookmarkStart w:id="14" w:name="_Toc503969034"/>
      <w:r>
        <w:t>Responsible Ministers, d</w:t>
      </w:r>
      <w:r w:rsidR="00AC4C81">
        <w:t>epartments and regulators</w:t>
      </w:r>
      <w:bookmarkEnd w:id="14"/>
    </w:p>
    <w:p w:rsidR="008013B9" w:rsidRPr="002C769D" w:rsidRDefault="008013B9" w:rsidP="004B1C4F">
      <w:pPr>
        <w:pStyle w:val="NormalIndent"/>
      </w:pPr>
      <w:r w:rsidRPr="002C769D">
        <w:t>As with all steps of the SOE process, there will need to be strong collaboration between departments (on behalf of the responsible Minister) and regulators in planning for and conducting the SOE evaluation.</w:t>
      </w:r>
    </w:p>
    <w:p w:rsidR="008013B9" w:rsidRPr="002C769D" w:rsidRDefault="008013B9" w:rsidP="004B1C4F">
      <w:pPr>
        <w:pStyle w:val="NormalIndent"/>
      </w:pPr>
      <w:r w:rsidRPr="002C769D">
        <w:t>The SOE evaluation plan will be developed by departments in consultation with regulators during the SOE</w:t>
      </w:r>
      <w:r w:rsidR="00841DCF">
        <w:t>’s development</w:t>
      </w:r>
      <w:r w:rsidRPr="002C769D">
        <w:t>.</w:t>
      </w:r>
    </w:p>
    <w:p w:rsidR="008013B9" w:rsidRPr="002C769D" w:rsidRDefault="008013B9" w:rsidP="004B1C4F">
      <w:pPr>
        <w:pStyle w:val="NormalIndent"/>
      </w:pPr>
      <w:r w:rsidRPr="002C769D">
        <w:t>Ministerial endorsement of the SOE evaluation plan is optional.</w:t>
      </w:r>
    </w:p>
    <w:p w:rsidR="008013B9" w:rsidRPr="002C769D" w:rsidRDefault="008013B9" w:rsidP="004B1C4F">
      <w:pPr>
        <w:pStyle w:val="NormalIndent"/>
      </w:pPr>
      <w:r w:rsidRPr="002C769D">
        <w:t>The regulator will be responsible for collecting the data and information required to inform the SOE evaluation. Such requirements should be clearly documented and agreed in the SOE evaluation plan.</w:t>
      </w:r>
    </w:p>
    <w:p w:rsidR="008013B9" w:rsidRPr="002C769D" w:rsidRDefault="008013B9" w:rsidP="004B1C4F">
      <w:pPr>
        <w:pStyle w:val="NormalIndent"/>
      </w:pPr>
      <w:r w:rsidRPr="002C769D">
        <w:t>The department will conduct the SOE evaluation and produce an evaluation report</w:t>
      </w:r>
      <w:r w:rsidR="00C635A3" w:rsidRPr="002C769D">
        <w:t xml:space="preserve"> in consultation with the regulator</w:t>
      </w:r>
      <w:r w:rsidRPr="002C769D">
        <w:t>.</w:t>
      </w:r>
    </w:p>
    <w:p w:rsidR="008013B9" w:rsidRDefault="008013B9" w:rsidP="004B1C4F">
      <w:pPr>
        <w:pStyle w:val="NormalIndent"/>
      </w:pPr>
      <w:r w:rsidRPr="00C635A3">
        <w:t>The department will publish the SOE evaluation report on its website along with a link to</w:t>
      </w:r>
      <w:r>
        <w:t xml:space="preserve"> the SOE and regulator’s response to the SOE</w:t>
      </w:r>
      <w:r w:rsidR="00841DCF">
        <w:t>, which</w:t>
      </w:r>
      <w:r>
        <w:t xml:space="preserve"> will </w:t>
      </w:r>
      <w:r w:rsidR="00A61498">
        <w:t xml:space="preserve">also </w:t>
      </w:r>
      <w:r>
        <w:t>be published on the regulator’s website.</w:t>
      </w:r>
    </w:p>
    <w:p w:rsidR="0033183E" w:rsidRPr="00D23CB7" w:rsidRDefault="0033183E" w:rsidP="0033183E">
      <w:pPr>
        <w:pStyle w:val="Heading2numbered"/>
      </w:pPr>
      <w:bookmarkStart w:id="15" w:name="_Toc503969035"/>
      <w:r>
        <w:lastRenderedPageBreak/>
        <w:t>Review by the Commissioner for Better Regulation</w:t>
      </w:r>
      <w:bookmarkEnd w:id="15"/>
    </w:p>
    <w:p w:rsidR="0033183E" w:rsidRDefault="0033183E" w:rsidP="007C5E63">
      <w:pPr>
        <w:pStyle w:val="NormalIndent"/>
      </w:pPr>
      <w:r>
        <w:t xml:space="preserve">Once evaluation reports have been prepared, the Commissioner for Better Regulation will review each of these evaluation reports. These reviews will focus on the rigour of analysis and presentation of the evaluation (rather than the findings of the evaluation). The Commissioner will identify and highlight the best characteristics of these reports </w:t>
      </w:r>
      <w:r w:rsidR="00C635A3">
        <w:t>as part of the C</w:t>
      </w:r>
      <w:r>
        <w:t xml:space="preserve">ommissioner’s </w:t>
      </w:r>
      <w:r w:rsidR="00C635A3">
        <w:t xml:space="preserve">monthly </w:t>
      </w:r>
      <w:r>
        <w:t>regulator performance improvement forum</w:t>
      </w:r>
      <w:r w:rsidR="00C635A3">
        <w:t>s</w:t>
      </w:r>
      <w:r>
        <w:t>.</w:t>
      </w:r>
      <w:r w:rsidR="00C635A3">
        <w:t xml:space="preserve"> This analysis will also </w:t>
      </w:r>
      <w:r w:rsidR="00841DCF">
        <w:t>inform</w:t>
      </w:r>
      <w:r w:rsidR="00C635A3">
        <w:t xml:space="preserve"> future iterations of the SOE Framework.</w:t>
      </w:r>
    </w:p>
    <w:p w:rsidR="0033183E" w:rsidRDefault="0033183E" w:rsidP="0033183E">
      <w:pPr>
        <w:pStyle w:val="Heading2numbered"/>
      </w:pPr>
      <w:bookmarkStart w:id="16" w:name="_Toc503969036"/>
      <w:r>
        <w:t>DTF review of the SOE Framework</w:t>
      </w:r>
      <w:bookmarkEnd w:id="16"/>
    </w:p>
    <w:p w:rsidR="0033183E" w:rsidRDefault="00841DCF" w:rsidP="004B1C4F">
      <w:pPr>
        <w:pStyle w:val="NormalIndent"/>
      </w:pPr>
      <w:r>
        <w:t>DTF</w:t>
      </w:r>
      <w:r w:rsidR="0033183E" w:rsidRPr="00D23CB7">
        <w:t xml:space="preserve"> will periodically advise the Treasurer on the implementation of the SOE Framework.</w:t>
      </w:r>
      <w:r w:rsidR="0033183E">
        <w:t xml:space="preserve"> Evaluation </w:t>
      </w:r>
      <w:r>
        <w:t>r</w:t>
      </w:r>
      <w:r w:rsidR="0033183E">
        <w:t>eports will provide valuable feedback about the extent to which the SOE Framework is delivering its objectives of promoting greater efficiency and effectiveness in the administration and enforcement of regulation.</w:t>
      </w:r>
    </w:p>
    <w:p w:rsidR="00EB2A43" w:rsidRDefault="00EB2A43" w:rsidP="004B1C4F">
      <w:pPr>
        <w:pStyle w:val="NormalIndent"/>
      </w:pPr>
      <w:r>
        <w:object w:dxaOrig="10001" w:dyaOrig="9234">
          <v:shape id="_x0000_i1027" type="#_x0000_t75" style="width:383.75pt;height:353.9pt" o:ole="">
            <v:imagedata r:id="rId37" o:title=""/>
          </v:shape>
          <o:OLEObject Type="Embed" ProgID="Visio.Drawing.11" ShapeID="_x0000_i1027" DrawAspect="Content" ObjectID="_1580124673" r:id="rId38"/>
        </w:object>
      </w:r>
    </w:p>
    <w:p w:rsidR="0026152E" w:rsidRDefault="0026152E" w:rsidP="00DE5E01">
      <w:pPr>
        <w:pStyle w:val="Listnum"/>
        <w:numPr>
          <w:ilvl w:val="0"/>
          <w:numId w:val="0"/>
        </w:numPr>
        <w:ind w:left="851"/>
      </w:pPr>
    </w:p>
    <w:p w:rsidR="00C635A3" w:rsidRDefault="00C635A3">
      <w:pPr>
        <w:spacing w:before="0" w:after="200"/>
        <w:rPr>
          <w:rFonts w:asciiTheme="majorHAnsi" w:eastAsiaTheme="majorEastAsia" w:hAnsiTheme="majorHAnsi" w:cstheme="majorBidi"/>
          <w:b/>
          <w:bCs/>
          <w:color w:val="201547"/>
          <w:spacing w:val="-1"/>
          <w:sz w:val="36"/>
          <w:szCs w:val="28"/>
        </w:rPr>
      </w:pPr>
      <w:r>
        <w:br w:type="page"/>
      </w:r>
    </w:p>
    <w:p w:rsidR="0033183E" w:rsidRDefault="0033183E" w:rsidP="0033183E">
      <w:pPr>
        <w:pStyle w:val="Heading1numbered"/>
        <w:ind w:left="0" w:firstLine="0"/>
      </w:pPr>
      <w:bookmarkStart w:id="17" w:name="_Toc503969037"/>
      <w:r>
        <w:lastRenderedPageBreak/>
        <w:t xml:space="preserve">Process </w:t>
      </w:r>
      <w:r w:rsidR="009752E7">
        <w:t>f</w:t>
      </w:r>
      <w:r>
        <w:t xml:space="preserve">or </w:t>
      </w:r>
      <w:r w:rsidR="009752E7">
        <w:t>e</w:t>
      </w:r>
      <w:r>
        <w:t>valuations</w:t>
      </w:r>
      <w:bookmarkEnd w:id="17"/>
    </w:p>
    <w:p w:rsidR="0033183E" w:rsidRDefault="0033183E" w:rsidP="004B1C4F">
      <w:pPr>
        <w:pStyle w:val="NormalIndent"/>
      </w:pPr>
      <w:r>
        <w:t xml:space="preserve">To conserve resources, departments are encouraged to integrate the evaluation process into existing </w:t>
      </w:r>
      <w:r w:rsidR="00115FFE">
        <w:t xml:space="preserve">reporting cycles and </w:t>
      </w:r>
      <w:r>
        <w:t xml:space="preserve">processes where this is possible and does not diminish the quality of evaluation reports. </w:t>
      </w:r>
    </w:p>
    <w:p w:rsidR="00115FFE" w:rsidRDefault="00115FFE" w:rsidP="00115FFE">
      <w:pPr>
        <w:pStyle w:val="Heading2numbered"/>
      </w:pPr>
      <w:bookmarkStart w:id="18" w:name="_Toc503969038"/>
      <w:r>
        <w:t>The proportionality principle</w:t>
      </w:r>
      <w:bookmarkEnd w:id="18"/>
    </w:p>
    <w:p w:rsidR="00115FFE" w:rsidRDefault="00115FFE" w:rsidP="00115FFE">
      <w:pPr>
        <w:ind w:left="851"/>
      </w:pPr>
      <w:r>
        <w:t>Evaluations should be kept proportionate so they can be done by VPS staff, without the need for consultants.</w:t>
      </w:r>
    </w:p>
    <w:p w:rsidR="00115FFE" w:rsidRDefault="00115FFE" w:rsidP="004B1C4F">
      <w:pPr>
        <w:pStyle w:val="NormalIndent"/>
      </w:pPr>
      <w:r>
        <w:t>The complexity and depth of analysis contained in the evaluation should be reasonable (evidence-informed and defensible) and proportionate to both the size of the regulator and the scale of regulatory activity. Evaluations should be as comprehensive as possible without imposing significant additional, and potentially costly, extra work.</w:t>
      </w:r>
    </w:p>
    <w:p w:rsidR="00115FFE" w:rsidRDefault="00115FFE" w:rsidP="004B1C4F">
      <w:pPr>
        <w:pStyle w:val="NormalIndent"/>
      </w:pPr>
      <w:r>
        <w:t xml:space="preserve">To ensure proportionality is applied, the following principles should be considered: </w:t>
      </w:r>
    </w:p>
    <w:p w:rsidR="00115FFE" w:rsidRDefault="00115FFE" w:rsidP="00820485">
      <w:pPr>
        <w:pStyle w:val="Bulletindent"/>
      </w:pPr>
      <w:r w:rsidRPr="00125458">
        <w:rPr>
          <w:b/>
        </w:rPr>
        <w:t>Treatment of uncertainty:</w:t>
      </w:r>
      <w:r>
        <w:t xml:space="preserve"> Where sufficient information does not exist, or is too costly to obtain, reasonable assumptions should be made about the data. For example, measurement may rely on proxy data or qualitative analysis. </w:t>
      </w:r>
    </w:p>
    <w:p w:rsidR="00115FFE" w:rsidRDefault="00115FFE" w:rsidP="00820485">
      <w:pPr>
        <w:pStyle w:val="Bulletindent"/>
      </w:pPr>
      <w:r w:rsidRPr="00125458">
        <w:rPr>
          <w:b/>
        </w:rPr>
        <w:t>Transparency of assumptions:</w:t>
      </w:r>
      <w:r>
        <w:t xml:space="preserve"> Any assumptions should be appropriately documented and referenced. This will allow the reader to understand how the regulatory improvement has been achieved. </w:t>
      </w:r>
    </w:p>
    <w:p w:rsidR="00115FFE" w:rsidRDefault="00115FFE" w:rsidP="002C769D">
      <w:pPr>
        <w:spacing w:before="120" w:after="120"/>
        <w:ind w:left="851"/>
      </w:pPr>
      <w:r>
        <w:t>It is important to emphasise that proportionality is a matter of informed judgement.</w:t>
      </w:r>
    </w:p>
    <w:p w:rsidR="0033183E" w:rsidRDefault="0033183E" w:rsidP="0033183E">
      <w:pPr>
        <w:pStyle w:val="Heading2numbered"/>
      </w:pPr>
      <w:bookmarkStart w:id="19" w:name="_Toc503969039"/>
      <w:r>
        <w:t>Suggested timing of evaluations</w:t>
      </w:r>
      <w:bookmarkEnd w:id="19"/>
    </w:p>
    <w:p w:rsidR="00FE61A6" w:rsidRDefault="00FE61A6" w:rsidP="004B1C4F">
      <w:pPr>
        <w:pStyle w:val="NormalIndent"/>
      </w:pPr>
      <w:r>
        <w:t xml:space="preserve">Where possible, the evaluation process should be incorporated into existing reporting cycles and processes. The approach will differ depending on institutional structures and processes that are unique to each department. </w:t>
      </w:r>
    </w:p>
    <w:p w:rsidR="00FE61A6" w:rsidRDefault="00FE61A6" w:rsidP="004B1C4F">
      <w:pPr>
        <w:pStyle w:val="NormalIndent"/>
      </w:pPr>
      <w:r>
        <w:t xml:space="preserve">So evaluations can provide a useful input into subsequent SOEs, it will be important for evaluation reports to be completed in time to feed into the self-assessment process for the next SOE. </w:t>
      </w:r>
      <w:r w:rsidR="0033183E">
        <w:t xml:space="preserve">As a guide, the evaluation process should </w:t>
      </w:r>
      <w:r w:rsidR="00716810">
        <w:t>be completed</w:t>
      </w:r>
      <w:r w:rsidR="0033183E">
        <w:t xml:space="preserve"> six months prior to the end of the SOE</w:t>
      </w:r>
      <w:r w:rsidR="00693809">
        <w:t xml:space="preserve"> s</w:t>
      </w:r>
      <w:r w:rsidR="00D71A1E">
        <w:t>o learnings from the evaluation can feed into the development of subsequent SOEs</w:t>
      </w:r>
      <w:r w:rsidR="00693809">
        <w:t>.</w:t>
      </w:r>
      <w:r w:rsidR="00D71A1E">
        <w:t xml:space="preserve"> For tranche one SOEs </w:t>
      </w:r>
      <w:r w:rsidR="008E2221">
        <w:t xml:space="preserve">that </w:t>
      </w:r>
      <w:r w:rsidR="00D71A1E">
        <w:t>are 18 months long, this will mean there will be limited data to feed into the evaluation. This will be an important consideration for the evaluation plan.</w:t>
      </w:r>
    </w:p>
    <w:tbl>
      <w:tblPr>
        <w:tblStyle w:val="DTFtexttableindent"/>
        <w:tblW w:w="0" w:type="auto"/>
        <w:tblLook w:val="0400" w:firstRow="0" w:lastRow="0" w:firstColumn="0" w:lastColumn="0" w:noHBand="0" w:noVBand="1"/>
      </w:tblPr>
      <w:tblGrid>
        <w:gridCol w:w="2410"/>
        <w:gridCol w:w="5873"/>
      </w:tblGrid>
      <w:tr w:rsidR="00FE61A6" w:rsidTr="000B395F">
        <w:tc>
          <w:tcPr>
            <w:tcW w:w="2410" w:type="dxa"/>
            <w:shd w:val="clear" w:color="auto" w:fill="E3EBF4" w:themeFill="accent3" w:themeFillTint="33"/>
          </w:tcPr>
          <w:p w:rsidR="00FE61A6" w:rsidRPr="000B395F" w:rsidRDefault="00FE61A6" w:rsidP="000B395F">
            <w:pPr>
              <w:pStyle w:val="Tabletext"/>
              <w:spacing w:before="100"/>
              <w:rPr>
                <w:b/>
              </w:rPr>
            </w:pPr>
            <w:r w:rsidRPr="000B395F">
              <w:rPr>
                <w:b/>
              </w:rPr>
              <w:t>Tranche One</w:t>
            </w:r>
          </w:p>
        </w:tc>
        <w:tc>
          <w:tcPr>
            <w:tcW w:w="5873" w:type="dxa"/>
            <w:shd w:val="clear" w:color="auto" w:fill="E3EBF4" w:themeFill="accent3" w:themeFillTint="33"/>
          </w:tcPr>
          <w:p w:rsidR="00FE61A6" w:rsidRPr="000B395F" w:rsidRDefault="00FE61A6" w:rsidP="000B395F">
            <w:pPr>
              <w:pStyle w:val="Tabletext"/>
              <w:spacing w:before="100"/>
              <w:rPr>
                <w:b/>
              </w:rPr>
            </w:pPr>
            <w:r w:rsidRPr="000B395F">
              <w:rPr>
                <w:b/>
              </w:rPr>
              <w:t>SOEs issued for the period 1 January 2018 – 30 June 2019</w:t>
            </w:r>
          </w:p>
          <w:p w:rsidR="00FE61A6" w:rsidRPr="000B395F" w:rsidRDefault="00FE61A6" w:rsidP="000B395F">
            <w:pPr>
              <w:pStyle w:val="Tabletext"/>
              <w:rPr>
                <w:b/>
              </w:rPr>
            </w:pPr>
            <w:r w:rsidRPr="000B395F">
              <w:rPr>
                <w:b/>
              </w:rPr>
              <w:t>As a guide, the evaluation report should be completed by the end of December 2018.</w:t>
            </w:r>
          </w:p>
        </w:tc>
      </w:tr>
      <w:tr w:rsidR="00FE61A6" w:rsidTr="000B395F">
        <w:trPr>
          <w:cnfStyle w:val="000000010000" w:firstRow="0" w:lastRow="0" w:firstColumn="0" w:lastColumn="0" w:oddVBand="0" w:evenVBand="0" w:oddHBand="0" w:evenHBand="1" w:firstRowFirstColumn="0" w:firstRowLastColumn="0" w:lastRowFirstColumn="0" w:lastRowLastColumn="0"/>
        </w:trPr>
        <w:tc>
          <w:tcPr>
            <w:tcW w:w="2410" w:type="dxa"/>
            <w:shd w:val="clear" w:color="auto" w:fill="C7D7E9" w:themeFill="accent3" w:themeFillTint="66"/>
          </w:tcPr>
          <w:p w:rsidR="00FE61A6" w:rsidRPr="000B395F" w:rsidRDefault="00FE61A6" w:rsidP="000B395F">
            <w:pPr>
              <w:pStyle w:val="Tabletext"/>
              <w:spacing w:before="100"/>
              <w:rPr>
                <w:b/>
              </w:rPr>
            </w:pPr>
            <w:r w:rsidRPr="000B395F">
              <w:rPr>
                <w:b/>
              </w:rPr>
              <w:t>Tranche Two</w:t>
            </w:r>
          </w:p>
        </w:tc>
        <w:tc>
          <w:tcPr>
            <w:tcW w:w="5873" w:type="dxa"/>
            <w:shd w:val="clear" w:color="auto" w:fill="C7D7E9" w:themeFill="accent3" w:themeFillTint="66"/>
          </w:tcPr>
          <w:p w:rsidR="00FE61A6" w:rsidRPr="000B395F" w:rsidRDefault="00FE61A6" w:rsidP="000B395F">
            <w:pPr>
              <w:pStyle w:val="Tabletext"/>
              <w:spacing w:before="100"/>
              <w:rPr>
                <w:b/>
              </w:rPr>
            </w:pPr>
            <w:r w:rsidRPr="000B395F">
              <w:rPr>
                <w:b/>
              </w:rPr>
              <w:t>SOEs issued for the period 1 July 2018 – 30 June 2020</w:t>
            </w:r>
          </w:p>
          <w:p w:rsidR="00FE61A6" w:rsidRPr="000B395F" w:rsidRDefault="00FE61A6" w:rsidP="000B395F">
            <w:pPr>
              <w:pStyle w:val="Tabletext"/>
              <w:rPr>
                <w:b/>
              </w:rPr>
            </w:pPr>
            <w:r w:rsidRPr="000B395F">
              <w:rPr>
                <w:b/>
              </w:rPr>
              <w:t>As a guide, the evaluation report should be completed by the end of December 2019.</w:t>
            </w:r>
          </w:p>
        </w:tc>
      </w:tr>
    </w:tbl>
    <w:p w:rsidR="00653993" w:rsidRDefault="00C00620" w:rsidP="002C769D">
      <w:pPr>
        <w:pStyle w:val="Heading2numbered"/>
      </w:pPr>
      <w:bookmarkStart w:id="20" w:name="_Toc499575287"/>
      <w:bookmarkStart w:id="21" w:name="_Toc499575349"/>
      <w:bookmarkStart w:id="22" w:name="_Toc503969040"/>
      <w:bookmarkEnd w:id="20"/>
      <w:bookmarkEnd w:id="21"/>
      <w:r>
        <w:lastRenderedPageBreak/>
        <w:t>The</w:t>
      </w:r>
      <w:r w:rsidR="00FB286F">
        <w:t xml:space="preserve"> evaluation</w:t>
      </w:r>
      <w:r>
        <w:t xml:space="preserve"> plan</w:t>
      </w:r>
      <w:bookmarkEnd w:id="22"/>
    </w:p>
    <w:p w:rsidR="008013B9" w:rsidRDefault="008013B9" w:rsidP="004B1C4F">
      <w:pPr>
        <w:pStyle w:val="NormalIndent"/>
      </w:pPr>
      <w:r>
        <w:t xml:space="preserve">While </w:t>
      </w:r>
      <w:r w:rsidR="008E2221">
        <w:t xml:space="preserve">the </w:t>
      </w:r>
      <w:r>
        <w:t>evaluations are an important new requirement under the SOE framework, it is not intended they absorb a disproportionate amount of time or resourcing. The evaluation should be straightforward, proportionate and timely so there is an opportunity for learnings to be incorporated into future SOEs.</w:t>
      </w:r>
    </w:p>
    <w:p w:rsidR="008013B9" w:rsidRDefault="008013B9" w:rsidP="004B1C4F">
      <w:pPr>
        <w:pStyle w:val="NormalIndent"/>
      </w:pPr>
      <w:r>
        <w:t xml:space="preserve">To avoid the duplication of evaluation efforts, where specific improvements and targets will be subject to evaluation under an alternative evaluation process, they can be exempted from the SOE evaluation process on agreement by the Minister, department and regulator. </w:t>
      </w:r>
    </w:p>
    <w:p w:rsidR="008013B9" w:rsidRDefault="008013B9" w:rsidP="004B1C4F">
      <w:pPr>
        <w:pStyle w:val="NormalIndent"/>
      </w:pPr>
      <w:r>
        <w:t>Where possible, the evaluation should be incorporated into existing processes without diminishing the</w:t>
      </w:r>
      <w:r w:rsidR="008E2221">
        <w:t xml:space="preserve"> report’s</w:t>
      </w:r>
      <w:r>
        <w:t xml:space="preserve"> quality.</w:t>
      </w:r>
      <w:r w:rsidR="00FE61A6">
        <w:t xml:space="preserve"> The approach will differ depending on institutional structures and processes.</w:t>
      </w:r>
    </w:p>
    <w:p w:rsidR="002B5BE4" w:rsidRDefault="002B5BE4" w:rsidP="004B1C4F">
      <w:pPr>
        <w:pStyle w:val="NormalIndent"/>
      </w:pPr>
      <w:r>
        <w:t xml:space="preserve">Given evaluations are intended to be conducted prior to </w:t>
      </w:r>
      <w:r w:rsidR="008E2221">
        <w:t xml:space="preserve">the SOE’s </w:t>
      </w:r>
      <w:r>
        <w:t xml:space="preserve">completion, it is important to identify the </w:t>
      </w:r>
      <w:r w:rsidR="008E2221">
        <w:t xml:space="preserve">relevant </w:t>
      </w:r>
      <w:r>
        <w:t xml:space="preserve">data </w:t>
      </w:r>
      <w:r w:rsidR="00573BAE">
        <w:t xml:space="preserve">and information </w:t>
      </w:r>
      <w:r w:rsidR="008E2221">
        <w:t xml:space="preserve">and when it </w:t>
      </w:r>
      <w:r>
        <w:t xml:space="preserve">will be required to enable a meaningful and timely evaluation. </w:t>
      </w:r>
    </w:p>
    <w:p w:rsidR="00645B1A" w:rsidRDefault="00573BAE" w:rsidP="004B1C4F">
      <w:pPr>
        <w:pStyle w:val="NormalIndent"/>
      </w:pPr>
      <w:r>
        <w:t xml:space="preserve">Planning for the evaluation should occur during the </w:t>
      </w:r>
      <w:r w:rsidR="008E2221">
        <w:t xml:space="preserve">SOE’s </w:t>
      </w:r>
      <w:r>
        <w:t xml:space="preserve">development. This will </w:t>
      </w:r>
      <w:r w:rsidRPr="00EB2754">
        <w:t xml:space="preserve">ensure a fit-for-purpose evaluation </w:t>
      </w:r>
      <w:r w:rsidR="007F1453">
        <w:t>plan</w:t>
      </w:r>
      <w:r w:rsidRPr="00EB2754">
        <w:t xml:space="preserve"> is established concurrently with the SOE.</w:t>
      </w:r>
      <w:r>
        <w:t xml:space="preserve"> </w:t>
      </w:r>
    </w:p>
    <w:p w:rsidR="00573BAE" w:rsidRDefault="00573BAE" w:rsidP="004B1C4F">
      <w:pPr>
        <w:pStyle w:val="NormalIndent"/>
      </w:pPr>
      <w:r>
        <w:t>Evaluation plans should be developed by departments in consultation with regulators so expectations on both parties are transparent.</w:t>
      </w:r>
      <w:r w:rsidR="00645B1A">
        <w:t xml:space="preserve"> There should be agreement between departments and regulators on how the improvements and targets in the SOE can be meaningfully evaluated as part of the evaluation plan. </w:t>
      </w:r>
      <w:r w:rsidR="00645B1A" w:rsidRPr="00645B1A">
        <w:t>Ministerial endorsement of the SOE evaluation plan is optional.</w:t>
      </w:r>
      <w:r w:rsidR="00645B1A">
        <w:t xml:space="preserve"> </w:t>
      </w:r>
    </w:p>
    <w:p w:rsidR="00573BAE" w:rsidRDefault="00573BAE" w:rsidP="004B1C4F">
      <w:pPr>
        <w:pStyle w:val="NormalIndent"/>
      </w:pPr>
      <w:r>
        <w:t xml:space="preserve">The evaluation plan should include the data (quantitative or qualitative) and information </w:t>
      </w:r>
      <w:r w:rsidR="009E181C">
        <w:t>to</w:t>
      </w:r>
      <w:r>
        <w:t xml:space="preserve"> be collected. DTF prefers quantitative data is collected and used where appropriate and possible. W</w:t>
      </w:r>
      <w:r w:rsidRPr="00573BAE">
        <w:t xml:space="preserve">here adequate data does not exist, </w:t>
      </w:r>
      <w:r>
        <w:t xml:space="preserve">the evaluation plan </w:t>
      </w:r>
      <w:r w:rsidRPr="00573BAE">
        <w:t xml:space="preserve">should emphasise data collection </w:t>
      </w:r>
      <w:r>
        <w:t>in order to inform future SOEs. Where improvements and targets cannot be quantified by data, qualitative data should be collected to provide the evidence base.</w:t>
      </w:r>
      <w:r w:rsidR="00645B1A">
        <w:t xml:space="preserve"> Some SOEs may contain longer-term objectives that will not be completed within the duration of the SOE and this should be taken into account during the evaluation plan</w:t>
      </w:r>
      <w:r w:rsidR="00A052EB">
        <w:t>’s preparation</w:t>
      </w:r>
      <w:r w:rsidR="00645B1A">
        <w:t>.</w:t>
      </w:r>
      <w:r w:rsidR="00FE61A6">
        <w:t xml:space="preserve"> It is expected the evidence base available for each SOE will be different and unique to each regulator.</w:t>
      </w:r>
    </w:p>
    <w:p w:rsidR="00AC4C81" w:rsidRDefault="00AC4C81" w:rsidP="004B1C4F">
      <w:pPr>
        <w:pStyle w:val="NormalIndent"/>
      </w:pPr>
      <w:r>
        <w:t>SOEs provide</w:t>
      </w:r>
      <w:r w:rsidRPr="00AC4C81">
        <w:t xml:space="preserve"> greater transparency for regulated parties and stakeholders about regulator performance. For this reason, where possible, stakeholder consultation may provide an important input into the selection of SOE improvements and targets</w:t>
      </w:r>
      <w:r w:rsidR="00AE7DEA">
        <w:t>,</w:t>
      </w:r>
      <w:r w:rsidRPr="00AC4C81">
        <w:t xml:space="preserve"> and the evaluation of their achievement.</w:t>
      </w:r>
    </w:p>
    <w:p w:rsidR="00C3036B" w:rsidRPr="00C62105" w:rsidRDefault="00573BAE" w:rsidP="004B1C4F">
      <w:pPr>
        <w:pStyle w:val="NormalIndent"/>
      </w:pPr>
      <w:r>
        <w:t>There are two components to the evaluation. The first</w:t>
      </w:r>
      <w:r w:rsidR="002F0D5B">
        <w:t xml:space="preserve"> component</w:t>
      </w:r>
      <w:r>
        <w:t xml:space="preserve"> is a process evaluation of the approach used to develop the SOE. </w:t>
      </w:r>
      <w:r w:rsidR="00C3036B">
        <w:t xml:space="preserve">This part of the SOE evaluation should focus on the process for the </w:t>
      </w:r>
      <w:r w:rsidR="00AE7DEA">
        <w:t xml:space="preserve">SOE’s </w:t>
      </w:r>
      <w:r w:rsidR="00C3036B">
        <w:t xml:space="preserve">development. Given the approach to meeting requirements under the SOE Framework can be tailored to reflect the institutional arrangements of each regulator, the intent of this part of the evaluation is to drive continuous improvement in the process to develop SOEs over time and to be able to share best practice across government. A suggested template to plan for the SOE </w:t>
      </w:r>
      <w:r w:rsidR="00C3036B" w:rsidRPr="00C62105">
        <w:t xml:space="preserve">process evaluation is included at section </w:t>
      </w:r>
      <w:r w:rsidR="00C62105" w:rsidRPr="002C769D">
        <w:t>5</w:t>
      </w:r>
      <w:r w:rsidR="00C3036B" w:rsidRPr="00C62105">
        <w:t>.</w:t>
      </w:r>
    </w:p>
    <w:p w:rsidR="00573BAE" w:rsidRPr="00C62105" w:rsidRDefault="00573BAE" w:rsidP="00820485">
      <w:pPr>
        <w:pStyle w:val="NormalIndent"/>
        <w:keepLines/>
      </w:pPr>
      <w:r>
        <w:lastRenderedPageBreak/>
        <w:t>The second</w:t>
      </w:r>
      <w:r w:rsidR="002F0D5B">
        <w:t xml:space="preserve"> component</w:t>
      </w:r>
      <w:r>
        <w:t xml:space="preserve"> is a</w:t>
      </w:r>
      <w:r w:rsidR="00645B1A">
        <w:t>n outcome evaluation of the improvements</w:t>
      </w:r>
      <w:r w:rsidR="00C3036B">
        <w:t xml:space="preserve"> and targets</w:t>
      </w:r>
      <w:r w:rsidR="00645B1A">
        <w:t xml:space="preserve"> documented in the SOE.</w:t>
      </w:r>
      <w:r w:rsidR="00C3036B" w:rsidRPr="00C3036B">
        <w:t xml:space="preserve"> </w:t>
      </w:r>
      <w:r w:rsidR="00C3036B">
        <w:t xml:space="preserve">The evidence base available for each SOE evaluation will be different and unique to each regulator. A suggested template logic map for the outcome/impact evaluation is </w:t>
      </w:r>
      <w:r w:rsidR="00C3036B" w:rsidRPr="00C62105">
        <w:t xml:space="preserve">included at section </w:t>
      </w:r>
      <w:r w:rsidR="00C62105" w:rsidRPr="00C62105">
        <w:t>6</w:t>
      </w:r>
      <w:r w:rsidR="00C3036B" w:rsidRPr="00C62105">
        <w:t>.</w:t>
      </w:r>
    </w:p>
    <w:p w:rsidR="009C5DE5" w:rsidRDefault="009C5DE5" w:rsidP="00820485">
      <w:pPr>
        <w:pStyle w:val="NormalIndent"/>
        <w:pBdr>
          <w:top w:val="single" w:sz="4" w:space="4" w:color="auto"/>
          <w:left w:val="single" w:sz="4" w:space="4" w:color="auto"/>
          <w:bottom w:val="single" w:sz="4" w:space="4" w:color="auto"/>
          <w:right w:val="single" w:sz="4" w:space="4" w:color="auto"/>
        </w:pBdr>
      </w:pPr>
      <w:r>
        <w:t>The evaluation plan should include:</w:t>
      </w:r>
    </w:p>
    <w:p w:rsidR="00573BAE" w:rsidRDefault="002F0D5B" w:rsidP="00820485">
      <w:pPr>
        <w:pStyle w:val="Numparaindent"/>
        <w:pBdr>
          <w:top w:val="single" w:sz="4" w:space="4" w:color="auto"/>
          <w:left w:val="single" w:sz="4" w:space="4" w:color="auto"/>
          <w:bottom w:val="single" w:sz="4" w:space="4" w:color="auto"/>
          <w:right w:val="single" w:sz="4" w:space="4" w:color="auto"/>
        </w:pBdr>
      </w:pPr>
      <w:r>
        <w:t>t</w:t>
      </w:r>
      <w:r w:rsidR="00573BAE">
        <w:t xml:space="preserve">he team and point of contact within the department who </w:t>
      </w:r>
      <w:r w:rsidR="009C5DE5">
        <w:t>will be responsible for conducting the evaluation</w:t>
      </w:r>
      <w:r>
        <w:t>;</w:t>
      </w:r>
    </w:p>
    <w:p w:rsidR="00573BAE" w:rsidRDefault="002F0D5B" w:rsidP="00820485">
      <w:pPr>
        <w:pStyle w:val="Numparaindent"/>
        <w:pBdr>
          <w:top w:val="single" w:sz="4" w:space="4" w:color="auto"/>
          <w:left w:val="single" w:sz="4" w:space="4" w:color="auto"/>
          <w:bottom w:val="single" w:sz="4" w:space="4" w:color="auto"/>
          <w:right w:val="single" w:sz="4" w:space="4" w:color="auto"/>
        </w:pBdr>
      </w:pPr>
      <w:r>
        <w:t>t</w:t>
      </w:r>
      <w:r w:rsidR="00573BAE">
        <w:t>he team(s) and points of contact within the regulator w</w:t>
      </w:r>
      <w:r w:rsidR="009C5DE5">
        <w:t xml:space="preserve">ho will be responsible for collecting the data </w:t>
      </w:r>
      <w:r w:rsidR="00977E07">
        <w:t>and information</w:t>
      </w:r>
      <w:r w:rsidR="00573BAE">
        <w:t xml:space="preserve"> </w:t>
      </w:r>
      <w:r w:rsidR="00C3036B">
        <w:t xml:space="preserve">on each improvement/target </w:t>
      </w:r>
      <w:r w:rsidR="00573BAE">
        <w:t>to inform the evaluation</w:t>
      </w:r>
      <w:r>
        <w:t>;</w:t>
      </w:r>
    </w:p>
    <w:p w:rsidR="00573BAE" w:rsidRPr="00C62105" w:rsidRDefault="002F0D5B" w:rsidP="00820485">
      <w:pPr>
        <w:pStyle w:val="Numparaindent"/>
        <w:pBdr>
          <w:top w:val="single" w:sz="4" w:space="4" w:color="auto"/>
          <w:left w:val="single" w:sz="4" w:space="4" w:color="auto"/>
          <w:bottom w:val="single" w:sz="4" w:space="4" w:color="auto"/>
          <w:right w:val="single" w:sz="4" w:space="4" w:color="auto"/>
        </w:pBdr>
      </w:pPr>
      <w:r>
        <w:t>a</w:t>
      </w:r>
      <w:r w:rsidR="009C5DE5">
        <w:t xml:space="preserve"> plan for the process evaluation</w:t>
      </w:r>
      <w:r>
        <w:t>,</w:t>
      </w:r>
      <w:r w:rsidR="009C5DE5">
        <w:t xml:space="preserve"> including the key evaluation quest</w:t>
      </w:r>
      <w:r w:rsidR="00573BAE">
        <w:t xml:space="preserve">ions and who </w:t>
      </w:r>
      <w:r w:rsidR="009C5DE5">
        <w:t>should answer them</w:t>
      </w:r>
      <w:r w:rsidR="00C3036B">
        <w:t xml:space="preserve"> (</w:t>
      </w:r>
      <w:r w:rsidR="00C3036B" w:rsidRPr="00C62105">
        <w:t xml:space="preserve">see section </w:t>
      </w:r>
      <w:r w:rsidR="00C62105" w:rsidRPr="002C769D">
        <w:t>5</w:t>
      </w:r>
      <w:r w:rsidR="00C3036B" w:rsidRPr="00C62105">
        <w:t>)</w:t>
      </w:r>
      <w:r>
        <w:t>;</w:t>
      </w:r>
    </w:p>
    <w:p w:rsidR="006164D9" w:rsidRPr="002C769D" w:rsidRDefault="002F0D5B" w:rsidP="00820485">
      <w:pPr>
        <w:pStyle w:val="Numparaindent"/>
        <w:pBdr>
          <w:top w:val="single" w:sz="4" w:space="4" w:color="auto"/>
          <w:left w:val="single" w:sz="4" w:space="4" w:color="auto"/>
          <w:bottom w:val="single" w:sz="4" w:space="4" w:color="auto"/>
          <w:right w:val="single" w:sz="4" w:space="4" w:color="auto"/>
        </w:pBdr>
      </w:pPr>
      <w:r>
        <w:t>a</w:t>
      </w:r>
      <w:r w:rsidR="009C5DE5" w:rsidRPr="002C769D">
        <w:t xml:space="preserve"> </w:t>
      </w:r>
      <w:r w:rsidR="00993D7E">
        <w:t>plan for the outcome evaluation including data to be collected and criteria for judgement</w:t>
      </w:r>
      <w:r>
        <w:t>,</w:t>
      </w:r>
      <w:r w:rsidR="00993D7E">
        <w:t xml:space="preserve"> as well as </w:t>
      </w:r>
      <w:r w:rsidR="00645B1A" w:rsidRPr="002C769D">
        <w:t xml:space="preserve">assigning responsibility </w:t>
      </w:r>
      <w:r w:rsidR="00993D7E">
        <w:t xml:space="preserve">and timelines </w:t>
      </w:r>
      <w:r w:rsidR="00645B1A" w:rsidRPr="002C769D">
        <w:t>for data and information collection</w:t>
      </w:r>
      <w:r w:rsidR="00C3036B" w:rsidRPr="002C769D">
        <w:t xml:space="preserve"> (see section </w:t>
      </w:r>
      <w:r w:rsidR="00C62105" w:rsidRPr="002C769D">
        <w:t>6</w:t>
      </w:r>
      <w:r w:rsidR="00C3036B" w:rsidRPr="002C769D">
        <w:t>)</w:t>
      </w:r>
      <w:r>
        <w:t>;</w:t>
      </w:r>
    </w:p>
    <w:p w:rsidR="00645B1A" w:rsidRPr="002C769D" w:rsidRDefault="002F0D5B" w:rsidP="00820485">
      <w:pPr>
        <w:pStyle w:val="Numparaindent"/>
        <w:pBdr>
          <w:top w:val="single" w:sz="4" w:space="4" w:color="auto"/>
          <w:left w:val="single" w:sz="4" w:space="4" w:color="auto"/>
          <w:bottom w:val="single" w:sz="4" w:space="4" w:color="auto"/>
          <w:right w:val="single" w:sz="4" w:space="4" w:color="auto"/>
        </w:pBdr>
      </w:pPr>
      <w:r>
        <w:t>t</w:t>
      </w:r>
      <w:r w:rsidR="00645B1A" w:rsidRPr="002C769D">
        <w:t xml:space="preserve">he </w:t>
      </w:r>
      <w:r>
        <w:t xml:space="preserve">evaluation’s </w:t>
      </w:r>
      <w:r w:rsidR="00645B1A" w:rsidRPr="002C769D">
        <w:t>timelines</w:t>
      </w:r>
      <w:r>
        <w:t>; and</w:t>
      </w:r>
      <w:r w:rsidR="00645B1A" w:rsidRPr="002C769D">
        <w:t xml:space="preserve"> </w:t>
      </w:r>
    </w:p>
    <w:p w:rsidR="00573BAE" w:rsidRDefault="002F0D5B" w:rsidP="00820485">
      <w:pPr>
        <w:pStyle w:val="Numparaindent"/>
        <w:pBdr>
          <w:top w:val="single" w:sz="4" w:space="4" w:color="auto"/>
          <w:left w:val="single" w:sz="4" w:space="4" w:color="auto"/>
          <w:bottom w:val="single" w:sz="4" w:space="4" w:color="auto"/>
          <w:right w:val="single" w:sz="4" w:space="4" w:color="auto"/>
        </w:pBdr>
      </w:pPr>
      <w:r>
        <w:t>a</w:t>
      </w:r>
      <w:r w:rsidR="00573BAE">
        <w:t xml:space="preserve"> consultation plan for the evaluation</w:t>
      </w:r>
      <w:r w:rsidR="00645B1A">
        <w:t xml:space="preserve"> (including consultation with the regulator)</w:t>
      </w:r>
      <w:r w:rsidR="00573BAE">
        <w:t>.</w:t>
      </w:r>
    </w:p>
    <w:p w:rsidR="00C3036B" w:rsidRDefault="00C3036B" w:rsidP="002C769D">
      <w:pPr>
        <w:pStyle w:val="Heading2numbered"/>
      </w:pPr>
      <w:bookmarkStart w:id="23" w:name="_Toc503969041"/>
      <w:r>
        <w:t>The evaluation report</w:t>
      </w:r>
      <w:bookmarkEnd w:id="23"/>
    </w:p>
    <w:p w:rsidR="00C3036B" w:rsidRDefault="00C3036B" w:rsidP="00820485">
      <w:pPr>
        <w:pStyle w:val="NormalIndent"/>
      </w:pPr>
      <w:r>
        <w:t>Departmental evaluation reports must include:</w:t>
      </w:r>
    </w:p>
    <w:p w:rsidR="00C3036B" w:rsidRDefault="002F0D5B" w:rsidP="00820485">
      <w:pPr>
        <w:pStyle w:val="Numparaindent"/>
      </w:pPr>
      <w:r>
        <w:t>a</w:t>
      </w:r>
      <w:r w:rsidR="00C3036B">
        <w:t xml:space="preserve"> short statement on the </w:t>
      </w:r>
      <w:r>
        <w:t xml:space="preserve">evaluation’s </w:t>
      </w:r>
      <w:r w:rsidR="00C3036B">
        <w:t>purpose</w:t>
      </w:r>
      <w:r>
        <w:t>;</w:t>
      </w:r>
      <w:r w:rsidR="00C3036B">
        <w:t xml:space="preserve"> </w:t>
      </w:r>
    </w:p>
    <w:p w:rsidR="00C3036B" w:rsidRDefault="002F0D5B" w:rsidP="00820485">
      <w:pPr>
        <w:pStyle w:val="Numparaindent"/>
      </w:pPr>
      <w:r>
        <w:t>a</w:t>
      </w:r>
      <w:r w:rsidR="00C3036B">
        <w:t xml:space="preserve"> summary of what is being evaluated, including background, activities, improvements/targets and intended outcomes</w:t>
      </w:r>
      <w:r>
        <w:t>;</w:t>
      </w:r>
    </w:p>
    <w:p w:rsidR="00C3036B" w:rsidRDefault="002F0D5B" w:rsidP="00820485">
      <w:pPr>
        <w:pStyle w:val="Numparaindent"/>
      </w:pPr>
      <w:r>
        <w:t>a</w:t>
      </w:r>
      <w:r w:rsidR="00C3036B">
        <w:t xml:space="preserve"> discussion of the meth</w:t>
      </w:r>
      <w:r w:rsidR="00D567EC">
        <w:t xml:space="preserve">odology used for the evaluation, </w:t>
      </w:r>
      <w:r w:rsidR="00C3036B">
        <w:t>including the rationale for selecting the methodology, data sources, any limitations and the criteria used to make judgements</w:t>
      </w:r>
      <w:r>
        <w:t>;</w:t>
      </w:r>
    </w:p>
    <w:p w:rsidR="00C3036B" w:rsidRDefault="002F0D5B" w:rsidP="00820485">
      <w:pPr>
        <w:pStyle w:val="Numparaindent"/>
      </w:pPr>
      <w:r>
        <w:t>a</w:t>
      </w:r>
      <w:r w:rsidR="00C3036B">
        <w:t>n assessment of the process by which the SOE was developed (</w:t>
      </w:r>
      <w:r>
        <w:t>H</w:t>
      </w:r>
      <w:r w:rsidR="00C3036B">
        <w:t>ow useful was the evidence base used to determine the improvements and targets</w:t>
      </w:r>
      <w:r>
        <w:t>?</w:t>
      </w:r>
      <w:r w:rsidR="00C3036B">
        <w:t>)</w:t>
      </w:r>
      <w:r>
        <w:t>;</w:t>
      </w:r>
    </w:p>
    <w:p w:rsidR="00DE3A7B" w:rsidRDefault="002F0D5B" w:rsidP="00820485">
      <w:pPr>
        <w:pStyle w:val="Numparaindent"/>
      </w:pPr>
      <w:r>
        <w:t>a</w:t>
      </w:r>
      <w:r w:rsidR="00C3036B">
        <w:t>n assessment of how well the regulator has performed against the performance improvements and targets contained in the SOE, including an identification of the key factors that impacted on the regulator’s ability to a</w:t>
      </w:r>
      <w:r w:rsidR="00DE3A7B">
        <w:t>chieve improvements and targets</w:t>
      </w:r>
      <w:r>
        <w:t>;</w:t>
      </w:r>
    </w:p>
    <w:p w:rsidR="00C3036B" w:rsidRDefault="002F0D5B" w:rsidP="00820485">
      <w:pPr>
        <w:pStyle w:val="Numparaindent"/>
      </w:pPr>
      <w:r>
        <w:t>a</w:t>
      </w:r>
      <w:r w:rsidR="00C3036B">
        <w:t>n outline of</w:t>
      </w:r>
      <w:r w:rsidR="00C3036B" w:rsidRPr="002867E1">
        <w:t xml:space="preserve"> </w:t>
      </w:r>
      <w:r w:rsidR="00C3036B">
        <w:t>any lessons and recommendations to improve the development and implementation of future SOEs</w:t>
      </w:r>
      <w:r w:rsidR="00DE3A7B">
        <w:t xml:space="preserve">. </w:t>
      </w:r>
      <w:r w:rsidR="00DE3A7B" w:rsidRPr="00DE3A7B">
        <w:t xml:space="preserve">In </w:t>
      </w:r>
      <w:r w:rsidR="00DE3A7B">
        <w:t>this</w:t>
      </w:r>
      <w:r w:rsidR="00DE3A7B" w:rsidRPr="00DE3A7B">
        <w:t xml:space="preserve"> section, departments should consider whether there are any lessons to be learned and opportunities to improve the SOE process going forward. These should be formally documented as recommendations in the </w:t>
      </w:r>
      <w:r>
        <w:t>e</w:t>
      </w:r>
      <w:r w:rsidR="00DE3A7B" w:rsidRPr="00DE3A7B">
        <w:t xml:space="preserve">valuation </w:t>
      </w:r>
      <w:r>
        <w:t>r</w:t>
      </w:r>
      <w:r w:rsidR="00DE3A7B" w:rsidRPr="00DE3A7B">
        <w:t>eport. The content for this section will fall out of the process evaluation and outcomes evaluation</w:t>
      </w:r>
      <w:r>
        <w:t>; and</w:t>
      </w:r>
    </w:p>
    <w:p w:rsidR="00C3036B" w:rsidRDefault="002F0D5B" w:rsidP="00820485">
      <w:pPr>
        <w:pStyle w:val="Numparaindent"/>
      </w:pPr>
      <w:r>
        <w:t>w</w:t>
      </w:r>
      <w:r w:rsidR="00C3036B">
        <w:t>ho conducted the evaluation and their involvement in the SOE process.</w:t>
      </w:r>
    </w:p>
    <w:p w:rsidR="00FE61A6" w:rsidRDefault="00FE61A6" w:rsidP="00FE61A6">
      <w:pPr>
        <w:pStyle w:val="Heading2numbered"/>
      </w:pPr>
      <w:bookmarkStart w:id="24" w:name="_Toc503969042"/>
      <w:r>
        <w:lastRenderedPageBreak/>
        <w:t>Publication of evaluation reports</w:t>
      </w:r>
      <w:bookmarkEnd w:id="24"/>
    </w:p>
    <w:p w:rsidR="00FE61A6" w:rsidRPr="00FB286F" w:rsidRDefault="00FE61A6" w:rsidP="004B1C4F">
      <w:pPr>
        <w:pStyle w:val="NormalIndent"/>
      </w:pPr>
      <w:r>
        <w:t xml:space="preserve">It is a requirement under the SOE Framework for evaluation reports to be published. </w:t>
      </w:r>
      <w:r w:rsidRPr="00BF5538">
        <w:t>The department will publish the SOE evaluation report on its website along with a link to</w:t>
      </w:r>
      <w:r>
        <w:t xml:space="preserve"> the SOE and regulator’s response to the SOE that will be published on the regulator’s website. Where there is sensitive information in the evaluation report that cannot be made public, this can be removed for the purposes of publication on the approval of the responsible Minister.</w:t>
      </w:r>
    </w:p>
    <w:p w:rsidR="00573BAE" w:rsidRPr="00FE61A6" w:rsidRDefault="00573BAE" w:rsidP="004B1C4F">
      <w:pPr>
        <w:pStyle w:val="NormalIndent"/>
      </w:pPr>
    </w:p>
    <w:p w:rsidR="005B21A9" w:rsidRDefault="005B21A9" w:rsidP="004B1C4F">
      <w:pPr>
        <w:pStyle w:val="NormalIndent"/>
      </w:pPr>
    </w:p>
    <w:p w:rsidR="00115FFE" w:rsidRDefault="00115FFE" w:rsidP="004B1C4F">
      <w:pPr>
        <w:pStyle w:val="NormalIndent"/>
      </w:pPr>
    </w:p>
    <w:p w:rsidR="00D23CB7" w:rsidRDefault="00D23CB7" w:rsidP="002C769D">
      <w:pPr>
        <w:spacing w:before="0" w:after="200"/>
      </w:pPr>
    </w:p>
    <w:p w:rsidR="00AC4C81" w:rsidRDefault="00AC4C81" w:rsidP="0021241A">
      <w:pPr>
        <w:pStyle w:val="Heading1numbered"/>
        <w:ind w:left="0" w:firstLine="0"/>
        <w:sectPr w:rsidR="00AC4C81" w:rsidSect="00AD665C">
          <w:headerReference w:type="even" r:id="rId39"/>
          <w:headerReference w:type="default" r:id="rId40"/>
          <w:footerReference w:type="even" r:id="rId41"/>
          <w:footerReference w:type="default" r:id="rId42"/>
          <w:pgSz w:w="11906" w:h="16838" w:code="9"/>
          <w:pgMar w:top="2160" w:right="1440" w:bottom="1987" w:left="1440" w:header="706" w:footer="461" w:gutter="0"/>
          <w:cols w:space="708"/>
          <w:docGrid w:linePitch="360"/>
        </w:sectPr>
      </w:pPr>
    </w:p>
    <w:p w:rsidR="0021241A" w:rsidRDefault="0021241A" w:rsidP="0021241A">
      <w:pPr>
        <w:pStyle w:val="Heading1numbered"/>
        <w:ind w:left="0" w:firstLine="0"/>
      </w:pPr>
      <w:bookmarkStart w:id="25" w:name="_Toc503969043"/>
      <w:r>
        <w:lastRenderedPageBreak/>
        <w:t xml:space="preserve">Suggested </w:t>
      </w:r>
      <w:r w:rsidR="005F1C25">
        <w:t>data collection table</w:t>
      </w:r>
      <w:r>
        <w:t xml:space="preserve"> for SOE process evaluation</w:t>
      </w:r>
      <w:bookmarkEnd w:id="25"/>
    </w:p>
    <w:tbl>
      <w:tblPr>
        <w:tblStyle w:val="DTFtexttableindent"/>
        <w:tblW w:w="13186" w:type="dxa"/>
        <w:tblLook w:val="06A0" w:firstRow="1" w:lastRow="0" w:firstColumn="1" w:lastColumn="0" w:noHBand="1" w:noVBand="1"/>
      </w:tblPr>
      <w:tblGrid>
        <w:gridCol w:w="2476"/>
        <w:gridCol w:w="2790"/>
        <w:gridCol w:w="1890"/>
        <w:gridCol w:w="2340"/>
        <w:gridCol w:w="1890"/>
        <w:gridCol w:w="1800"/>
      </w:tblGrid>
      <w:tr w:rsidR="00716810" w:rsidTr="006762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76" w:type="dxa"/>
          </w:tcPr>
          <w:p w:rsidR="00716810" w:rsidRDefault="00716810" w:rsidP="00676231">
            <w:pPr>
              <w:pStyle w:val="Tableheader"/>
            </w:pPr>
            <w:r>
              <w:t xml:space="preserve">Key </w:t>
            </w:r>
            <w:r w:rsidR="00676231">
              <w:t>evaluation questio</w:t>
            </w:r>
            <w:r>
              <w:t>n</w:t>
            </w:r>
          </w:p>
        </w:tc>
        <w:tc>
          <w:tcPr>
            <w:tcW w:w="2790" w:type="dxa"/>
          </w:tcPr>
          <w:p w:rsidR="00716810"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Sub-questions</w:t>
            </w:r>
          </w:p>
        </w:tc>
        <w:tc>
          <w:tcPr>
            <w:tcW w:w="1890" w:type="dxa"/>
          </w:tcPr>
          <w:p w:rsidR="00716810"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Data collection</w:t>
            </w:r>
          </w:p>
        </w:tc>
        <w:tc>
          <w:tcPr>
            <w:tcW w:w="2340" w:type="dxa"/>
          </w:tcPr>
          <w:p w:rsidR="00716810"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Criteria for judgement</w:t>
            </w:r>
          </w:p>
        </w:tc>
        <w:tc>
          <w:tcPr>
            <w:tcW w:w="1890" w:type="dxa"/>
          </w:tcPr>
          <w:p w:rsidR="00716810"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Responsibility</w:t>
            </w:r>
          </w:p>
        </w:tc>
        <w:tc>
          <w:tcPr>
            <w:tcW w:w="1800" w:type="dxa"/>
          </w:tcPr>
          <w:p w:rsidR="00716810"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Timing</w:t>
            </w:r>
          </w:p>
        </w:tc>
      </w:tr>
      <w:tr w:rsidR="00716810" w:rsidTr="00676231">
        <w:tc>
          <w:tcPr>
            <w:cnfStyle w:val="001000000000" w:firstRow="0" w:lastRow="0" w:firstColumn="1" w:lastColumn="0" w:oddVBand="0" w:evenVBand="0" w:oddHBand="0" w:evenHBand="0" w:firstRowFirstColumn="0" w:firstRowLastColumn="0" w:lastRowFirstColumn="0" w:lastRowLastColumn="0"/>
            <w:tcW w:w="2476" w:type="dxa"/>
          </w:tcPr>
          <w:p w:rsidR="00716810" w:rsidRDefault="00716810" w:rsidP="00716810">
            <w:pPr>
              <w:spacing w:before="0" w:after="200"/>
            </w:pPr>
            <w:r>
              <w:t>How appropriate was the process for developing the SOE letter?</w:t>
            </w:r>
          </w:p>
        </w:tc>
        <w:tc>
          <w:tcPr>
            <w:tcW w:w="2790" w:type="dxa"/>
          </w:tcPr>
          <w:p w:rsidR="00B34E8C" w:rsidRDefault="00B34E8C" w:rsidP="00676231">
            <w:pPr>
              <w:pStyle w:val="Tablebullet"/>
              <w:cnfStyle w:val="000000000000" w:firstRow="0" w:lastRow="0" w:firstColumn="0" w:lastColumn="0" w:oddVBand="0" w:evenVBand="0" w:oddHBand="0" w:evenHBand="0" w:firstRowFirstColumn="0" w:firstRowLastColumn="0" w:lastRowFirstColumn="0" w:lastRowLastColumn="0"/>
            </w:pPr>
            <w:r>
              <w:t>Was the SOE process recommended in the SOE Framework (p.3) adopted?</w:t>
            </w:r>
          </w:p>
          <w:p w:rsidR="00B34E8C" w:rsidRDefault="00B34E8C" w:rsidP="00676231">
            <w:pPr>
              <w:pStyle w:val="Tablebullet"/>
              <w:cnfStyle w:val="000000000000" w:firstRow="0" w:lastRow="0" w:firstColumn="0" w:lastColumn="0" w:oddVBand="0" w:evenVBand="0" w:oddHBand="0" w:evenHBand="0" w:firstRowFirstColumn="0" w:firstRowLastColumn="0" w:lastRowFirstColumn="0" w:lastRowLastColumn="0"/>
            </w:pPr>
            <w:r>
              <w:t>If not, what was the approach?</w:t>
            </w:r>
          </w:p>
          <w:p w:rsidR="00B34E8C" w:rsidRDefault="00B34E8C" w:rsidP="00676231">
            <w:pPr>
              <w:pStyle w:val="Tablebullet"/>
              <w:cnfStyle w:val="000000000000" w:firstRow="0" w:lastRow="0" w:firstColumn="0" w:lastColumn="0" w:oddVBand="0" w:evenVBand="0" w:oddHBand="0" w:evenHBand="0" w:firstRowFirstColumn="0" w:firstRowLastColumn="0" w:lastRowFirstColumn="0" w:lastRowLastColumn="0"/>
            </w:pPr>
            <w:r>
              <w:t>Was the evidence base appropriate to develop the SOE letter?</w:t>
            </w:r>
          </w:p>
          <w:p w:rsidR="00716810" w:rsidRDefault="00B34E8C" w:rsidP="00676231">
            <w:pPr>
              <w:pStyle w:val="Tablebullet"/>
              <w:cnfStyle w:val="000000000000" w:firstRow="0" w:lastRow="0" w:firstColumn="0" w:lastColumn="0" w:oddVBand="0" w:evenVBand="0" w:oddHBand="0" w:evenHBand="0" w:firstRowFirstColumn="0" w:firstRowLastColumn="0" w:lastRowFirstColumn="0" w:lastRowLastColumn="0"/>
            </w:pPr>
            <w:r>
              <w:t xml:space="preserve">How satisfied were all parties involved in the development of the SOE? </w:t>
            </w:r>
          </w:p>
          <w:p w:rsidR="00B34E8C" w:rsidRDefault="00B34E8C" w:rsidP="00676231">
            <w:pPr>
              <w:pStyle w:val="Tablebullet"/>
              <w:cnfStyle w:val="000000000000" w:firstRow="0" w:lastRow="0" w:firstColumn="0" w:lastColumn="0" w:oddVBand="0" w:evenVBand="0" w:oddHBand="0" w:evenHBand="0" w:firstRowFirstColumn="0" w:firstRowLastColumn="0" w:lastRowFirstColumn="0" w:lastRowLastColumn="0"/>
            </w:pPr>
            <w:r>
              <w:t>Was sufficient time allocated to complete each part of the process?</w:t>
            </w:r>
          </w:p>
        </w:tc>
        <w:tc>
          <w:tcPr>
            <w:tcW w:w="1890" w:type="dxa"/>
          </w:tcPr>
          <w:p w:rsidR="00993D7E" w:rsidRDefault="00B34E8C" w:rsidP="00676231">
            <w:pPr>
              <w:pStyle w:val="Tablebullet"/>
              <w:cnfStyle w:val="000000000000" w:firstRow="0" w:lastRow="0" w:firstColumn="0" w:lastColumn="0" w:oddVBand="0" w:evenVBand="0" w:oddHBand="0" w:evenHBand="0" w:firstRowFirstColumn="0" w:firstRowLastColumn="0" w:lastRowFirstColumn="0" w:lastRowLastColumn="0"/>
            </w:pPr>
            <w:r>
              <w:t>Project plan</w:t>
            </w:r>
          </w:p>
          <w:p w:rsidR="00B34E8C" w:rsidRDefault="00B34E8C" w:rsidP="00676231">
            <w:pPr>
              <w:pStyle w:val="Tablebullet"/>
              <w:cnfStyle w:val="000000000000" w:firstRow="0" w:lastRow="0" w:firstColumn="0" w:lastColumn="0" w:oddVBand="0" w:evenVBand="0" w:oddHBand="0" w:evenHBand="0" w:firstRowFirstColumn="0" w:firstRowLastColumn="0" w:lastRowFirstColumn="0" w:lastRowLastColumn="0"/>
            </w:pPr>
            <w:r>
              <w:t>Interviews with project team</w:t>
            </w:r>
          </w:p>
        </w:tc>
        <w:tc>
          <w:tcPr>
            <w:tcW w:w="2340" w:type="dxa"/>
          </w:tcPr>
          <w:p w:rsidR="00B34E8C" w:rsidRDefault="00B34E8C" w:rsidP="00676231">
            <w:pPr>
              <w:pStyle w:val="Tablebullet"/>
              <w:cnfStyle w:val="000000000000" w:firstRow="0" w:lastRow="0" w:firstColumn="0" w:lastColumn="0" w:oddVBand="0" w:evenVBand="0" w:oddHBand="0" w:evenHBand="0" w:firstRowFirstColumn="0" w:firstRowLastColumn="0" w:lastRowFirstColumn="0" w:lastRowLastColumn="0"/>
            </w:pPr>
            <w:r>
              <w:t>Was there an appropriate baseline of current performance against each of the elements of good regulatory practice? (i.e. Was there a regulator self-assessment? And was it provided to the department?)</w:t>
            </w:r>
          </w:p>
          <w:p w:rsidR="00B34E8C" w:rsidRDefault="00B34E8C" w:rsidP="00676231">
            <w:pPr>
              <w:pStyle w:val="Tablebullet"/>
              <w:cnfStyle w:val="000000000000" w:firstRow="0" w:lastRow="0" w:firstColumn="0" w:lastColumn="0" w:oddVBand="0" w:evenVBand="0" w:oddHBand="0" w:evenHBand="0" w:firstRowFirstColumn="0" w:firstRowLastColumn="0" w:lastRowFirstColumn="0" w:lastRowLastColumn="0"/>
            </w:pPr>
            <w:r>
              <w:t>Was sufficient time invested in the development of the SOE?</w:t>
            </w:r>
          </w:p>
        </w:tc>
        <w:tc>
          <w:tcPr>
            <w:tcW w:w="1890" w:type="dxa"/>
          </w:tcPr>
          <w:p w:rsidR="00716810" w:rsidRDefault="00B34E8C" w:rsidP="005B44F2">
            <w:pPr>
              <w:pStyle w:val="Tabletext"/>
              <w:cnfStyle w:val="000000000000" w:firstRow="0" w:lastRow="0" w:firstColumn="0" w:lastColumn="0" w:oddVBand="0" w:evenVBand="0" w:oddHBand="0" w:evenHBand="0" w:firstRowFirstColumn="0" w:firstRowLastColumn="0" w:lastRowFirstColumn="0" w:lastRowLastColumn="0"/>
            </w:pPr>
            <w:r>
              <w:t>Who will be responsible for collecting this data (name of departmental contact and team)</w:t>
            </w:r>
            <w:r w:rsidR="002F0D5B">
              <w:t>?</w:t>
            </w:r>
          </w:p>
        </w:tc>
        <w:tc>
          <w:tcPr>
            <w:tcW w:w="1800" w:type="dxa"/>
          </w:tcPr>
          <w:p w:rsidR="00716810" w:rsidRDefault="00B34E8C" w:rsidP="005B44F2">
            <w:pPr>
              <w:pStyle w:val="Tabletext"/>
              <w:cnfStyle w:val="000000000000" w:firstRow="0" w:lastRow="0" w:firstColumn="0" w:lastColumn="0" w:oddVBand="0" w:evenVBand="0" w:oddHBand="0" w:evenHBand="0" w:firstRowFirstColumn="0" w:firstRowLastColumn="0" w:lastRowFirstColumn="0" w:lastRowLastColumn="0"/>
            </w:pPr>
            <w:r>
              <w:t>When will this data be collected (timeline)</w:t>
            </w:r>
            <w:r w:rsidR="002F0D5B">
              <w:t>?</w:t>
            </w:r>
          </w:p>
        </w:tc>
      </w:tr>
      <w:tr w:rsidR="00571E90" w:rsidTr="00676231">
        <w:tc>
          <w:tcPr>
            <w:cnfStyle w:val="001000000000" w:firstRow="0" w:lastRow="0" w:firstColumn="1" w:lastColumn="0" w:oddVBand="0" w:evenVBand="0" w:oddHBand="0" w:evenHBand="0" w:firstRowFirstColumn="0" w:firstRowLastColumn="0" w:lastRowFirstColumn="0" w:lastRowLastColumn="0"/>
            <w:tcW w:w="2476" w:type="dxa"/>
          </w:tcPr>
          <w:p w:rsidR="00571E90" w:rsidRDefault="00571E90" w:rsidP="009752E7">
            <w:pPr>
              <w:spacing w:before="0" w:after="200"/>
            </w:pPr>
            <w:r>
              <w:t xml:space="preserve">Did the regulator deliver the improvements and targets established in the SOE letter and regulator response on time and on budget? </w:t>
            </w:r>
          </w:p>
        </w:tc>
        <w:tc>
          <w:tcPr>
            <w:tcW w:w="2790" w:type="dxa"/>
          </w:tcPr>
          <w:p w:rsidR="00571E90" w:rsidRDefault="00571E90" w:rsidP="00676231">
            <w:pPr>
              <w:pStyle w:val="Tablebullet"/>
              <w:cnfStyle w:val="000000000000" w:firstRow="0" w:lastRow="0" w:firstColumn="0" w:lastColumn="0" w:oddVBand="0" w:evenVBand="0" w:oddHBand="0" w:evenHBand="0" w:firstRowFirstColumn="0" w:firstRowLastColumn="0" w:lastRowFirstColumn="0" w:lastRowLastColumn="0"/>
            </w:pPr>
            <w:r>
              <w:t>Does the evidence and data demonstrate achievement of the improvements and targets?</w:t>
            </w:r>
          </w:p>
          <w:p w:rsidR="00571E90" w:rsidRDefault="00571E90" w:rsidP="00676231">
            <w:pPr>
              <w:pStyle w:val="Tablebullet"/>
              <w:cnfStyle w:val="000000000000" w:firstRow="0" w:lastRow="0" w:firstColumn="0" w:lastColumn="0" w:oddVBand="0" w:evenVBand="0" w:oddHBand="0" w:evenHBand="0" w:firstRowFirstColumn="0" w:firstRowLastColumn="0" w:lastRowFirstColumn="0" w:lastRowLastColumn="0"/>
            </w:pPr>
            <w:r>
              <w:t>Was there adequate understanding of and explanation for variations from intended performance improvements and targets?</w:t>
            </w:r>
          </w:p>
          <w:p w:rsidR="00571E90" w:rsidRDefault="00571E90" w:rsidP="00676231">
            <w:pPr>
              <w:pStyle w:val="Tablebullet"/>
              <w:cnfStyle w:val="000000000000" w:firstRow="0" w:lastRow="0" w:firstColumn="0" w:lastColumn="0" w:oddVBand="0" w:evenVBand="0" w:oddHBand="0" w:evenHBand="0" w:firstRowFirstColumn="0" w:firstRowLastColumn="0" w:lastRowFirstColumn="0" w:lastRowLastColumn="0"/>
            </w:pPr>
            <w:r>
              <w:t>Were the annual reporting requirements met?</w:t>
            </w:r>
          </w:p>
        </w:tc>
        <w:tc>
          <w:tcPr>
            <w:tcW w:w="1890" w:type="dxa"/>
          </w:tcPr>
          <w:p w:rsidR="00571E90" w:rsidRDefault="00571E90" w:rsidP="005B44F2">
            <w:pPr>
              <w:pStyle w:val="Tabletext"/>
              <w:cnfStyle w:val="000000000000" w:firstRow="0" w:lastRow="0" w:firstColumn="0" w:lastColumn="0" w:oddVBand="0" w:evenVBand="0" w:oddHBand="0" w:evenHBand="0" w:firstRowFirstColumn="0" w:firstRowLastColumn="0" w:lastRowFirstColumn="0" w:lastRowLastColumn="0"/>
            </w:pPr>
            <w:r>
              <w:t>Public reporting against SOE and regulator response</w:t>
            </w:r>
          </w:p>
        </w:tc>
        <w:tc>
          <w:tcPr>
            <w:tcW w:w="2340" w:type="dxa"/>
          </w:tcPr>
          <w:p w:rsidR="00571E90" w:rsidRDefault="00571E90" w:rsidP="005B44F2">
            <w:pPr>
              <w:pStyle w:val="Tabletext"/>
              <w:cnfStyle w:val="000000000000" w:firstRow="0" w:lastRow="0" w:firstColumn="0" w:lastColumn="0" w:oddVBand="0" w:evenVBand="0" w:oddHBand="0" w:evenHBand="0" w:firstRowFirstColumn="0" w:firstRowLastColumn="0" w:lastRowFirstColumn="0" w:lastRowLastColumn="0"/>
            </w:pPr>
            <w:r>
              <w:t>Were the SOE targets appropriate?</w:t>
            </w:r>
          </w:p>
        </w:tc>
        <w:tc>
          <w:tcPr>
            <w:tcW w:w="1890" w:type="dxa"/>
          </w:tcPr>
          <w:p w:rsidR="00571E90" w:rsidRDefault="00571E90" w:rsidP="005B44F2">
            <w:pPr>
              <w:pStyle w:val="Tabletext"/>
              <w:cnfStyle w:val="000000000000" w:firstRow="0" w:lastRow="0" w:firstColumn="0" w:lastColumn="0" w:oddVBand="0" w:evenVBand="0" w:oddHBand="0" w:evenHBand="0" w:firstRowFirstColumn="0" w:firstRowLastColumn="0" w:lastRowFirstColumn="0" w:lastRowLastColumn="0"/>
            </w:pPr>
            <w:r>
              <w:t>Who will be responsible for collecting this data (name of departmental contact and team)</w:t>
            </w:r>
            <w:r w:rsidR="002F0D5B">
              <w:t>?</w:t>
            </w:r>
          </w:p>
        </w:tc>
        <w:tc>
          <w:tcPr>
            <w:tcW w:w="1800" w:type="dxa"/>
          </w:tcPr>
          <w:p w:rsidR="00571E90" w:rsidRDefault="00571E90" w:rsidP="005B44F2">
            <w:pPr>
              <w:pStyle w:val="Tabletext"/>
              <w:cnfStyle w:val="000000000000" w:firstRow="0" w:lastRow="0" w:firstColumn="0" w:lastColumn="0" w:oddVBand="0" w:evenVBand="0" w:oddHBand="0" w:evenHBand="0" w:firstRowFirstColumn="0" w:firstRowLastColumn="0" w:lastRowFirstColumn="0" w:lastRowLastColumn="0"/>
            </w:pPr>
            <w:r>
              <w:t>When will this data be collected (timeline)</w:t>
            </w:r>
            <w:r w:rsidR="002F0D5B">
              <w:t>?</w:t>
            </w:r>
          </w:p>
        </w:tc>
      </w:tr>
    </w:tbl>
    <w:p w:rsidR="00716810" w:rsidRDefault="00716810" w:rsidP="009752E7">
      <w:pPr>
        <w:spacing w:before="0" w:after="200"/>
        <w:ind w:left="851"/>
      </w:pPr>
    </w:p>
    <w:p w:rsidR="00DE3A7B" w:rsidRDefault="00DE3A7B" w:rsidP="00571E90">
      <w:pPr>
        <w:pStyle w:val="Heading1numbered"/>
        <w:ind w:left="0" w:firstLine="0"/>
      </w:pPr>
      <w:bookmarkStart w:id="26" w:name="_Toc503969044"/>
      <w:r>
        <w:lastRenderedPageBreak/>
        <w:t xml:space="preserve">Suggested </w:t>
      </w:r>
      <w:r w:rsidR="005F1C25">
        <w:t>data collection table</w:t>
      </w:r>
      <w:r w:rsidR="00716810">
        <w:t xml:space="preserve"> for SOE outcome</w:t>
      </w:r>
      <w:r>
        <w:t xml:space="preserve"> evaluation</w:t>
      </w:r>
      <w:bookmarkEnd w:id="26"/>
    </w:p>
    <w:tbl>
      <w:tblPr>
        <w:tblStyle w:val="DTFtexttableindent"/>
        <w:tblW w:w="13182" w:type="dxa"/>
        <w:tblLook w:val="06A0" w:firstRow="1" w:lastRow="0" w:firstColumn="1" w:lastColumn="0" w:noHBand="1" w:noVBand="1"/>
      </w:tblPr>
      <w:tblGrid>
        <w:gridCol w:w="2476"/>
        <w:gridCol w:w="2790"/>
        <w:gridCol w:w="1980"/>
        <w:gridCol w:w="2250"/>
        <w:gridCol w:w="1843"/>
        <w:gridCol w:w="1843"/>
      </w:tblGrid>
      <w:tr w:rsidR="00716810" w:rsidTr="006762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76" w:type="dxa"/>
          </w:tcPr>
          <w:p w:rsidR="00716810" w:rsidRDefault="00716810" w:rsidP="00676231">
            <w:pPr>
              <w:pStyle w:val="Tableheader"/>
            </w:pPr>
            <w:r>
              <w:t xml:space="preserve">Key </w:t>
            </w:r>
            <w:r w:rsidR="00676231">
              <w:t>evaluation question</w:t>
            </w:r>
          </w:p>
        </w:tc>
        <w:tc>
          <w:tcPr>
            <w:tcW w:w="2790" w:type="dxa"/>
          </w:tcPr>
          <w:p w:rsidR="00993D7E"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Sub-questions</w:t>
            </w:r>
            <w:r w:rsidR="00993D7E">
              <w:rPr>
                <w:vertAlign w:val="superscript"/>
              </w:rPr>
              <w:t>(a)</w:t>
            </w:r>
          </w:p>
        </w:tc>
        <w:tc>
          <w:tcPr>
            <w:tcW w:w="1980" w:type="dxa"/>
          </w:tcPr>
          <w:p w:rsidR="00716810"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Data collection</w:t>
            </w:r>
          </w:p>
        </w:tc>
        <w:tc>
          <w:tcPr>
            <w:tcW w:w="2250" w:type="dxa"/>
          </w:tcPr>
          <w:p w:rsidR="00716810"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Criteria for judgement</w:t>
            </w:r>
          </w:p>
        </w:tc>
        <w:tc>
          <w:tcPr>
            <w:tcW w:w="1843" w:type="dxa"/>
          </w:tcPr>
          <w:p w:rsidR="00716810"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Responsibility</w:t>
            </w:r>
          </w:p>
        </w:tc>
        <w:tc>
          <w:tcPr>
            <w:tcW w:w="1843" w:type="dxa"/>
          </w:tcPr>
          <w:p w:rsidR="00716810" w:rsidRDefault="00716810" w:rsidP="00676231">
            <w:pPr>
              <w:pStyle w:val="Tableheader"/>
              <w:cnfStyle w:val="100000000000" w:firstRow="1" w:lastRow="0" w:firstColumn="0" w:lastColumn="0" w:oddVBand="0" w:evenVBand="0" w:oddHBand="0" w:evenHBand="0" w:firstRowFirstColumn="0" w:firstRowLastColumn="0" w:lastRowFirstColumn="0" w:lastRowLastColumn="0"/>
            </w:pPr>
            <w:r>
              <w:t>Timing</w:t>
            </w:r>
          </w:p>
        </w:tc>
      </w:tr>
      <w:tr w:rsidR="005F1C25" w:rsidTr="00676231">
        <w:tc>
          <w:tcPr>
            <w:cnfStyle w:val="001000000000" w:firstRow="0" w:lastRow="0" w:firstColumn="1" w:lastColumn="0" w:oddVBand="0" w:evenVBand="0" w:oddHBand="0" w:evenHBand="0" w:firstRowFirstColumn="0" w:firstRowLastColumn="0" w:lastRowFirstColumn="0" w:lastRowLastColumn="0"/>
            <w:tcW w:w="2476" w:type="dxa"/>
          </w:tcPr>
          <w:p w:rsidR="005F1C25" w:rsidRDefault="005F1C25" w:rsidP="00676231">
            <w:pPr>
              <w:pStyle w:val="Tabletext"/>
            </w:pPr>
            <w:r>
              <w:t>What difference did the SOE make towards achieving greater efficiency and effectiveness in the administration and enforcement of regulation?</w:t>
            </w:r>
          </w:p>
        </w:tc>
        <w:tc>
          <w:tcPr>
            <w:tcW w:w="2790" w:type="dxa"/>
          </w:tcPr>
          <w:p w:rsidR="005F1C25" w:rsidRDefault="005F1C25" w:rsidP="00676231">
            <w:pPr>
              <w:pStyle w:val="Tabletext"/>
              <w:cnfStyle w:val="000000000000" w:firstRow="0" w:lastRow="0" w:firstColumn="0" w:lastColumn="0" w:oddVBand="0" w:evenVBand="0" w:oddHBand="0" w:evenHBand="0" w:firstRowFirstColumn="0" w:firstRowLastColumn="0" w:lastRowFirstColumn="0" w:lastRowLastColumn="0"/>
            </w:pPr>
            <w:r>
              <w:t xml:space="preserve">To what extent did the regulator improve </w:t>
            </w:r>
            <w:r w:rsidRPr="00716810">
              <w:rPr>
                <w:b/>
              </w:rPr>
              <w:t>timeliness</w:t>
            </w:r>
            <w:r>
              <w:t xml:space="preserve"> through this SOE?</w:t>
            </w:r>
          </w:p>
        </w:tc>
        <w:tc>
          <w:tcPr>
            <w:tcW w:w="1980" w:type="dxa"/>
          </w:tcPr>
          <w:p w:rsidR="005F1C25" w:rsidRDefault="005F1C25" w:rsidP="00676231">
            <w:pPr>
              <w:pStyle w:val="Tablebullet"/>
              <w:cnfStyle w:val="000000000000" w:firstRow="0" w:lastRow="0" w:firstColumn="0" w:lastColumn="0" w:oddVBand="0" w:evenVBand="0" w:oddHBand="0" w:evenHBand="0" w:firstRowFirstColumn="0" w:firstRowLastColumn="0" w:lastRowFirstColumn="0" w:lastRowLastColumn="0"/>
            </w:pPr>
            <w:r>
              <w:t>What data and/or evidence is available to monitor and evaluate the delivery of the activities pursued to improve timeliness?</w:t>
            </w:r>
          </w:p>
          <w:p w:rsidR="005F1C25" w:rsidRDefault="005F1C25" w:rsidP="002F0D5B">
            <w:pPr>
              <w:pStyle w:val="Tablebullet"/>
              <w:cnfStyle w:val="000000000000" w:firstRow="0" w:lastRow="0" w:firstColumn="0" w:lastColumn="0" w:oddVBand="0" w:evenVBand="0" w:oddHBand="0" w:evenHBand="0" w:firstRowFirstColumn="0" w:firstRowLastColumn="0" w:lastRowFirstColumn="0" w:lastRowLastColumn="0"/>
            </w:pPr>
            <w:r>
              <w:t xml:space="preserve">Is there baseline data for the activity? (i.e. </w:t>
            </w:r>
            <w:r w:rsidR="002F0D5B">
              <w:t>I</w:t>
            </w:r>
            <w:r>
              <w:t xml:space="preserve">s there data </w:t>
            </w:r>
            <w:r w:rsidR="002F0D5B">
              <w:t xml:space="preserve">that </w:t>
            </w:r>
            <w:r>
              <w:t>could serve as a basis for comparison over time</w:t>
            </w:r>
            <w:r w:rsidR="002F0D5B">
              <w:t>?</w:t>
            </w:r>
            <w:r>
              <w:t>) If not, there should be a commitment to collect baseline data at a minimum.</w:t>
            </w:r>
          </w:p>
        </w:tc>
        <w:tc>
          <w:tcPr>
            <w:tcW w:w="2250" w:type="dxa"/>
          </w:tcPr>
          <w:p w:rsidR="005F1C25" w:rsidRDefault="005F1C25" w:rsidP="005B44F2">
            <w:pPr>
              <w:pStyle w:val="Tabletext"/>
              <w:cnfStyle w:val="000000000000" w:firstRow="0" w:lastRow="0" w:firstColumn="0" w:lastColumn="0" w:oddVBand="0" w:evenVBand="0" w:oddHBand="0" w:evenHBand="0" w:firstRowFirstColumn="0" w:firstRowLastColumn="0" w:lastRowFirstColumn="0" w:lastRowLastColumn="0"/>
            </w:pPr>
            <w:r>
              <w:t>Has the SOE contributed to identifying or furthering opportunities for performance improvement? (i.e. Did the SOE deliver performance improvements beyond business as usual activities? Have opportunities for performance improvement become evident through the SOE?</w:t>
            </w:r>
            <w:r w:rsidR="005E16A1">
              <w:t>)</w:t>
            </w:r>
          </w:p>
        </w:tc>
        <w:tc>
          <w:tcPr>
            <w:tcW w:w="1843" w:type="dxa"/>
          </w:tcPr>
          <w:p w:rsidR="005F1C25" w:rsidRDefault="005F1C25" w:rsidP="005B44F2">
            <w:pPr>
              <w:pStyle w:val="Tabletext"/>
              <w:cnfStyle w:val="000000000000" w:firstRow="0" w:lastRow="0" w:firstColumn="0" w:lastColumn="0" w:oddVBand="0" w:evenVBand="0" w:oddHBand="0" w:evenHBand="0" w:firstRowFirstColumn="0" w:firstRowLastColumn="0" w:lastRowFirstColumn="0" w:lastRowLastColumn="0"/>
            </w:pPr>
            <w:r>
              <w:t>Who will be responsible for collecting this data (name of departmental contact and team)</w:t>
            </w:r>
            <w:r w:rsidR="00AC2970">
              <w:t>?</w:t>
            </w:r>
          </w:p>
        </w:tc>
        <w:tc>
          <w:tcPr>
            <w:tcW w:w="1843" w:type="dxa"/>
          </w:tcPr>
          <w:p w:rsidR="005F1C25" w:rsidRDefault="005F1C25" w:rsidP="005B44F2">
            <w:pPr>
              <w:pStyle w:val="Tabletext"/>
              <w:cnfStyle w:val="000000000000" w:firstRow="0" w:lastRow="0" w:firstColumn="0" w:lastColumn="0" w:oddVBand="0" w:evenVBand="0" w:oddHBand="0" w:evenHBand="0" w:firstRowFirstColumn="0" w:firstRowLastColumn="0" w:lastRowFirstColumn="0" w:lastRowLastColumn="0"/>
            </w:pPr>
            <w:r>
              <w:t>When will this data be collected (timeline)</w:t>
            </w:r>
            <w:r w:rsidR="00AC2970">
              <w:t>?</w:t>
            </w:r>
          </w:p>
        </w:tc>
      </w:tr>
      <w:tr w:rsidR="005F1C25" w:rsidTr="00676231">
        <w:tc>
          <w:tcPr>
            <w:cnfStyle w:val="001000000000" w:firstRow="0" w:lastRow="0" w:firstColumn="1" w:lastColumn="0" w:oddVBand="0" w:evenVBand="0" w:oddHBand="0" w:evenHBand="0" w:firstRowFirstColumn="0" w:firstRowLastColumn="0" w:lastRowFirstColumn="0" w:lastRowLastColumn="0"/>
            <w:tcW w:w="2476" w:type="dxa"/>
          </w:tcPr>
          <w:p w:rsidR="005F1C25" w:rsidRDefault="005F1C25" w:rsidP="00676231">
            <w:pPr>
              <w:pStyle w:val="Tabletext"/>
            </w:pPr>
          </w:p>
        </w:tc>
        <w:tc>
          <w:tcPr>
            <w:tcW w:w="2790" w:type="dxa"/>
          </w:tcPr>
          <w:p w:rsidR="005F1C25" w:rsidRDefault="005F1C25" w:rsidP="00676231">
            <w:pPr>
              <w:pStyle w:val="Tabletext"/>
              <w:cnfStyle w:val="000000000000" w:firstRow="0" w:lastRow="0" w:firstColumn="0" w:lastColumn="0" w:oddVBand="0" w:evenVBand="0" w:oddHBand="0" w:evenHBand="0" w:firstRowFirstColumn="0" w:firstRowLastColumn="0" w:lastRowFirstColumn="0" w:lastRowLastColumn="0"/>
            </w:pPr>
            <w:r>
              <w:t xml:space="preserve">To what extent did the regulator improve </w:t>
            </w:r>
            <w:r>
              <w:rPr>
                <w:b/>
              </w:rPr>
              <w:t>risk-based strategies</w:t>
            </w:r>
            <w:r>
              <w:t xml:space="preserve"> through this SOE?</w:t>
            </w:r>
          </w:p>
        </w:tc>
        <w:tc>
          <w:tcPr>
            <w:tcW w:w="1980" w:type="dxa"/>
          </w:tcPr>
          <w:p w:rsidR="005F1C25" w:rsidRDefault="005F1C25" w:rsidP="00716810">
            <w:pPr>
              <w:spacing w:before="0" w:after="200"/>
              <w:cnfStyle w:val="000000000000" w:firstRow="0" w:lastRow="0" w:firstColumn="0" w:lastColumn="0" w:oddVBand="0" w:evenVBand="0" w:oddHBand="0" w:evenHBand="0" w:firstRowFirstColumn="0" w:firstRowLastColumn="0" w:lastRowFirstColumn="0" w:lastRowLastColumn="0"/>
            </w:pPr>
            <w:r>
              <w:t>As above</w:t>
            </w:r>
          </w:p>
        </w:tc>
        <w:tc>
          <w:tcPr>
            <w:tcW w:w="2250" w:type="dxa"/>
          </w:tcPr>
          <w:p w:rsidR="005F1C25" w:rsidRDefault="005F1C25" w:rsidP="00716810">
            <w:pPr>
              <w:spacing w:before="0" w:after="200"/>
              <w:cnfStyle w:val="000000000000" w:firstRow="0" w:lastRow="0" w:firstColumn="0" w:lastColumn="0" w:oddVBand="0" w:evenVBand="0" w:oddHBand="0" w:evenHBand="0" w:firstRowFirstColumn="0" w:firstRowLastColumn="0" w:lastRowFirstColumn="0" w:lastRowLastColumn="0"/>
            </w:pPr>
            <w:r>
              <w:t>As above</w:t>
            </w:r>
          </w:p>
        </w:tc>
        <w:tc>
          <w:tcPr>
            <w:tcW w:w="1843" w:type="dxa"/>
          </w:tcPr>
          <w:p w:rsidR="005F1C25" w:rsidRDefault="005F1C25" w:rsidP="00716810">
            <w:pPr>
              <w:spacing w:before="0" w:after="200"/>
              <w:cnfStyle w:val="000000000000" w:firstRow="0" w:lastRow="0" w:firstColumn="0" w:lastColumn="0" w:oddVBand="0" w:evenVBand="0" w:oddHBand="0" w:evenHBand="0" w:firstRowFirstColumn="0" w:firstRowLastColumn="0" w:lastRowFirstColumn="0" w:lastRowLastColumn="0"/>
            </w:pPr>
            <w:r>
              <w:t>As above</w:t>
            </w:r>
          </w:p>
        </w:tc>
        <w:tc>
          <w:tcPr>
            <w:tcW w:w="1843" w:type="dxa"/>
          </w:tcPr>
          <w:p w:rsidR="005F1C25" w:rsidRDefault="005F1C25" w:rsidP="00716810">
            <w:pPr>
              <w:spacing w:before="0" w:after="200"/>
              <w:cnfStyle w:val="000000000000" w:firstRow="0" w:lastRow="0" w:firstColumn="0" w:lastColumn="0" w:oddVBand="0" w:evenVBand="0" w:oddHBand="0" w:evenHBand="0" w:firstRowFirstColumn="0" w:firstRowLastColumn="0" w:lastRowFirstColumn="0" w:lastRowLastColumn="0"/>
            </w:pPr>
            <w:r>
              <w:t>As above</w:t>
            </w:r>
          </w:p>
        </w:tc>
      </w:tr>
      <w:tr w:rsidR="005F1C25" w:rsidTr="00676231">
        <w:tc>
          <w:tcPr>
            <w:cnfStyle w:val="001000000000" w:firstRow="0" w:lastRow="0" w:firstColumn="1" w:lastColumn="0" w:oddVBand="0" w:evenVBand="0" w:oddHBand="0" w:evenHBand="0" w:firstRowFirstColumn="0" w:firstRowLastColumn="0" w:lastRowFirstColumn="0" w:lastRowLastColumn="0"/>
            <w:tcW w:w="2476" w:type="dxa"/>
          </w:tcPr>
          <w:p w:rsidR="005F1C25" w:rsidRDefault="005F1C25" w:rsidP="00676231">
            <w:pPr>
              <w:pStyle w:val="Tabletext"/>
            </w:pPr>
          </w:p>
        </w:tc>
        <w:tc>
          <w:tcPr>
            <w:tcW w:w="2790" w:type="dxa"/>
          </w:tcPr>
          <w:p w:rsidR="005F1C25" w:rsidRDefault="005F1C25" w:rsidP="00676231">
            <w:pPr>
              <w:pStyle w:val="Tabletext"/>
              <w:cnfStyle w:val="000000000000" w:firstRow="0" w:lastRow="0" w:firstColumn="0" w:lastColumn="0" w:oddVBand="0" w:evenVBand="0" w:oddHBand="0" w:evenHBand="0" w:firstRowFirstColumn="0" w:firstRowLastColumn="0" w:lastRowFirstColumn="0" w:lastRowLastColumn="0"/>
            </w:pPr>
            <w:r>
              <w:t xml:space="preserve">To what extent did the regulator improve </w:t>
            </w:r>
            <w:r>
              <w:rPr>
                <w:b/>
              </w:rPr>
              <w:t>compliance</w:t>
            </w:r>
            <w:r w:rsidR="00AC2970">
              <w:rPr>
                <w:b/>
              </w:rPr>
              <w:t>-</w:t>
            </w:r>
            <w:r>
              <w:rPr>
                <w:b/>
              </w:rPr>
              <w:t>related assistance and advice</w:t>
            </w:r>
            <w:r>
              <w:t xml:space="preserve"> through this SOE?</w:t>
            </w:r>
          </w:p>
        </w:tc>
        <w:tc>
          <w:tcPr>
            <w:tcW w:w="1980" w:type="dxa"/>
          </w:tcPr>
          <w:p w:rsidR="005F1C25" w:rsidRDefault="005F1C25" w:rsidP="00240AC7">
            <w:pPr>
              <w:spacing w:before="0" w:after="200"/>
              <w:cnfStyle w:val="000000000000" w:firstRow="0" w:lastRow="0" w:firstColumn="0" w:lastColumn="0" w:oddVBand="0" w:evenVBand="0" w:oddHBand="0" w:evenHBand="0" w:firstRowFirstColumn="0" w:firstRowLastColumn="0" w:lastRowFirstColumn="0" w:lastRowLastColumn="0"/>
            </w:pPr>
            <w:r>
              <w:t>As above</w:t>
            </w:r>
          </w:p>
        </w:tc>
        <w:tc>
          <w:tcPr>
            <w:tcW w:w="2250" w:type="dxa"/>
          </w:tcPr>
          <w:p w:rsidR="005F1C25" w:rsidRDefault="005F1C25" w:rsidP="00240AC7">
            <w:pPr>
              <w:spacing w:before="0" w:after="200"/>
              <w:cnfStyle w:val="000000000000" w:firstRow="0" w:lastRow="0" w:firstColumn="0" w:lastColumn="0" w:oddVBand="0" w:evenVBand="0" w:oddHBand="0" w:evenHBand="0" w:firstRowFirstColumn="0" w:firstRowLastColumn="0" w:lastRowFirstColumn="0" w:lastRowLastColumn="0"/>
            </w:pPr>
            <w:r>
              <w:t>As above</w:t>
            </w:r>
          </w:p>
        </w:tc>
        <w:tc>
          <w:tcPr>
            <w:tcW w:w="1843" w:type="dxa"/>
          </w:tcPr>
          <w:p w:rsidR="005F1C25" w:rsidRDefault="005F1C25" w:rsidP="00240AC7">
            <w:pPr>
              <w:spacing w:before="0" w:after="200"/>
              <w:cnfStyle w:val="000000000000" w:firstRow="0" w:lastRow="0" w:firstColumn="0" w:lastColumn="0" w:oddVBand="0" w:evenVBand="0" w:oddHBand="0" w:evenHBand="0" w:firstRowFirstColumn="0" w:firstRowLastColumn="0" w:lastRowFirstColumn="0" w:lastRowLastColumn="0"/>
            </w:pPr>
            <w:r>
              <w:t>As above</w:t>
            </w:r>
          </w:p>
        </w:tc>
        <w:tc>
          <w:tcPr>
            <w:tcW w:w="1843" w:type="dxa"/>
          </w:tcPr>
          <w:p w:rsidR="005F1C25" w:rsidRDefault="005F1C25" w:rsidP="00240AC7">
            <w:pPr>
              <w:spacing w:before="0" w:after="200"/>
              <w:cnfStyle w:val="000000000000" w:firstRow="0" w:lastRow="0" w:firstColumn="0" w:lastColumn="0" w:oddVBand="0" w:evenVBand="0" w:oddHBand="0" w:evenHBand="0" w:firstRowFirstColumn="0" w:firstRowLastColumn="0" w:lastRowFirstColumn="0" w:lastRowLastColumn="0"/>
            </w:pPr>
            <w:r>
              <w:t>As above</w:t>
            </w:r>
          </w:p>
        </w:tc>
      </w:tr>
      <w:tr w:rsidR="005F1C25" w:rsidTr="00676231">
        <w:tc>
          <w:tcPr>
            <w:cnfStyle w:val="001000000000" w:firstRow="0" w:lastRow="0" w:firstColumn="1" w:lastColumn="0" w:oddVBand="0" w:evenVBand="0" w:oddHBand="0" w:evenHBand="0" w:firstRowFirstColumn="0" w:firstRowLastColumn="0" w:lastRowFirstColumn="0" w:lastRowLastColumn="0"/>
            <w:tcW w:w="2476" w:type="dxa"/>
          </w:tcPr>
          <w:p w:rsidR="005F1C25" w:rsidRDefault="005F1C25" w:rsidP="00676231">
            <w:pPr>
              <w:pStyle w:val="Tabletext"/>
            </w:pPr>
          </w:p>
        </w:tc>
        <w:tc>
          <w:tcPr>
            <w:tcW w:w="2790" w:type="dxa"/>
          </w:tcPr>
          <w:p w:rsidR="005F1C25" w:rsidRDefault="005F1C25" w:rsidP="00676231">
            <w:pPr>
              <w:pStyle w:val="Tabletext"/>
              <w:cnfStyle w:val="000000000000" w:firstRow="0" w:lastRow="0" w:firstColumn="0" w:lastColumn="0" w:oddVBand="0" w:evenVBand="0" w:oddHBand="0" w:evenHBand="0" w:firstRowFirstColumn="0" w:firstRowLastColumn="0" w:lastRowFirstColumn="0" w:lastRowLastColumn="0"/>
            </w:pPr>
            <w:r>
              <w:t xml:space="preserve">To what extent did the regulator improve </w:t>
            </w:r>
            <w:r w:rsidR="00AC2970">
              <w:rPr>
                <w:b/>
              </w:rPr>
              <w:t>(</w:t>
            </w:r>
            <w:r w:rsidRPr="00993D7E">
              <w:rPr>
                <w:b/>
              </w:rPr>
              <w:t>identify relevant element of good regulatory practice]</w:t>
            </w:r>
            <w:r>
              <w:t xml:space="preserve"> through this SOE?</w:t>
            </w:r>
            <w:r w:rsidRPr="00993D7E">
              <w:rPr>
                <w:vertAlign w:val="superscript"/>
              </w:rPr>
              <w:t>(b)</w:t>
            </w:r>
          </w:p>
        </w:tc>
        <w:tc>
          <w:tcPr>
            <w:tcW w:w="1980" w:type="dxa"/>
          </w:tcPr>
          <w:p w:rsidR="005F1C25" w:rsidRDefault="005F1C25" w:rsidP="00240AC7">
            <w:pPr>
              <w:spacing w:before="0" w:after="200"/>
              <w:cnfStyle w:val="000000000000" w:firstRow="0" w:lastRow="0" w:firstColumn="0" w:lastColumn="0" w:oddVBand="0" w:evenVBand="0" w:oddHBand="0" w:evenHBand="0" w:firstRowFirstColumn="0" w:firstRowLastColumn="0" w:lastRowFirstColumn="0" w:lastRowLastColumn="0"/>
            </w:pPr>
            <w:r>
              <w:t>As above</w:t>
            </w:r>
          </w:p>
        </w:tc>
        <w:tc>
          <w:tcPr>
            <w:tcW w:w="2250" w:type="dxa"/>
          </w:tcPr>
          <w:p w:rsidR="005F1C25" w:rsidRDefault="005F1C25" w:rsidP="00240AC7">
            <w:pPr>
              <w:spacing w:before="0" w:after="200"/>
              <w:cnfStyle w:val="000000000000" w:firstRow="0" w:lastRow="0" w:firstColumn="0" w:lastColumn="0" w:oddVBand="0" w:evenVBand="0" w:oddHBand="0" w:evenHBand="0" w:firstRowFirstColumn="0" w:firstRowLastColumn="0" w:lastRowFirstColumn="0" w:lastRowLastColumn="0"/>
            </w:pPr>
            <w:r>
              <w:t>As above</w:t>
            </w:r>
          </w:p>
        </w:tc>
        <w:tc>
          <w:tcPr>
            <w:tcW w:w="1843" w:type="dxa"/>
          </w:tcPr>
          <w:p w:rsidR="005F1C25" w:rsidRDefault="005F1C25" w:rsidP="00240AC7">
            <w:pPr>
              <w:spacing w:before="0" w:after="200"/>
              <w:cnfStyle w:val="000000000000" w:firstRow="0" w:lastRow="0" w:firstColumn="0" w:lastColumn="0" w:oddVBand="0" w:evenVBand="0" w:oddHBand="0" w:evenHBand="0" w:firstRowFirstColumn="0" w:firstRowLastColumn="0" w:lastRowFirstColumn="0" w:lastRowLastColumn="0"/>
            </w:pPr>
            <w:r>
              <w:t>As above</w:t>
            </w:r>
          </w:p>
        </w:tc>
        <w:tc>
          <w:tcPr>
            <w:tcW w:w="1843" w:type="dxa"/>
          </w:tcPr>
          <w:p w:rsidR="005F1C25" w:rsidRDefault="005F1C25" w:rsidP="00240AC7">
            <w:pPr>
              <w:spacing w:before="0" w:after="200"/>
              <w:cnfStyle w:val="000000000000" w:firstRow="0" w:lastRow="0" w:firstColumn="0" w:lastColumn="0" w:oddVBand="0" w:evenVBand="0" w:oddHBand="0" w:evenHBand="0" w:firstRowFirstColumn="0" w:firstRowLastColumn="0" w:lastRowFirstColumn="0" w:lastRowLastColumn="0"/>
            </w:pPr>
            <w:r>
              <w:t>As above</w:t>
            </w:r>
          </w:p>
        </w:tc>
      </w:tr>
    </w:tbl>
    <w:p w:rsidR="00993D7E" w:rsidRPr="00676231" w:rsidRDefault="00993D7E" w:rsidP="00676231">
      <w:pPr>
        <w:pStyle w:val="NoteNormalindent"/>
      </w:pPr>
      <w:r w:rsidRPr="00676231">
        <w:t>(a) The sub-questions relate to the elements of good regulatory practice</w:t>
      </w:r>
      <w:r w:rsidR="00571E90" w:rsidRPr="00676231">
        <w:t xml:space="preserve"> (refer to page 3)</w:t>
      </w:r>
      <w:r w:rsidRPr="00676231">
        <w:t xml:space="preserve">. </w:t>
      </w:r>
    </w:p>
    <w:p w:rsidR="00993D7E" w:rsidRPr="00676231" w:rsidRDefault="00993D7E" w:rsidP="00676231">
      <w:pPr>
        <w:pStyle w:val="NoteNormalindent"/>
      </w:pPr>
      <w:r w:rsidRPr="00676231">
        <w:t>(b) Taking into account the proportionality principle, select one to five additional elements of good regulatory practice to evaluate.</w:t>
      </w:r>
    </w:p>
    <w:p w:rsidR="00716810" w:rsidRPr="00716810" w:rsidRDefault="00716810" w:rsidP="00716810">
      <w:pPr>
        <w:pStyle w:val="NormalIndent"/>
      </w:pPr>
    </w:p>
    <w:p w:rsidR="00D575E4" w:rsidRDefault="009752E7" w:rsidP="00D575E4">
      <w:pPr>
        <w:pStyle w:val="Heading2numbered"/>
      </w:pPr>
      <w:bookmarkStart w:id="27" w:name="_Toc503969045"/>
      <w:r>
        <w:lastRenderedPageBreak/>
        <w:t>Examples</w:t>
      </w:r>
      <w:bookmarkEnd w:id="27"/>
    </w:p>
    <w:tbl>
      <w:tblPr>
        <w:tblStyle w:val="DTFtexttableindent"/>
        <w:tblW w:w="13213" w:type="dxa"/>
        <w:tblLayout w:type="fixed"/>
        <w:tblLook w:val="0220" w:firstRow="1" w:lastRow="0" w:firstColumn="0" w:lastColumn="0" w:noHBand="1" w:noVBand="0"/>
      </w:tblPr>
      <w:tblGrid>
        <w:gridCol w:w="3556"/>
        <w:gridCol w:w="3420"/>
        <w:gridCol w:w="6237"/>
      </w:tblGrid>
      <w:tr w:rsidR="00D575E4" w:rsidRPr="00B85EAE" w:rsidTr="0067623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56" w:type="dxa"/>
          </w:tcPr>
          <w:p w:rsidR="00D575E4" w:rsidRPr="00B85EAE" w:rsidRDefault="00D575E4" w:rsidP="00676231">
            <w:pPr>
              <w:pStyle w:val="Tableheader"/>
              <w:rPr>
                <w:b w:val="0"/>
                <w:szCs w:val="18"/>
              </w:rPr>
            </w:pPr>
            <w:r w:rsidRPr="00B85EAE">
              <w:rPr>
                <w:szCs w:val="18"/>
              </w:rPr>
              <w:t>Which element of good regulatory practice does the improvement strategy relate to?</w:t>
            </w:r>
          </w:p>
        </w:tc>
        <w:tc>
          <w:tcPr>
            <w:cnfStyle w:val="000001000000" w:firstRow="0" w:lastRow="0" w:firstColumn="0" w:lastColumn="0" w:oddVBand="0" w:evenVBand="1" w:oddHBand="0" w:evenHBand="0" w:firstRowFirstColumn="0" w:firstRowLastColumn="0" w:lastRowFirstColumn="0" w:lastRowLastColumn="0"/>
            <w:tcW w:w="3420" w:type="dxa"/>
          </w:tcPr>
          <w:p w:rsidR="00D575E4" w:rsidRPr="00B85EAE" w:rsidRDefault="00D575E4" w:rsidP="00676231">
            <w:pPr>
              <w:pStyle w:val="Tableheader"/>
              <w:rPr>
                <w:b w:val="0"/>
                <w:szCs w:val="18"/>
              </w:rPr>
            </w:pPr>
            <w:r w:rsidRPr="00B85EAE">
              <w:rPr>
                <w:szCs w:val="18"/>
              </w:rPr>
              <w:t>What is the improvement strategy?</w:t>
            </w:r>
          </w:p>
        </w:tc>
        <w:tc>
          <w:tcPr>
            <w:cnfStyle w:val="000010000000" w:firstRow="0" w:lastRow="0" w:firstColumn="0" w:lastColumn="0" w:oddVBand="1" w:evenVBand="0" w:oddHBand="0" w:evenHBand="0" w:firstRowFirstColumn="0" w:firstRowLastColumn="0" w:lastRowFirstColumn="0" w:lastRowLastColumn="0"/>
            <w:tcW w:w="6237" w:type="dxa"/>
          </w:tcPr>
          <w:p w:rsidR="00D575E4" w:rsidRPr="00B85EAE" w:rsidRDefault="00D575E4" w:rsidP="00676231">
            <w:pPr>
              <w:pStyle w:val="Tableheader"/>
              <w:rPr>
                <w:b w:val="0"/>
                <w:szCs w:val="18"/>
              </w:rPr>
            </w:pPr>
            <w:r w:rsidRPr="00B85EAE">
              <w:rPr>
                <w:szCs w:val="18"/>
              </w:rPr>
              <w:t>What are the specific activities to be conducted?</w:t>
            </w:r>
          </w:p>
        </w:tc>
      </w:tr>
      <w:tr w:rsidR="00D575E4" w:rsidTr="00676231">
        <w:tc>
          <w:tcPr>
            <w:cnfStyle w:val="000010000000" w:firstRow="0" w:lastRow="0" w:firstColumn="0" w:lastColumn="0" w:oddVBand="1" w:evenVBand="0" w:oddHBand="0" w:evenHBand="0" w:firstRowFirstColumn="0" w:firstRowLastColumn="0" w:lastRowFirstColumn="0" w:lastRowLastColumn="0"/>
            <w:tcW w:w="3556" w:type="dxa"/>
          </w:tcPr>
          <w:p w:rsidR="00D575E4" w:rsidRDefault="00D575E4" w:rsidP="00676231">
            <w:pPr>
              <w:pStyle w:val="Tabletext"/>
            </w:pPr>
            <w:r>
              <w:t>Risk-based regulation</w:t>
            </w:r>
          </w:p>
          <w:p w:rsidR="00D575E4" w:rsidRDefault="00D575E4" w:rsidP="00676231">
            <w:pPr>
              <w:pStyle w:val="Tabletext"/>
            </w:pPr>
            <w:r>
              <w:t>Timeliness</w:t>
            </w:r>
          </w:p>
        </w:tc>
        <w:tc>
          <w:tcPr>
            <w:cnfStyle w:val="000001000000" w:firstRow="0" w:lastRow="0" w:firstColumn="0" w:lastColumn="0" w:oddVBand="0" w:evenVBand="1" w:oddHBand="0" w:evenHBand="0" w:firstRowFirstColumn="0" w:firstRowLastColumn="0" w:lastRowFirstColumn="0" w:lastRowLastColumn="0"/>
            <w:tcW w:w="3420" w:type="dxa"/>
          </w:tcPr>
          <w:p w:rsidR="00D575E4" w:rsidRPr="00676231" w:rsidRDefault="00D575E4" w:rsidP="00676231">
            <w:pPr>
              <w:pStyle w:val="Tabletext"/>
            </w:pPr>
            <w:r>
              <w:t>To apply</w:t>
            </w:r>
            <w:r w:rsidRPr="00730EAF">
              <w:t xml:space="preserve"> </w:t>
            </w:r>
            <w:r>
              <w:t>the newly developed risk-based approach</w:t>
            </w:r>
            <w:r w:rsidRPr="00730EAF">
              <w:t xml:space="preserve"> to licensing and compliance activities.</w:t>
            </w:r>
          </w:p>
        </w:tc>
        <w:tc>
          <w:tcPr>
            <w:cnfStyle w:val="000010000000" w:firstRow="0" w:lastRow="0" w:firstColumn="0" w:lastColumn="0" w:oddVBand="1" w:evenVBand="0" w:oddHBand="0" w:evenHBand="0" w:firstRowFirstColumn="0" w:firstRowLastColumn="0" w:lastRowFirstColumn="0" w:lastRowLastColumn="0"/>
            <w:tcW w:w="6237" w:type="dxa"/>
          </w:tcPr>
          <w:p w:rsidR="00D575E4" w:rsidRDefault="00D87C2E" w:rsidP="00676231">
            <w:pPr>
              <w:pStyle w:val="Tabletext"/>
            </w:pPr>
            <w:r>
              <w:t>Simplify</w:t>
            </w:r>
            <w:r w:rsidR="00D575E4" w:rsidRPr="00730EAF">
              <w:t xml:space="preserve"> processes for low risk</w:t>
            </w:r>
            <w:r w:rsidR="00D575E4">
              <w:t xml:space="preserve"> </w:t>
            </w:r>
            <w:r w:rsidR="00D575E4" w:rsidRPr="00730EAF">
              <w:t>and transfer applications</w:t>
            </w:r>
            <w:r w:rsidR="00D575E4">
              <w:t>.</w:t>
            </w:r>
          </w:p>
          <w:p w:rsidR="00D575E4" w:rsidRDefault="00D575E4" w:rsidP="00676231">
            <w:pPr>
              <w:pStyle w:val="Tabletext"/>
            </w:pPr>
            <w:r>
              <w:t>Develop capability for</w:t>
            </w:r>
            <w:r w:rsidRPr="00730EAF">
              <w:t xml:space="preserve"> applicants to lodge their</w:t>
            </w:r>
            <w:r>
              <w:t xml:space="preserve"> </w:t>
            </w:r>
            <w:r w:rsidRPr="00730EAF">
              <w:t>temporary limited licence applications online.</w:t>
            </w:r>
          </w:p>
          <w:p w:rsidR="00D575E4" w:rsidRDefault="00D575E4" w:rsidP="00676231">
            <w:pPr>
              <w:pStyle w:val="Tabletext"/>
            </w:pPr>
            <w:r>
              <w:t>Simplify</w:t>
            </w:r>
            <w:r w:rsidRPr="00730EAF">
              <w:t xml:space="preserve"> the process for</w:t>
            </w:r>
            <w:r>
              <w:t xml:space="preserve"> transfer </w:t>
            </w:r>
            <w:r w:rsidRPr="00730EAF">
              <w:t xml:space="preserve">applicants </w:t>
            </w:r>
            <w:r>
              <w:t>and reduce the number of documents required for evidence. Change process so that form can only be submitted after settlement has occurred.</w:t>
            </w:r>
          </w:p>
          <w:p w:rsidR="00D575E4" w:rsidRDefault="00D575E4" w:rsidP="00676231">
            <w:pPr>
              <w:pStyle w:val="Tabletext"/>
            </w:pPr>
            <w:r>
              <w:t>Make new form available on VCGLR website.</w:t>
            </w:r>
          </w:p>
        </w:tc>
      </w:tr>
    </w:tbl>
    <w:p w:rsidR="00676231" w:rsidRDefault="00676231" w:rsidP="00676231">
      <w:pPr>
        <w:pStyle w:val="Spacer"/>
      </w:pPr>
    </w:p>
    <w:p w:rsidR="00D575E4" w:rsidRPr="00AC2970" w:rsidRDefault="00D575E4" w:rsidP="00676231">
      <w:pPr>
        <w:pStyle w:val="NormalIndent"/>
        <w:rPr>
          <w:rFonts w:eastAsiaTheme="minorHAnsi"/>
          <w:sz w:val="17"/>
          <w:szCs w:val="21"/>
          <w:lang w:eastAsia="en-US"/>
        </w:rPr>
      </w:pPr>
      <w:r w:rsidRPr="00AC2970">
        <w:rPr>
          <w:rFonts w:eastAsiaTheme="minorHAnsi"/>
          <w:sz w:val="17"/>
          <w:szCs w:val="21"/>
          <w:lang w:eastAsia="en-US"/>
        </w:rPr>
        <w:t>For further information, see VCGLR Annual Report 2015–16, p. 26.</w:t>
      </w:r>
    </w:p>
    <w:tbl>
      <w:tblPr>
        <w:tblStyle w:val="DTFtexttableindent"/>
        <w:tblW w:w="13182" w:type="dxa"/>
        <w:tblLook w:val="04A0" w:firstRow="1" w:lastRow="0" w:firstColumn="1" w:lastColumn="0" w:noHBand="0" w:noVBand="1"/>
      </w:tblPr>
      <w:tblGrid>
        <w:gridCol w:w="2476"/>
        <w:gridCol w:w="2340"/>
        <w:gridCol w:w="2430"/>
        <w:gridCol w:w="2250"/>
        <w:gridCol w:w="1843"/>
        <w:gridCol w:w="1843"/>
      </w:tblGrid>
      <w:tr w:rsidR="00D575E4" w:rsidRPr="00B85EAE" w:rsidTr="005B44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76" w:type="dxa"/>
          </w:tcPr>
          <w:p w:rsidR="00D575E4" w:rsidRPr="00B85EAE" w:rsidRDefault="00D575E4" w:rsidP="00676231">
            <w:pPr>
              <w:pStyle w:val="Tableheader"/>
              <w:rPr>
                <w:szCs w:val="18"/>
              </w:rPr>
            </w:pPr>
            <w:r w:rsidRPr="00B85EAE">
              <w:rPr>
                <w:szCs w:val="18"/>
              </w:rPr>
              <w:t xml:space="preserve">Key </w:t>
            </w:r>
            <w:r w:rsidR="00676231" w:rsidRPr="00B85EAE">
              <w:rPr>
                <w:szCs w:val="18"/>
              </w:rPr>
              <w:t>evaluation question</w:t>
            </w:r>
          </w:p>
        </w:tc>
        <w:tc>
          <w:tcPr>
            <w:tcW w:w="2340" w:type="dxa"/>
          </w:tcPr>
          <w:p w:rsidR="00D575E4" w:rsidRPr="00B85EAE" w:rsidRDefault="00D575E4" w:rsidP="00676231">
            <w:pPr>
              <w:pStyle w:val="Tableheader"/>
              <w:cnfStyle w:val="100000000000" w:firstRow="1" w:lastRow="0" w:firstColumn="0" w:lastColumn="0" w:oddVBand="0" w:evenVBand="0" w:oddHBand="0" w:evenHBand="0" w:firstRowFirstColumn="0" w:firstRowLastColumn="0" w:lastRowFirstColumn="0" w:lastRowLastColumn="0"/>
              <w:rPr>
                <w:szCs w:val="18"/>
              </w:rPr>
            </w:pPr>
            <w:r w:rsidRPr="00B85EAE">
              <w:rPr>
                <w:szCs w:val="18"/>
              </w:rPr>
              <w:t>Sub-questions</w:t>
            </w:r>
          </w:p>
        </w:tc>
        <w:tc>
          <w:tcPr>
            <w:tcW w:w="2430" w:type="dxa"/>
          </w:tcPr>
          <w:p w:rsidR="00D575E4" w:rsidRPr="00B85EAE" w:rsidRDefault="00D575E4" w:rsidP="00676231">
            <w:pPr>
              <w:pStyle w:val="Tableheader"/>
              <w:cnfStyle w:val="100000000000" w:firstRow="1" w:lastRow="0" w:firstColumn="0" w:lastColumn="0" w:oddVBand="0" w:evenVBand="0" w:oddHBand="0" w:evenHBand="0" w:firstRowFirstColumn="0" w:firstRowLastColumn="0" w:lastRowFirstColumn="0" w:lastRowLastColumn="0"/>
              <w:rPr>
                <w:szCs w:val="18"/>
              </w:rPr>
            </w:pPr>
            <w:r w:rsidRPr="00B85EAE">
              <w:rPr>
                <w:szCs w:val="18"/>
              </w:rPr>
              <w:t>Data collection</w:t>
            </w:r>
          </w:p>
        </w:tc>
        <w:tc>
          <w:tcPr>
            <w:tcW w:w="2250" w:type="dxa"/>
          </w:tcPr>
          <w:p w:rsidR="00D575E4" w:rsidRPr="00B85EAE" w:rsidRDefault="00D575E4" w:rsidP="00676231">
            <w:pPr>
              <w:pStyle w:val="Tableheader"/>
              <w:cnfStyle w:val="100000000000" w:firstRow="1" w:lastRow="0" w:firstColumn="0" w:lastColumn="0" w:oddVBand="0" w:evenVBand="0" w:oddHBand="0" w:evenHBand="0" w:firstRowFirstColumn="0" w:firstRowLastColumn="0" w:lastRowFirstColumn="0" w:lastRowLastColumn="0"/>
              <w:rPr>
                <w:szCs w:val="18"/>
              </w:rPr>
            </w:pPr>
            <w:r w:rsidRPr="00B85EAE">
              <w:rPr>
                <w:szCs w:val="18"/>
              </w:rPr>
              <w:t>Criteria for judgement</w:t>
            </w:r>
          </w:p>
        </w:tc>
        <w:tc>
          <w:tcPr>
            <w:tcW w:w="1843" w:type="dxa"/>
          </w:tcPr>
          <w:p w:rsidR="00D575E4" w:rsidRPr="00B85EAE" w:rsidRDefault="00D575E4" w:rsidP="00676231">
            <w:pPr>
              <w:pStyle w:val="Tableheader"/>
              <w:cnfStyle w:val="100000000000" w:firstRow="1" w:lastRow="0" w:firstColumn="0" w:lastColumn="0" w:oddVBand="0" w:evenVBand="0" w:oddHBand="0" w:evenHBand="0" w:firstRowFirstColumn="0" w:firstRowLastColumn="0" w:lastRowFirstColumn="0" w:lastRowLastColumn="0"/>
              <w:rPr>
                <w:szCs w:val="18"/>
              </w:rPr>
            </w:pPr>
            <w:r w:rsidRPr="00B85EAE">
              <w:rPr>
                <w:szCs w:val="18"/>
              </w:rPr>
              <w:t>Responsibility</w:t>
            </w:r>
          </w:p>
        </w:tc>
        <w:tc>
          <w:tcPr>
            <w:tcW w:w="1843" w:type="dxa"/>
          </w:tcPr>
          <w:p w:rsidR="00D575E4" w:rsidRPr="00B85EAE" w:rsidRDefault="00D575E4" w:rsidP="00676231">
            <w:pPr>
              <w:pStyle w:val="Tableheader"/>
              <w:cnfStyle w:val="100000000000" w:firstRow="1" w:lastRow="0" w:firstColumn="0" w:lastColumn="0" w:oddVBand="0" w:evenVBand="0" w:oddHBand="0" w:evenHBand="0" w:firstRowFirstColumn="0" w:firstRowLastColumn="0" w:lastRowFirstColumn="0" w:lastRowLastColumn="0"/>
              <w:rPr>
                <w:szCs w:val="18"/>
              </w:rPr>
            </w:pPr>
            <w:r w:rsidRPr="00B85EAE">
              <w:rPr>
                <w:szCs w:val="18"/>
              </w:rPr>
              <w:t>Timing</w:t>
            </w:r>
          </w:p>
        </w:tc>
      </w:tr>
      <w:tr w:rsidR="00D575E4" w:rsidTr="005B44F2">
        <w:tc>
          <w:tcPr>
            <w:cnfStyle w:val="001000000000" w:firstRow="0" w:lastRow="0" w:firstColumn="1" w:lastColumn="0" w:oddVBand="0" w:evenVBand="0" w:oddHBand="0" w:evenHBand="0" w:firstRowFirstColumn="0" w:firstRowLastColumn="0" w:lastRowFirstColumn="0" w:lastRowLastColumn="0"/>
            <w:tcW w:w="2476" w:type="dxa"/>
          </w:tcPr>
          <w:p w:rsidR="00D575E4" w:rsidRDefault="00D575E4" w:rsidP="00676231">
            <w:pPr>
              <w:pStyle w:val="Tabletext"/>
            </w:pPr>
            <w:r>
              <w:t>What difference did the SOE make towards achieving greater efficiency and effectiveness in the administration and enforcement of regulation?</w:t>
            </w:r>
          </w:p>
        </w:tc>
        <w:tc>
          <w:tcPr>
            <w:tcW w:w="2340" w:type="dxa"/>
          </w:tcPr>
          <w:p w:rsidR="00D575E4" w:rsidRDefault="00D575E4" w:rsidP="00676231">
            <w:pPr>
              <w:pStyle w:val="Tabletext"/>
              <w:cnfStyle w:val="000000000000" w:firstRow="0" w:lastRow="0" w:firstColumn="0" w:lastColumn="0" w:oddVBand="0" w:evenVBand="0" w:oddHBand="0" w:evenHBand="0" w:firstRowFirstColumn="0" w:firstRowLastColumn="0" w:lastRowFirstColumn="0" w:lastRowLastColumn="0"/>
            </w:pPr>
            <w:r>
              <w:t xml:space="preserve">To what extent did the regulator improve </w:t>
            </w:r>
            <w:r w:rsidRPr="00716810">
              <w:rPr>
                <w:b/>
              </w:rPr>
              <w:t>timeliness</w:t>
            </w:r>
            <w:r>
              <w:t xml:space="preserve"> through this SOE?</w:t>
            </w:r>
          </w:p>
        </w:tc>
        <w:tc>
          <w:tcPr>
            <w:tcW w:w="2430" w:type="dxa"/>
          </w:tcPr>
          <w:p w:rsidR="00D575E4" w:rsidRPr="00D575E4" w:rsidRDefault="00D575E4" w:rsidP="00676231">
            <w:pPr>
              <w:pStyle w:val="Tablebullet"/>
              <w:cnfStyle w:val="000000000000" w:firstRow="0" w:lastRow="0" w:firstColumn="0" w:lastColumn="0" w:oddVBand="0" w:evenVBand="0" w:oddHBand="0" w:evenHBand="0" w:firstRowFirstColumn="0" w:firstRowLastColumn="0" w:lastRowFirstColumn="0" w:lastRowLastColumn="0"/>
            </w:pPr>
            <w:r w:rsidRPr="00D575E4">
              <w:t>N</w:t>
            </w:r>
            <w:r w:rsidR="00AC2970">
              <w:t>umber</w:t>
            </w:r>
            <w:r w:rsidRPr="00D575E4">
              <w:t xml:space="preserve"> of temporary limited licence applications made online.</w:t>
            </w:r>
          </w:p>
          <w:p w:rsidR="00D575E4" w:rsidRPr="00D575E4" w:rsidRDefault="00D575E4" w:rsidP="00676231">
            <w:pPr>
              <w:pStyle w:val="Tablebullet"/>
              <w:cnfStyle w:val="000000000000" w:firstRow="0" w:lastRow="0" w:firstColumn="0" w:lastColumn="0" w:oddVBand="0" w:evenVBand="0" w:oddHBand="0" w:evenHBand="0" w:firstRowFirstColumn="0" w:firstRowLastColumn="0" w:lastRowFirstColumn="0" w:lastRowLastColumn="0"/>
            </w:pPr>
            <w:r w:rsidRPr="00D575E4">
              <w:t>Average determination times for temporary limited licences.</w:t>
            </w:r>
          </w:p>
          <w:p w:rsidR="00D575E4" w:rsidRPr="00D575E4" w:rsidRDefault="00AC2970" w:rsidP="00676231">
            <w:pPr>
              <w:pStyle w:val="Tablebullet"/>
              <w:cnfStyle w:val="000000000000" w:firstRow="0" w:lastRow="0" w:firstColumn="0" w:lastColumn="0" w:oddVBand="0" w:evenVBand="0" w:oddHBand="0" w:evenHBand="0" w:firstRowFirstColumn="0" w:firstRowLastColumn="0" w:lastRowFirstColumn="0" w:lastRowLastColumn="0"/>
            </w:pPr>
            <w:r>
              <w:t xml:space="preserve">Number </w:t>
            </w:r>
            <w:r w:rsidR="00D575E4" w:rsidRPr="00D575E4">
              <w:t>of transfer applications.</w:t>
            </w:r>
          </w:p>
          <w:p w:rsidR="00D575E4" w:rsidRPr="00D575E4" w:rsidRDefault="00D575E4" w:rsidP="00676231">
            <w:pPr>
              <w:pStyle w:val="Tablebullet"/>
              <w:cnfStyle w:val="000000000000" w:firstRow="0" w:lastRow="0" w:firstColumn="0" w:lastColumn="0" w:oddVBand="0" w:evenVBand="0" w:oddHBand="0" w:evenHBand="0" w:firstRowFirstColumn="0" w:firstRowLastColumn="0" w:lastRowFirstColumn="0" w:lastRowLastColumn="0"/>
            </w:pPr>
            <w:r w:rsidRPr="00D575E4">
              <w:t>Average determination times for transfer of applications.</w:t>
            </w:r>
          </w:p>
        </w:tc>
        <w:tc>
          <w:tcPr>
            <w:tcW w:w="2250" w:type="dxa"/>
          </w:tcPr>
          <w:p w:rsidR="00D575E4" w:rsidRDefault="00D575E4" w:rsidP="00D575E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Targets could include: </w:t>
            </w:r>
          </w:p>
          <w:p w:rsidR="00D575E4" w:rsidRDefault="00D575E4" w:rsidP="00676231">
            <w:pPr>
              <w:pStyle w:val="Tablebullet"/>
              <w:cnfStyle w:val="000000000000" w:firstRow="0" w:lastRow="0" w:firstColumn="0" w:lastColumn="0" w:oddVBand="0" w:evenVBand="0" w:oddHBand="0" w:evenHBand="0" w:firstRowFirstColumn="0" w:firstRowLastColumn="0" w:lastRowFirstColumn="0" w:lastRowLastColumn="0"/>
            </w:pPr>
            <w:r>
              <w:t>%</w:t>
            </w:r>
            <w:r w:rsidRPr="009C1A3B">
              <w:t xml:space="preserve"> improvement in </w:t>
            </w:r>
            <w:r>
              <w:t>online applications</w:t>
            </w:r>
          </w:p>
          <w:p w:rsidR="00D575E4" w:rsidRDefault="00D575E4" w:rsidP="00676231">
            <w:pPr>
              <w:pStyle w:val="Tablebullet"/>
              <w:cnfStyle w:val="000000000000" w:firstRow="0" w:lastRow="0" w:firstColumn="0" w:lastColumn="0" w:oddVBand="0" w:evenVBand="0" w:oddHBand="0" w:evenHBand="0" w:firstRowFirstColumn="0" w:firstRowLastColumn="0" w:lastRowFirstColumn="0" w:lastRowLastColumn="0"/>
            </w:pPr>
            <w:r>
              <w:t>reduction in average determination times</w:t>
            </w:r>
          </w:p>
        </w:tc>
        <w:tc>
          <w:tcPr>
            <w:tcW w:w="1843" w:type="dxa"/>
          </w:tcPr>
          <w:p w:rsidR="00D575E4" w:rsidRDefault="00D575E4" w:rsidP="005B44F2">
            <w:pPr>
              <w:pStyle w:val="Tabletext"/>
              <w:cnfStyle w:val="000000000000" w:firstRow="0" w:lastRow="0" w:firstColumn="0" w:lastColumn="0" w:oddVBand="0" w:evenVBand="0" w:oddHBand="0" w:evenHBand="0" w:firstRowFirstColumn="0" w:firstRowLastColumn="0" w:lastRowFirstColumn="0" w:lastRowLastColumn="0"/>
            </w:pPr>
            <w:r>
              <w:t>Name of regulator contact and team who will collect the data</w:t>
            </w:r>
          </w:p>
        </w:tc>
        <w:tc>
          <w:tcPr>
            <w:tcW w:w="1843" w:type="dxa"/>
          </w:tcPr>
          <w:p w:rsidR="00D575E4" w:rsidRDefault="00D575E4" w:rsidP="005B44F2">
            <w:pPr>
              <w:pStyle w:val="Tabletext"/>
              <w:cnfStyle w:val="000000000000" w:firstRow="0" w:lastRow="0" w:firstColumn="0" w:lastColumn="0" w:oddVBand="0" w:evenVBand="0" w:oddHBand="0" w:evenHBand="0" w:firstRowFirstColumn="0" w:firstRowLastColumn="0" w:lastRowFirstColumn="0" w:lastRowLastColumn="0"/>
            </w:pPr>
            <w:r>
              <w:t>When will this data be collected (timeline)</w:t>
            </w:r>
            <w:r w:rsidR="00AC2970">
              <w:t>?</w:t>
            </w:r>
          </w:p>
        </w:tc>
      </w:tr>
    </w:tbl>
    <w:p w:rsidR="00B006CE" w:rsidRDefault="00B006CE" w:rsidP="00676231">
      <w:pPr>
        <w:pStyle w:val="Spacer"/>
      </w:pPr>
    </w:p>
    <w:tbl>
      <w:tblPr>
        <w:tblStyle w:val="DTFtexttableindent"/>
        <w:tblW w:w="13186" w:type="dxa"/>
        <w:tblLayout w:type="fixed"/>
        <w:tblLook w:val="0620" w:firstRow="1" w:lastRow="0" w:firstColumn="0" w:lastColumn="0" w:noHBand="1" w:noVBand="1"/>
      </w:tblPr>
      <w:tblGrid>
        <w:gridCol w:w="3556"/>
        <w:gridCol w:w="3420"/>
        <w:gridCol w:w="6210"/>
      </w:tblGrid>
      <w:tr w:rsidR="00D87C2E" w:rsidRPr="00B85EAE" w:rsidTr="00676231">
        <w:trPr>
          <w:cnfStyle w:val="100000000000" w:firstRow="1" w:lastRow="0" w:firstColumn="0" w:lastColumn="0" w:oddVBand="0" w:evenVBand="0" w:oddHBand="0" w:evenHBand="0" w:firstRowFirstColumn="0" w:firstRowLastColumn="0" w:lastRowFirstColumn="0" w:lastRowLastColumn="0"/>
        </w:trPr>
        <w:tc>
          <w:tcPr>
            <w:tcW w:w="3556" w:type="dxa"/>
          </w:tcPr>
          <w:p w:rsidR="00D87C2E" w:rsidRPr="00B85EAE" w:rsidRDefault="00D87C2E" w:rsidP="00676231">
            <w:pPr>
              <w:pStyle w:val="Tableheader"/>
              <w:rPr>
                <w:b w:val="0"/>
                <w:szCs w:val="18"/>
              </w:rPr>
            </w:pPr>
            <w:r w:rsidRPr="00B85EAE">
              <w:rPr>
                <w:szCs w:val="18"/>
              </w:rPr>
              <w:lastRenderedPageBreak/>
              <w:t>Which element of good regulatory practice does the improvement strategy relate to?</w:t>
            </w:r>
          </w:p>
        </w:tc>
        <w:tc>
          <w:tcPr>
            <w:tcW w:w="3420" w:type="dxa"/>
          </w:tcPr>
          <w:p w:rsidR="00D87C2E" w:rsidRPr="00B85EAE" w:rsidRDefault="00D87C2E" w:rsidP="00676231">
            <w:pPr>
              <w:pStyle w:val="Tableheader"/>
              <w:rPr>
                <w:b w:val="0"/>
                <w:szCs w:val="18"/>
              </w:rPr>
            </w:pPr>
            <w:r w:rsidRPr="00B85EAE">
              <w:rPr>
                <w:szCs w:val="18"/>
              </w:rPr>
              <w:t>What is the improvement strategy?</w:t>
            </w:r>
          </w:p>
        </w:tc>
        <w:tc>
          <w:tcPr>
            <w:tcW w:w="6210" w:type="dxa"/>
          </w:tcPr>
          <w:p w:rsidR="00D87C2E" w:rsidRPr="00B85EAE" w:rsidRDefault="00D87C2E" w:rsidP="00676231">
            <w:pPr>
              <w:pStyle w:val="Tableheader"/>
              <w:rPr>
                <w:b w:val="0"/>
                <w:szCs w:val="18"/>
              </w:rPr>
            </w:pPr>
            <w:r w:rsidRPr="00B85EAE">
              <w:rPr>
                <w:szCs w:val="18"/>
              </w:rPr>
              <w:t>What are the specific activities to be conducted?</w:t>
            </w:r>
          </w:p>
        </w:tc>
      </w:tr>
      <w:tr w:rsidR="00D87C2E" w:rsidTr="00676231">
        <w:tc>
          <w:tcPr>
            <w:tcW w:w="3556" w:type="dxa"/>
          </w:tcPr>
          <w:p w:rsidR="00D87C2E" w:rsidRDefault="00D87C2E" w:rsidP="00FE61A6">
            <w:pPr>
              <w:spacing w:before="120" w:after="120"/>
              <w:rPr>
                <w:rFonts w:ascii="Arial" w:hAnsi="Arial"/>
              </w:rPr>
            </w:pPr>
            <w:r>
              <w:rPr>
                <w:rFonts w:ascii="Arial" w:hAnsi="Arial"/>
              </w:rPr>
              <w:t>Compliance</w:t>
            </w:r>
            <w:r w:rsidR="00AC2970">
              <w:rPr>
                <w:rFonts w:ascii="Arial" w:hAnsi="Arial"/>
              </w:rPr>
              <w:t>-</w:t>
            </w:r>
            <w:r>
              <w:rPr>
                <w:rFonts w:ascii="Arial" w:hAnsi="Arial"/>
              </w:rPr>
              <w:t>related assistance and advice</w:t>
            </w:r>
          </w:p>
        </w:tc>
        <w:tc>
          <w:tcPr>
            <w:tcW w:w="3420" w:type="dxa"/>
          </w:tcPr>
          <w:p w:rsidR="00D87C2E" w:rsidRPr="00676231" w:rsidRDefault="00D87C2E" w:rsidP="00676231">
            <w:pPr>
              <w:pStyle w:val="Tabletext"/>
            </w:pPr>
            <w:r>
              <w:t>Reducing the cost of compliance on regulated parties by increasing advice on how to comply, including providing tailored advice to specific industries and information on how to meet compliance requirements following inspections.</w:t>
            </w:r>
          </w:p>
        </w:tc>
        <w:tc>
          <w:tcPr>
            <w:tcW w:w="6210" w:type="dxa"/>
          </w:tcPr>
          <w:p w:rsidR="00D87C2E" w:rsidRPr="00D87C2E" w:rsidRDefault="00D87C2E" w:rsidP="00AC2970">
            <w:pPr>
              <w:pStyle w:val="Tabletext"/>
            </w:pPr>
            <w:r>
              <w:t>To provide clear and effective compliance related assistance and advice to duty holders. This includes providing duty holders with practical examples of what compliance looks like, targeting education and support materials to areas of need and for industries that are the focus of compliance inspections, and ensuring regulatory officers provide consistent and appropriate compliance advice.</w:t>
            </w:r>
          </w:p>
        </w:tc>
      </w:tr>
    </w:tbl>
    <w:p w:rsidR="005B44F2" w:rsidRDefault="005B44F2" w:rsidP="005B44F2">
      <w:pPr>
        <w:pStyle w:val="Spacer"/>
      </w:pPr>
    </w:p>
    <w:p w:rsidR="00014213" w:rsidRPr="00AC2970" w:rsidRDefault="009752E7" w:rsidP="002C769D">
      <w:pPr>
        <w:pStyle w:val="NormalIndent"/>
        <w:rPr>
          <w:rFonts w:ascii="Arial" w:eastAsiaTheme="minorHAnsi" w:hAnsi="Arial"/>
          <w:sz w:val="17"/>
          <w:szCs w:val="21"/>
          <w:lang w:eastAsia="en-US"/>
        </w:rPr>
      </w:pPr>
      <w:r w:rsidRPr="00AC2970">
        <w:rPr>
          <w:rFonts w:ascii="Arial" w:eastAsiaTheme="minorHAnsi" w:hAnsi="Arial"/>
          <w:sz w:val="17"/>
          <w:szCs w:val="21"/>
          <w:lang w:eastAsia="en-US"/>
        </w:rPr>
        <w:t>For further information, see EPA Annual Report 2015-16, pp. 22-23.</w:t>
      </w:r>
    </w:p>
    <w:tbl>
      <w:tblPr>
        <w:tblStyle w:val="DTFtexttableindent"/>
        <w:tblW w:w="13182" w:type="dxa"/>
        <w:tblLook w:val="0620" w:firstRow="1" w:lastRow="0" w:firstColumn="0" w:lastColumn="0" w:noHBand="1" w:noVBand="1"/>
      </w:tblPr>
      <w:tblGrid>
        <w:gridCol w:w="2476"/>
        <w:gridCol w:w="2340"/>
        <w:gridCol w:w="2430"/>
        <w:gridCol w:w="2250"/>
        <w:gridCol w:w="1843"/>
        <w:gridCol w:w="1843"/>
      </w:tblGrid>
      <w:tr w:rsidR="00D575E4" w:rsidTr="005B44F2">
        <w:trPr>
          <w:cnfStyle w:val="100000000000" w:firstRow="1" w:lastRow="0" w:firstColumn="0" w:lastColumn="0" w:oddVBand="0" w:evenVBand="0" w:oddHBand="0" w:evenHBand="0" w:firstRowFirstColumn="0" w:firstRowLastColumn="0" w:lastRowFirstColumn="0" w:lastRowLastColumn="0"/>
        </w:trPr>
        <w:tc>
          <w:tcPr>
            <w:tcW w:w="2476" w:type="dxa"/>
          </w:tcPr>
          <w:p w:rsidR="00D575E4" w:rsidRDefault="00D575E4" w:rsidP="005B44F2">
            <w:pPr>
              <w:pStyle w:val="Tableheader"/>
            </w:pPr>
            <w:r>
              <w:t xml:space="preserve">Key </w:t>
            </w:r>
            <w:r w:rsidR="005B44F2">
              <w:t>evaluation question</w:t>
            </w:r>
          </w:p>
        </w:tc>
        <w:tc>
          <w:tcPr>
            <w:tcW w:w="2340" w:type="dxa"/>
          </w:tcPr>
          <w:p w:rsidR="00D575E4" w:rsidRDefault="00D575E4" w:rsidP="005B44F2">
            <w:pPr>
              <w:pStyle w:val="Tableheader"/>
            </w:pPr>
            <w:r>
              <w:t>Sub-questions</w:t>
            </w:r>
          </w:p>
        </w:tc>
        <w:tc>
          <w:tcPr>
            <w:tcW w:w="2430" w:type="dxa"/>
          </w:tcPr>
          <w:p w:rsidR="00D575E4" w:rsidRDefault="00D575E4" w:rsidP="005B44F2">
            <w:pPr>
              <w:pStyle w:val="Tableheader"/>
            </w:pPr>
            <w:r>
              <w:t>Data collection</w:t>
            </w:r>
          </w:p>
        </w:tc>
        <w:tc>
          <w:tcPr>
            <w:tcW w:w="2250" w:type="dxa"/>
          </w:tcPr>
          <w:p w:rsidR="00D575E4" w:rsidRDefault="00D575E4" w:rsidP="005B44F2">
            <w:pPr>
              <w:pStyle w:val="Tableheader"/>
            </w:pPr>
            <w:r>
              <w:t>Criteria for judgement</w:t>
            </w:r>
          </w:p>
        </w:tc>
        <w:tc>
          <w:tcPr>
            <w:tcW w:w="1843" w:type="dxa"/>
          </w:tcPr>
          <w:p w:rsidR="00D575E4" w:rsidRDefault="00D575E4" w:rsidP="005B44F2">
            <w:pPr>
              <w:pStyle w:val="Tableheader"/>
            </w:pPr>
            <w:r>
              <w:t>Responsibility</w:t>
            </w:r>
          </w:p>
        </w:tc>
        <w:tc>
          <w:tcPr>
            <w:tcW w:w="1843" w:type="dxa"/>
          </w:tcPr>
          <w:p w:rsidR="00D575E4" w:rsidRDefault="00D575E4" w:rsidP="005B44F2">
            <w:pPr>
              <w:pStyle w:val="Tableheader"/>
            </w:pPr>
            <w:r>
              <w:t>Timing</w:t>
            </w:r>
          </w:p>
        </w:tc>
      </w:tr>
      <w:tr w:rsidR="00D575E4" w:rsidTr="005B44F2">
        <w:tc>
          <w:tcPr>
            <w:tcW w:w="2476" w:type="dxa"/>
          </w:tcPr>
          <w:p w:rsidR="00D575E4" w:rsidRDefault="00D575E4" w:rsidP="005B44F2">
            <w:pPr>
              <w:pStyle w:val="Tabletext"/>
            </w:pPr>
            <w:r>
              <w:t>What difference did the SOE make towards achieving greater efficiency and effectiveness in the administration and enforcement of regulation?</w:t>
            </w:r>
          </w:p>
        </w:tc>
        <w:tc>
          <w:tcPr>
            <w:tcW w:w="2340" w:type="dxa"/>
          </w:tcPr>
          <w:p w:rsidR="00D575E4" w:rsidRDefault="00D575E4" w:rsidP="005B44F2">
            <w:pPr>
              <w:pStyle w:val="Tabletext"/>
            </w:pPr>
            <w:r>
              <w:t xml:space="preserve">To what extent did the regulator improve </w:t>
            </w:r>
            <w:r>
              <w:rPr>
                <w:b/>
              </w:rPr>
              <w:t>compliance</w:t>
            </w:r>
            <w:r w:rsidR="00AC2970">
              <w:rPr>
                <w:b/>
              </w:rPr>
              <w:t>-</w:t>
            </w:r>
            <w:r>
              <w:rPr>
                <w:b/>
              </w:rPr>
              <w:t>related assistance and advice</w:t>
            </w:r>
            <w:r>
              <w:t xml:space="preserve"> through this SOE?</w:t>
            </w:r>
          </w:p>
        </w:tc>
        <w:tc>
          <w:tcPr>
            <w:tcW w:w="2430" w:type="dxa"/>
          </w:tcPr>
          <w:p w:rsidR="00D575E4" w:rsidRPr="00D575E4" w:rsidRDefault="00D575E4" w:rsidP="005B44F2">
            <w:pPr>
              <w:pStyle w:val="Tablebullet"/>
            </w:pPr>
            <w:r w:rsidRPr="00D575E4">
              <w:t>N</w:t>
            </w:r>
            <w:r w:rsidR="00AC2970">
              <w:t>umber of</w:t>
            </w:r>
            <w:r w:rsidRPr="00D575E4">
              <w:t xml:space="preserve"> publications produced in a year.</w:t>
            </w:r>
          </w:p>
          <w:p w:rsidR="00D87C2E" w:rsidRPr="00D87C2E" w:rsidRDefault="00D87C2E" w:rsidP="005B44F2">
            <w:pPr>
              <w:pStyle w:val="Tablebullet"/>
            </w:pPr>
            <w:r w:rsidRPr="00D87C2E">
              <w:t>Establish and report on the percentages of duty holders that regard:</w:t>
            </w:r>
          </w:p>
          <w:p w:rsidR="00D87C2E" w:rsidRPr="00D87C2E" w:rsidRDefault="00D87C2E" w:rsidP="005B44F2">
            <w:pPr>
              <w:pStyle w:val="Tabledash"/>
            </w:pPr>
            <w:r w:rsidRPr="00D87C2E">
              <w:t>EPA's guidance publications as accessible, sufficient and consistent; and</w:t>
            </w:r>
          </w:p>
          <w:p w:rsidR="00D575E4" w:rsidRPr="00D575E4" w:rsidRDefault="005B44F2" w:rsidP="005B44F2">
            <w:pPr>
              <w:pStyle w:val="Tabledash"/>
            </w:pPr>
            <w:r w:rsidRPr="00D87C2E">
              <w:t xml:space="preserve">the </w:t>
            </w:r>
            <w:r w:rsidR="00D87C2E" w:rsidRPr="00D87C2E">
              <w:t>guidance contained in EPA's remedial notices as clear and easy to understand.</w:t>
            </w:r>
          </w:p>
        </w:tc>
        <w:tc>
          <w:tcPr>
            <w:tcW w:w="2250" w:type="dxa"/>
          </w:tcPr>
          <w:p w:rsidR="00D575E4" w:rsidRPr="00D87C2E" w:rsidRDefault="00D87C2E" w:rsidP="00676231">
            <w:pPr>
              <w:pStyle w:val="Tabletext"/>
            </w:pPr>
            <w:r>
              <w:t>Target higher percentages of duty holder satisfaction against both meas</w:t>
            </w:r>
            <w:r w:rsidRPr="005B44F2">
              <w:t>ures in 2015-16 as co</w:t>
            </w:r>
            <w:r>
              <w:t>mpared to 2013-14.</w:t>
            </w:r>
          </w:p>
        </w:tc>
        <w:tc>
          <w:tcPr>
            <w:tcW w:w="1843" w:type="dxa"/>
          </w:tcPr>
          <w:p w:rsidR="00D575E4" w:rsidRDefault="00D575E4" w:rsidP="005B44F2">
            <w:pPr>
              <w:pStyle w:val="Tabletext"/>
            </w:pPr>
            <w:r>
              <w:t>Name of regulator contact and team who will collect the data</w:t>
            </w:r>
          </w:p>
        </w:tc>
        <w:tc>
          <w:tcPr>
            <w:tcW w:w="1843" w:type="dxa"/>
          </w:tcPr>
          <w:p w:rsidR="00D575E4" w:rsidRDefault="00D575E4" w:rsidP="005B44F2">
            <w:pPr>
              <w:pStyle w:val="Tabletext"/>
            </w:pPr>
            <w:r>
              <w:t>When will this data be collected (timeline)</w:t>
            </w:r>
            <w:r w:rsidR="00AC2970">
              <w:t>?</w:t>
            </w:r>
          </w:p>
        </w:tc>
      </w:tr>
    </w:tbl>
    <w:p w:rsidR="00D575E4" w:rsidRDefault="00D575E4" w:rsidP="006025F1">
      <w:pPr>
        <w:pStyle w:val="NormalIndent"/>
        <w:ind w:left="0"/>
      </w:pPr>
    </w:p>
    <w:p w:rsidR="00676231" w:rsidRDefault="00676231" w:rsidP="006025F1">
      <w:pPr>
        <w:pStyle w:val="NormalIndent"/>
        <w:ind w:left="0"/>
        <w:sectPr w:rsidR="00676231" w:rsidSect="00676231">
          <w:headerReference w:type="even" r:id="rId43"/>
          <w:headerReference w:type="default" r:id="rId44"/>
          <w:footerReference w:type="even" r:id="rId45"/>
          <w:footerReference w:type="default" r:id="rId46"/>
          <w:pgSz w:w="16838" w:h="11906" w:orient="landscape" w:code="9"/>
          <w:pgMar w:top="1267" w:right="1440" w:bottom="1354" w:left="1440" w:header="706" w:footer="461" w:gutter="0"/>
          <w:cols w:space="708"/>
          <w:docGrid w:linePitch="360"/>
        </w:sectPr>
      </w:pPr>
    </w:p>
    <w:p w:rsidR="00014213" w:rsidRPr="00D2312F" w:rsidRDefault="00014213" w:rsidP="006025F1"/>
    <w:sectPr w:rsidR="00014213" w:rsidRPr="00D2312F" w:rsidSect="00014213">
      <w:headerReference w:type="even" r:id="rId47"/>
      <w:headerReference w:type="default" r:id="rId48"/>
      <w:footerReference w:type="even" r:id="rId49"/>
      <w:footerReference w:type="default" r:id="rId5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4C" w:rsidRDefault="0094554C" w:rsidP="002D711A">
      <w:pPr>
        <w:spacing w:after="0" w:line="240" w:lineRule="auto"/>
      </w:pPr>
      <w:r>
        <w:separator/>
      </w:r>
    </w:p>
  </w:endnote>
  <w:endnote w:type="continuationSeparator" w:id="0">
    <w:p w:rsidR="0094554C" w:rsidRDefault="0094554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CB3976">
    <w:pPr>
      <w:pStyle w:val="Spacer"/>
    </w:pPr>
  </w:p>
  <w:p w:rsidR="00240AC7" w:rsidRDefault="00240AC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Pr="00297281" w:rsidRDefault="00240AC7" w:rsidP="00171837">
    <w:pPr>
      <w:pStyle w:val="Footer"/>
      <w:jc w:val="both"/>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A646F2">
      <w:rPr>
        <w:rStyle w:val="PageNumber"/>
      </w:rPr>
      <w:t>10</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646F2">
      <w:rPr>
        <w:b/>
        <w:color w:val="0063A6" w:themeColor="accent1"/>
      </w:rPr>
      <w:t>Guidelines for Evaluation of Statements of Expectations for Regulators</w:t>
    </w:r>
    <w:r w:rsidRPr="00C022F9">
      <w:rPr>
        <w:b/>
        <w:color w:val="0063A6" w:themeColor="accent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165E66">
    <w:pPr>
      <w:pStyle w:val="Spacer"/>
    </w:pPr>
  </w:p>
  <w:p w:rsidR="00240AC7" w:rsidRPr="00C022F9" w:rsidRDefault="00240AC7"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646F2">
      <w:rPr>
        <w:b/>
        <w:color w:val="0063A6" w:themeColor="accent1"/>
      </w:rPr>
      <w:t>Guidelines for Evaluation of Statements of Expectations for Regulators</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A646F2">
      <w:rPr>
        <w:rStyle w:val="PageNumber"/>
      </w:rPr>
      <w:t>9</w:t>
    </w:r>
    <w:r w:rsidRPr="00DE60CC">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Pr="00297281" w:rsidRDefault="00240AC7" w:rsidP="00BC4708">
    <w:pPr>
      <w:pStyle w:val="Footer"/>
      <w:tabs>
        <w:tab w:val="clear" w:pos="9026"/>
        <w:tab w:val="right" w:pos="13950"/>
      </w:tabs>
      <w:jc w:val="both"/>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646F2">
      <w:rPr>
        <w:b/>
        <w:color w:val="0063A6" w:themeColor="accent1"/>
      </w:rPr>
      <w:t>Guidelines for Evaluation of Statements of Expectations for Regulators</w:t>
    </w:r>
    <w:r w:rsidRPr="00C022F9">
      <w:rPr>
        <w:b/>
        <w:color w:val="0063A6" w:themeColor="accent1"/>
      </w:rPr>
      <w:fldChar w:fldCharType="end"/>
    </w:r>
    <w:r>
      <w:tab/>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A646F2">
      <w:rPr>
        <w:rStyle w:val="PageNumber"/>
      </w:rPr>
      <w:t>14</w:t>
    </w:r>
    <w:r w:rsidRPr="00297281">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165E66">
    <w:pPr>
      <w:pStyle w:val="Spacer"/>
    </w:pPr>
  </w:p>
  <w:p w:rsidR="00240AC7" w:rsidRPr="00C022F9" w:rsidRDefault="00240AC7" w:rsidP="00676231">
    <w:pPr>
      <w:pStyle w:val="Footer"/>
      <w:tabs>
        <w:tab w:val="clear" w:pos="9026"/>
        <w:tab w:val="right" w:pos="1395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646F2">
      <w:rPr>
        <w:b/>
        <w:color w:val="0063A6" w:themeColor="accent1"/>
      </w:rPr>
      <w:t>Guidelines for Evaluation of Statements of Expectations for Regulators</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A646F2">
      <w:rPr>
        <w:rStyle w:val="PageNumber"/>
      </w:rPr>
      <w:t>13</w:t>
    </w:r>
    <w:r w:rsidRPr="00DE60CC">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Pr="00014213" w:rsidRDefault="00240AC7" w:rsidP="00C022F9">
    <w:pPr>
      <w:pStyle w:val="Footer"/>
    </w:pPr>
    <w:r>
      <w:drawing>
        <wp:anchor distT="0" distB="0" distL="114300" distR="114300" simplePos="0" relativeHeight="251657728"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CB3976">
    <w:pPr>
      <w:pStyle w:val="Spacer"/>
    </w:pPr>
  </w:p>
  <w:p w:rsidR="00240AC7" w:rsidRPr="00CB3976" w:rsidRDefault="00240AC7" w:rsidP="00CB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CB3976">
    <w:pPr>
      <w:pStyle w:val="Spacer"/>
    </w:pPr>
  </w:p>
  <w:p w:rsidR="00240AC7" w:rsidRDefault="00240AC7" w:rsidP="00C022F9">
    <w:pPr>
      <w:pStyle w:val="Footer"/>
    </w:pPr>
    <w:r>
      <w:drawing>
        <wp:anchor distT="0" distB="0" distL="114300" distR="114300" simplePos="0" relativeHeight="251655680" behindDoc="0" locked="0" layoutInCell="1" allowOverlap="1" wp14:anchorId="66DF563A" wp14:editId="20FBD9FF">
          <wp:simplePos x="0" y="0"/>
          <wp:positionH relativeFrom="column">
            <wp:posOffset>4224020</wp:posOffset>
          </wp:positionH>
          <wp:positionV relativeFrom="page">
            <wp:posOffset>9498330</wp:posOffset>
          </wp:positionV>
          <wp:extent cx="1956435" cy="582930"/>
          <wp:effectExtent l="0" t="0" r="5715" b="7620"/>
          <wp:wrapNone/>
          <wp:docPr id="3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A1" w:rsidRDefault="005E16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A47634">
    <w:pPr>
      <w:pStyle w:val="Spacer"/>
    </w:pPr>
  </w:p>
  <w:p w:rsidR="00240AC7" w:rsidRPr="00297281" w:rsidRDefault="00240AC7"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Pr="00CB3976" w:rsidRDefault="00240AC7" w:rsidP="00CB3976">
    <w:pPr>
      <w:pStyle w:val="Spacer"/>
    </w:pPr>
  </w:p>
  <w:p w:rsidR="00240AC7" w:rsidRPr="00297281" w:rsidRDefault="00240AC7"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A646F2">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Pr="001E31FA" w:rsidRDefault="00240AC7" w:rsidP="001E31FA">
    <w:pPr>
      <w:pStyle w:val="Spacer"/>
    </w:pPr>
  </w:p>
  <w:p w:rsidR="00240AC7" w:rsidRPr="00297281" w:rsidRDefault="00240AC7" w:rsidP="00C022F9">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sidR="00A646F2">
      <w:rPr>
        <w:rStyle w:val="PageNumber"/>
      </w:rPr>
      <w:t>2</w:t>
    </w:r>
    <w:r w:rsidRPr="00D542F3">
      <w:rPr>
        <w:rStyle w:val="PageNumber"/>
      </w:rPr>
      <w:fldChar w:fldCharType="end"/>
    </w:r>
    <w:r>
      <w:rPr>
        <w:rStyle w:val="PageNumber"/>
      </w:rPr>
      <w:tab/>
    </w:r>
    <w:r w:rsidRPr="00C92338">
      <w:rPr>
        <w:b/>
        <w:noProof w:val="0"/>
        <w:color w:val="0063A6" w:themeColor="accent1"/>
        <w:sz w:val="20"/>
      </w:rPr>
      <w:fldChar w:fldCharType="begin"/>
    </w:r>
    <w:r w:rsidRPr="00C92338">
      <w:rPr>
        <w:b/>
        <w:color w:val="0063A6" w:themeColor="accent1"/>
        <w:sz w:val="20"/>
      </w:rPr>
      <w:instrText xml:space="preserve"> StyleRef “Title” </w:instrText>
    </w:r>
    <w:r w:rsidRPr="00C92338">
      <w:rPr>
        <w:b/>
        <w:noProof w:val="0"/>
        <w:color w:val="0063A6" w:themeColor="accent1"/>
        <w:sz w:val="20"/>
      </w:rPr>
      <w:fldChar w:fldCharType="separate"/>
    </w:r>
    <w:r w:rsidR="00A646F2">
      <w:rPr>
        <w:b/>
        <w:color w:val="0063A6" w:themeColor="accent1"/>
        <w:sz w:val="20"/>
      </w:rPr>
      <w:t>Guidelines for Evaluation of Statements of Expectations for Regulators</w:t>
    </w:r>
    <w:r w:rsidRPr="00C92338">
      <w:rPr>
        <w:b/>
        <w:color w:val="0063A6" w:themeColor="accent1"/>
        <w:sz w:val="20"/>
      </w:rPr>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165E66">
    <w:pPr>
      <w:pStyle w:val="Spacer"/>
    </w:pPr>
  </w:p>
  <w:p w:rsidR="00240AC7" w:rsidRPr="00C022F9" w:rsidRDefault="00240AC7"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646F2">
      <w:rPr>
        <w:b/>
        <w:color w:val="0063A6" w:themeColor="accent1"/>
      </w:rPr>
      <w:t>Guidelines for Evaluation of Statements of Expectations for Regulators</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A646F2">
      <w:rPr>
        <w:rStyle w:val="PageNumber"/>
      </w:rPr>
      <w:t>3</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Pr="001E31FA" w:rsidRDefault="00240AC7" w:rsidP="001E31FA">
    <w:pPr>
      <w:pStyle w:val="Spacer"/>
    </w:pPr>
  </w:p>
  <w:p w:rsidR="00240AC7" w:rsidRPr="000B395F" w:rsidRDefault="00240AC7" w:rsidP="003C3B3A">
    <w:pPr>
      <w:pStyle w:val="Footer"/>
      <w:tabs>
        <w:tab w:val="clear" w:pos="9026"/>
        <w:tab w:val="right" w:pos="14220"/>
      </w:tabs>
    </w:pPr>
    <w:r w:rsidRPr="000B395F">
      <w:t xml:space="preserve">Page </w:t>
    </w:r>
    <w:r w:rsidRPr="000B395F">
      <w:rPr>
        <w:rStyle w:val="PageNumber"/>
      </w:rPr>
      <w:fldChar w:fldCharType="begin"/>
    </w:r>
    <w:r w:rsidRPr="000B395F">
      <w:rPr>
        <w:rStyle w:val="PageNumber"/>
      </w:rPr>
      <w:instrText xml:space="preserve"> Page </w:instrText>
    </w:r>
    <w:r w:rsidRPr="000B395F">
      <w:rPr>
        <w:rStyle w:val="PageNumber"/>
      </w:rPr>
      <w:fldChar w:fldCharType="separate"/>
    </w:r>
    <w:r w:rsidR="00A646F2">
      <w:rPr>
        <w:rStyle w:val="PageNumber"/>
      </w:rPr>
      <w:t>4</w:t>
    </w:r>
    <w:r w:rsidRPr="000B395F">
      <w:rPr>
        <w:rStyle w:val="PageNumber"/>
      </w:rPr>
      <w:fldChar w:fldCharType="end"/>
    </w:r>
    <w:r w:rsidRPr="000B395F">
      <w:rPr>
        <w:rStyle w:val="PageNumber"/>
      </w:rPr>
      <w:tab/>
    </w:r>
    <w:r w:rsidRPr="000B395F">
      <w:rPr>
        <w:b/>
        <w:noProof w:val="0"/>
        <w:color w:val="0063A6" w:themeColor="accent1"/>
      </w:rPr>
      <w:fldChar w:fldCharType="begin"/>
    </w:r>
    <w:r w:rsidRPr="000B395F">
      <w:rPr>
        <w:b/>
        <w:color w:val="0063A6" w:themeColor="accent1"/>
      </w:rPr>
      <w:instrText xml:space="preserve"> StyleRef “Title” </w:instrText>
    </w:r>
    <w:r w:rsidRPr="000B395F">
      <w:rPr>
        <w:b/>
        <w:noProof w:val="0"/>
        <w:color w:val="0063A6" w:themeColor="accent1"/>
      </w:rPr>
      <w:fldChar w:fldCharType="separate"/>
    </w:r>
    <w:r w:rsidR="00A646F2">
      <w:rPr>
        <w:b/>
        <w:color w:val="0063A6" w:themeColor="accent1"/>
      </w:rPr>
      <w:t>Guidelines for Evaluation of Statements of Expectations for Regulators</w:t>
    </w:r>
    <w:r w:rsidRPr="000B395F">
      <w:rPr>
        <w:b/>
        <w:color w:val="0063A6" w:themeColor="accent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165E66">
    <w:pPr>
      <w:pStyle w:val="Spacer"/>
    </w:pPr>
  </w:p>
  <w:p w:rsidR="00240AC7" w:rsidRPr="00C022F9" w:rsidRDefault="00240AC7" w:rsidP="00BB59E0">
    <w:pPr>
      <w:pStyle w:val="Footer"/>
      <w:tabs>
        <w:tab w:val="clear" w:pos="9026"/>
        <w:tab w:val="right" w:pos="1422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C6EF0">
      <w:rPr>
        <w:b/>
        <w:color w:val="0063A6" w:themeColor="accent1"/>
      </w:rPr>
      <w:t>Guidelines for Evaluation of Statements of Expectations for Regulators</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EC6EF0">
      <w:rPr>
        <w:rStyle w:val="PageNumber"/>
      </w:rPr>
      <w:t>5</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4C" w:rsidRDefault="0094554C" w:rsidP="002D711A">
      <w:pPr>
        <w:spacing w:after="0" w:line="240" w:lineRule="auto"/>
      </w:pPr>
      <w:r>
        <w:separator/>
      </w:r>
    </w:p>
  </w:footnote>
  <w:footnote w:type="continuationSeparator" w:id="0">
    <w:p w:rsidR="0094554C" w:rsidRDefault="0094554C" w:rsidP="002D711A">
      <w:pPr>
        <w:spacing w:after="0" w:line="240" w:lineRule="auto"/>
      </w:pPr>
      <w:r>
        <w:continuationSeparator/>
      </w:r>
    </w:p>
  </w:footnote>
  <w:footnote w:id="1">
    <w:p w:rsidR="00240AC7" w:rsidRDefault="00240AC7">
      <w:pPr>
        <w:pStyle w:val="FootnoteText"/>
      </w:pPr>
      <w:r>
        <w:rPr>
          <w:rStyle w:val="FootnoteReference"/>
        </w:rPr>
        <w:footnoteRef/>
      </w:r>
      <w:r>
        <w:t xml:space="preserve"> Victorian Auditor-General’s Report, </w:t>
      </w:r>
      <w:r w:rsidRPr="002C769D">
        <w:rPr>
          <w:i/>
        </w:rPr>
        <w:t>Managing Regulator Performance in the Health Portfolio</w:t>
      </w:r>
      <w:r>
        <w:t>, March 2015, p.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A1" w:rsidRDefault="005E16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5306A2">
    <w:pPr>
      <w:pStyle w:val="Header"/>
    </w:pPr>
    <w:r>
      <w:rPr>
        <w:noProof/>
      </w:rPr>
      <w:drawing>
        <wp:anchor distT="0" distB="0" distL="114300" distR="114300" simplePos="0" relativeHeight="251661824" behindDoc="0" locked="0" layoutInCell="1" allowOverlap="1" wp14:anchorId="096661BE" wp14:editId="37C069F3">
          <wp:simplePos x="0" y="0"/>
          <wp:positionH relativeFrom="column">
            <wp:posOffset>-931849</wp:posOffset>
          </wp:positionH>
          <wp:positionV relativeFrom="page">
            <wp:posOffset>0</wp:posOffset>
          </wp:positionV>
          <wp:extent cx="7591245" cy="740985"/>
          <wp:effectExtent l="0" t="0" r="0" b="2540"/>
          <wp:wrapNone/>
          <wp:docPr id="1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pPr>
      <w:pStyle w:val="Header"/>
    </w:pPr>
    <w:r>
      <w:rPr>
        <w:noProof/>
      </w:rPr>
      <w:drawing>
        <wp:anchor distT="0" distB="0" distL="114300" distR="114300" simplePos="0" relativeHeight="251660800" behindDoc="0" locked="0" layoutInCell="1" allowOverlap="1" wp14:anchorId="6BAD6465" wp14:editId="75F15DB7">
          <wp:simplePos x="0" y="0"/>
          <wp:positionH relativeFrom="column">
            <wp:posOffset>-931849</wp:posOffset>
          </wp:positionH>
          <wp:positionV relativeFrom="page">
            <wp:posOffset>0</wp:posOffset>
          </wp:positionV>
          <wp:extent cx="7591245" cy="740985"/>
          <wp:effectExtent l="0" t="0" r="0" b="2540"/>
          <wp:wrapNone/>
          <wp:docPr id="1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rsidP="005306A2">
    <w:pPr>
      <w:pStyle w:val="Header"/>
    </w:pPr>
    <w:r>
      <w:rPr>
        <w:noProof/>
      </w:rPr>
      <w:drawing>
        <wp:anchor distT="0" distB="0" distL="114300" distR="114300" simplePos="0" relativeHeight="251675136" behindDoc="0" locked="0" layoutInCell="1" allowOverlap="1" wp14:anchorId="1B1795F3" wp14:editId="72E0577A">
          <wp:simplePos x="0" y="0"/>
          <wp:positionH relativeFrom="column">
            <wp:posOffset>-2245333</wp:posOffset>
          </wp:positionH>
          <wp:positionV relativeFrom="page">
            <wp:posOffset>112119</wp:posOffset>
          </wp:positionV>
          <wp:extent cx="13158216" cy="548656"/>
          <wp:effectExtent l="0" t="0" r="5715"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pPr>
      <w:pStyle w:val="Header"/>
    </w:pPr>
    <w:r>
      <w:rPr>
        <w:noProof/>
      </w:rPr>
      <w:drawing>
        <wp:anchor distT="0" distB="0" distL="114300" distR="114300" simplePos="0" relativeHeight="251673088" behindDoc="0" locked="0" layoutInCell="1" allowOverlap="1" wp14:anchorId="2388D91C" wp14:editId="53FDCF54">
          <wp:simplePos x="0" y="0"/>
          <wp:positionH relativeFrom="column">
            <wp:posOffset>-2269186</wp:posOffset>
          </wp:positionH>
          <wp:positionV relativeFrom="page">
            <wp:posOffset>120071</wp:posOffset>
          </wp:positionV>
          <wp:extent cx="13158216" cy="548656"/>
          <wp:effectExtent l="0" t="0" r="5715"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pPr>
      <w:pStyle w:val="Header"/>
    </w:pPr>
    <w:r>
      <w:rPr>
        <w:noProof/>
      </w:rPr>
      <w:drawing>
        <wp:anchor distT="0" distB="0" distL="114300" distR="114300" simplePos="0" relativeHeight="251656704"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pPr>
      <w:pStyle w:val="Header"/>
    </w:pPr>
    <w:r>
      <w:rPr>
        <w:noProof/>
      </w:rPr>
      <w:drawing>
        <wp:anchor distT="0" distB="0" distL="114300" distR="114300" simplePos="0" relativeHeight="251652608" behindDoc="1" locked="0" layoutInCell="1" allowOverlap="1" wp14:anchorId="26E454D5" wp14:editId="20974207">
          <wp:simplePos x="0" y="0"/>
          <wp:positionH relativeFrom="column">
            <wp:posOffset>-930303</wp:posOffset>
          </wp:positionH>
          <wp:positionV relativeFrom="page">
            <wp:posOffset>-31805</wp:posOffset>
          </wp:positionV>
          <wp:extent cx="7589520" cy="10725912"/>
          <wp:effectExtent l="0" t="0" r="0" b="0"/>
          <wp:wrapNone/>
          <wp:docPr id="35"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65CCC76E" wp14:editId="7C0BAC56">
          <wp:simplePos x="0" y="0"/>
          <wp:positionH relativeFrom="column">
            <wp:posOffset>-909902</wp:posOffset>
          </wp:positionH>
          <wp:positionV relativeFrom="page">
            <wp:posOffset>-264</wp:posOffset>
          </wp:positionV>
          <wp:extent cx="7562088" cy="10698480"/>
          <wp:effectExtent l="0" t="0" r="1270" b="7620"/>
          <wp:wrapNone/>
          <wp:docPr id="36"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A1" w:rsidRDefault="005E16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pPr>
      <w:pStyle w:val="Header"/>
    </w:pPr>
    <w:r>
      <w:rPr>
        <w:noProof/>
      </w:rPr>
      <w:drawing>
        <wp:anchor distT="0" distB="0" distL="114300" distR="114300" simplePos="0" relativeHeight="251659776" behindDoc="0" locked="0" layoutInCell="1" allowOverlap="1" wp14:anchorId="4094C765" wp14:editId="26B24A61">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pPr>
      <w:pStyle w:val="Header"/>
    </w:pPr>
    <w:r>
      <w:rPr>
        <w:noProof/>
      </w:rPr>
      <w:drawing>
        <wp:anchor distT="0" distB="0" distL="114300" distR="114300" simplePos="0" relativeHeight="251658752" behindDoc="0" locked="0" layoutInCell="1" allowOverlap="1" wp14:anchorId="6B1BBF05" wp14:editId="227C025A">
          <wp:simplePos x="0" y="0"/>
          <wp:positionH relativeFrom="column">
            <wp:posOffset>-931849</wp:posOffset>
          </wp:positionH>
          <wp:positionV relativeFrom="page">
            <wp:posOffset>0</wp:posOffset>
          </wp:positionV>
          <wp:extent cx="7591245" cy="740985"/>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pPr>
      <w:pStyle w:val="Header"/>
    </w:pPr>
    <w:r>
      <w:rPr>
        <w:noProof/>
      </w:rPr>
      <w:drawing>
        <wp:anchor distT="0" distB="0" distL="114300" distR="114300" simplePos="0" relativeHeight="251665920" behindDoc="0" locked="0" layoutInCell="1" allowOverlap="1" wp14:anchorId="01AD4574" wp14:editId="6F4E2903">
          <wp:simplePos x="0" y="0"/>
          <wp:positionH relativeFrom="column">
            <wp:posOffset>-932815</wp:posOffset>
          </wp:positionH>
          <wp:positionV relativeFrom="page">
            <wp:posOffset>-3546</wp:posOffset>
          </wp:positionV>
          <wp:extent cx="7591245" cy="740985"/>
          <wp:effectExtent l="0" t="0" r="0" b="2540"/>
          <wp:wrapNone/>
          <wp:docPr id="19"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Default="00240AC7">
    <w:pPr>
      <w:pStyle w:val="Header"/>
    </w:pPr>
    <w:r>
      <w:rPr>
        <w:noProof/>
      </w:rPr>
      <w:drawing>
        <wp:anchor distT="0" distB="0" distL="114300" distR="114300" simplePos="0" relativeHeight="251666944" behindDoc="0" locked="0" layoutInCell="1" allowOverlap="1" wp14:anchorId="248848F0" wp14:editId="1B62D85C">
          <wp:simplePos x="0" y="0"/>
          <wp:positionH relativeFrom="column">
            <wp:posOffset>-931849</wp:posOffset>
          </wp:positionH>
          <wp:positionV relativeFrom="page">
            <wp:posOffset>0</wp:posOffset>
          </wp:positionV>
          <wp:extent cx="7591245" cy="740985"/>
          <wp:effectExtent l="0" t="0" r="0" b="2540"/>
          <wp:wrapNone/>
          <wp:docPr id="2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Pr="0041689E" w:rsidRDefault="00240AC7" w:rsidP="003C3B3A">
    <w:pPr>
      <w:pStyle w:val="Header"/>
    </w:pPr>
    <w:r>
      <w:rPr>
        <w:noProof/>
      </w:rPr>
      <w:drawing>
        <wp:anchor distT="0" distB="0" distL="114300" distR="114300" simplePos="0" relativeHeight="251663872" behindDoc="0" locked="0" layoutInCell="1" allowOverlap="1" wp14:anchorId="3A130B9A" wp14:editId="07B0E60B">
          <wp:simplePos x="0" y="0"/>
          <wp:positionH relativeFrom="column">
            <wp:posOffset>-2066290</wp:posOffset>
          </wp:positionH>
          <wp:positionV relativeFrom="page">
            <wp:posOffset>118745</wp:posOffset>
          </wp:positionV>
          <wp:extent cx="13158216" cy="548656"/>
          <wp:effectExtent l="0" t="0" r="571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7" w:rsidRPr="00BB59E0" w:rsidRDefault="00240AC7" w:rsidP="00BB59E0">
    <w:pPr>
      <w:pStyle w:val="Header"/>
    </w:pPr>
    <w:r>
      <w:rPr>
        <w:noProof/>
      </w:rPr>
      <w:drawing>
        <wp:anchor distT="0" distB="0" distL="114300" distR="114300" simplePos="0" relativeHeight="251664896" behindDoc="0" locked="0" layoutInCell="1" allowOverlap="1" wp14:anchorId="2875F855" wp14:editId="50C4A188">
          <wp:simplePos x="0" y="0"/>
          <wp:positionH relativeFrom="column">
            <wp:posOffset>-2066290</wp:posOffset>
          </wp:positionH>
          <wp:positionV relativeFrom="page">
            <wp:posOffset>118745</wp:posOffset>
          </wp:positionV>
          <wp:extent cx="13158216" cy="548656"/>
          <wp:effectExtent l="0" t="0" r="571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075"/>
    <w:multiLevelType w:val="hybridMultilevel"/>
    <w:tmpl w:val="B4D85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797604"/>
    <w:multiLevelType w:val="hybridMultilevel"/>
    <w:tmpl w:val="753A9CF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F61812"/>
    <w:multiLevelType w:val="multilevel"/>
    <w:tmpl w:val="C29EC23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3">
    <w:nsid w:val="1309676F"/>
    <w:multiLevelType w:val="hybridMultilevel"/>
    <w:tmpl w:val="482040EC"/>
    <w:lvl w:ilvl="0" w:tplc="46128F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50799E"/>
    <w:multiLevelType w:val="hybridMultilevel"/>
    <w:tmpl w:val="E076A514"/>
    <w:lvl w:ilvl="0" w:tplc="C7E64A1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8D7E84"/>
    <w:multiLevelType w:val="hybridMultilevel"/>
    <w:tmpl w:val="A79C826E"/>
    <w:lvl w:ilvl="0" w:tplc="C7E64A1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8B056BC"/>
    <w:multiLevelType w:val="hybridMultilevel"/>
    <w:tmpl w:val="4E322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5507CE"/>
    <w:multiLevelType w:val="hybridMultilevel"/>
    <w:tmpl w:val="3DFC6CB8"/>
    <w:lvl w:ilvl="0" w:tplc="0C090009">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2138082A"/>
    <w:multiLevelType w:val="hybridMultilevel"/>
    <w:tmpl w:val="B7C6D61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591E9B"/>
    <w:multiLevelType w:val="hybridMultilevel"/>
    <w:tmpl w:val="BD6A0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BB2F7E"/>
    <w:multiLevelType w:val="hybridMultilevel"/>
    <w:tmpl w:val="D736BC7C"/>
    <w:lvl w:ilvl="0" w:tplc="6ABAE9B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44A7352"/>
    <w:multiLevelType w:val="hybridMultilevel"/>
    <w:tmpl w:val="C5C486A0"/>
    <w:lvl w:ilvl="0" w:tplc="860E47B2">
      <w:start w:val="1"/>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900FC6"/>
    <w:multiLevelType w:val="hybridMultilevel"/>
    <w:tmpl w:val="B87E2EF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E4133CA"/>
    <w:multiLevelType w:val="hybridMultilevel"/>
    <w:tmpl w:val="0A76C366"/>
    <w:lvl w:ilvl="0" w:tplc="EF1A6A36">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642E29"/>
    <w:multiLevelType w:val="hybridMultilevel"/>
    <w:tmpl w:val="34341242"/>
    <w:lvl w:ilvl="0" w:tplc="EF1A6A36">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BA166E"/>
    <w:multiLevelType w:val="hybridMultilevel"/>
    <w:tmpl w:val="ACDAB598"/>
    <w:lvl w:ilvl="0" w:tplc="20641B82">
      <w:numFmt w:val="bullet"/>
      <w:lvlText w:val="•"/>
      <w:lvlJc w:val="left"/>
      <w:pPr>
        <w:ind w:left="1211" w:hanging="360"/>
      </w:pPr>
      <w:rPr>
        <w:rFonts w:ascii="Arial" w:eastAsiaTheme="minorEastAsia"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nsid w:val="3ABE4C51"/>
    <w:multiLevelType w:val="hybridMultilevel"/>
    <w:tmpl w:val="F6A835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0">
    <w:nsid w:val="54086B98"/>
    <w:multiLevelType w:val="hybridMultilevel"/>
    <w:tmpl w:val="F6FA9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5F5673"/>
    <w:multiLevelType w:val="hybridMultilevel"/>
    <w:tmpl w:val="8E98CF1C"/>
    <w:lvl w:ilvl="0" w:tplc="AD063E7C">
      <w:numFmt w:val="bullet"/>
      <w:lvlText w:val="-"/>
      <w:lvlJc w:val="left"/>
      <w:pPr>
        <w:ind w:left="1211" w:hanging="360"/>
      </w:pPr>
      <w:rPr>
        <w:rFonts w:ascii="Arial" w:eastAsiaTheme="minorEastAsia"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5F9C3D90"/>
    <w:multiLevelType w:val="hybridMultilevel"/>
    <w:tmpl w:val="2020E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392BC2"/>
    <w:multiLevelType w:val="multilevel"/>
    <w:tmpl w:val="C29EC23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24">
    <w:nsid w:val="6BF73A89"/>
    <w:multiLevelType w:val="hybridMultilevel"/>
    <w:tmpl w:val="992A50F0"/>
    <w:lvl w:ilvl="0" w:tplc="0C090005">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5">
    <w:nsid w:val="6E004F94"/>
    <w:multiLevelType w:val="hybridMultilevel"/>
    <w:tmpl w:val="57B8993A"/>
    <w:lvl w:ilvl="0" w:tplc="EF1A6A36">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0F23D22"/>
    <w:multiLevelType w:val="hybridMultilevel"/>
    <w:tmpl w:val="0D44405E"/>
    <w:lvl w:ilvl="0" w:tplc="860E47B2">
      <w:start w:val="1"/>
      <w:numFmt w:val="bullet"/>
      <w:lvlText w:val="-"/>
      <w:lvlJc w:val="left"/>
      <w:pPr>
        <w:ind w:left="360" w:hanging="360"/>
      </w:pPr>
      <w:rPr>
        <w:rFonts w:ascii="Arial" w:eastAsiaTheme="minorEastAsia"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47E5F62"/>
    <w:multiLevelType w:val="hybridMultilevel"/>
    <w:tmpl w:val="FD3EEF5E"/>
    <w:lvl w:ilvl="0" w:tplc="C7E64A1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3D1120"/>
    <w:multiLevelType w:val="hybridMultilevel"/>
    <w:tmpl w:val="74D46B7A"/>
    <w:lvl w:ilvl="0" w:tplc="9E9E79D6">
      <w:numFmt w:val="bullet"/>
      <w:lvlText w:val="-"/>
      <w:lvlJc w:val="left"/>
      <w:pPr>
        <w:ind w:left="1211" w:hanging="360"/>
      </w:pPr>
      <w:rPr>
        <w:rFonts w:ascii="Arial" w:eastAsiaTheme="minorEastAsia"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nsid w:val="79243F38"/>
    <w:multiLevelType w:val="hybridMultilevel"/>
    <w:tmpl w:val="36083F90"/>
    <w:lvl w:ilvl="0" w:tplc="EF1A6A36">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E8A3F9C"/>
    <w:multiLevelType w:val="hybridMultilevel"/>
    <w:tmpl w:val="1A9E8D5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FD44514"/>
    <w:multiLevelType w:val="multilevel"/>
    <w:tmpl w:val="35847112"/>
    <w:lvl w:ilvl="0">
      <w:start w:val="1"/>
      <w:numFmt w:val="lowerLetter"/>
      <w:pStyle w:val="Listnum"/>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9"/>
  </w:num>
  <w:num w:numId="2">
    <w:abstractNumId w:val="19"/>
  </w:num>
  <w:num w:numId="3">
    <w:abstractNumId w:val="19"/>
  </w:num>
  <w:num w:numId="4">
    <w:abstractNumId w:val="32"/>
  </w:num>
  <w:num w:numId="5">
    <w:abstractNumId w:val="12"/>
  </w:num>
  <w:num w:numId="6">
    <w:abstractNumId w:val="18"/>
  </w:num>
  <w:num w:numId="7">
    <w:abstractNumId w:val="30"/>
  </w:num>
  <w:num w:numId="8">
    <w:abstractNumId w:val="32"/>
  </w:num>
  <w:num w:numId="9">
    <w:abstractNumId w:val="32"/>
  </w:num>
  <w:num w:numId="10">
    <w:abstractNumId w:val="31"/>
  </w:num>
  <w:num w:numId="11">
    <w:abstractNumId w:val="22"/>
  </w:num>
  <w:num w:numId="12">
    <w:abstractNumId w:val="32"/>
  </w:num>
  <w:num w:numId="13">
    <w:abstractNumId w:val="8"/>
  </w:num>
  <w:num w:numId="14">
    <w:abstractNumId w:val="17"/>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2"/>
  </w:num>
  <w:num w:numId="18">
    <w:abstractNumId w:val="32"/>
  </w:num>
  <w:num w:numId="19">
    <w:abstractNumId w:val="13"/>
  </w:num>
  <w:num w:numId="20">
    <w:abstractNumId w:val="2"/>
  </w:num>
  <w:num w:numId="21">
    <w:abstractNumId w:val="1"/>
  </w:num>
  <w:num w:numId="22">
    <w:abstractNumId w:val="32"/>
  </w:num>
  <w:num w:numId="23">
    <w:abstractNumId w:val="3"/>
  </w:num>
  <w:num w:numId="24">
    <w:abstractNumId w:val="32"/>
  </w:num>
  <w:num w:numId="25">
    <w:abstractNumId w:val="32"/>
  </w:num>
  <w:num w:numId="26">
    <w:abstractNumId w:val="28"/>
  </w:num>
  <w:num w:numId="27">
    <w:abstractNumId w:val="32"/>
  </w:num>
  <w:num w:numId="28">
    <w:abstractNumId w:val="27"/>
  </w:num>
  <w:num w:numId="29">
    <w:abstractNumId w:val="4"/>
  </w:num>
  <w:num w:numId="30">
    <w:abstractNumId w:val="25"/>
  </w:num>
  <w:num w:numId="31">
    <w:abstractNumId w:val="5"/>
  </w:num>
  <w:num w:numId="32">
    <w:abstractNumId w:val="15"/>
  </w:num>
  <w:num w:numId="33">
    <w:abstractNumId w:val="29"/>
  </w:num>
  <w:num w:numId="34">
    <w:abstractNumId w:val="7"/>
  </w:num>
  <w:num w:numId="35">
    <w:abstractNumId w:val="16"/>
  </w:num>
  <w:num w:numId="36">
    <w:abstractNumId w:val="24"/>
  </w:num>
  <w:num w:numId="37">
    <w:abstractNumId w:val="32"/>
  </w:num>
  <w:num w:numId="38">
    <w:abstractNumId w:val="21"/>
  </w:num>
  <w:num w:numId="39">
    <w:abstractNumId w:val="32"/>
  </w:num>
  <w:num w:numId="40">
    <w:abstractNumId w:val="32"/>
  </w:num>
  <w:num w:numId="41">
    <w:abstractNumId w:val="6"/>
  </w:num>
  <w:num w:numId="42">
    <w:abstractNumId w:val="32"/>
  </w:num>
  <w:num w:numId="43">
    <w:abstractNumId w:val="32"/>
  </w:num>
  <w:num w:numId="44">
    <w:abstractNumId w:val="32"/>
  </w:num>
  <w:num w:numId="45">
    <w:abstractNumId w:val="32"/>
  </w:num>
  <w:num w:numId="46">
    <w:abstractNumId w:val="9"/>
  </w:num>
  <w:num w:numId="47">
    <w:abstractNumId w:val="20"/>
  </w:num>
  <w:num w:numId="48">
    <w:abstractNumId w:val="10"/>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11"/>
  </w:num>
  <w:num w:numId="58">
    <w:abstractNumId w:val="14"/>
  </w:num>
  <w:num w:numId="59">
    <w:abstractNumId w:val="0"/>
  </w:num>
  <w:num w:numId="60">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3A"/>
    <w:rsid w:val="00001F46"/>
    <w:rsid w:val="00012F6F"/>
    <w:rsid w:val="00014213"/>
    <w:rsid w:val="00014B55"/>
    <w:rsid w:val="00020E3E"/>
    <w:rsid w:val="00023BF3"/>
    <w:rsid w:val="00026811"/>
    <w:rsid w:val="0004185E"/>
    <w:rsid w:val="00056988"/>
    <w:rsid w:val="00075E6C"/>
    <w:rsid w:val="000776E8"/>
    <w:rsid w:val="000778D6"/>
    <w:rsid w:val="00081C12"/>
    <w:rsid w:val="00081E1D"/>
    <w:rsid w:val="00096450"/>
    <w:rsid w:val="000B29AD"/>
    <w:rsid w:val="000B395F"/>
    <w:rsid w:val="000C6372"/>
    <w:rsid w:val="000C7DAC"/>
    <w:rsid w:val="000E34FE"/>
    <w:rsid w:val="000E392D"/>
    <w:rsid w:val="000E3D05"/>
    <w:rsid w:val="000F4288"/>
    <w:rsid w:val="000F7165"/>
    <w:rsid w:val="00102379"/>
    <w:rsid w:val="00103722"/>
    <w:rsid w:val="00104F85"/>
    <w:rsid w:val="001065D6"/>
    <w:rsid w:val="001068D5"/>
    <w:rsid w:val="00111613"/>
    <w:rsid w:val="00115FFE"/>
    <w:rsid w:val="00121252"/>
    <w:rsid w:val="00124609"/>
    <w:rsid w:val="00125458"/>
    <w:rsid w:val="001254CE"/>
    <w:rsid w:val="00131AD4"/>
    <w:rsid w:val="00140361"/>
    <w:rsid w:val="001422CC"/>
    <w:rsid w:val="00152FFF"/>
    <w:rsid w:val="001617B6"/>
    <w:rsid w:val="00165E66"/>
    <w:rsid w:val="00171837"/>
    <w:rsid w:val="00184E43"/>
    <w:rsid w:val="00196143"/>
    <w:rsid w:val="001A24FC"/>
    <w:rsid w:val="001B4F1D"/>
    <w:rsid w:val="001B7205"/>
    <w:rsid w:val="001C1082"/>
    <w:rsid w:val="001C7BAE"/>
    <w:rsid w:val="001E31FA"/>
    <w:rsid w:val="001E48F9"/>
    <w:rsid w:val="001E64F6"/>
    <w:rsid w:val="001E7AEB"/>
    <w:rsid w:val="001E7B3B"/>
    <w:rsid w:val="001F2B79"/>
    <w:rsid w:val="00204B82"/>
    <w:rsid w:val="0021241A"/>
    <w:rsid w:val="00222BEB"/>
    <w:rsid w:val="00225E60"/>
    <w:rsid w:val="0023202C"/>
    <w:rsid w:val="00240AC7"/>
    <w:rsid w:val="00245043"/>
    <w:rsid w:val="00253596"/>
    <w:rsid w:val="0026152E"/>
    <w:rsid w:val="002632FB"/>
    <w:rsid w:val="00280C8B"/>
    <w:rsid w:val="00284FA2"/>
    <w:rsid w:val="00292D36"/>
    <w:rsid w:val="00297281"/>
    <w:rsid w:val="002B03F1"/>
    <w:rsid w:val="002B5BE4"/>
    <w:rsid w:val="002B5E2B"/>
    <w:rsid w:val="002B6DAA"/>
    <w:rsid w:val="002C769D"/>
    <w:rsid w:val="002D711A"/>
    <w:rsid w:val="002D7336"/>
    <w:rsid w:val="002E0143"/>
    <w:rsid w:val="002E3396"/>
    <w:rsid w:val="002F0D5B"/>
    <w:rsid w:val="002F2953"/>
    <w:rsid w:val="002F478B"/>
    <w:rsid w:val="00301E60"/>
    <w:rsid w:val="0031149C"/>
    <w:rsid w:val="00312620"/>
    <w:rsid w:val="00316E86"/>
    <w:rsid w:val="003240B2"/>
    <w:rsid w:val="0033183E"/>
    <w:rsid w:val="0033558E"/>
    <w:rsid w:val="0034778D"/>
    <w:rsid w:val="003571F3"/>
    <w:rsid w:val="0036778F"/>
    <w:rsid w:val="00375E96"/>
    <w:rsid w:val="0038771C"/>
    <w:rsid w:val="00391BFE"/>
    <w:rsid w:val="003947B7"/>
    <w:rsid w:val="003A430B"/>
    <w:rsid w:val="003A53C8"/>
    <w:rsid w:val="003A541A"/>
    <w:rsid w:val="003A6923"/>
    <w:rsid w:val="003B37BA"/>
    <w:rsid w:val="003C2C67"/>
    <w:rsid w:val="003C2D4C"/>
    <w:rsid w:val="003C3B3A"/>
    <w:rsid w:val="003C5BA4"/>
    <w:rsid w:val="003D5A65"/>
    <w:rsid w:val="003E3E26"/>
    <w:rsid w:val="003E5932"/>
    <w:rsid w:val="003F1295"/>
    <w:rsid w:val="003F5102"/>
    <w:rsid w:val="003F76FC"/>
    <w:rsid w:val="004002EB"/>
    <w:rsid w:val="00402A8F"/>
    <w:rsid w:val="00402AE2"/>
    <w:rsid w:val="00407A79"/>
    <w:rsid w:val="00422DDC"/>
    <w:rsid w:val="004231B5"/>
    <w:rsid w:val="004236C8"/>
    <w:rsid w:val="00427681"/>
    <w:rsid w:val="00433DB7"/>
    <w:rsid w:val="00440A97"/>
    <w:rsid w:val="00453750"/>
    <w:rsid w:val="00456941"/>
    <w:rsid w:val="004702EA"/>
    <w:rsid w:val="00473666"/>
    <w:rsid w:val="00481177"/>
    <w:rsid w:val="00481760"/>
    <w:rsid w:val="0048259C"/>
    <w:rsid w:val="00482D02"/>
    <w:rsid w:val="00484BC0"/>
    <w:rsid w:val="00490369"/>
    <w:rsid w:val="004A20A6"/>
    <w:rsid w:val="004A7519"/>
    <w:rsid w:val="004B1C4F"/>
    <w:rsid w:val="004D01AC"/>
    <w:rsid w:val="004D3518"/>
    <w:rsid w:val="004D62D6"/>
    <w:rsid w:val="004F3F4E"/>
    <w:rsid w:val="005006A5"/>
    <w:rsid w:val="00504D5B"/>
    <w:rsid w:val="00510167"/>
    <w:rsid w:val="005306A2"/>
    <w:rsid w:val="0053416C"/>
    <w:rsid w:val="00541C2F"/>
    <w:rsid w:val="005623A5"/>
    <w:rsid w:val="00563527"/>
    <w:rsid w:val="00571E90"/>
    <w:rsid w:val="00573BAE"/>
    <w:rsid w:val="00577149"/>
    <w:rsid w:val="0058124E"/>
    <w:rsid w:val="00582841"/>
    <w:rsid w:val="005875A3"/>
    <w:rsid w:val="005906D3"/>
    <w:rsid w:val="005940A4"/>
    <w:rsid w:val="00597D52"/>
    <w:rsid w:val="005A3416"/>
    <w:rsid w:val="005B21A9"/>
    <w:rsid w:val="005B27FE"/>
    <w:rsid w:val="005B44F2"/>
    <w:rsid w:val="005B46D1"/>
    <w:rsid w:val="005B76DF"/>
    <w:rsid w:val="005B79CB"/>
    <w:rsid w:val="005C6BC2"/>
    <w:rsid w:val="005E16A1"/>
    <w:rsid w:val="005E4C16"/>
    <w:rsid w:val="005F1C25"/>
    <w:rsid w:val="005F3C3C"/>
    <w:rsid w:val="005F5916"/>
    <w:rsid w:val="005F61DF"/>
    <w:rsid w:val="0060163A"/>
    <w:rsid w:val="006023F9"/>
    <w:rsid w:val="006025F1"/>
    <w:rsid w:val="00610559"/>
    <w:rsid w:val="00613F19"/>
    <w:rsid w:val="00614076"/>
    <w:rsid w:val="006164D9"/>
    <w:rsid w:val="0062088C"/>
    <w:rsid w:val="00632F2E"/>
    <w:rsid w:val="006332F6"/>
    <w:rsid w:val="0063623C"/>
    <w:rsid w:val="006413F2"/>
    <w:rsid w:val="00645B1A"/>
    <w:rsid w:val="00651BB1"/>
    <w:rsid w:val="0065255F"/>
    <w:rsid w:val="006534B2"/>
    <w:rsid w:val="00653993"/>
    <w:rsid w:val="0065615D"/>
    <w:rsid w:val="00657011"/>
    <w:rsid w:val="006650B5"/>
    <w:rsid w:val="006651B1"/>
    <w:rsid w:val="00665778"/>
    <w:rsid w:val="00676231"/>
    <w:rsid w:val="00676E5F"/>
    <w:rsid w:val="0068430D"/>
    <w:rsid w:val="00693809"/>
    <w:rsid w:val="006A3309"/>
    <w:rsid w:val="006A5B34"/>
    <w:rsid w:val="006C77A9"/>
    <w:rsid w:val="006D4720"/>
    <w:rsid w:val="006D6601"/>
    <w:rsid w:val="006E6CDF"/>
    <w:rsid w:val="006F37F2"/>
    <w:rsid w:val="006F6693"/>
    <w:rsid w:val="0070361C"/>
    <w:rsid w:val="00707FE8"/>
    <w:rsid w:val="00714AAE"/>
    <w:rsid w:val="00716810"/>
    <w:rsid w:val="00724962"/>
    <w:rsid w:val="00724A0F"/>
    <w:rsid w:val="00726D2F"/>
    <w:rsid w:val="007361DA"/>
    <w:rsid w:val="00736732"/>
    <w:rsid w:val="00746426"/>
    <w:rsid w:val="00750BF9"/>
    <w:rsid w:val="00750CBE"/>
    <w:rsid w:val="007525C2"/>
    <w:rsid w:val="007650D2"/>
    <w:rsid w:val="00766B5A"/>
    <w:rsid w:val="007770A5"/>
    <w:rsid w:val="007834F2"/>
    <w:rsid w:val="00786526"/>
    <w:rsid w:val="00791020"/>
    <w:rsid w:val="007A04D2"/>
    <w:rsid w:val="007A5F82"/>
    <w:rsid w:val="007B50C8"/>
    <w:rsid w:val="007C5E63"/>
    <w:rsid w:val="007D5F9E"/>
    <w:rsid w:val="007E47D5"/>
    <w:rsid w:val="007F1453"/>
    <w:rsid w:val="007F1A4C"/>
    <w:rsid w:val="007F723F"/>
    <w:rsid w:val="008013B9"/>
    <w:rsid w:val="008022C3"/>
    <w:rsid w:val="008041E6"/>
    <w:rsid w:val="00805015"/>
    <w:rsid w:val="00805AD2"/>
    <w:rsid w:val="008065D2"/>
    <w:rsid w:val="00820485"/>
    <w:rsid w:val="00821702"/>
    <w:rsid w:val="0082194C"/>
    <w:rsid w:val="008222FF"/>
    <w:rsid w:val="008241FF"/>
    <w:rsid w:val="008313EA"/>
    <w:rsid w:val="008411E9"/>
    <w:rsid w:val="00841617"/>
    <w:rsid w:val="00841794"/>
    <w:rsid w:val="00841DCF"/>
    <w:rsid w:val="0084200F"/>
    <w:rsid w:val="00843B2C"/>
    <w:rsid w:val="0085698B"/>
    <w:rsid w:val="00862A9B"/>
    <w:rsid w:val="008668A8"/>
    <w:rsid w:val="00874049"/>
    <w:rsid w:val="00880AC4"/>
    <w:rsid w:val="00882BBB"/>
    <w:rsid w:val="00897447"/>
    <w:rsid w:val="008A4900"/>
    <w:rsid w:val="008A55FE"/>
    <w:rsid w:val="008B146D"/>
    <w:rsid w:val="008B42AD"/>
    <w:rsid w:val="008B5666"/>
    <w:rsid w:val="008D0281"/>
    <w:rsid w:val="008E2221"/>
    <w:rsid w:val="008E2348"/>
    <w:rsid w:val="008E6942"/>
    <w:rsid w:val="008F6D45"/>
    <w:rsid w:val="0091466A"/>
    <w:rsid w:val="00922944"/>
    <w:rsid w:val="00937A10"/>
    <w:rsid w:val="0094554C"/>
    <w:rsid w:val="00966115"/>
    <w:rsid w:val="009752E7"/>
    <w:rsid w:val="00977E07"/>
    <w:rsid w:val="00981A7C"/>
    <w:rsid w:val="009834C0"/>
    <w:rsid w:val="00985A78"/>
    <w:rsid w:val="00986AAC"/>
    <w:rsid w:val="00993D7E"/>
    <w:rsid w:val="00995526"/>
    <w:rsid w:val="009A1DA2"/>
    <w:rsid w:val="009A251A"/>
    <w:rsid w:val="009A3704"/>
    <w:rsid w:val="009A4739"/>
    <w:rsid w:val="009A674F"/>
    <w:rsid w:val="009A6D22"/>
    <w:rsid w:val="009B199C"/>
    <w:rsid w:val="009B1A9C"/>
    <w:rsid w:val="009B49AB"/>
    <w:rsid w:val="009B61F1"/>
    <w:rsid w:val="009B62E0"/>
    <w:rsid w:val="009C3D88"/>
    <w:rsid w:val="009C5DE5"/>
    <w:rsid w:val="009D1FF5"/>
    <w:rsid w:val="009D3B43"/>
    <w:rsid w:val="009E181C"/>
    <w:rsid w:val="009E23C0"/>
    <w:rsid w:val="009E3858"/>
    <w:rsid w:val="009E467D"/>
    <w:rsid w:val="009E6F56"/>
    <w:rsid w:val="009E70DD"/>
    <w:rsid w:val="009F2ED9"/>
    <w:rsid w:val="009F3231"/>
    <w:rsid w:val="009F5C58"/>
    <w:rsid w:val="00A0021A"/>
    <w:rsid w:val="00A008EA"/>
    <w:rsid w:val="00A023A0"/>
    <w:rsid w:val="00A052EB"/>
    <w:rsid w:val="00A1562B"/>
    <w:rsid w:val="00A170F4"/>
    <w:rsid w:val="00A21408"/>
    <w:rsid w:val="00A21CFD"/>
    <w:rsid w:val="00A25B78"/>
    <w:rsid w:val="00A323B9"/>
    <w:rsid w:val="00A46BA8"/>
    <w:rsid w:val="00A47634"/>
    <w:rsid w:val="00A54DDA"/>
    <w:rsid w:val="00A60B14"/>
    <w:rsid w:val="00A612FE"/>
    <w:rsid w:val="00A61498"/>
    <w:rsid w:val="00A646F2"/>
    <w:rsid w:val="00A831A2"/>
    <w:rsid w:val="00AA26B8"/>
    <w:rsid w:val="00AA6AC3"/>
    <w:rsid w:val="00AA7242"/>
    <w:rsid w:val="00AC0B87"/>
    <w:rsid w:val="00AC2624"/>
    <w:rsid w:val="00AC2970"/>
    <w:rsid w:val="00AC4C81"/>
    <w:rsid w:val="00AD665C"/>
    <w:rsid w:val="00AD7E4E"/>
    <w:rsid w:val="00AE395D"/>
    <w:rsid w:val="00AE6C26"/>
    <w:rsid w:val="00AE7DEA"/>
    <w:rsid w:val="00AF1F4C"/>
    <w:rsid w:val="00AF34CC"/>
    <w:rsid w:val="00AF4D58"/>
    <w:rsid w:val="00AF6666"/>
    <w:rsid w:val="00B006CE"/>
    <w:rsid w:val="00B34E8C"/>
    <w:rsid w:val="00B42177"/>
    <w:rsid w:val="00B81B44"/>
    <w:rsid w:val="00B85EAE"/>
    <w:rsid w:val="00B9053B"/>
    <w:rsid w:val="00B91AE8"/>
    <w:rsid w:val="00B96C73"/>
    <w:rsid w:val="00BA3D1A"/>
    <w:rsid w:val="00BA4A3A"/>
    <w:rsid w:val="00BB4D98"/>
    <w:rsid w:val="00BB4EBF"/>
    <w:rsid w:val="00BB59E0"/>
    <w:rsid w:val="00BC3422"/>
    <w:rsid w:val="00BC4708"/>
    <w:rsid w:val="00BC6E19"/>
    <w:rsid w:val="00BC7613"/>
    <w:rsid w:val="00BF4F96"/>
    <w:rsid w:val="00C00620"/>
    <w:rsid w:val="00C015B9"/>
    <w:rsid w:val="00C022F9"/>
    <w:rsid w:val="00C032EA"/>
    <w:rsid w:val="00C06EB5"/>
    <w:rsid w:val="00C1145F"/>
    <w:rsid w:val="00C11CD1"/>
    <w:rsid w:val="00C231F8"/>
    <w:rsid w:val="00C3036B"/>
    <w:rsid w:val="00C33AD3"/>
    <w:rsid w:val="00C43F06"/>
    <w:rsid w:val="00C51C01"/>
    <w:rsid w:val="00C60EE1"/>
    <w:rsid w:val="00C62105"/>
    <w:rsid w:val="00C62339"/>
    <w:rsid w:val="00C62744"/>
    <w:rsid w:val="00C635A3"/>
    <w:rsid w:val="00C637E1"/>
    <w:rsid w:val="00C64B99"/>
    <w:rsid w:val="00C67EAC"/>
    <w:rsid w:val="00C70D50"/>
    <w:rsid w:val="00C72252"/>
    <w:rsid w:val="00C74EB7"/>
    <w:rsid w:val="00C8462C"/>
    <w:rsid w:val="00C86DED"/>
    <w:rsid w:val="00C907D7"/>
    <w:rsid w:val="00C92338"/>
    <w:rsid w:val="00CB3976"/>
    <w:rsid w:val="00CB7E9E"/>
    <w:rsid w:val="00CD0307"/>
    <w:rsid w:val="00CD2EC5"/>
    <w:rsid w:val="00CD3D1B"/>
    <w:rsid w:val="00CE11C6"/>
    <w:rsid w:val="00D02663"/>
    <w:rsid w:val="00D0399D"/>
    <w:rsid w:val="00D0633E"/>
    <w:rsid w:val="00D12E74"/>
    <w:rsid w:val="00D2312F"/>
    <w:rsid w:val="00D23CB7"/>
    <w:rsid w:val="00D269C1"/>
    <w:rsid w:val="00D3647A"/>
    <w:rsid w:val="00D41B2F"/>
    <w:rsid w:val="00D44953"/>
    <w:rsid w:val="00D542F3"/>
    <w:rsid w:val="00D54513"/>
    <w:rsid w:val="00D54AAE"/>
    <w:rsid w:val="00D5644B"/>
    <w:rsid w:val="00D567EC"/>
    <w:rsid w:val="00D56E25"/>
    <w:rsid w:val="00D575E4"/>
    <w:rsid w:val="00D57E89"/>
    <w:rsid w:val="00D6560D"/>
    <w:rsid w:val="00D65D77"/>
    <w:rsid w:val="00D718D7"/>
    <w:rsid w:val="00D71A1E"/>
    <w:rsid w:val="00D814B7"/>
    <w:rsid w:val="00D87C2E"/>
    <w:rsid w:val="00D90688"/>
    <w:rsid w:val="00D971C2"/>
    <w:rsid w:val="00D971FF"/>
    <w:rsid w:val="00DA3AAD"/>
    <w:rsid w:val="00DB312B"/>
    <w:rsid w:val="00DC52A1"/>
    <w:rsid w:val="00DC5654"/>
    <w:rsid w:val="00DC658F"/>
    <w:rsid w:val="00DC674A"/>
    <w:rsid w:val="00DD643F"/>
    <w:rsid w:val="00DE3A7B"/>
    <w:rsid w:val="00DE5E01"/>
    <w:rsid w:val="00DE60CC"/>
    <w:rsid w:val="00E10228"/>
    <w:rsid w:val="00E2014F"/>
    <w:rsid w:val="00E209FA"/>
    <w:rsid w:val="00E26B32"/>
    <w:rsid w:val="00E34AAF"/>
    <w:rsid w:val="00E35197"/>
    <w:rsid w:val="00E407B6"/>
    <w:rsid w:val="00E41EF1"/>
    <w:rsid w:val="00E42942"/>
    <w:rsid w:val="00E507BF"/>
    <w:rsid w:val="00E6426B"/>
    <w:rsid w:val="00E65A0A"/>
    <w:rsid w:val="00E71036"/>
    <w:rsid w:val="00E71BDF"/>
    <w:rsid w:val="00E74719"/>
    <w:rsid w:val="00E75CCB"/>
    <w:rsid w:val="00E7698C"/>
    <w:rsid w:val="00E8245B"/>
    <w:rsid w:val="00E82C21"/>
    <w:rsid w:val="00E82F59"/>
    <w:rsid w:val="00E83CA7"/>
    <w:rsid w:val="00E92192"/>
    <w:rsid w:val="00E95A71"/>
    <w:rsid w:val="00EB2754"/>
    <w:rsid w:val="00EB2A43"/>
    <w:rsid w:val="00EB2E4B"/>
    <w:rsid w:val="00EB7014"/>
    <w:rsid w:val="00EC5CDE"/>
    <w:rsid w:val="00EC6EF0"/>
    <w:rsid w:val="00ED4637"/>
    <w:rsid w:val="00ED487E"/>
    <w:rsid w:val="00EE33A1"/>
    <w:rsid w:val="00EE60BB"/>
    <w:rsid w:val="00EE7A0D"/>
    <w:rsid w:val="00EF5E6E"/>
    <w:rsid w:val="00F0222C"/>
    <w:rsid w:val="00F12312"/>
    <w:rsid w:val="00F124CA"/>
    <w:rsid w:val="00F17CE1"/>
    <w:rsid w:val="00F2115C"/>
    <w:rsid w:val="00F22ABA"/>
    <w:rsid w:val="00F36B12"/>
    <w:rsid w:val="00F47ECA"/>
    <w:rsid w:val="00F54F5D"/>
    <w:rsid w:val="00F60F9F"/>
    <w:rsid w:val="00F64F08"/>
    <w:rsid w:val="00F679E0"/>
    <w:rsid w:val="00F70055"/>
    <w:rsid w:val="00F704B7"/>
    <w:rsid w:val="00F72766"/>
    <w:rsid w:val="00F734F5"/>
    <w:rsid w:val="00F73B5B"/>
    <w:rsid w:val="00F91F5A"/>
    <w:rsid w:val="00F92D61"/>
    <w:rsid w:val="00F966B1"/>
    <w:rsid w:val="00F97D48"/>
    <w:rsid w:val="00FA0311"/>
    <w:rsid w:val="00FA41F2"/>
    <w:rsid w:val="00FB286F"/>
    <w:rsid w:val="00FD640F"/>
    <w:rsid w:val="00FD6B4C"/>
    <w:rsid w:val="00FE0553"/>
    <w:rsid w:val="00FE61A6"/>
    <w:rsid w:val="00FF301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uiPriority w:val="9"/>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uiPriority w:val="9"/>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C74EB7"/>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B85EAE"/>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C74EB7"/>
    <w:pPr>
      <w:spacing w:after="0" w:line="240" w:lineRule="auto"/>
    </w:pPr>
    <w:tblPr>
      <w:tblInd w:w="821" w:type="dxa"/>
      <w:tblBorders>
        <w:bottom w:val="none" w:sz="0" w:space="0" w:color="auto"/>
        <w:insideH w:val="single" w:sz="6" w:space="0" w:color="0063A6" w:themeColor="accent1"/>
      </w:tblBorders>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820485"/>
    <w:pPr>
      <w:numPr>
        <w:ilvl w:val="8"/>
        <w:numId w:val="4"/>
      </w:numPr>
      <w:tabs>
        <w:tab w:val="clear" w:pos="540"/>
      </w:tabs>
      <w:contextualSpacing w:val="0"/>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Default">
    <w:name w:val="Default"/>
    <w:rsid w:val="00C64B99"/>
    <w:pPr>
      <w:autoSpaceDE w:val="0"/>
      <w:autoSpaceDN w:val="0"/>
      <w:adjustRightInd w:val="0"/>
      <w:spacing w:after="0" w:line="240" w:lineRule="auto"/>
    </w:pPr>
    <w:rPr>
      <w:rFonts w:ascii="Arial" w:hAnsi="Arial" w:cs="Arial"/>
      <w:color w:val="000000"/>
      <w:sz w:val="24"/>
      <w:szCs w:val="24"/>
    </w:rPr>
  </w:style>
  <w:style w:type="table" w:styleId="MediumGrid1-Accent3">
    <w:name w:val="Medium Grid 1 Accent 3"/>
    <w:basedOn w:val="TableNormal"/>
    <w:uiPriority w:val="67"/>
    <w:rsid w:val="007525C2"/>
    <w:pPr>
      <w:spacing w:after="0" w:line="240" w:lineRule="auto"/>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character" w:styleId="CommentReference">
    <w:name w:val="annotation reference"/>
    <w:basedOn w:val="DefaultParagraphFont"/>
    <w:uiPriority w:val="99"/>
    <w:semiHidden/>
    <w:rsid w:val="000C7DAC"/>
    <w:rPr>
      <w:sz w:val="16"/>
      <w:szCs w:val="16"/>
    </w:rPr>
  </w:style>
  <w:style w:type="paragraph" w:styleId="CommentText">
    <w:name w:val="annotation text"/>
    <w:basedOn w:val="Normal"/>
    <w:link w:val="CommentTextChar"/>
    <w:uiPriority w:val="99"/>
    <w:semiHidden/>
    <w:rsid w:val="000C7DAC"/>
    <w:pPr>
      <w:spacing w:line="240" w:lineRule="auto"/>
    </w:pPr>
  </w:style>
  <w:style w:type="character" w:customStyle="1" w:styleId="CommentTextChar">
    <w:name w:val="Comment Text Char"/>
    <w:basedOn w:val="DefaultParagraphFont"/>
    <w:link w:val="CommentText"/>
    <w:uiPriority w:val="99"/>
    <w:semiHidden/>
    <w:rsid w:val="000C7DAC"/>
    <w:rPr>
      <w:spacing w:val="2"/>
    </w:rPr>
  </w:style>
  <w:style w:type="paragraph" w:styleId="CommentSubject">
    <w:name w:val="annotation subject"/>
    <w:basedOn w:val="CommentText"/>
    <w:next w:val="CommentText"/>
    <w:link w:val="CommentSubjectChar"/>
    <w:uiPriority w:val="99"/>
    <w:semiHidden/>
    <w:rsid w:val="000C7DAC"/>
    <w:rPr>
      <w:b/>
      <w:bCs/>
    </w:rPr>
  </w:style>
  <w:style w:type="character" w:customStyle="1" w:styleId="CommentSubjectChar">
    <w:name w:val="Comment Subject Char"/>
    <w:basedOn w:val="CommentTextChar"/>
    <w:link w:val="CommentSubject"/>
    <w:uiPriority w:val="99"/>
    <w:semiHidden/>
    <w:rsid w:val="000C7DAC"/>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uiPriority w:val="9"/>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uiPriority w:val="9"/>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C74EB7"/>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B85EAE"/>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C74EB7"/>
    <w:pPr>
      <w:spacing w:after="0" w:line="240" w:lineRule="auto"/>
    </w:pPr>
    <w:tblPr>
      <w:tblInd w:w="821" w:type="dxa"/>
      <w:tblBorders>
        <w:bottom w:val="none" w:sz="0" w:space="0" w:color="auto"/>
        <w:insideH w:val="single" w:sz="6" w:space="0" w:color="0063A6" w:themeColor="accent1"/>
      </w:tblBorders>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820485"/>
    <w:pPr>
      <w:numPr>
        <w:ilvl w:val="8"/>
        <w:numId w:val="4"/>
      </w:numPr>
      <w:tabs>
        <w:tab w:val="clear" w:pos="540"/>
      </w:tabs>
      <w:contextualSpacing w:val="0"/>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Default">
    <w:name w:val="Default"/>
    <w:rsid w:val="00C64B99"/>
    <w:pPr>
      <w:autoSpaceDE w:val="0"/>
      <w:autoSpaceDN w:val="0"/>
      <w:adjustRightInd w:val="0"/>
      <w:spacing w:after="0" w:line="240" w:lineRule="auto"/>
    </w:pPr>
    <w:rPr>
      <w:rFonts w:ascii="Arial" w:hAnsi="Arial" w:cs="Arial"/>
      <w:color w:val="000000"/>
      <w:sz w:val="24"/>
      <w:szCs w:val="24"/>
    </w:rPr>
  </w:style>
  <w:style w:type="table" w:styleId="MediumGrid1-Accent3">
    <w:name w:val="Medium Grid 1 Accent 3"/>
    <w:basedOn w:val="TableNormal"/>
    <w:uiPriority w:val="67"/>
    <w:rsid w:val="007525C2"/>
    <w:pPr>
      <w:spacing w:after="0" w:line="240" w:lineRule="auto"/>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character" w:styleId="CommentReference">
    <w:name w:val="annotation reference"/>
    <w:basedOn w:val="DefaultParagraphFont"/>
    <w:uiPriority w:val="99"/>
    <w:semiHidden/>
    <w:rsid w:val="000C7DAC"/>
    <w:rPr>
      <w:sz w:val="16"/>
      <w:szCs w:val="16"/>
    </w:rPr>
  </w:style>
  <w:style w:type="paragraph" w:styleId="CommentText">
    <w:name w:val="annotation text"/>
    <w:basedOn w:val="Normal"/>
    <w:link w:val="CommentTextChar"/>
    <w:uiPriority w:val="99"/>
    <w:semiHidden/>
    <w:rsid w:val="000C7DAC"/>
    <w:pPr>
      <w:spacing w:line="240" w:lineRule="auto"/>
    </w:pPr>
  </w:style>
  <w:style w:type="character" w:customStyle="1" w:styleId="CommentTextChar">
    <w:name w:val="Comment Text Char"/>
    <w:basedOn w:val="DefaultParagraphFont"/>
    <w:link w:val="CommentText"/>
    <w:uiPriority w:val="99"/>
    <w:semiHidden/>
    <w:rsid w:val="000C7DAC"/>
    <w:rPr>
      <w:spacing w:val="2"/>
    </w:rPr>
  </w:style>
  <w:style w:type="paragraph" w:styleId="CommentSubject">
    <w:name w:val="annotation subject"/>
    <w:basedOn w:val="CommentText"/>
    <w:next w:val="CommentText"/>
    <w:link w:val="CommentSubjectChar"/>
    <w:uiPriority w:val="99"/>
    <w:semiHidden/>
    <w:rsid w:val="000C7DAC"/>
    <w:rPr>
      <w:b/>
      <w:bCs/>
    </w:rPr>
  </w:style>
  <w:style w:type="character" w:customStyle="1" w:styleId="CommentSubjectChar">
    <w:name w:val="Comment Subject Char"/>
    <w:basedOn w:val="CommentTextChar"/>
    <w:link w:val="CommentSubject"/>
    <w:uiPriority w:val="99"/>
    <w:semiHidden/>
    <w:rsid w:val="000C7DAC"/>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oleObject" Target="embeddings/oleObject1.bin"/><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footer" Target="footer11.xml"/><Relationship Id="rId47" Type="http://schemas.openxmlformats.org/officeDocument/2006/relationships/header" Target="header14.xml"/><Relationship Id="rId50"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image" Target="media/image6.emf"/><Relationship Id="rId33" Type="http://schemas.openxmlformats.org/officeDocument/2006/relationships/header" Target="header8.xml"/><Relationship Id="rId38" Type="http://schemas.openxmlformats.org/officeDocument/2006/relationships/oleObject" Target="embeddings/oleObject3.bin"/><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oleObject" Target="embeddings/oleObject2.bin"/><Relationship Id="rId37" Type="http://schemas.openxmlformats.org/officeDocument/2006/relationships/image" Target="media/image9.emf"/><Relationship Id="rId40" Type="http://schemas.openxmlformats.org/officeDocument/2006/relationships/header" Target="header11.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9.xml"/><Relationship Id="rId49" Type="http://schemas.openxmlformats.org/officeDocument/2006/relationships/footer" Target="footer14.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image" Target="media/image7.emf"/><Relationship Id="rId44" Type="http://schemas.openxmlformats.org/officeDocument/2006/relationships/header" Target="header1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8.xm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fontTable" Target="fontTable.xml"/></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8.png"/></Relationships>
</file>

<file path=word/_rels/header13.xml.rels><?xml version="1.0" encoding="UTF-8" standalone="yes"?>
<Relationships xmlns="http://schemas.openxmlformats.org/package/2006/relationships"><Relationship Id="rId1" Type="http://schemas.openxmlformats.org/officeDocument/2006/relationships/image" Target="media/image8.png"/></Relationships>
</file>

<file path=word/_rels/header1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19CB-0C04-4284-9FDF-CBF8C5FC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2</TotalTime>
  <Pages>20</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Bernard</dc:creator>
  <cp:lastModifiedBy>Louise Koschmann</cp:lastModifiedBy>
  <cp:revision>2</cp:revision>
  <cp:lastPrinted>2017-12-20T06:23:00Z</cp:lastPrinted>
  <dcterms:created xsi:type="dcterms:W3CDTF">2018-02-14T03:43:00Z</dcterms:created>
  <dcterms:modified xsi:type="dcterms:W3CDTF">2018-02-14T03:43:00Z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2d47a020-f40b-4e4e-af54-fca2bb2ced85</vt:lpwstr>
  </property>
  <property fmtid="{D5CDD505-2E9C-101B-9397-08002B2CF9AE}" pid="3" name="PSPFClassification">
    <vt:lpwstr>Do Not Mark</vt:lpwstr>
  </property>
</Properties>
</file>