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Pr="00BF6584" w:rsidRDefault="00BF6584" w:rsidP="00BF6584">
      <w:pPr>
        <w:pStyle w:val="Title"/>
      </w:pPr>
      <w:bookmarkStart w:id="0" w:name="_GoBack"/>
      <w:bookmarkEnd w:id="0"/>
      <w:r>
        <w:t>Financial Reporting Operations Framework</w:t>
      </w:r>
    </w:p>
    <w:p w:rsidR="00750CBE" w:rsidRDefault="006205B4" w:rsidP="00750CBE">
      <w:pPr>
        <w:pStyle w:val="Subtitle"/>
      </w:pPr>
      <w:r>
        <w:rPr>
          <w:noProof/>
        </w:rPr>
        <w:t>For Victorian Government Departments</w:t>
      </w:r>
    </w:p>
    <w:p w:rsidR="00750CBE" w:rsidRDefault="00BF3B80" w:rsidP="00750CBE">
      <w:pPr>
        <w:pStyle w:val="TertiaryTitle"/>
      </w:pPr>
      <w:r>
        <w:t xml:space="preserve">Updated </w:t>
      </w:r>
      <w:r w:rsidR="001602DF">
        <w:t>March</w:t>
      </w:r>
      <w:r w:rsidR="0033298B">
        <w:t xml:space="preserve"> </w:t>
      </w:r>
      <w:r w:rsidR="006205B4">
        <w:t>201</w:t>
      </w:r>
      <w:r w:rsidR="00967717">
        <w:t>7</w:t>
      </w:r>
    </w:p>
    <w:p w:rsidR="00BF3B80" w:rsidRPr="00095B63" w:rsidRDefault="00BF3B80" w:rsidP="00095B63">
      <w:pPr>
        <w:pStyle w:val="TertiaryTitle"/>
        <w:rPr>
          <w:sz w:val="24"/>
          <w:szCs w:val="24"/>
        </w:rPr>
      </w:pPr>
      <w:r w:rsidRPr="00095B63">
        <w:rPr>
          <w:sz w:val="24"/>
          <w:szCs w:val="24"/>
        </w:rPr>
        <w:t>Effective from 1 July 2017</w:t>
      </w:r>
    </w:p>
    <w:p w:rsidR="00750CBE" w:rsidRPr="00387A01" w:rsidRDefault="00750CBE">
      <w:pPr>
        <w:rPr>
          <w:rFonts w:eastAsia="Times New Roman" w:cs="Calibri"/>
          <w:spacing w:val="0"/>
          <w:sz w:val="18"/>
          <w:szCs w:val="19"/>
          <w:lang w:eastAsia="en-US"/>
        </w:rPr>
      </w:pPr>
      <w:r w:rsidRPr="00387A01">
        <w:rPr>
          <w:rFonts w:eastAsia="Times New Roman" w:cs="Calibri"/>
          <w:spacing w:val="0"/>
          <w:sz w:val="18"/>
          <w:szCs w:val="19"/>
          <w:lang w:eastAsia="en-US"/>
        </w:rP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Default="00750CBE" w:rsidP="008D0281">
      <w:pPr>
        <w:pStyle w:val="NormalTight"/>
      </w:pPr>
    </w:p>
    <w:p w:rsidR="00E0468E" w:rsidRDefault="00E0468E" w:rsidP="008D0281">
      <w:pPr>
        <w:pStyle w:val="NormalTight"/>
      </w:pPr>
    </w:p>
    <w:p w:rsidR="00E0468E" w:rsidRDefault="00E0468E" w:rsidP="008D0281">
      <w:pPr>
        <w:pStyle w:val="NormalTight"/>
      </w:pPr>
    </w:p>
    <w:p w:rsidR="00E0468E" w:rsidRPr="00C92338" w:rsidRDefault="00E0468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413AB9">
        <w:rPr>
          <w:rFonts w:cstheme="minorHAnsi"/>
          <w:spacing w:val="0"/>
          <w:sz w:val="19"/>
          <w:szCs w:val="19"/>
        </w:rPr>
        <w:t>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6E55C55D" wp14:editId="6B818628">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82A05" w:rsidP="008D0281">
      <w:pPr>
        <w:pStyle w:val="NormalTight"/>
      </w:pPr>
      <w:r>
        <w:t>ISBN 978-1-922222</w:t>
      </w:r>
      <w:r w:rsidR="00750CBE" w:rsidRPr="00C92338">
        <w:t>-</w:t>
      </w:r>
      <w:r>
        <w:t>78-7</w:t>
      </w:r>
    </w:p>
    <w:p w:rsidR="00750CBE" w:rsidRPr="00C92338" w:rsidRDefault="00750CBE" w:rsidP="008D0281">
      <w:pPr>
        <w:pStyle w:val="NormalTight"/>
      </w:pPr>
      <w:r w:rsidRPr="00C92338">
        <w:t xml:space="preserve">Published </w:t>
      </w:r>
      <w:r w:rsidR="001602DF">
        <w:t>March</w:t>
      </w:r>
      <w:r w:rsidR="00E80EE0">
        <w:t xml:space="preserve"> 201</w:t>
      </w:r>
      <w:r w:rsidR="00413AB9">
        <w:t>7</w:t>
      </w:r>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413A48">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8827BD"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1B6E62">
        <w:rPr>
          <w:noProof/>
          <w:color w:val="404040"/>
          <w:sz w:val="28"/>
          <w:szCs w:val="28"/>
          <w:lang w:eastAsia="en-US"/>
        </w:rPr>
        <w:instrText xml:space="preserve"> </w:instrText>
      </w:r>
      <w:r w:rsidR="00E2791B">
        <w:rPr>
          <w:noProof/>
          <w:color w:val="404040"/>
          <w:sz w:val="28"/>
          <w:szCs w:val="28"/>
          <w:lang w:eastAsia="en-US"/>
        </w:rPr>
        <w:instrText xml:space="preserve">Heading 2,2, </w:instrText>
      </w:r>
      <w:r>
        <w:rPr>
          <w:noProof/>
          <w:color w:val="404040"/>
          <w:sz w:val="28"/>
          <w:szCs w:val="28"/>
          <w:lang w:eastAsia="en-US"/>
        </w:rPr>
        <w:instrText xml:space="preserve">Heading 1 numbered,4,Heading 2 numbered,5,Heading 3 numbered,6" </w:instrText>
      </w:r>
      <w:r>
        <w:rPr>
          <w:noProof/>
          <w:color w:val="404040"/>
          <w:sz w:val="28"/>
          <w:szCs w:val="28"/>
          <w:lang w:eastAsia="en-US"/>
        </w:rPr>
        <w:fldChar w:fldCharType="separate"/>
      </w:r>
      <w:hyperlink w:anchor="_Toc476910306" w:history="1">
        <w:r w:rsidR="008827BD" w:rsidRPr="003E1005">
          <w:rPr>
            <w:rStyle w:val="Hyperlink"/>
            <w:noProof/>
          </w:rPr>
          <w:t>Introduction</w:t>
        </w:r>
        <w:r w:rsidR="008827BD">
          <w:rPr>
            <w:noProof/>
            <w:webHidden/>
          </w:rPr>
          <w:tab/>
        </w:r>
        <w:r w:rsidR="008827BD">
          <w:rPr>
            <w:noProof/>
            <w:webHidden/>
          </w:rPr>
          <w:fldChar w:fldCharType="begin"/>
        </w:r>
        <w:r w:rsidR="008827BD">
          <w:rPr>
            <w:noProof/>
            <w:webHidden/>
          </w:rPr>
          <w:instrText xml:space="preserve"> PAGEREF _Toc476910306 \h </w:instrText>
        </w:r>
        <w:r w:rsidR="008827BD">
          <w:rPr>
            <w:noProof/>
            <w:webHidden/>
          </w:rPr>
        </w:r>
        <w:r w:rsidR="008827BD">
          <w:rPr>
            <w:noProof/>
            <w:webHidden/>
          </w:rPr>
          <w:fldChar w:fldCharType="separate"/>
        </w:r>
        <w:r w:rsidR="00D5447F">
          <w:rPr>
            <w:noProof/>
            <w:webHidden/>
          </w:rPr>
          <w:t>3</w:t>
        </w:r>
        <w:r w:rsidR="008827BD">
          <w:rPr>
            <w:noProof/>
            <w:webHidden/>
          </w:rPr>
          <w:fldChar w:fldCharType="end"/>
        </w:r>
      </w:hyperlink>
    </w:p>
    <w:p w:rsidR="008827BD" w:rsidRDefault="00E41273">
      <w:pPr>
        <w:pStyle w:val="TOC2"/>
        <w:rPr>
          <w:spacing w:val="0"/>
          <w:sz w:val="22"/>
          <w:szCs w:val="22"/>
        </w:rPr>
      </w:pPr>
      <w:hyperlink w:anchor="_Toc476910307" w:history="1">
        <w:r w:rsidR="008827BD" w:rsidRPr="003E1005">
          <w:rPr>
            <w:rStyle w:val="Hyperlink"/>
          </w:rPr>
          <w:t>Purpose and context</w:t>
        </w:r>
        <w:r w:rsidR="008827BD">
          <w:rPr>
            <w:webHidden/>
          </w:rPr>
          <w:tab/>
        </w:r>
        <w:r w:rsidR="008827BD">
          <w:rPr>
            <w:webHidden/>
          </w:rPr>
          <w:fldChar w:fldCharType="begin"/>
        </w:r>
        <w:r w:rsidR="008827BD">
          <w:rPr>
            <w:webHidden/>
          </w:rPr>
          <w:instrText xml:space="preserve"> PAGEREF _Toc476910307 \h </w:instrText>
        </w:r>
        <w:r w:rsidR="008827BD">
          <w:rPr>
            <w:webHidden/>
          </w:rPr>
        </w:r>
        <w:r w:rsidR="008827BD">
          <w:rPr>
            <w:webHidden/>
          </w:rPr>
          <w:fldChar w:fldCharType="separate"/>
        </w:r>
        <w:r w:rsidR="00D5447F">
          <w:rPr>
            <w:webHidden/>
          </w:rPr>
          <w:t>3</w:t>
        </w:r>
        <w:r w:rsidR="008827BD">
          <w:rPr>
            <w:webHidden/>
          </w:rPr>
          <w:fldChar w:fldCharType="end"/>
        </w:r>
      </w:hyperlink>
    </w:p>
    <w:p w:rsidR="008827BD" w:rsidRDefault="00E41273">
      <w:pPr>
        <w:pStyle w:val="TOC2"/>
        <w:rPr>
          <w:spacing w:val="0"/>
          <w:sz w:val="22"/>
          <w:szCs w:val="22"/>
        </w:rPr>
      </w:pPr>
      <w:hyperlink w:anchor="_Toc476910308" w:history="1">
        <w:r w:rsidR="008827BD" w:rsidRPr="003E1005">
          <w:rPr>
            <w:rStyle w:val="Hyperlink"/>
          </w:rPr>
          <w:t>Legal status</w:t>
        </w:r>
        <w:r w:rsidR="008827BD">
          <w:rPr>
            <w:webHidden/>
          </w:rPr>
          <w:tab/>
        </w:r>
        <w:r w:rsidR="008827BD">
          <w:rPr>
            <w:webHidden/>
          </w:rPr>
          <w:fldChar w:fldCharType="begin"/>
        </w:r>
        <w:r w:rsidR="008827BD">
          <w:rPr>
            <w:webHidden/>
          </w:rPr>
          <w:instrText xml:space="preserve"> PAGEREF _Toc476910308 \h </w:instrText>
        </w:r>
        <w:r w:rsidR="008827BD">
          <w:rPr>
            <w:webHidden/>
          </w:rPr>
        </w:r>
        <w:r w:rsidR="008827BD">
          <w:rPr>
            <w:webHidden/>
          </w:rPr>
          <w:fldChar w:fldCharType="separate"/>
        </w:r>
        <w:r w:rsidR="00D5447F">
          <w:rPr>
            <w:webHidden/>
          </w:rPr>
          <w:t>3</w:t>
        </w:r>
        <w:r w:rsidR="008827BD">
          <w:rPr>
            <w:webHidden/>
          </w:rPr>
          <w:fldChar w:fldCharType="end"/>
        </w:r>
      </w:hyperlink>
    </w:p>
    <w:p w:rsidR="008827BD" w:rsidRDefault="00E41273">
      <w:pPr>
        <w:pStyle w:val="TOC2"/>
        <w:rPr>
          <w:spacing w:val="0"/>
          <w:sz w:val="22"/>
          <w:szCs w:val="22"/>
        </w:rPr>
      </w:pPr>
      <w:hyperlink w:anchor="_Toc476910309" w:history="1">
        <w:r w:rsidR="008827BD" w:rsidRPr="003E1005">
          <w:rPr>
            <w:rStyle w:val="Hyperlink"/>
          </w:rPr>
          <w:t>Application and compliance</w:t>
        </w:r>
        <w:r w:rsidR="008827BD">
          <w:rPr>
            <w:webHidden/>
          </w:rPr>
          <w:tab/>
        </w:r>
        <w:r w:rsidR="008827BD">
          <w:rPr>
            <w:webHidden/>
          </w:rPr>
          <w:fldChar w:fldCharType="begin"/>
        </w:r>
        <w:r w:rsidR="008827BD">
          <w:rPr>
            <w:webHidden/>
          </w:rPr>
          <w:instrText xml:space="preserve"> PAGEREF _Toc476910309 \h </w:instrText>
        </w:r>
        <w:r w:rsidR="008827BD">
          <w:rPr>
            <w:webHidden/>
          </w:rPr>
        </w:r>
        <w:r w:rsidR="008827BD">
          <w:rPr>
            <w:webHidden/>
          </w:rPr>
          <w:fldChar w:fldCharType="separate"/>
        </w:r>
        <w:r w:rsidR="00D5447F">
          <w:rPr>
            <w:webHidden/>
          </w:rPr>
          <w:t>4</w:t>
        </w:r>
        <w:r w:rsidR="008827BD">
          <w:rPr>
            <w:webHidden/>
          </w:rPr>
          <w:fldChar w:fldCharType="end"/>
        </w:r>
      </w:hyperlink>
    </w:p>
    <w:p w:rsidR="008827BD" w:rsidRDefault="00E41273">
      <w:pPr>
        <w:pStyle w:val="TOC2"/>
        <w:rPr>
          <w:spacing w:val="0"/>
          <w:sz w:val="22"/>
          <w:szCs w:val="22"/>
        </w:rPr>
      </w:pPr>
      <w:hyperlink w:anchor="_Toc476910310" w:history="1">
        <w:r w:rsidR="008827BD" w:rsidRPr="003E1005">
          <w:rPr>
            <w:rStyle w:val="Hyperlink"/>
          </w:rPr>
          <w:t>Commencement, DTF role and currency</w:t>
        </w:r>
        <w:r w:rsidR="008827BD">
          <w:rPr>
            <w:webHidden/>
          </w:rPr>
          <w:tab/>
        </w:r>
        <w:r w:rsidR="008827BD">
          <w:rPr>
            <w:webHidden/>
          </w:rPr>
          <w:fldChar w:fldCharType="begin"/>
        </w:r>
        <w:r w:rsidR="008827BD">
          <w:rPr>
            <w:webHidden/>
          </w:rPr>
          <w:instrText xml:space="preserve"> PAGEREF _Toc476910310 \h </w:instrText>
        </w:r>
        <w:r w:rsidR="008827BD">
          <w:rPr>
            <w:webHidden/>
          </w:rPr>
        </w:r>
        <w:r w:rsidR="008827BD">
          <w:rPr>
            <w:webHidden/>
          </w:rPr>
          <w:fldChar w:fldCharType="separate"/>
        </w:r>
        <w:r w:rsidR="00D5447F">
          <w:rPr>
            <w:webHidden/>
          </w:rPr>
          <w:t>4</w:t>
        </w:r>
        <w:r w:rsidR="008827BD">
          <w:rPr>
            <w:webHidden/>
          </w:rPr>
          <w:fldChar w:fldCharType="end"/>
        </w:r>
      </w:hyperlink>
    </w:p>
    <w:p w:rsidR="008827BD" w:rsidRDefault="00E41273">
      <w:pPr>
        <w:pStyle w:val="TOC2"/>
        <w:rPr>
          <w:spacing w:val="0"/>
          <w:sz w:val="22"/>
          <w:szCs w:val="22"/>
        </w:rPr>
      </w:pPr>
      <w:hyperlink w:anchor="_Toc476910311" w:history="1">
        <w:r w:rsidR="008827BD" w:rsidRPr="003E1005">
          <w:rPr>
            <w:rStyle w:val="Hyperlink"/>
          </w:rPr>
          <w:t>Structure</w:t>
        </w:r>
        <w:r w:rsidR="008827BD">
          <w:rPr>
            <w:webHidden/>
          </w:rPr>
          <w:tab/>
        </w:r>
        <w:r w:rsidR="008827BD">
          <w:rPr>
            <w:webHidden/>
          </w:rPr>
          <w:fldChar w:fldCharType="begin"/>
        </w:r>
        <w:r w:rsidR="008827BD">
          <w:rPr>
            <w:webHidden/>
          </w:rPr>
          <w:instrText xml:space="preserve"> PAGEREF _Toc476910311 \h </w:instrText>
        </w:r>
        <w:r w:rsidR="008827BD">
          <w:rPr>
            <w:webHidden/>
          </w:rPr>
        </w:r>
        <w:r w:rsidR="008827BD">
          <w:rPr>
            <w:webHidden/>
          </w:rPr>
          <w:fldChar w:fldCharType="separate"/>
        </w:r>
        <w:r w:rsidR="00D5447F">
          <w:rPr>
            <w:webHidden/>
          </w:rPr>
          <w:t>5</w:t>
        </w:r>
        <w:r w:rsidR="008827BD">
          <w:rPr>
            <w:webHidden/>
          </w:rPr>
          <w:fldChar w:fldCharType="end"/>
        </w:r>
      </w:hyperlink>
    </w:p>
    <w:p w:rsidR="008827BD" w:rsidRDefault="00E41273">
      <w:pPr>
        <w:pStyle w:val="TOC1"/>
        <w:rPr>
          <w:noProof/>
          <w:spacing w:val="0"/>
          <w:sz w:val="22"/>
          <w:szCs w:val="22"/>
        </w:rPr>
      </w:pPr>
      <w:hyperlink w:anchor="_Toc476910312" w:history="1">
        <w:r w:rsidR="008827BD" w:rsidRPr="003E1005">
          <w:rPr>
            <w:rStyle w:val="Hyperlink"/>
            <w:noProof/>
          </w:rPr>
          <w:t>Definitions</w:t>
        </w:r>
        <w:r w:rsidR="008827BD">
          <w:rPr>
            <w:noProof/>
            <w:webHidden/>
          </w:rPr>
          <w:tab/>
        </w:r>
        <w:r w:rsidR="008827BD">
          <w:rPr>
            <w:noProof/>
            <w:webHidden/>
          </w:rPr>
          <w:fldChar w:fldCharType="begin"/>
        </w:r>
        <w:r w:rsidR="008827BD">
          <w:rPr>
            <w:noProof/>
            <w:webHidden/>
          </w:rPr>
          <w:instrText xml:space="preserve"> PAGEREF _Toc476910312 \h </w:instrText>
        </w:r>
        <w:r w:rsidR="008827BD">
          <w:rPr>
            <w:noProof/>
            <w:webHidden/>
          </w:rPr>
        </w:r>
        <w:r w:rsidR="008827BD">
          <w:rPr>
            <w:noProof/>
            <w:webHidden/>
          </w:rPr>
          <w:fldChar w:fldCharType="separate"/>
        </w:r>
        <w:r w:rsidR="00D5447F">
          <w:rPr>
            <w:noProof/>
            <w:webHidden/>
          </w:rPr>
          <w:t>6</w:t>
        </w:r>
        <w:r w:rsidR="008827BD">
          <w:rPr>
            <w:noProof/>
            <w:webHidden/>
          </w:rPr>
          <w:fldChar w:fldCharType="end"/>
        </w:r>
      </w:hyperlink>
    </w:p>
    <w:p w:rsidR="008827BD" w:rsidRDefault="00E41273">
      <w:pPr>
        <w:pStyle w:val="TOC4"/>
        <w:rPr>
          <w:spacing w:val="0"/>
          <w:sz w:val="22"/>
          <w:szCs w:val="22"/>
          <w:lang w:eastAsia="en-AU"/>
        </w:rPr>
      </w:pPr>
      <w:hyperlink w:anchor="_Toc476910313" w:history="1">
        <w:r w:rsidR="008827BD" w:rsidRPr="003E1005">
          <w:rPr>
            <w:rStyle w:val="Hyperlink"/>
          </w:rPr>
          <w:t>1.</w:t>
        </w:r>
        <w:r w:rsidR="008827BD">
          <w:rPr>
            <w:spacing w:val="0"/>
            <w:sz w:val="22"/>
            <w:szCs w:val="22"/>
            <w:lang w:eastAsia="en-AU"/>
          </w:rPr>
          <w:tab/>
        </w:r>
        <w:r w:rsidR="008827BD" w:rsidRPr="003E1005">
          <w:rPr>
            <w:rStyle w:val="Hyperlink"/>
          </w:rPr>
          <w:t>Financial reporting requirements</w:t>
        </w:r>
        <w:r w:rsidR="008827BD">
          <w:rPr>
            <w:webHidden/>
          </w:rPr>
          <w:tab/>
        </w:r>
        <w:r w:rsidR="008827BD">
          <w:rPr>
            <w:webHidden/>
          </w:rPr>
          <w:fldChar w:fldCharType="begin"/>
        </w:r>
        <w:r w:rsidR="008827BD">
          <w:rPr>
            <w:webHidden/>
          </w:rPr>
          <w:instrText xml:space="preserve"> PAGEREF _Toc476910313 \h </w:instrText>
        </w:r>
        <w:r w:rsidR="008827BD">
          <w:rPr>
            <w:webHidden/>
          </w:rPr>
        </w:r>
        <w:r w:rsidR="008827BD">
          <w:rPr>
            <w:webHidden/>
          </w:rPr>
          <w:fldChar w:fldCharType="separate"/>
        </w:r>
        <w:r w:rsidR="00D5447F">
          <w:rPr>
            <w:webHidden/>
          </w:rPr>
          <w:t>8</w:t>
        </w:r>
        <w:r w:rsidR="008827BD">
          <w:rPr>
            <w:webHidden/>
          </w:rPr>
          <w:fldChar w:fldCharType="end"/>
        </w:r>
      </w:hyperlink>
    </w:p>
    <w:p w:rsidR="008827BD" w:rsidRDefault="00E41273">
      <w:pPr>
        <w:pStyle w:val="TOC2"/>
        <w:rPr>
          <w:spacing w:val="0"/>
          <w:sz w:val="22"/>
          <w:szCs w:val="22"/>
        </w:rPr>
      </w:pPr>
      <w:hyperlink w:anchor="_Toc476910314" w:history="1">
        <w:r w:rsidR="008827BD" w:rsidRPr="003E1005">
          <w:rPr>
            <w:rStyle w:val="Hyperlink"/>
          </w:rPr>
          <w:t>Context</w:t>
        </w:r>
        <w:r w:rsidR="008827BD">
          <w:rPr>
            <w:webHidden/>
          </w:rPr>
          <w:tab/>
        </w:r>
        <w:r w:rsidR="008827BD">
          <w:rPr>
            <w:webHidden/>
          </w:rPr>
          <w:fldChar w:fldCharType="begin"/>
        </w:r>
        <w:r w:rsidR="008827BD">
          <w:rPr>
            <w:webHidden/>
          </w:rPr>
          <w:instrText xml:space="preserve"> PAGEREF _Toc476910314 \h </w:instrText>
        </w:r>
        <w:r w:rsidR="008827BD">
          <w:rPr>
            <w:webHidden/>
          </w:rPr>
        </w:r>
        <w:r w:rsidR="008827BD">
          <w:rPr>
            <w:webHidden/>
          </w:rPr>
          <w:fldChar w:fldCharType="separate"/>
        </w:r>
        <w:r w:rsidR="00D5447F">
          <w:rPr>
            <w:webHidden/>
          </w:rPr>
          <w:t>8</w:t>
        </w:r>
        <w:r w:rsidR="008827BD">
          <w:rPr>
            <w:webHidden/>
          </w:rPr>
          <w:fldChar w:fldCharType="end"/>
        </w:r>
      </w:hyperlink>
    </w:p>
    <w:p w:rsidR="008827BD" w:rsidRDefault="00E41273">
      <w:pPr>
        <w:pStyle w:val="TOC5"/>
        <w:rPr>
          <w:spacing w:val="0"/>
          <w:sz w:val="22"/>
          <w:szCs w:val="22"/>
          <w:lang w:eastAsia="en-AU"/>
        </w:rPr>
      </w:pPr>
      <w:hyperlink w:anchor="_Toc476910315" w:history="1">
        <w:r w:rsidR="008827BD" w:rsidRPr="003E1005">
          <w:rPr>
            <w:rStyle w:val="Hyperlink"/>
            <w14:scene3d>
              <w14:camera w14:prst="orthographicFront"/>
              <w14:lightRig w14:rig="threePt" w14:dir="t">
                <w14:rot w14:lat="0" w14:lon="0" w14:rev="0"/>
              </w14:lightRig>
            </w14:scene3d>
          </w:rPr>
          <w:t>1.1</w:t>
        </w:r>
        <w:r w:rsidR="008827BD">
          <w:rPr>
            <w:spacing w:val="0"/>
            <w:sz w:val="22"/>
            <w:szCs w:val="22"/>
            <w:lang w:eastAsia="en-AU"/>
          </w:rPr>
          <w:tab/>
        </w:r>
        <w:r w:rsidR="008827BD" w:rsidRPr="003E1005">
          <w:rPr>
            <w:rStyle w:val="Hyperlink"/>
          </w:rPr>
          <w:t>Requirements for monthly reporting purposes</w:t>
        </w:r>
        <w:r w:rsidR="008827BD">
          <w:rPr>
            <w:webHidden/>
          </w:rPr>
          <w:tab/>
        </w:r>
        <w:r w:rsidR="008827BD">
          <w:rPr>
            <w:webHidden/>
          </w:rPr>
          <w:fldChar w:fldCharType="begin"/>
        </w:r>
        <w:r w:rsidR="008827BD">
          <w:rPr>
            <w:webHidden/>
          </w:rPr>
          <w:instrText xml:space="preserve"> PAGEREF _Toc476910315 \h </w:instrText>
        </w:r>
        <w:r w:rsidR="008827BD">
          <w:rPr>
            <w:webHidden/>
          </w:rPr>
        </w:r>
        <w:r w:rsidR="008827BD">
          <w:rPr>
            <w:webHidden/>
          </w:rPr>
          <w:fldChar w:fldCharType="separate"/>
        </w:r>
        <w:r w:rsidR="00D5447F">
          <w:rPr>
            <w:webHidden/>
          </w:rPr>
          <w:t>9</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16" w:history="1">
        <w:r w:rsidR="008827BD" w:rsidRPr="003E1005">
          <w:rPr>
            <w:rStyle w:val="Hyperlink"/>
          </w:rPr>
          <w:t>1.1.1</w:t>
        </w:r>
        <w:r w:rsidR="008827BD">
          <w:rPr>
            <w:spacing w:val="0"/>
            <w:sz w:val="22"/>
            <w:szCs w:val="22"/>
            <w:lang w:eastAsia="en-AU"/>
          </w:rPr>
          <w:tab/>
        </w:r>
        <w:r w:rsidR="008827BD" w:rsidRPr="003E1005">
          <w:rPr>
            <w:rStyle w:val="Hyperlink"/>
          </w:rPr>
          <w:t>Requirements for the submission of Departmental actuals data to DTF on a monthly basis</w:t>
        </w:r>
        <w:r w:rsidR="008827BD">
          <w:rPr>
            <w:webHidden/>
          </w:rPr>
          <w:tab/>
        </w:r>
        <w:r w:rsidR="008827BD">
          <w:rPr>
            <w:webHidden/>
          </w:rPr>
          <w:fldChar w:fldCharType="begin"/>
        </w:r>
        <w:r w:rsidR="008827BD">
          <w:rPr>
            <w:webHidden/>
          </w:rPr>
          <w:instrText xml:space="preserve"> PAGEREF _Toc476910316 \h </w:instrText>
        </w:r>
        <w:r w:rsidR="008827BD">
          <w:rPr>
            <w:webHidden/>
          </w:rPr>
        </w:r>
        <w:r w:rsidR="008827BD">
          <w:rPr>
            <w:webHidden/>
          </w:rPr>
          <w:fldChar w:fldCharType="separate"/>
        </w:r>
        <w:r w:rsidR="00D5447F">
          <w:rPr>
            <w:webHidden/>
          </w:rPr>
          <w:t>9</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17" w:history="1">
        <w:r w:rsidR="008827BD" w:rsidRPr="003E1005">
          <w:rPr>
            <w:rStyle w:val="Hyperlink"/>
          </w:rPr>
          <w:t>1.1.2</w:t>
        </w:r>
        <w:r w:rsidR="008827BD">
          <w:rPr>
            <w:spacing w:val="0"/>
            <w:sz w:val="22"/>
            <w:szCs w:val="22"/>
            <w:lang w:eastAsia="en-AU"/>
          </w:rPr>
          <w:tab/>
        </w:r>
        <w:r w:rsidR="008827BD" w:rsidRPr="003E1005">
          <w:rPr>
            <w:rStyle w:val="Hyperlink"/>
          </w:rPr>
          <w:t>Requirements for monthly reconciliations</w:t>
        </w:r>
        <w:r w:rsidR="008827BD">
          <w:rPr>
            <w:webHidden/>
          </w:rPr>
          <w:tab/>
        </w:r>
        <w:r w:rsidR="008827BD">
          <w:rPr>
            <w:webHidden/>
          </w:rPr>
          <w:fldChar w:fldCharType="begin"/>
        </w:r>
        <w:r w:rsidR="008827BD">
          <w:rPr>
            <w:webHidden/>
          </w:rPr>
          <w:instrText xml:space="preserve"> PAGEREF _Toc476910317 \h </w:instrText>
        </w:r>
        <w:r w:rsidR="008827BD">
          <w:rPr>
            <w:webHidden/>
          </w:rPr>
        </w:r>
        <w:r w:rsidR="008827BD">
          <w:rPr>
            <w:webHidden/>
          </w:rPr>
          <w:fldChar w:fldCharType="separate"/>
        </w:r>
        <w:r w:rsidR="00D5447F">
          <w:rPr>
            <w:webHidden/>
          </w:rPr>
          <w:t>9</w:t>
        </w:r>
        <w:r w:rsidR="008827BD">
          <w:rPr>
            <w:webHidden/>
          </w:rPr>
          <w:fldChar w:fldCharType="end"/>
        </w:r>
      </w:hyperlink>
    </w:p>
    <w:p w:rsidR="008827BD" w:rsidRDefault="00E41273">
      <w:pPr>
        <w:pStyle w:val="TOC4"/>
        <w:rPr>
          <w:spacing w:val="0"/>
          <w:sz w:val="22"/>
          <w:szCs w:val="22"/>
          <w:lang w:eastAsia="en-AU"/>
        </w:rPr>
      </w:pPr>
      <w:hyperlink w:anchor="_Toc476910318" w:history="1">
        <w:r w:rsidR="008827BD" w:rsidRPr="003E1005">
          <w:rPr>
            <w:rStyle w:val="Hyperlink"/>
          </w:rPr>
          <w:t>2.</w:t>
        </w:r>
        <w:r w:rsidR="008827BD">
          <w:rPr>
            <w:spacing w:val="0"/>
            <w:sz w:val="22"/>
            <w:szCs w:val="22"/>
            <w:lang w:eastAsia="en-AU"/>
          </w:rPr>
          <w:tab/>
        </w:r>
        <w:r w:rsidR="008827BD" w:rsidRPr="003E1005">
          <w:rPr>
            <w:rStyle w:val="Hyperlink"/>
          </w:rPr>
          <w:t>Cash management</w:t>
        </w:r>
        <w:r w:rsidR="008827BD">
          <w:rPr>
            <w:webHidden/>
          </w:rPr>
          <w:tab/>
        </w:r>
        <w:r w:rsidR="008827BD">
          <w:rPr>
            <w:webHidden/>
          </w:rPr>
          <w:fldChar w:fldCharType="begin"/>
        </w:r>
        <w:r w:rsidR="008827BD">
          <w:rPr>
            <w:webHidden/>
          </w:rPr>
          <w:instrText xml:space="preserve"> PAGEREF _Toc476910318 \h </w:instrText>
        </w:r>
        <w:r w:rsidR="008827BD">
          <w:rPr>
            <w:webHidden/>
          </w:rPr>
        </w:r>
        <w:r w:rsidR="008827BD">
          <w:rPr>
            <w:webHidden/>
          </w:rPr>
          <w:fldChar w:fldCharType="separate"/>
        </w:r>
        <w:r w:rsidR="00D5447F">
          <w:rPr>
            <w:webHidden/>
          </w:rPr>
          <w:t>10</w:t>
        </w:r>
        <w:r w:rsidR="008827BD">
          <w:rPr>
            <w:webHidden/>
          </w:rPr>
          <w:fldChar w:fldCharType="end"/>
        </w:r>
      </w:hyperlink>
    </w:p>
    <w:p w:rsidR="008827BD" w:rsidRDefault="00E41273">
      <w:pPr>
        <w:pStyle w:val="TOC5"/>
        <w:rPr>
          <w:spacing w:val="0"/>
          <w:sz w:val="22"/>
          <w:szCs w:val="22"/>
          <w:lang w:eastAsia="en-AU"/>
        </w:rPr>
      </w:pPr>
      <w:hyperlink w:anchor="_Toc476910319" w:history="1">
        <w:r w:rsidR="008827BD" w:rsidRPr="003E1005">
          <w:rPr>
            <w:rStyle w:val="Hyperlink"/>
            <w14:scene3d>
              <w14:camera w14:prst="orthographicFront"/>
              <w14:lightRig w14:rig="threePt" w14:dir="t">
                <w14:rot w14:lat="0" w14:lon="0" w14:rev="0"/>
              </w14:lightRig>
            </w14:scene3d>
          </w:rPr>
          <w:t>2.1</w:t>
        </w:r>
        <w:r w:rsidR="008827BD">
          <w:rPr>
            <w:spacing w:val="0"/>
            <w:sz w:val="22"/>
            <w:szCs w:val="22"/>
            <w:lang w:eastAsia="en-AU"/>
          </w:rPr>
          <w:tab/>
        </w:r>
        <w:r w:rsidR="008827BD" w:rsidRPr="003E1005">
          <w:rPr>
            <w:rStyle w:val="Hyperlink"/>
          </w:rPr>
          <w:t>Cash flow forecasting</w:t>
        </w:r>
        <w:r w:rsidR="008827BD">
          <w:rPr>
            <w:webHidden/>
          </w:rPr>
          <w:tab/>
        </w:r>
        <w:r w:rsidR="008827BD">
          <w:rPr>
            <w:webHidden/>
          </w:rPr>
          <w:fldChar w:fldCharType="begin"/>
        </w:r>
        <w:r w:rsidR="008827BD">
          <w:rPr>
            <w:webHidden/>
          </w:rPr>
          <w:instrText xml:space="preserve"> PAGEREF _Toc476910319 \h </w:instrText>
        </w:r>
        <w:r w:rsidR="008827BD">
          <w:rPr>
            <w:webHidden/>
          </w:rPr>
        </w:r>
        <w:r w:rsidR="008827BD">
          <w:rPr>
            <w:webHidden/>
          </w:rPr>
          <w:fldChar w:fldCharType="separate"/>
        </w:r>
        <w:r w:rsidR="00D5447F">
          <w:rPr>
            <w:webHidden/>
          </w:rPr>
          <w:t>12</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20" w:history="1">
        <w:r w:rsidR="008827BD" w:rsidRPr="003E1005">
          <w:rPr>
            <w:rStyle w:val="Hyperlink"/>
          </w:rPr>
          <w:t>2.1.1</w:t>
        </w:r>
        <w:r w:rsidR="008827BD">
          <w:rPr>
            <w:spacing w:val="0"/>
            <w:sz w:val="22"/>
            <w:szCs w:val="22"/>
            <w:lang w:eastAsia="en-AU"/>
          </w:rPr>
          <w:tab/>
        </w:r>
        <w:r w:rsidR="008827BD" w:rsidRPr="003E1005">
          <w:rPr>
            <w:rStyle w:val="Hyperlink"/>
          </w:rPr>
          <w:t>Cash flow forecast requirements</w:t>
        </w:r>
        <w:r w:rsidR="008827BD">
          <w:rPr>
            <w:webHidden/>
          </w:rPr>
          <w:tab/>
        </w:r>
        <w:r w:rsidR="008827BD">
          <w:rPr>
            <w:webHidden/>
          </w:rPr>
          <w:fldChar w:fldCharType="begin"/>
        </w:r>
        <w:r w:rsidR="008827BD">
          <w:rPr>
            <w:webHidden/>
          </w:rPr>
          <w:instrText xml:space="preserve"> PAGEREF _Toc476910320 \h </w:instrText>
        </w:r>
        <w:r w:rsidR="008827BD">
          <w:rPr>
            <w:webHidden/>
          </w:rPr>
        </w:r>
        <w:r w:rsidR="008827BD">
          <w:rPr>
            <w:webHidden/>
          </w:rPr>
          <w:fldChar w:fldCharType="separate"/>
        </w:r>
        <w:r w:rsidR="00D5447F">
          <w:rPr>
            <w:webHidden/>
          </w:rPr>
          <w:t>12</w:t>
        </w:r>
        <w:r w:rsidR="008827BD">
          <w:rPr>
            <w:webHidden/>
          </w:rPr>
          <w:fldChar w:fldCharType="end"/>
        </w:r>
      </w:hyperlink>
    </w:p>
    <w:p w:rsidR="008827BD" w:rsidRDefault="00E41273">
      <w:pPr>
        <w:pStyle w:val="TOC5"/>
        <w:rPr>
          <w:spacing w:val="0"/>
          <w:sz w:val="22"/>
          <w:szCs w:val="22"/>
          <w:lang w:eastAsia="en-AU"/>
        </w:rPr>
      </w:pPr>
      <w:hyperlink w:anchor="_Toc476910321" w:history="1">
        <w:r w:rsidR="008827BD" w:rsidRPr="003E1005">
          <w:rPr>
            <w:rStyle w:val="Hyperlink"/>
            <w14:scene3d>
              <w14:camera w14:prst="orthographicFront"/>
              <w14:lightRig w14:rig="threePt" w14:dir="t">
                <w14:rot w14:lat="0" w14:lon="0" w14:rev="0"/>
              </w14:lightRig>
            </w14:scene3d>
          </w:rPr>
          <w:t>2.2</w:t>
        </w:r>
        <w:r w:rsidR="008827BD">
          <w:rPr>
            <w:spacing w:val="0"/>
            <w:sz w:val="22"/>
            <w:szCs w:val="22"/>
            <w:lang w:eastAsia="en-AU"/>
          </w:rPr>
          <w:tab/>
        </w:r>
        <w:r w:rsidR="008827BD" w:rsidRPr="003E1005">
          <w:rPr>
            <w:rStyle w:val="Hyperlink"/>
          </w:rPr>
          <w:t>Cash management and reconciliation</w:t>
        </w:r>
        <w:r w:rsidR="008827BD">
          <w:rPr>
            <w:webHidden/>
          </w:rPr>
          <w:tab/>
        </w:r>
        <w:r w:rsidR="008827BD">
          <w:rPr>
            <w:webHidden/>
          </w:rPr>
          <w:fldChar w:fldCharType="begin"/>
        </w:r>
        <w:r w:rsidR="008827BD">
          <w:rPr>
            <w:webHidden/>
          </w:rPr>
          <w:instrText xml:space="preserve"> PAGEREF _Toc476910321 \h </w:instrText>
        </w:r>
        <w:r w:rsidR="008827BD">
          <w:rPr>
            <w:webHidden/>
          </w:rPr>
        </w:r>
        <w:r w:rsidR="008827BD">
          <w:rPr>
            <w:webHidden/>
          </w:rPr>
          <w:fldChar w:fldCharType="separate"/>
        </w:r>
        <w:r w:rsidR="00D5447F">
          <w:rPr>
            <w:webHidden/>
          </w:rPr>
          <w:t>13</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22" w:history="1">
        <w:r w:rsidR="008827BD" w:rsidRPr="003E1005">
          <w:rPr>
            <w:rStyle w:val="Hyperlink"/>
          </w:rPr>
          <w:t>2.2.1</w:t>
        </w:r>
        <w:r w:rsidR="008827BD">
          <w:rPr>
            <w:spacing w:val="0"/>
            <w:sz w:val="22"/>
            <w:szCs w:val="22"/>
            <w:lang w:eastAsia="en-AU"/>
          </w:rPr>
          <w:tab/>
        </w:r>
        <w:r w:rsidR="008827BD" w:rsidRPr="003E1005">
          <w:rPr>
            <w:rStyle w:val="Hyperlink"/>
          </w:rPr>
          <w:t>Daily cash transaction recording requirements</w:t>
        </w:r>
        <w:r w:rsidR="008827BD">
          <w:rPr>
            <w:webHidden/>
          </w:rPr>
          <w:tab/>
        </w:r>
        <w:r w:rsidR="008827BD">
          <w:rPr>
            <w:webHidden/>
          </w:rPr>
          <w:fldChar w:fldCharType="begin"/>
        </w:r>
        <w:r w:rsidR="008827BD">
          <w:rPr>
            <w:webHidden/>
          </w:rPr>
          <w:instrText xml:space="preserve"> PAGEREF _Toc476910322 \h </w:instrText>
        </w:r>
        <w:r w:rsidR="008827BD">
          <w:rPr>
            <w:webHidden/>
          </w:rPr>
        </w:r>
        <w:r w:rsidR="008827BD">
          <w:rPr>
            <w:webHidden/>
          </w:rPr>
          <w:fldChar w:fldCharType="separate"/>
        </w:r>
        <w:r w:rsidR="00D5447F">
          <w:rPr>
            <w:webHidden/>
          </w:rPr>
          <w:t>13</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23" w:history="1">
        <w:r w:rsidR="008827BD" w:rsidRPr="003E1005">
          <w:rPr>
            <w:rStyle w:val="Hyperlink"/>
            <w:lang w:eastAsia="en-AU"/>
          </w:rPr>
          <w:t>2.2.2</w:t>
        </w:r>
        <w:r w:rsidR="008827BD">
          <w:rPr>
            <w:spacing w:val="0"/>
            <w:sz w:val="22"/>
            <w:szCs w:val="22"/>
            <w:lang w:eastAsia="en-AU"/>
          </w:rPr>
          <w:tab/>
        </w:r>
        <w:r w:rsidR="008827BD" w:rsidRPr="003E1005">
          <w:rPr>
            <w:rStyle w:val="Hyperlink"/>
            <w:lang w:eastAsia="en-AU"/>
          </w:rPr>
          <w:t>Monthly cash transaction reconciliation requirements</w:t>
        </w:r>
        <w:r w:rsidR="008827BD">
          <w:rPr>
            <w:webHidden/>
          </w:rPr>
          <w:tab/>
        </w:r>
        <w:r w:rsidR="008827BD">
          <w:rPr>
            <w:webHidden/>
          </w:rPr>
          <w:fldChar w:fldCharType="begin"/>
        </w:r>
        <w:r w:rsidR="008827BD">
          <w:rPr>
            <w:webHidden/>
          </w:rPr>
          <w:instrText xml:space="preserve"> PAGEREF _Toc476910323 \h </w:instrText>
        </w:r>
        <w:r w:rsidR="008827BD">
          <w:rPr>
            <w:webHidden/>
          </w:rPr>
        </w:r>
        <w:r w:rsidR="008827BD">
          <w:rPr>
            <w:webHidden/>
          </w:rPr>
          <w:fldChar w:fldCharType="separate"/>
        </w:r>
        <w:r w:rsidR="00D5447F">
          <w:rPr>
            <w:webHidden/>
          </w:rPr>
          <w:t>13</w:t>
        </w:r>
        <w:r w:rsidR="008827BD">
          <w:rPr>
            <w:webHidden/>
          </w:rPr>
          <w:fldChar w:fldCharType="end"/>
        </w:r>
      </w:hyperlink>
    </w:p>
    <w:p w:rsidR="008827BD" w:rsidRDefault="00E41273">
      <w:pPr>
        <w:pStyle w:val="TOC4"/>
        <w:rPr>
          <w:spacing w:val="0"/>
          <w:sz w:val="22"/>
          <w:szCs w:val="22"/>
          <w:lang w:eastAsia="en-AU"/>
        </w:rPr>
      </w:pPr>
      <w:hyperlink w:anchor="_Toc476910324" w:history="1">
        <w:r w:rsidR="008827BD" w:rsidRPr="003E1005">
          <w:rPr>
            <w:rStyle w:val="Hyperlink"/>
          </w:rPr>
          <w:t>3.</w:t>
        </w:r>
        <w:r w:rsidR="008827BD">
          <w:rPr>
            <w:spacing w:val="0"/>
            <w:sz w:val="22"/>
            <w:szCs w:val="22"/>
            <w:lang w:eastAsia="en-AU"/>
          </w:rPr>
          <w:tab/>
        </w:r>
        <w:r w:rsidR="008827BD" w:rsidRPr="003E1005">
          <w:rPr>
            <w:rStyle w:val="Hyperlink"/>
          </w:rPr>
          <w:t>Specific accounting issues</w:t>
        </w:r>
        <w:r w:rsidR="008827BD">
          <w:rPr>
            <w:webHidden/>
          </w:rPr>
          <w:tab/>
        </w:r>
        <w:r w:rsidR="008827BD">
          <w:rPr>
            <w:webHidden/>
          </w:rPr>
          <w:fldChar w:fldCharType="begin"/>
        </w:r>
        <w:r w:rsidR="008827BD">
          <w:rPr>
            <w:webHidden/>
          </w:rPr>
          <w:instrText xml:space="preserve"> PAGEREF _Toc476910324 \h </w:instrText>
        </w:r>
        <w:r w:rsidR="008827BD">
          <w:rPr>
            <w:webHidden/>
          </w:rPr>
        </w:r>
        <w:r w:rsidR="008827BD">
          <w:rPr>
            <w:webHidden/>
          </w:rPr>
          <w:fldChar w:fldCharType="separate"/>
        </w:r>
        <w:r w:rsidR="00D5447F">
          <w:rPr>
            <w:webHidden/>
          </w:rPr>
          <w:t>14</w:t>
        </w:r>
        <w:r w:rsidR="008827BD">
          <w:rPr>
            <w:webHidden/>
          </w:rPr>
          <w:fldChar w:fldCharType="end"/>
        </w:r>
      </w:hyperlink>
    </w:p>
    <w:p w:rsidR="008827BD" w:rsidRDefault="00E41273">
      <w:pPr>
        <w:pStyle w:val="TOC5"/>
        <w:rPr>
          <w:spacing w:val="0"/>
          <w:sz w:val="22"/>
          <w:szCs w:val="22"/>
          <w:lang w:eastAsia="en-AU"/>
        </w:rPr>
      </w:pPr>
      <w:hyperlink w:anchor="_Toc476910325" w:history="1">
        <w:r w:rsidR="008827BD" w:rsidRPr="003E1005">
          <w:rPr>
            <w:rStyle w:val="Hyperlink"/>
            <w14:scene3d>
              <w14:camera w14:prst="orthographicFront"/>
              <w14:lightRig w14:rig="threePt" w14:dir="t">
                <w14:rot w14:lat="0" w14:lon="0" w14:rev="0"/>
              </w14:lightRig>
            </w14:scene3d>
          </w:rPr>
          <w:t>3.1</w:t>
        </w:r>
        <w:r w:rsidR="008827BD">
          <w:rPr>
            <w:spacing w:val="0"/>
            <w:sz w:val="22"/>
            <w:szCs w:val="22"/>
            <w:lang w:eastAsia="en-AU"/>
          </w:rPr>
          <w:tab/>
        </w:r>
        <w:r w:rsidR="008827BD" w:rsidRPr="003E1005">
          <w:rPr>
            <w:rStyle w:val="Hyperlink"/>
          </w:rPr>
          <w:t>The classification and treatment of controlled and administered items</w:t>
        </w:r>
        <w:r w:rsidR="008827BD">
          <w:rPr>
            <w:webHidden/>
          </w:rPr>
          <w:tab/>
        </w:r>
        <w:r w:rsidR="008827BD">
          <w:rPr>
            <w:webHidden/>
          </w:rPr>
          <w:fldChar w:fldCharType="begin"/>
        </w:r>
        <w:r w:rsidR="008827BD">
          <w:rPr>
            <w:webHidden/>
          </w:rPr>
          <w:instrText xml:space="preserve"> PAGEREF _Toc476910325 \h </w:instrText>
        </w:r>
        <w:r w:rsidR="008827BD">
          <w:rPr>
            <w:webHidden/>
          </w:rPr>
        </w:r>
        <w:r w:rsidR="008827BD">
          <w:rPr>
            <w:webHidden/>
          </w:rPr>
          <w:fldChar w:fldCharType="separate"/>
        </w:r>
        <w:r w:rsidR="00D5447F">
          <w:rPr>
            <w:webHidden/>
          </w:rPr>
          <w:t>14</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26" w:history="1">
        <w:r w:rsidR="008827BD" w:rsidRPr="003E1005">
          <w:rPr>
            <w:rStyle w:val="Hyperlink"/>
          </w:rPr>
          <w:t>3.1.1</w:t>
        </w:r>
        <w:r w:rsidR="008827BD">
          <w:rPr>
            <w:spacing w:val="0"/>
            <w:sz w:val="22"/>
            <w:szCs w:val="22"/>
            <w:lang w:eastAsia="en-AU"/>
          </w:rPr>
          <w:tab/>
        </w:r>
        <w:r w:rsidR="008827BD" w:rsidRPr="003E1005">
          <w:rPr>
            <w:rStyle w:val="Hyperlink"/>
          </w:rPr>
          <w:t>Treatment of controlled items</w:t>
        </w:r>
        <w:r w:rsidR="008827BD">
          <w:rPr>
            <w:webHidden/>
          </w:rPr>
          <w:tab/>
        </w:r>
        <w:r w:rsidR="008827BD">
          <w:rPr>
            <w:webHidden/>
          </w:rPr>
          <w:fldChar w:fldCharType="begin"/>
        </w:r>
        <w:r w:rsidR="008827BD">
          <w:rPr>
            <w:webHidden/>
          </w:rPr>
          <w:instrText xml:space="preserve"> PAGEREF _Toc476910326 \h </w:instrText>
        </w:r>
        <w:r w:rsidR="008827BD">
          <w:rPr>
            <w:webHidden/>
          </w:rPr>
        </w:r>
        <w:r w:rsidR="008827BD">
          <w:rPr>
            <w:webHidden/>
          </w:rPr>
          <w:fldChar w:fldCharType="separate"/>
        </w:r>
        <w:r w:rsidR="00D5447F">
          <w:rPr>
            <w:webHidden/>
          </w:rPr>
          <w:t>14</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27" w:history="1">
        <w:r w:rsidR="008827BD" w:rsidRPr="003E1005">
          <w:rPr>
            <w:rStyle w:val="Hyperlink"/>
          </w:rPr>
          <w:t>3.1.2</w:t>
        </w:r>
        <w:r w:rsidR="008827BD">
          <w:rPr>
            <w:spacing w:val="0"/>
            <w:sz w:val="22"/>
            <w:szCs w:val="22"/>
            <w:lang w:eastAsia="en-AU"/>
          </w:rPr>
          <w:tab/>
        </w:r>
        <w:r w:rsidR="008827BD" w:rsidRPr="003E1005">
          <w:rPr>
            <w:rStyle w:val="Hyperlink"/>
          </w:rPr>
          <w:t>Treatment of administered items</w:t>
        </w:r>
        <w:r w:rsidR="008827BD">
          <w:rPr>
            <w:webHidden/>
          </w:rPr>
          <w:tab/>
        </w:r>
        <w:r w:rsidR="008827BD">
          <w:rPr>
            <w:webHidden/>
          </w:rPr>
          <w:fldChar w:fldCharType="begin"/>
        </w:r>
        <w:r w:rsidR="008827BD">
          <w:rPr>
            <w:webHidden/>
          </w:rPr>
          <w:instrText xml:space="preserve"> PAGEREF _Toc476910327 \h </w:instrText>
        </w:r>
        <w:r w:rsidR="008827BD">
          <w:rPr>
            <w:webHidden/>
          </w:rPr>
        </w:r>
        <w:r w:rsidR="008827BD">
          <w:rPr>
            <w:webHidden/>
          </w:rPr>
          <w:fldChar w:fldCharType="separate"/>
        </w:r>
        <w:r w:rsidR="00D5447F">
          <w:rPr>
            <w:webHidden/>
          </w:rPr>
          <w:t>14</w:t>
        </w:r>
        <w:r w:rsidR="008827BD">
          <w:rPr>
            <w:webHidden/>
          </w:rPr>
          <w:fldChar w:fldCharType="end"/>
        </w:r>
      </w:hyperlink>
    </w:p>
    <w:p w:rsidR="008827BD" w:rsidRDefault="00E41273">
      <w:pPr>
        <w:pStyle w:val="TOC5"/>
        <w:rPr>
          <w:spacing w:val="0"/>
          <w:sz w:val="22"/>
          <w:szCs w:val="22"/>
          <w:lang w:eastAsia="en-AU"/>
        </w:rPr>
      </w:pPr>
      <w:hyperlink w:anchor="_Toc476910328" w:history="1">
        <w:r w:rsidR="008827BD" w:rsidRPr="003E1005">
          <w:rPr>
            <w:rStyle w:val="Hyperlink"/>
            <w14:scene3d>
              <w14:camera w14:prst="orthographicFront"/>
              <w14:lightRig w14:rig="threePt" w14:dir="t">
                <w14:rot w14:lat="0" w14:lon="0" w14:rev="0"/>
              </w14:lightRig>
            </w14:scene3d>
          </w:rPr>
          <w:t>3.2</w:t>
        </w:r>
        <w:r w:rsidR="008827BD">
          <w:rPr>
            <w:spacing w:val="0"/>
            <w:sz w:val="22"/>
            <w:szCs w:val="22"/>
            <w:lang w:eastAsia="en-AU"/>
          </w:rPr>
          <w:tab/>
        </w:r>
        <w:r w:rsidR="008827BD" w:rsidRPr="003E1005">
          <w:rPr>
            <w:rStyle w:val="Hyperlink"/>
          </w:rPr>
          <w:t>Materiality and other thresholds</w:t>
        </w:r>
        <w:r w:rsidR="008827BD">
          <w:rPr>
            <w:webHidden/>
          </w:rPr>
          <w:tab/>
        </w:r>
        <w:r w:rsidR="008827BD">
          <w:rPr>
            <w:webHidden/>
          </w:rPr>
          <w:fldChar w:fldCharType="begin"/>
        </w:r>
        <w:r w:rsidR="008827BD">
          <w:rPr>
            <w:webHidden/>
          </w:rPr>
          <w:instrText xml:space="preserve"> PAGEREF _Toc476910328 \h </w:instrText>
        </w:r>
        <w:r w:rsidR="008827BD">
          <w:rPr>
            <w:webHidden/>
          </w:rPr>
        </w:r>
        <w:r w:rsidR="008827BD">
          <w:rPr>
            <w:webHidden/>
          </w:rPr>
          <w:fldChar w:fldCharType="separate"/>
        </w:r>
        <w:r w:rsidR="00D5447F">
          <w:rPr>
            <w:webHidden/>
          </w:rPr>
          <w:t>16</w:t>
        </w:r>
        <w:r w:rsidR="008827BD">
          <w:rPr>
            <w:webHidden/>
          </w:rPr>
          <w:fldChar w:fldCharType="end"/>
        </w:r>
      </w:hyperlink>
    </w:p>
    <w:p w:rsidR="008827BD" w:rsidRDefault="00E41273">
      <w:pPr>
        <w:pStyle w:val="TOC5"/>
        <w:rPr>
          <w:spacing w:val="0"/>
          <w:sz w:val="22"/>
          <w:szCs w:val="22"/>
          <w:lang w:eastAsia="en-AU"/>
        </w:rPr>
      </w:pPr>
      <w:hyperlink w:anchor="_Toc476910329" w:history="1">
        <w:r w:rsidR="008827BD" w:rsidRPr="003E1005">
          <w:rPr>
            <w:rStyle w:val="Hyperlink"/>
            <w14:scene3d>
              <w14:camera w14:prst="orthographicFront"/>
              <w14:lightRig w14:rig="threePt" w14:dir="t">
                <w14:rot w14:lat="0" w14:lon="0" w14:rev="0"/>
              </w14:lightRig>
            </w14:scene3d>
          </w:rPr>
          <w:t>3.3</w:t>
        </w:r>
        <w:r w:rsidR="008827BD">
          <w:rPr>
            <w:spacing w:val="0"/>
            <w:sz w:val="22"/>
            <w:szCs w:val="22"/>
            <w:lang w:eastAsia="en-AU"/>
          </w:rPr>
          <w:tab/>
        </w:r>
        <w:r w:rsidR="008827BD" w:rsidRPr="003E1005">
          <w:rPr>
            <w:rStyle w:val="Hyperlink"/>
          </w:rPr>
          <w:t>Contributed capital</w:t>
        </w:r>
        <w:r w:rsidR="008827BD">
          <w:rPr>
            <w:webHidden/>
          </w:rPr>
          <w:tab/>
        </w:r>
        <w:r w:rsidR="008827BD">
          <w:rPr>
            <w:webHidden/>
          </w:rPr>
          <w:fldChar w:fldCharType="begin"/>
        </w:r>
        <w:r w:rsidR="008827BD">
          <w:rPr>
            <w:webHidden/>
          </w:rPr>
          <w:instrText xml:space="preserve"> PAGEREF _Toc476910329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0" w:history="1">
        <w:r w:rsidR="008827BD" w:rsidRPr="003E1005">
          <w:rPr>
            <w:rStyle w:val="Hyperlink"/>
          </w:rPr>
          <w:t>3.3.1</w:t>
        </w:r>
        <w:r w:rsidR="008827BD">
          <w:rPr>
            <w:spacing w:val="0"/>
            <w:sz w:val="22"/>
            <w:szCs w:val="22"/>
            <w:lang w:eastAsia="en-AU"/>
          </w:rPr>
          <w:tab/>
        </w:r>
        <w:r w:rsidR="008827BD" w:rsidRPr="003E1005">
          <w:rPr>
            <w:rStyle w:val="Hyperlink"/>
          </w:rPr>
          <w:t>Contributed capital reconciliation requirements and time frames – actuals</w:t>
        </w:r>
        <w:r w:rsidR="008827BD">
          <w:rPr>
            <w:webHidden/>
          </w:rPr>
          <w:tab/>
        </w:r>
        <w:r w:rsidR="008827BD">
          <w:rPr>
            <w:webHidden/>
          </w:rPr>
          <w:fldChar w:fldCharType="begin"/>
        </w:r>
        <w:r w:rsidR="008827BD">
          <w:rPr>
            <w:webHidden/>
          </w:rPr>
          <w:instrText xml:space="preserve"> PAGEREF _Toc476910330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1" w:history="1">
        <w:r w:rsidR="008827BD" w:rsidRPr="003E1005">
          <w:rPr>
            <w:rStyle w:val="Hyperlink"/>
          </w:rPr>
          <w:t>3.3.2</w:t>
        </w:r>
        <w:r w:rsidR="008827BD">
          <w:rPr>
            <w:spacing w:val="0"/>
            <w:sz w:val="22"/>
            <w:szCs w:val="22"/>
            <w:lang w:eastAsia="en-AU"/>
          </w:rPr>
          <w:tab/>
        </w:r>
        <w:r w:rsidR="008827BD" w:rsidRPr="003E1005">
          <w:rPr>
            <w:rStyle w:val="Hyperlink"/>
          </w:rPr>
          <w:t>Contributed capital journal entry reconciliation requirements – estimates</w:t>
        </w:r>
        <w:r w:rsidR="008827BD">
          <w:rPr>
            <w:webHidden/>
          </w:rPr>
          <w:tab/>
        </w:r>
        <w:r w:rsidR="008827BD">
          <w:rPr>
            <w:webHidden/>
          </w:rPr>
          <w:fldChar w:fldCharType="begin"/>
        </w:r>
        <w:r w:rsidR="008827BD">
          <w:rPr>
            <w:webHidden/>
          </w:rPr>
          <w:instrText xml:space="preserve"> PAGEREF _Toc476910331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2" w:history="1">
        <w:r w:rsidR="008827BD" w:rsidRPr="003E1005">
          <w:rPr>
            <w:rStyle w:val="Hyperlink"/>
          </w:rPr>
          <w:t>3.3.3</w:t>
        </w:r>
        <w:r w:rsidR="008827BD">
          <w:rPr>
            <w:spacing w:val="0"/>
            <w:sz w:val="22"/>
            <w:szCs w:val="22"/>
            <w:lang w:eastAsia="en-AU"/>
          </w:rPr>
          <w:tab/>
        </w:r>
        <w:r w:rsidR="008827BD" w:rsidRPr="003E1005">
          <w:rPr>
            <w:rStyle w:val="Hyperlink"/>
          </w:rPr>
          <w:t>Treatment of contributed capital entries in Departmental and portfolio agency accounts</w:t>
        </w:r>
        <w:r w:rsidR="008827BD">
          <w:rPr>
            <w:webHidden/>
          </w:rPr>
          <w:tab/>
        </w:r>
        <w:r w:rsidR="008827BD">
          <w:rPr>
            <w:webHidden/>
          </w:rPr>
          <w:fldChar w:fldCharType="begin"/>
        </w:r>
        <w:r w:rsidR="008827BD">
          <w:rPr>
            <w:webHidden/>
          </w:rPr>
          <w:instrText xml:space="preserve"> PAGEREF _Toc476910332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3" w:history="1">
        <w:r w:rsidR="008827BD" w:rsidRPr="003E1005">
          <w:rPr>
            <w:rStyle w:val="Hyperlink"/>
          </w:rPr>
          <w:t>3.3.4</w:t>
        </w:r>
        <w:r w:rsidR="008827BD">
          <w:rPr>
            <w:spacing w:val="0"/>
            <w:sz w:val="22"/>
            <w:szCs w:val="22"/>
            <w:lang w:eastAsia="en-AU"/>
          </w:rPr>
          <w:tab/>
        </w:r>
        <w:r w:rsidR="008827BD" w:rsidRPr="003E1005">
          <w:rPr>
            <w:rStyle w:val="Hyperlink"/>
          </w:rPr>
          <w:t>Recognition of appropriation for contributed capital</w:t>
        </w:r>
        <w:r w:rsidR="008827BD">
          <w:rPr>
            <w:webHidden/>
          </w:rPr>
          <w:tab/>
        </w:r>
        <w:r w:rsidR="008827BD">
          <w:rPr>
            <w:webHidden/>
          </w:rPr>
          <w:fldChar w:fldCharType="begin"/>
        </w:r>
        <w:r w:rsidR="008827BD">
          <w:rPr>
            <w:webHidden/>
          </w:rPr>
          <w:instrText xml:space="preserve"> PAGEREF _Toc476910333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4" w:history="1">
        <w:r w:rsidR="008827BD" w:rsidRPr="003E1005">
          <w:rPr>
            <w:rStyle w:val="Hyperlink"/>
          </w:rPr>
          <w:t>3.3.5</w:t>
        </w:r>
        <w:r w:rsidR="008827BD">
          <w:rPr>
            <w:spacing w:val="0"/>
            <w:sz w:val="22"/>
            <w:szCs w:val="22"/>
            <w:lang w:eastAsia="en-AU"/>
          </w:rPr>
          <w:tab/>
        </w:r>
        <w:r w:rsidR="008827BD" w:rsidRPr="003E1005">
          <w:rPr>
            <w:rStyle w:val="Hyperlink"/>
          </w:rPr>
          <w:t>Treatment of reductions in, or returns of, contributed capital</w:t>
        </w:r>
        <w:r w:rsidR="008827BD">
          <w:rPr>
            <w:webHidden/>
          </w:rPr>
          <w:tab/>
        </w:r>
        <w:r w:rsidR="008827BD">
          <w:rPr>
            <w:webHidden/>
          </w:rPr>
          <w:fldChar w:fldCharType="begin"/>
        </w:r>
        <w:r w:rsidR="008827BD">
          <w:rPr>
            <w:webHidden/>
          </w:rPr>
          <w:instrText xml:space="preserve"> PAGEREF _Toc476910334 \h </w:instrText>
        </w:r>
        <w:r w:rsidR="008827BD">
          <w:rPr>
            <w:webHidden/>
          </w:rPr>
        </w:r>
        <w:r w:rsidR="008827BD">
          <w:rPr>
            <w:webHidden/>
          </w:rPr>
          <w:fldChar w:fldCharType="separate"/>
        </w:r>
        <w:r w:rsidR="00D5447F">
          <w:rPr>
            <w:webHidden/>
          </w:rPr>
          <w:t>17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5" w:history="1">
        <w:r w:rsidR="008827BD" w:rsidRPr="003E1005">
          <w:rPr>
            <w:rStyle w:val="Hyperlink"/>
          </w:rPr>
          <w:t>3.3.6</w:t>
        </w:r>
        <w:r w:rsidR="008827BD">
          <w:rPr>
            <w:spacing w:val="0"/>
            <w:sz w:val="22"/>
            <w:szCs w:val="22"/>
            <w:lang w:eastAsia="en-AU"/>
          </w:rPr>
          <w:tab/>
        </w:r>
        <w:r w:rsidR="008827BD" w:rsidRPr="003E1005">
          <w:rPr>
            <w:rStyle w:val="Hyperlink"/>
          </w:rPr>
          <w:t>Recording of equity investments in entities</w:t>
        </w:r>
        <w:r w:rsidR="008827BD">
          <w:rPr>
            <w:webHidden/>
          </w:rPr>
          <w:tab/>
        </w:r>
        <w:r w:rsidR="008827BD">
          <w:rPr>
            <w:webHidden/>
          </w:rPr>
          <w:fldChar w:fldCharType="begin"/>
        </w:r>
        <w:r w:rsidR="008827BD">
          <w:rPr>
            <w:webHidden/>
          </w:rPr>
          <w:instrText xml:space="preserve"> PAGEREF _Toc476910335 \h </w:instrText>
        </w:r>
        <w:r w:rsidR="008827BD">
          <w:rPr>
            <w:webHidden/>
          </w:rPr>
        </w:r>
        <w:r w:rsidR="008827BD">
          <w:rPr>
            <w:webHidden/>
          </w:rPr>
          <w:fldChar w:fldCharType="separate"/>
        </w:r>
        <w:r w:rsidR="00D5447F">
          <w:rPr>
            <w:webHidden/>
          </w:rPr>
          <w:t>18</w:t>
        </w:r>
        <w:r w:rsidR="008827BD">
          <w:rPr>
            <w:webHidden/>
          </w:rPr>
          <w:fldChar w:fldCharType="end"/>
        </w:r>
      </w:hyperlink>
    </w:p>
    <w:p w:rsidR="008827BD" w:rsidRDefault="00E41273">
      <w:pPr>
        <w:pStyle w:val="TOC5"/>
        <w:rPr>
          <w:spacing w:val="0"/>
          <w:sz w:val="22"/>
          <w:szCs w:val="22"/>
          <w:lang w:eastAsia="en-AU"/>
        </w:rPr>
      </w:pPr>
      <w:hyperlink w:anchor="_Toc476910336" w:history="1">
        <w:r w:rsidR="008827BD" w:rsidRPr="003E1005">
          <w:rPr>
            <w:rStyle w:val="Hyperlink"/>
            <w14:scene3d>
              <w14:camera w14:prst="orthographicFront"/>
              <w14:lightRig w14:rig="threePt" w14:dir="t">
                <w14:rot w14:lat="0" w14:lon="0" w14:rev="0"/>
              </w14:lightRig>
            </w14:scene3d>
          </w:rPr>
          <w:t>3.4</w:t>
        </w:r>
        <w:r w:rsidR="008827BD">
          <w:rPr>
            <w:spacing w:val="0"/>
            <w:sz w:val="22"/>
            <w:szCs w:val="22"/>
            <w:lang w:eastAsia="en-AU"/>
          </w:rPr>
          <w:tab/>
        </w:r>
        <w:r w:rsidR="008827BD" w:rsidRPr="003E1005">
          <w:rPr>
            <w:rStyle w:val="Hyperlink"/>
          </w:rPr>
          <w:t>Accounting for motor vehicle leasing</w:t>
        </w:r>
        <w:r w:rsidR="008827BD">
          <w:rPr>
            <w:webHidden/>
          </w:rPr>
          <w:tab/>
        </w:r>
        <w:r w:rsidR="008827BD">
          <w:rPr>
            <w:webHidden/>
          </w:rPr>
          <w:fldChar w:fldCharType="begin"/>
        </w:r>
        <w:r w:rsidR="008827BD">
          <w:rPr>
            <w:webHidden/>
          </w:rPr>
          <w:instrText xml:space="preserve"> PAGEREF _Toc476910336 \h </w:instrText>
        </w:r>
        <w:r w:rsidR="008827BD">
          <w:rPr>
            <w:webHidden/>
          </w:rPr>
        </w:r>
        <w:r w:rsidR="008827BD">
          <w:rPr>
            <w:webHidden/>
          </w:rPr>
          <w:fldChar w:fldCharType="separate"/>
        </w:r>
        <w:r w:rsidR="00D5447F">
          <w:rPr>
            <w:webHidden/>
          </w:rPr>
          <w:t>21</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7" w:history="1">
        <w:r w:rsidR="008827BD" w:rsidRPr="003E1005">
          <w:rPr>
            <w:rStyle w:val="Hyperlink"/>
          </w:rPr>
          <w:t>3.4.1</w:t>
        </w:r>
        <w:r w:rsidR="008827BD">
          <w:rPr>
            <w:spacing w:val="0"/>
            <w:sz w:val="22"/>
            <w:szCs w:val="22"/>
            <w:lang w:eastAsia="en-AU"/>
          </w:rPr>
          <w:tab/>
        </w:r>
        <w:r w:rsidR="008827BD" w:rsidRPr="003E1005">
          <w:rPr>
            <w:rStyle w:val="Hyperlink"/>
          </w:rPr>
          <w:t>Recording of VicFleet journal entries</w:t>
        </w:r>
        <w:r w:rsidR="008827BD">
          <w:rPr>
            <w:webHidden/>
          </w:rPr>
          <w:tab/>
        </w:r>
        <w:r w:rsidR="008827BD">
          <w:rPr>
            <w:webHidden/>
          </w:rPr>
          <w:fldChar w:fldCharType="begin"/>
        </w:r>
        <w:r w:rsidR="008827BD">
          <w:rPr>
            <w:webHidden/>
          </w:rPr>
          <w:instrText xml:space="preserve"> PAGEREF _Toc476910337 \h </w:instrText>
        </w:r>
        <w:r w:rsidR="008827BD">
          <w:rPr>
            <w:webHidden/>
          </w:rPr>
        </w:r>
        <w:r w:rsidR="008827BD">
          <w:rPr>
            <w:webHidden/>
          </w:rPr>
          <w:fldChar w:fldCharType="separate"/>
        </w:r>
        <w:r w:rsidR="00D5447F">
          <w:rPr>
            <w:webHidden/>
          </w:rPr>
          <w:t>21</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8" w:history="1">
        <w:r w:rsidR="008827BD" w:rsidRPr="003E1005">
          <w:rPr>
            <w:rStyle w:val="Hyperlink"/>
          </w:rPr>
          <w:t>3.4.2</w:t>
        </w:r>
        <w:r w:rsidR="008827BD">
          <w:rPr>
            <w:spacing w:val="0"/>
            <w:sz w:val="22"/>
            <w:szCs w:val="22"/>
            <w:lang w:eastAsia="en-AU"/>
          </w:rPr>
          <w:tab/>
        </w:r>
        <w:r w:rsidR="008827BD" w:rsidRPr="003E1005">
          <w:rPr>
            <w:rStyle w:val="Hyperlink"/>
          </w:rPr>
          <w:t>VicFleet trust multi-user account</w:t>
        </w:r>
        <w:r w:rsidR="008827BD">
          <w:rPr>
            <w:webHidden/>
          </w:rPr>
          <w:tab/>
        </w:r>
        <w:r w:rsidR="008827BD">
          <w:rPr>
            <w:webHidden/>
          </w:rPr>
          <w:fldChar w:fldCharType="begin"/>
        </w:r>
        <w:r w:rsidR="008827BD">
          <w:rPr>
            <w:webHidden/>
          </w:rPr>
          <w:instrText xml:space="preserve"> PAGEREF _Toc476910338 \h </w:instrText>
        </w:r>
        <w:r w:rsidR="008827BD">
          <w:rPr>
            <w:webHidden/>
          </w:rPr>
        </w:r>
        <w:r w:rsidR="008827BD">
          <w:rPr>
            <w:webHidden/>
          </w:rPr>
          <w:fldChar w:fldCharType="separate"/>
        </w:r>
        <w:r w:rsidR="00D5447F">
          <w:rPr>
            <w:webHidden/>
          </w:rPr>
          <w:t>21</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39" w:history="1">
        <w:r w:rsidR="008827BD" w:rsidRPr="003E1005">
          <w:rPr>
            <w:rStyle w:val="Hyperlink"/>
          </w:rPr>
          <w:t>3.4.3</w:t>
        </w:r>
        <w:r w:rsidR="008827BD">
          <w:rPr>
            <w:spacing w:val="0"/>
            <w:sz w:val="22"/>
            <w:szCs w:val="22"/>
            <w:lang w:eastAsia="en-AU"/>
          </w:rPr>
          <w:tab/>
        </w:r>
        <w:r w:rsidR="008827BD" w:rsidRPr="003E1005">
          <w:rPr>
            <w:rStyle w:val="Hyperlink"/>
          </w:rPr>
          <w:t>Application of Capital Assets Charge (CAC)</w:t>
        </w:r>
        <w:r w:rsidR="008827BD">
          <w:rPr>
            <w:webHidden/>
          </w:rPr>
          <w:tab/>
        </w:r>
        <w:r w:rsidR="008827BD">
          <w:rPr>
            <w:webHidden/>
          </w:rPr>
          <w:fldChar w:fldCharType="begin"/>
        </w:r>
        <w:r w:rsidR="008827BD">
          <w:rPr>
            <w:webHidden/>
          </w:rPr>
          <w:instrText xml:space="preserve"> PAGEREF _Toc476910339 \h </w:instrText>
        </w:r>
        <w:r w:rsidR="008827BD">
          <w:rPr>
            <w:webHidden/>
          </w:rPr>
        </w:r>
        <w:r w:rsidR="008827BD">
          <w:rPr>
            <w:webHidden/>
          </w:rPr>
          <w:fldChar w:fldCharType="separate"/>
        </w:r>
        <w:r w:rsidR="00D5447F">
          <w:rPr>
            <w:webHidden/>
          </w:rPr>
          <w:t>21</w:t>
        </w:r>
        <w:r w:rsidR="008827BD">
          <w:rPr>
            <w:webHidden/>
          </w:rPr>
          <w:fldChar w:fldCharType="end"/>
        </w:r>
      </w:hyperlink>
    </w:p>
    <w:p w:rsidR="008827BD" w:rsidRDefault="00E41273">
      <w:pPr>
        <w:pStyle w:val="TOC5"/>
        <w:rPr>
          <w:spacing w:val="0"/>
          <w:sz w:val="22"/>
          <w:szCs w:val="22"/>
          <w:lang w:eastAsia="en-AU"/>
        </w:rPr>
      </w:pPr>
      <w:hyperlink w:anchor="_Toc476910340" w:history="1">
        <w:r w:rsidR="008827BD" w:rsidRPr="003E1005">
          <w:rPr>
            <w:rStyle w:val="Hyperlink"/>
            <w14:scene3d>
              <w14:camera w14:prst="orthographicFront"/>
              <w14:lightRig w14:rig="threePt" w14:dir="t">
                <w14:rot w14:lat="0" w14:lon="0" w14:rev="0"/>
              </w14:lightRig>
            </w14:scene3d>
          </w:rPr>
          <w:t>3.5</w:t>
        </w:r>
        <w:r w:rsidR="008827BD">
          <w:rPr>
            <w:spacing w:val="0"/>
            <w:sz w:val="22"/>
            <w:szCs w:val="22"/>
            <w:lang w:eastAsia="en-AU"/>
          </w:rPr>
          <w:tab/>
        </w:r>
        <w:r w:rsidR="008827BD" w:rsidRPr="003E1005">
          <w:rPr>
            <w:rStyle w:val="Hyperlink"/>
          </w:rPr>
          <w:t>Accounting for the sale of Departmental assets</w:t>
        </w:r>
        <w:r w:rsidR="008827BD">
          <w:rPr>
            <w:webHidden/>
          </w:rPr>
          <w:tab/>
        </w:r>
        <w:r w:rsidR="008827BD">
          <w:rPr>
            <w:webHidden/>
          </w:rPr>
          <w:fldChar w:fldCharType="begin"/>
        </w:r>
        <w:r w:rsidR="008827BD">
          <w:rPr>
            <w:webHidden/>
          </w:rPr>
          <w:instrText xml:space="preserve"> PAGEREF _Toc476910340 \h </w:instrText>
        </w:r>
        <w:r w:rsidR="008827BD">
          <w:rPr>
            <w:webHidden/>
          </w:rPr>
        </w:r>
        <w:r w:rsidR="008827BD">
          <w:rPr>
            <w:webHidden/>
          </w:rPr>
          <w:fldChar w:fldCharType="separate"/>
        </w:r>
        <w:r w:rsidR="00D5447F">
          <w:rPr>
            <w:webHidden/>
          </w:rPr>
          <w:t>23</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1" w:history="1">
        <w:r w:rsidR="008827BD" w:rsidRPr="003E1005">
          <w:rPr>
            <w:rStyle w:val="Hyperlink"/>
          </w:rPr>
          <w:t>3.5.1</w:t>
        </w:r>
        <w:r w:rsidR="008827BD">
          <w:rPr>
            <w:spacing w:val="0"/>
            <w:sz w:val="22"/>
            <w:szCs w:val="22"/>
            <w:lang w:eastAsia="en-AU"/>
          </w:rPr>
          <w:tab/>
        </w:r>
        <w:r w:rsidR="008827BD" w:rsidRPr="003E1005">
          <w:rPr>
            <w:rStyle w:val="Hyperlink"/>
          </w:rPr>
          <w:t>Treatment of the sale of Departmental assets</w:t>
        </w:r>
        <w:r w:rsidR="008827BD">
          <w:rPr>
            <w:webHidden/>
          </w:rPr>
          <w:tab/>
        </w:r>
        <w:r w:rsidR="008827BD">
          <w:rPr>
            <w:webHidden/>
          </w:rPr>
          <w:fldChar w:fldCharType="begin"/>
        </w:r>
        <w:r w:rsidR="008827BD">
          <w:rPr>
            <w:webHidden/>
          </w:rPr>
          <w:instrText xml:space="preserve"> PAGEREF _Toc476910341 \h </w:instrText>
        </w:r>
        <w:r w:rsidR="008827BD">
          <w:rPr>
            <w:webHidden/>
          </w:rPr>
        </w:r>
        <w:r w:rsidR="008827BD">
          <w:rPr>
            <w:webHidden/>
          </w:rPr>
          <w:fldChar w:fldCharType="separate"/>
        </w:r>
        <w:r w:rsidR="00D5447F">
          <w:rPr>
            <w:webHidden/>
          </w:rPr>
          <w:t>23</w:t>
        </w:r>
        <w:r w:rsidR="008827BD">
          <w:rPr>
            <w:webHidden/>
          </w:rPr>
          <w:fldChar w:fldCharType="end"/>
        </w:r>
      </w:hyperlink>
    </w:p>
    <w:p w:rsidR="008827BD" w:rsidRDefault="00E41273">
      <w:pPr>
        <w:pStyle w:val="TOC5"/>
        <w:rPr>
          <w:spacing w:val="0"/>
          <w:sz w:val="22"/>
          <w:szCs w:val="22"/>
          <w:lang w:eastAsia="en-AU"/>
        </w:rPr>
      </w:pPr>
      <w:hyperlink w:anchor="_Toc476910342" w:history="1">
        <w:r w:rsidR="008827BD" w:rsidRPr="003E1005">
          <w:rPr>
            <w:rStyle w:val="Hyperlink"/>
            <w14:scene3d>
              <w14:camera w14:prst="orthographicFront"/>
              <w14:lightRig w14:rig="threePt" w14:dir="t">
                <w14:rot w14:lat="0" w14:lon="0" w14:rev="0"/>
              </w14:lightRig>
            </w14:scene3d>
          </w:rPr>
          <w:t>3.6</w:t>
        </w:r>
        <w:r w:rsidR="008827BD">
          <w:rPr>
            <w:spacing w:val="0"/>
            <w:sz w:val="22"/>
            <w:szCs w:val="22"/>
            <w:lang w:eastAsia="en-AU"/>
          </w:rPr>
          <w:tab/>
        </w:r>
        <w:r w:rsidR="008827BD" w:rsidRPr="003E1005">
          <w:rPr>
            <w:rStyle w:val="Hyperlink"/>
          </w:rPr>
          <w:t>Redundancy payments</w:t>
        </w:r>
        <w:r w:rsidR="008827BD">
          <w:rPr>
            <w:webHidden/>
          </w:rPr>
          <w:tab/>
        </w:r>
        <w:r w:rsidR="008827BD">
          <w:rPr>
            <w:webHidden/>
          </w:rPr>
          <w:fldChar w:fldCharType="begin"/>
        </w:r>
        <w:r w:rsidR="008827BD">
          <w:rPr>
            <w:webHidden/>
          </w:rPr>
          <w:instrText xml:space="preserve"> PAGEREF _Toc476910342 \h </w:instrText>
        </w:r>
        <w:r w:rsidR="008827BD">
          <w:rPr>
            <w:webHidden/>
          </w:rPr>
        </w:r>
        <w:r w:rsidR="008827BD">
          <w:rPr>
            <w:webHidden/>
          </w:rPr>
          <w:fldChar w:fldCharType="separate"/>
        </w:r>
        <w:r w:rsidR="00D5447F">
          <w:rPr>
            <w:webHidden/>
          </w:rPr>
          <w:t>25</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3" w:history="1">
        <w:r w:rsidR="008827BD" w:rsidRPr="003E1005">
          <w:rPr>
            <w:rStyle w:val="Hyperlink"/>
          </w:rPr>
          <w:t>3.6.1</w:t>
        </w:r>
        <w:r w:rsidR="008827BD">
          <w:rPr>
            <w:spacing w:val="0"/>
            <w:sz w:val="22"/>
            <w:szCs w:val="22"/>
            <w:lang w:eastAsia="en-AU"/>
          </w:rPr>
          <w:tab/>
        </w:r>
        <w:r w:rsidR="008827BD" w:rsidRPr="003E1005">
          <w:rPr>
            <w:rStyle w:val="Hyperlink"/>
          </w:rPr>
          <w:t>Treatment of Voluntary Departure Packages (VDPs) and Targeted Separation Packages (TSPs)</w:t>
        </w:r>
        <w:r w:rsidR="008827BD">
          <w:rPr>
            <w:webHidden/>
          </w:rPr>
          <w:tab/>
        </w:r>
        <w:r w:rsidR="008827BD">
          <w:rPr>
            <w:webHidden/>
          </w:rPr>
          <w:fldChar w:fldCharType="begin"/>
        </w:r>
        <w:r w:rsidR="008827BD">
          <w:rPr>
            <w:webHidden/>
          </w:rPr>
          <w:instrText xml:space="preserve"> PAGEREF _Toc476910343 \h </w:instrText>
        </w:r>
        <w:r w:rsidR="008827BD">
          <w:rPr>
            <w:webHidden/>
          </w:rPr>
        </w:r>
        <w:r w:rsidR="008827BD">
          <w:rPr>
            <w:webHidden/>
          </w:rPr>
          <w:fldChar w:fldCharType="separate"/>
        </w:r>
        <w:r w:rsidR="00D5447F">
          <w:rPr>
            <w:webHidden/>
          </w:rPr>
          <w:t>25</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4" w:history="1">
        <w:r w:rsidR="008827BD" w:rsidRPr="003E1005">
          <w:rPr>
            <w:rStyle w:val="Hyperlink"/>
          </w:rPr>
          <w:t>3.6.2</w:t>
        </w:r>
        <w:r w:rsidR="008827BD">
          <w:rPr>
            <w:spacing w:val="0"/>
            <w:sz w:val="22"/>
            <w:szCs w:val="22"/>
            <w:lang w:eastAsia="en-AU"/>
          </w:rPr>
          <w:tab/>
        </w:r>
        <w:r w:rsidR="008827BD" w:rsidRPr="003E1005">
          <w:rPr>
            <w:rStyle w:val="Hyperlink"/>
          </w:rPr>
          <w:t>Treatment of significantly large redundancy programs</w:t>
        </w:r>
        <w:r w:rsidR="008827BD">
          <w:rPr>
            <w:webHidden/>
          </w:rPr>
          <w:tab/>
        </w:r>
        <w:r w:rsidR="008827BD">
          <w:rPr>
            <w:webHidden/>
          </w:rPr>
          <w:fldChar w:fldCharType="begin"/>
        </w:r>
        <w:r w:rsidR="008827BD">
          <w:rPr>
            <w:webHidden/>
          </w:rPr>
          <w:instrText xml:space="preserve"> PAGEREF _Toc476910344 \h </w:instrText>
        </w:r>
        <w:r w:rsidR="008827BD">
          <w:rPr>
            <w:webHidden/>
          </w:rPr>
        </w:r>
        <w:r w:rsidR="008827BD">
          <w:rPr>
            <w:webHidden/>
          </w:rPr>
          <w:fldChar w:fldCharType="separate"/>
        </w:r>
        <w:r w:rsidR="00D5447F">
          <w:rPr>
            <w:webHidden/>
          </w:rPr>
          <w:t>25</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5" w:history="1">
        <w:r w:rsidR="008827BD" w:rsidRPr="003E1005">
          <w:rPr>
            <w:rStyle w:val="Hyperlink"/>
          </w:rPr>
          <w:t>3.6.3</w:t>
        </w:r>
        <w:r w:rsidR="008827BD">
          <w:rPr>
            <w:spacing w:val="0"/>
            <w:sz w:val="22"/>
            <w:szCs w:val="22"/>
            <w:lang w:eastAsia="en-AU"/>
          </w:rPr>
          <w:tab/>
        </w:r>
        <w:r w:rsidR="008827BD" w:rsidRPr="003E1005">
          <w:rPr>
            <w:rStyle w:val="Hyperlink"/>
          </w:rPr>
          <w:t>Treatment of related long service leave payouts on VDPs and TSPs</w:t>
        </w:r>
        <w:r w:rsidR="008827BD">
          <w:rPr>
            <w:webHidden/>
          </w:rPr>
          <w:tab/>
        </w:r>
        <w:r w:rsidR="008827BD">
          <w:rPr>
            <w:webHidden/>
          </w:rPr>
          <w:fldChar w:fldCharType="begin"/>
        </w:r>
        <w:r w:rsidR="008827BD">
          <w:rPr>
            <w:webHidden/>
          </w:rPr>
          <w:instrText xml:space="preserve"> PAGEREF _Toc476910345 \h </w:instrText>
        </w:r>
        <w:r w:rsidR="008827BD">
          <w:rPr>
            <w:webHidden/>
          </w:rPr>
        </w:r>
        <w:r w:rsidR="008827BD">
          <w:rPr>
            <w:webHidden/>
          </w:rPr>
          <w:fldChar w:fldCharType="separate"/>
        </w:r>
        <w:r w:rsidR="00D5447F">
          <w:rPr>
            <w:webHidden/>
          </w:rPr>
          <w:t>25</w:t>
        </w:r>
        <w:r w:rsidR="008827BD">
          <w:rPr>
            <w:webHidden/>
          </w:rPr>
          <w:fldChar w:fldCharType="end"/>
        </w:r>
      </w:hyperlink>
    </w:p>
    <w:p w:rsidR="008827BD" w:rsidRDefault="00E41273">
      <w:pPr>
        <w:pStyle w:val="TOC5"/>
        <w:rPr>
          <w:spacing w:val="0"/>
          <w:sz w:val="22"/>
          <w:szCs w:val="22"/>
          <w:lang w:eastAsia="en-AU"/>
        </w:rPr>
      </w:pPr>
      <w:hyperlink w:anchor="_Toc476910346" w:history="1">
        <w:r w:rsidR="008827BD" w:rsidRPr="003E1005">
          <w:rPr>
            <w:rStyle w:val="Hyperlink"/>
            <w14:scene3d>
              <w14:camera w14:prst="orthographicFront"/>
              <w14:lightRig w14:rig="threePt" w14:dir="t">
                <w14:rot w14:lat="0" w14:lon="0" w14:rev="0"/>
              </w14:lightRig>
            </w14:scene3d>
          </w:rPr>
          <w:t>3.7</w:t>
        </w:r>
        <w:r w:rsidR="008827BD">
          <w:rPr>
            <w:spacing w:val="0"/>
            <w:sz w:val="22"/>
            <w:szCs w:val="22"/>
            <w:lang w:eastAsia="en-AU"/>
          </w:rPr>
          <w:tab/>
        </w:r>
        <w:r w:rsidR="008827BD" w:rsidRPr="003E1005">
          <w:rPr>
            <w:rStyle w:val="Hyperlink"/>
          </w:rPr>
          <w:t>Superannuation expenses and liabilities</w:t>
        </w:r>
        <w:r w:rsidR="008827BD">
          <w:rPr>
            <w:webHidden/>
          </w:rPr>
          <w:tab/>
        </w:r>
        <w:r w:rsidR="008827BD">
          <w:rPr>
            <w:webHidden/>
          </w:rPr>
          <w:fldChar w:fldCharType="begin"/>
        </w:r>
        <w:r w:rsidR="008827BD">
          <w:rPr>
            <w:webHidden/>
          </w:rPr>
          <w:instrText xml:space="preserve"> PAGEREF _Toc476910346 \h </w:instrText>
        </w:r>
        <w:r w:rsidR="008827BD">
          <w:rPr>
            <w:webHidden/>
          </w:rPr>
        </w:r>
        <w:r w:rsidR="008827BD">
          <w:rPr>
            <w:webHidden/>
          </w:rPr>
          <w:fldChar w:fldCharType="separate"/>
        </w:r>
        <w:r w:rsidR="00D5447F">
          <w:rPr>
            <w:webHidden/>
          </w:rPr>
          <w:t>26</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7" w:history="1">
        <w:r w:rsidR="008827BD" w:rsidRPr="003E1005">
          <w:rPr>
            <w:rStyle w:val="Hyperlink"/>
          </w:rPr>
          <w:t>3.7.1</w:t>
        </w:r>
        <w:r w:rsidR="008827BD">
          <w:rPr>
            <w:spacing w:val="0"/>
            <w:sz w:val="22"/>
            <w:szCs w:val="22"/>
            <w:lang w:eastAsia="en-AU"/>
          </w:rPr>
          <w:tab/>
        </w:r>
        <w:r w:rsidR="008827BD" w:rsidRPr="003E1005">
          <w:rPr>
            <w:rStyle w:val="Hyperlink"/>
          </w:rPr>
          <w:t>Accounting for contributions to superannuation schemes</w:t>
        </w:r>
        <w:r w:rsidR="008827BD">
          <w:rPr>
            <w:webHidden/>
          </w:rPr>
          <w:tab/>
        </w:r>
        <w:r w:rsidR="008827BD">
          <w:rPr>
            <w:webHidden/>
          </w:rPr>
          <w:fldChar w:fldCharType="begin"/>
        </w:r>
        <w:r w:rsidR="008827BD">
          <w:rPr>
            <w:webHidden/>
          </w:rPr>
          <w:instrText xml:space="preserve"> PAGEREF _Toc476910347 \h </w:instrText>
        </w:r>
        <w:r w:rsidR="008827BD">
          <w:rPr>
            <w:webHidden/>
          </w:rPr>
        </w:r>
        <w:r w:rsidR="008827BD">
          <w:rPr>
            <w:webHidden/>
          </w:rPr>
          <w:fldChar w:fldCharType="separate"/>
        </w:r>
        <w:r w:rsidR="00D5447F">
          <w:rPr>
            <w:webHidden/>
          </w:rPr>
          <w:t>26</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48" w:history="1">
        <w:r w:rsidR="008827BD" w:rsidRPr="003E1005">
          <w:rPr>
            <w:rStyle w:val="Hyperlink"/>
          </w:rPr>
          <w:t>3.7.2</w:t>
        </w:r>
        <w:r w:rsidR="008827BD">
          <w:rPr>
            <w:spacing w:val="0"/>
            <w:sz w:val="22"/>
            <w:szCs w:val="22"/>
            <w:lang w:eastAsia="en-AU"/>
          </w:rPr>
          <w:tab/>
        </w:r>
        <w:r w:rsidR="008827BD" w:rsidRPr="003E1005">
          <w:rPr>
            <w:rStyle w:val="Hyperlink"/>
          </w:rPr>
          <w:t>Treatment of the accumulated superannuation liability incurred pre 1 July 1998</w:t>
        </w:r>
        <w:r w:rsidR="008827BD">
          <w:rPr>
            <w:webHidden/>
          </w:rPr>
          <w:tab/>
        </w:r>
        <w:r w:rsidR="008827BD">
          <w:rPr>
            <w:webHidden/>
          </w:rPr>
          <w:fldChar w:fldCharType="begin"/>
        </w:r>
        <w:r w:rsidR="008827BD">
          <w:rPr>
            <w:webHidden/>
          </w:rPr>
          <w:instrText xml:space="preserve"> PAGEREF _Toc476910348 \h </w:instrText>
        </w:r>
        <w:r w:rsidR="008827BD">
          <w:rPr>
            <w:webHidden/>
          </w:rPr>
        </w:r>
        <w:r w:rsidR="008827BD">
          <w:rPr>
            <w:webHidden/>
          </w:rPr>
          <w:fldChar w:fldCharType="separate"/>
        </w:r>
        <w:r w:rsidR="00D5447F">
          <w:rPr>
            <w:webHidden/>
          </w:rPr>
          <w:t>26</w:t>
        </w:r>
        <w:r w:rsidR="008827BD">
          <w:rPr>
            <w:webHidden/>
          </w:rPr>
          <w:fldChar w:fldCharType="end"/>
        </w:r>
      </w:hyperlink>
    </w:p>
    <w:p w:rsidR="008827BD" w:rsidRDefault="00E41273">
      <w:pPr>
        <w:pStyle w:val="TOC5"/>
        <w:rPr>
          <w:spacing w:val="0"/>
          <w:sz w:val="22"/>
          <w:szCs w:val="22"/>
          <w:lang w:eastAsia="en-AU"/>
        </w:rPr>
      </w:pPr>
      <w:hyperlink w:anchor="_Toc476910349" w:history="1">
        <w:r w:rsidR="008827BD" w:rsidRPr="003E1005">
          <w:rPr>
            <w:rStyle w:val="Hyperlink"/>
            <w14:scene3d>
              <w14:camera w14:prst="orthographicFront"/>
              <w14:lightRig w14:rig="threePt" w14:dir="t">
                <w14:rot w14:lat="0" w14:lon="0" w14:rev="0"/>
              </w14:lightRig>
            </w14:scene3d>
          </w:rPr>
          <w:t>3.8</w:t>
        </w:r>
        <w:r w:rsidR="008827BD">
          <w:rPr>
            <w:spacing w:val="0"/>
            <w:sz w:val="22"/>
            <w:szCs w:val="22"/>
            <w:lang w:eastAsia="en-AU"/>
          </w:rPr>
          <w:tab/>
        </w:r>
        <w:r w:rsidR="008827BD" w:rsidRPr="003E1005">
          <w:rPr>
            <w:rStyle w:val="Hyperlink"/>
          </w:rPr>
          <w:t>Annual leave</w:t>
        </w:r>
        <w:r w:rsidR="008827BD">
          <w:rPr>
            <w:webHidden/>
          </w:rPr>
          <w:tab/>
        </w:r>
        <w:r w:rsidR="008827BD">
          <w:rPr>
            <w:webHidden/>
          </w:rPr>
          <w:fldChar w:fldCharType="begin"/>
        </w:r>
        <w:r w:rsidR="008827BD">
          <w:rPr>
            <w:webHidden/>
          </w:rPr>
          <w:instrText xml:space="preserve"> PAGEREF _Toc476910349 \h </w:instrText>
        </w:r>
        <w:r w:rsidR="008827BD">
          <w:rPr>
            <w:webHidden/>
          </w:rPr>
        </w:r>
        <w:r w:rsidR="008827BD">
          <w:rPr>
            <w:webHidden/>
          </w:rPr>
          <w:fldChar w:fldCharType="separate"/>
        </w:r>
        <w:r w:rsidR="00D5447F">
          <w:rPr>
            <w:webHidden/>
          </w:rPr>
          <w:t>27</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50" w:history="1">
        <w:r w:rsidR="008827BD" w:rsidRPr="003E1005">
          <w:rPr>
            <w:rStyle w:val="Hyperlink"/>
          </w:rPr>
          <w:t>3.8.1</w:t>
        </w:r>
        <w:r w:rsidR="008827BD">
          <w:rPr>
            <w:spacing w:val="0"/>
            <w:sz w:val="22"/>
            <w:szCs w:val="22"/>
            <w:lang w:eastAsia="en-AU"/>
          </w:rPr>
          <w:tab/>
        </w:r>
        <w:r w:rsidR="008827BD" w:rsidRPr="003E1005">
          <w:rPr>
            <w:rStyle w:val="Hyperlink"/>
          </w:rPr>
          <w:t>Transfer of annual leave balances between Departments</w:t>
        </w:r>
        <w:r w:rsidR="008827BD">
          <w:rPr>
            <w:webHidden/>
          </w:rPr>
          <w:tab/>
        </w:r>
        <w:r w:rsidR="008827BD">
          <w:rPr>
            <w:webHidden/>
          </w:rPr>
          <w:fldChar w:fldCharType="begin"/>
        </w:r>
        <w:r w:rsidR="008827BD">
          <w:rPr>
            <w:webHidden/>
          </w:rPr>
          <w:instrText xml:space="preserve"> PAGEREF _Toc476910350 \h </w:instrText>
        </w:r>
        <w:r w:rsidR="008827BD">
          <w:rPr>
            <w:webHidden/>
          </w:rPr>
        </w:r>
        <w:r w:rsidR="008827BD">
          <w:rPr>
            <w:webHidden/>
          </w:rPr>
          <w:fldChar w:fldCharType="separate"/>
        </w:r>
        <w:r w:rsidR="00D5447F">
          <w:rPr>
            <w:webHidden/>
          </w:rPr>
          <w:t>27</w:t>
        </w:r>
        <w:r w:rsidR="008827BD">
          <w:rPr>
            <w:webHidden/>
          </w:rPr>
          <w:fldChar w:fldCharType="end"/>
        </w:r>
      </w:hyperlink>
    </w:p>
    <w:p w:rsidR="008827BD" w:rsidRDefault="00E41273">
      <w:pPr>
        <w:pStyle w:val="TOC4"/>
        <w:rPr>
          <w:spacing w:val="0"/>
          <w:sz w:val="22"/>
          <w:szCs w:val="22"/>
          <w:lang w:eastAsia="en-AU"/>
        </w:rPr>
      </w:pPr>
      <w:hyperlink w:anchor="_Toc476910351" w:history="1">
        <w:r w:rsidR="008827BD" w:rsidRPr="003E1005">
          <w:rPr>
            <w:rStyle w:val="Hyperlink"/>
          </w:rPr>
          <w:t>4.</w:t>
        </w:r>
        <w:r w:rsidR="008827BD">
          <w:rPr>
            <w:spacing w:val="0"/>
            <w:sz w:val="22"/>
            <w:szCs w:val="22"/>
            <w:lang w:eastAsia="en-AU"/>
          </w:rPr>
          <w:tab/>
        </w:r>
        <w:r w:rsidR="008827BD" w:rsidRPr="003E1005">
          <w:rPr>
            <w:rStyle w:val="Hyperlink"/>
          </w:rPr>
          <w:t>The Victorian Government chart of accounts</w:t>
        </w:r>
        <w:r w:rsidR="008827BD">
          <w:rPr>
            <w:webHidden/>
          </w:rPr>
          <w:tab/>
        </w:r>
        <w:r w:rsidR="008827BD">
          <w:rPr>
            <w:webHidden/>
          </w:rPr>
          <w:fldChar w:fldCharType="begin"/>
        </w:r>
        <w:r w:rsidR="008827BD">
          <w:rPr>
            <w:webHidden/>
          </w:rPr>
          <w:instrText xml:space="preserve"> PAGEREF _Toc476910351 \h </w:instrText>
        </w:r>
        <w:r w:rsidR="008827BD">
          <w:rPr>
            <w:webHidden/>
          </w:rPr>
        </w:r>
        <w:r w:rsidR="008827BD">
          <w:rPr>
            <w:webHidden/>
          </w:rPr>
          <w:fldChar w:fldCharType="separate"/>
        </w:r>
        <w:r w:rsidR="00D5447F">
          <w:rPr>
            <w:webHidden/>
          </w:rPr>
          <w:t>28</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52" w:history="1">
        <w:r w:rsidR="008827BD" w:rsidRPr="003E1005">
          <w:rPr>
            <w:rStyle w:val="Hyperlink"/>
          </w:rPr>
          <w:t>4.1.1</w:t>
        </w:r>
        <w:r w:rsidR="008827BD">
          <w:rPr>
            <w:spacing w:val="0"/>
            <w:sz w:val="22"/>
            <w:szCs w:val="22"/>
            <w:lang w:eastAsia="en-AU"/>
          </w:rPr>
          <w:tab/>
        </w:r>
        <w:r w:rsidR="008827BD" w:rsidRPr="003E1005">
          <w:rPr>
            <w:rStyle w:val="Hyperlink"/>
          </w:rPr>
          <w:t>The Victorian Government Chart of Accounts</w:t>
        </w:r>
        <w:r w:rsidR="008827BD">
          <w:rPr>
            <w:webHidden/>
          </w:rPr>
          <w:tab/>
        </w:r>
        <w:r w:rsidR="008827BD">
          <w:rPr>
            <w:webHidden/>
          </w:rPr>
          <w:fldChar w:fldCharType="begin"/>
        </w:r>
        <w:r w:rsidR="008827BD">
          <w:rPr>
            <w:webHidden/>
          </w:rPr>
          <w:instrText xml:space="preserve"> PAGEREF _Toc476910352 \h </w:instrText>
        </w:r>
        <w:r w:rsidR="008827BD">
          <w:rPr>
            <w:webHidden/>
          </w:rPr>
        </w:r>
        <w:r w:rsidR="008827BD">
          <w:rPr>
            <w:webHidden/>
          </w:rPr>
          <w:fldChar w:fldCharType="separate"/>
        </w:r>
        <w:r w:rsidR="00D5447F">
          <w:rPr>
            <w:webHidden/>
          </w:rPr>
          <w:t>28</w:t>
        </w:r>
        <w:r w:rsidR="008827BD">
          <w:rPr>
            <w:webHidden/>
          </w:rPr>
          <w:fldChar w:fldCharType="end"/>
        </w:r>
      </w:hyperlink>
    </w:p>
    <w:p w:rsidR="008827BD" w:rsidRDefault="00E41273">
      <w:pPr>
        <w:pStyle w:val="TOC6"/>
        <w:tabs>
          <w:tab w:val="left" w:pos="1800"/>
        </w:tabs>
        <w:rPr>
          <w:spacing w:val="0"/>
          <w:sz w:val="22"/>
          <w:szCs w:val="22"/>
          <w:lang w:eastAsia="en-AU"/>
        </w:rPr>
      </w:pPr>
      <w:hyperlink w:anchor="_Toc476910353" w:history="1">
        <w:r w:rsidR="008827BD" w:rsidRPr="003E1005">
          <w:rPr>
            <w:rStyle w:val="Hyperlink"/>
          </w:rPr>
          <w:t>4.1.2</w:t>
        </w:r>
        <w:r w:rsidR="008827BD">
          <w:rPr>
            <w:spacing w:val="0"/>
            <w:sz w:val="22"/>
            <w:szCs w:val="22"/>
            <w:lang w:eastAsia="en-AU"/>
          </w:rPr>
          <w:tab/>
        </w:r>
        <w:r w:rsidR="008827BD" w:rsidRPr="003E1005">
          <w:rPr>
            <w:rStyle w:val="Hyperlink"/>
          </w:rPr>
          <w:t>Mandated segments for direct mapping to the new Victorian Government Chart of Accounts in SRIMS</w:t>
        </w:r>
        <w:r w:rsidR="008827BD">
          <w:rPr>
            <w:webHidden/>
          </w:rPr>
          <w:tab/>
        </w:r>
        <w:r w:rsidR="008827BD">
          <w:rPr>
            <w:webHidden/>
          </w:rPr>
          <w:fldChar w:fldCharType="begin"/>
        </w:r>
        <w:r w:rsidR="008827BD">
          <w:rPr>
            <w:webHidden/>
          </w:rPr>
          <w:instrText xml:space="preserve"> PAGEREF _Toc476910353 \h </w:instrText>
        </w:r>
        <w:r w:rsidR="008827BD">
          <w:rPr>
            <w:webHidden/>
          </w:rPr>
        </w:r>
        <w:r w:rsidR="008827BD">
          <w:rPr>
            <w:webHidden/>
          </w:rPr>
          <w:fldChar w:fldCharType="separate"/>
        </w:r>
        <w:r w:rsidR="00D5447F">
          <w:rPr>
            <w:webHidden/>
          </w:rPr>
          <w:t>28</w:t>
        </w:r>
        <w:r w:rsidR="008827BD">
          <w:rPr>
            <w:webHidden/>
          </w:rPr>
          <w:fldChar w:fldCharType="end"/>
        </w:r>
      </w:hyperlink>
    </w:p>
    <w:p w:rsidR="008827BD" w:rsidRDefault="00E41273">
      <w:pPr>
        <w:pStyle w:val="TOC4"/>
        <w:rPr>
          <w:spacing w:val="0"/>
          <w:sz w:val="22"/>
          <w:szCs w:val="22"/>
          <w:lang w:eastAsia="en-AU"/>
        </w:rPr>
      </w:pPr>
      <w:hyperlink w:anchor="_Toc476910354" w:history="1">
        <w:r w:rsidR="008827BD" w:rsidRPr="003E1005">
          <w:rPr>
            <w:rStyle w:val="Hyperlink"/>
          </w:rPr>
          <w:t>5.</w:t>
        </w:r>
        <w:r w:rsidR="008827BD">
          <w:rPr>
            <w:spacing w:val="0"/>
            <w:sz w:val="22"/>
            <w:szCs w:val="22"/>
            <w:lang w:eastAsia="en-AU"/>
          </w:rPr>
          <w:tab/>
        </w:r>
        <w:r w:rsidR="008827BD" w:rsidRPr="003E1005">
          <w:rPr>
            <w:rStyle w:val="Hyperlink"/>
          </w:rPr>
          <w:t>Machinery of government</w:t>
        </w:r>
        <w:r w:rsidR="008827BD">
          <w:rPr>
            <w:webHidden/>
          </w:rPr>
          <w:tab/>
        </w:r>
        <w:r w:rsidR="008827BD">
          <w:rPr>
            <w:webHidden/>
          </w:rPr>
          <w:fldChar w:fldCharType="begin"/>
        </w:r>
        <w:r w:rsidR="008827BD">
          <w:rPr>
            <w:webHidden/>
          </w:rPr>
          <w:instrText xml:space="preserve"> PAGEREF _Toc476910354 \h </w:instrText>
        </w:r>
        <w:r w:rsidR="008827BD">
          <w:rPr>
            <w:webHidden/>
          </w:rPr>
        </w:r>
        <w:r w:rsidR="008827BD">
          <w:rPr>
            <w:webHidden/>
          </w:rPr>
          <w:fldChar w:fldCharType="separate"/>
        </w:r>
        <w:r w:rsidR="00D5447F">
          <w:rPr>
            <w:webHidden/>
          </w:rPr>
          <w:t>30</w:t>
        </w:r>
        <w:r w:rsidR="008827BD">
          <w:rPr>
            <w:webHidden/>
          </w:rPr>
          <w:fldChar w:fldCharType="end"/>
        </w:r>
      </w:hyperlink>
    </w:p>
    <w:p w:rsidR="008827BD" w:rsidRDefault="00E41273">
      <w:pPr>
        <w:pStyle w:val="TOC1"/>
        <w:rPr>
          <w:noProof/>
          <w:spacing w:val="0"/>
          <w:sz w:val="22"/>
          <w:szCs w:val="22"/>
        </w:rPr>
      </w:pPr>
      <w:hyperlink w:anchor="_Toc476910355" w:history="1">
        <w:r w:rsidR="008827BD" w:rsidRPr="003E1005">
          <w:rPr>
            <w:rStyle w:val="Hyperlink"/>
            <w:noProof/>
          </w:rPr>
          <w:t>Attachments</w:t>
        </w:r>
        <w:r w:rsidR="008827BD">
          <w:rPr>
            <w:noProof/>
            <w:webHidden/>
          </w:rPr>
          <w:tab/>
        </w:r>
        <w:r w:rsidR="008827BD">
          <w:rPr>
            <w:noProof/>
            <w:webHidden/>
          </w:rPr>
          <w:fldChar w:fldCharType="begin"/>
        </w:r>
        <w:r w:rsidR="008827BD">
          <w:rPr>
            <w:noProof/>
            <w:webHidden/>
          </w:rPr>
          <w:instrText xml:space="preserve"> PAGEREF _Toc476910355 \h </w:instrText>
        </w:r>
        <w:r w:rsidR="008827BD">
          <w:rPr>
            <w:noProof/>
            <w:webHidden/>
          </w:rPr>
        </w:r>
        <w:r w:rsidR="008827BD">
          <w:rPr>
            <w:noProof/>
            <w:webHidden/>
          </w:rPr>
          <w:fldChar w:fldCharType="separate"/>
        </w:r>
        <w:r w:rsidR="00D5447F">
          <w:rPr>
            <w:noProof/>
            <w:webHidden/>
          </w:rPr>
          <w:t>31</w:t>
        </w:r>
        <w:r w:rsidR="008827BD">
          <w:rPr>
            <w:noProof/>
            <w:webHidden/>
          </w:rPr>
          <w:fldChar w:fldCharType="end"/>
        </w:r>
      </w:hyperlink>
    </w:p>
    <w:p w:rsidR="008827BD" w:rsidRDefault="00E41273">
      <w:pPr>
        <w:pStyle w:val="TOC2"/>
        <w:rPr>
          <w:spacing w:val="0"/>
          <w:sz w:val="22"/>
          <w:szCs w:val="22"/>
        </w:rPr>
      </w:pPr>
      <w:hyperlink w:anchor="_Toc476910356" w:history="1">
        <w:r w:rsidR="008827BD" w:rsidRPr="003E1005">
          <w:rPr>
            <w:rStyle w:val="Hyperlink"/>
          </w:rPr>
          <w:t>Attachment 1: Template for cash and actuals reconciliation in SRIMS</w:t>
        </w:r>
        <w:r w:rsidR="008827BD">
          <w:rPr>
            <w:webHidden/>
          </w:rPr>
          <w:tab/>
        </w:r>
        <w:r w:rsidR="008827BD">
          <w:rPr>
            <w:webHidden/>
          </w:rPr>
          <w:fldChar w:fldCharType="begin"/>
        </w:r>
        <w:r w:rsidR="008827BD">
          <w:rPr>
            <w:webHidden/>
          </w:rPr>
          <w:instrText xml:space="preserve"> PAGEREF _Toc476910356 \h </w:instrText>
        </w:r>
        <w:r w:rsidR="008827BD">
          <w:rPr>
            <w:webHidden/>
          </w:rPr>
        </w:r>
        <w:r w:rsidR="008827BD">
          <w:rPr>
            <w:webHidden/>
          </w:rPr>
          <w:fldChar w:fldCharType="separate"/>
        </w:r>
        <w:r w:rsidR="00D5447F">
          <w:rPr>
            <w:webHidden/>
          </w:rPr>
          <w:t>31</w:t>
        </w:r>
        <w:r w:rsidR="008827BD">
          <w:rPr>
            <w:webHidden/>
          </w:rPr>
          <w:fldChar w:fldCharType="end"/>
        </w:r>
      </w:hyperlink>
    </w:p>
    <w:p w:rsidR="008827BD" w:rsidRDefault="00E41273">
      <w:pPr>
        <w:pStyle w:val="TOC2"/>
        <w:rPr>
          <w:spacing w:val="0"/>
          <w:sz w:val="22"/>
          <w:szCs w:val="22"/>
        </w:rPr>
      </w:pPr>
      <w:hyperlink w:anchor="_Toc476910357" w:history="1">
        <w:r w:rsidR="008827BD" w:rsidRPr="003E1005">
          <w:rPr>
            <w:rStyle w:val="Hyperlink"/>
          </w:rPr>
          <w:t>Attachment 2: VicFleet lease accounting transactions</w:t>
        </w:r>
        <w:r w:rsidR="008827BD">
          <w:rPr>
            <w:webHidden/>
          </w:rPr>
          <w:tab/>
        </w:r>
        <w:r w:rsidR="008827BD">
          <w:rPr>
            <w:webHidden/>
          </w:rPr>
          <w:fldChar w:fldCharType="begin"/>
        </w:r>
        <w:r w:rsidR="008827BD">
          <w:rPr>
            <w:webHidden/>
          </w:rPr>
          <w:instrText xml:space="preserve"> PAGEREF _Toc476910357 \h </w:instrText>
        </w:r>
        <w:r w:rsidR="008827BD">
          <w:rPr>
            <w:webHidden/>
          </w:rPr>
        </w:r>
        <w:r w:rsidR="008827BD">
          <w:rPr>
            <w:webHidden/>
          </w:rPr>
          <w:fldChar w:fldCharType="separate"/>
        </w:r>
        <w:r w:rsidR="00D5447F">
          <w:rPr>
            <w:webHidden/>
          </w:rPr>
          <w:t>33</w:t>
        </w:r>
        <w:r w:rsidR="008827BD">
          <w:rPr>
            <w:webHidden/>
          </w:rPr>
          <w:fldChar w:fldCharType="end"/>
        </w:r>
      </w:hyperlink>
    </w:p>
    <w:p w:rsidR="008827BD" w:rsidRDefault="00E41273">
      <w:pPr>
        <w:pStyle w:val="TOC2"/>
        <w:rPr>
          <w:spacing w:val="0"/>
          <w:sz w:val="22"/>
          <w:szCs w:val="22"/>
        </w:rPr>
      </w:pPr>
      <w:hyperlink w:anchor="_Toc476910358" w:history="1">
        <w:r w:rsidR="008827BD" w:rsidRPr="003E1005">
          <w:rPr>
            <w:rStyle w:val="Hyperlink"/>
          </w:rPr>
          <w:t>Attachment 3: Contributed capital scenarios and examples</w:t>
        </w:r>
        <w:r w:rsidR="008827BD">
          <w:rPr>
            <w:webHidden/>
          </w:rPr>
          <w:tab/>
        </w:r>
        <w:r w:rsidR="008827BD">
          <w:rPr>
            <w:webHidden/>
          </w:rPr>
          <w:fldChar w:fldCharType="begin"/>
        </w:r>
        <w:r w:rsidR="008827BD">
          <w:rPr>
            <w:webHidden/>
          </w:rPr>
          <w:instrText xml:space="preserve"> PAGEREF _Toc476910358 \h </w:instrText>
        </w:r>
        <w:r w:rsidR="008827BD">
          <w:rPr>
            <w:webHidden/>
          </w:rPr>
        </w:r>
        <w:r w:rsidR="008827BD">
          <w:rPr>
            <w:webHidden/>
          </w:rPr>
          <w:fldChar w:fldCharType="separate"/>
        </w:r>
        <w:r w:rsidR="00D5447F">
          <w:rPr>
            <w:webHidden/>
          </w:rPr>
          <w:t>36</w:t>
        </w:r>
        <w:r w:rsidR="008827BD">
          <w:rPr>
            <w:webHidden/>
          </w:rPr>
          <w:fldChar w:fldCharType="end"/>
        </w:r>
      </w:hyperlink>
    </w:p>
    <w:p w:rsidR="008827BD" w:rsidRDefault="00E41273">
      <w:pPr>
        <w:pStyle w:val="TOC2"/>
        <w:rPr>
          <w:spacing w:val="0"/>
          <w:sz w:val="22"/>
          <w:szCs w:val="22"/>
        </w:rPr>
      </w:pPr>
      <w:hyperlink w:anchor="_Toc476910359" w:history="1">
        <w:r w:rsidR="008827BD" w:rsidRPr="003E1005">
          <w:rPr>
            <w:rStyle w:val="Hyperlink"/>
          </w:rPr>
          <w:t>Attachment 4: Sample journal entries for the sale of Departmental assets</w:t>
        </w:r>
        <w:r w:rsidR="008827BD">
          <w:rPr>
            <w:webHidden/>
          </w:rPr>
          <w:tab/>
        </w:r>
        <w:r w:rsidR="008827BD">
          <w:rPr>
            <w:webHidden/>
          </w:rPr>
          <w:fldChar w:fldCharType="begin"/>
        </w:r>
        <w:r w:rsidR="008827BD">
          <w:rPr>
            <w:webHidden/>
          </w:rPr>
          <w:instrText xml:space="preserve"> PAGEREF _Toc476910359 \h </w:instrText>
        </w:r>
        <w:r w:rsidR="008827BD">
          <w:rPr>
            <w:webHidden/>
          </w:rPr>
        </w:r>
        <w:r w:rsidR="008827BD">
          <w:rPr>
            <w:webHidden/>
          </w:rPr>
          <w:fldChar w:fldCharType="separate"/>
        </w:r>
        <w:r w:rsidR="00D5447F">
          <w:rPr>
            <w:webHidden/>
          </w:rPr>
          <w:t>42</w:t>
        </w:r>
        <w:r w:rsidR="008827BD">
          <w:rPr>
            <w:webHidden/>
          </w:rPr>
          <w:fldChar w:fldCharType="end"/>
        </w:r>
      </w:hyperlink>
    </w:p>
    <w:p w:rsidR="00FF4E99" w:rsidRDefault="00CD3D1B" w:rsidP="00D2312F">
      <w:r>
        <w:rPr>
          <w:noProof/>
          <w:color w:val="404040"/>
          <w:sz w:val="28"/>
          <w:szCs w:val="28"/>
          <w:lang w:eastAsia="en-US"/>
        </w:rPr>
        <w:fldChar w:fldCharType="end"/>
      </w:r>
    </w:p>
    <w:p w:rsidR="00FF4E99" w:rsidRDefault="00FF4E99" w:rsidP="00D2312F">
      <w:pPr>
        <w:sectPr w:rsidR="00FF4E99" w:rsidSect="00CD3D1B">
          <w:headerReference w:type="even" r:id="rId21"/>
          <w:headerReference w:type="default" r:id="rId22"/>
          <w:footerReference w:type="even" r:id="rId23"/>
          <w:footerReference w:type="default" r:id="rId24"/>
          <w:headerReference w:type="first" r:id="rId25"/>
          <w:type w:val="oddPage"/>
          <w:pgSz w:w="11906" w:h="16838" w:code="9"/>
          <w:pgMar w:top="2160" w:right="1440" w:bottom="1440" w:left="1440" w:header="706" w:footer="461" w:gutter="0"/>
          <w:pgNumType w:fmt="lowerRoman" w:start="1"/>
          <w:cols w:space="708"/>
          <w:docGrid w:linePitch="360"/>
        </w:sectPr>
      </w:pPr>
    </w:p>
    <w:p w:rsidR="00FF4E99" w:rsidRPr="00BF6584" w:rsidRDefault="00BF6584" w:rsidP="00BF6584">
      <w:pPr>
        <w:pStyle w:val="Heading1"/>
      </w:pPr>
      <w:bookmarkStart w:id="1" w:name="_Toc445470184"/>
      <w:bookmarkStart w:id="2" w:name="_Toc476910306"/>
      <w:r>
        <w:lastRenderedPageBreak/>
        <w:t>Introduction</w:t>
      </w:r>
      <w:bookmarkEnd w:id="1"/>
      <w:bookmarkEnd w:id="2"/>
    </w:p>
    <w:p w:rsidR="005476DA" w:rsidRPr="00BF6584" w:rsidRDefault="00BF6584" w:rsidP="00BF6584">
      <w:pPr>
        <w:pStyle w:val="Heading2"/>
      </w:pPr>
      <w:bookmarkStart w:id="3" w:name="_Toc445470185"/>
      <w:bookmarkStart w:id="4" w:name="_Toc476910307"/>
      <w:r>
        <w:t>Purpose and context</w:t>
      </w:r>
      <w:bookmarkEnd w:id="3"/>
      <w:bookmarkEnd w:id="4"/>
    </w:p>
    <w:p w:rsidR="005476DA" w:rsidRDefault="00BF6584" w:rsidP="0060329E">
      <w:r w:rsidRPr="00972714">
        <w:t>T</w:t>
      </w:r>
      <w:r>
        <w:t>he</w:t>
      </w:r>
      <w:r w:rsidRPr="00972714">
        <w:t xml:space="preserve"> </w:t>
      </w:r>
      <w:r>
        <w:t xml:space="preserve">Financial Reporting Operations Framework (FROF) serves </w:t>
      </w:r>
      <w:r w:rsidRPr="00972714">
        <w:t xml:space="preserve">to </w:t>
      </w:r>
      <w:r>
        <w:t>assist</w:t>
      </w:r>
      <w:r w:rsidRPr="00972714">
        <w:t xml:space="preserve"> Victorian </w:t>
      </w:r>
      <w:r>
        <w:t>Government Departments, by providing supporting information and guidance on the financial data submission requirements outlined in Department of Treasury and Finance Information Requests (DTFIRs)</w:t>
      </w:r>
      <w:r w:rsidR="00504EE7">
        <w:t>,</w:t>
      </w:r>
      <w:r>
        <w:t xml:space="preserve"> and specific technical guidance to assist accounting and reporting practices.</w:t>
      </w:r>
    </w:p>
    <w:p w:rsidR="005476DA" w:rsidRDefault="00BF6584" w:rsidP="0060329E">
      <w:r w:rsidRPr="005F75A6">
        <w:t xml:space="preserve">The </w:t>
      </w:r>
      <w:r>
        <w:t xml:space="preserve">FROF </w:t>
      </w:r>
      <w:r w:rsidRPr="005F75A6">
        <w:t xml:space="preserve">includes mandatory requirements for Departments </w:t>
      </w:r>
      <w:r>
        <w:t xml:space="preserve">on </w:t>
      </w:r>
      <w:r w:rsidRPr="005F75A6">
        <w:t xml:space="preserve">matters </w:t>
      </w:r>
      <w:r>
        <w:t>including</w:t>
      </w:r>
      <w:r>
        <w:rPr>
          <w:b/>
        </w:rPr>
        <w:t xml:space="preserve"> </w:t>
      </w:r>
      <w:r w:rsidRPr="004C07C4">
        <w:t>financial reporting requirements, specific accounting issues and machinery of government changes. It also includes extensive guidance material.</w:t>
      </w:r>
    </w:p>
    <w:p w:rsidR="005476DA" w:rsidRDefault="005476DA" w:rsidP="0060329E">
      <w:pPr>
        <w:pStyle w:val="Heading2"/>
      </w:pPr>
      <w:bookmarkStart w:id="5" w:name="_Toc445459709"/>
      <w:bookmarkStart w:id="6" w:name="_Toc476910308"/>
      <w:r>
        <w:t>Legal status</w:t>
      </w:r>
      <w:bookmarkEnd w:id="5"/>
      <w:bookmarkEnd w:id="6"/>
    </w:p>
    <w:p w:rsidR="005476DA" w:rsidRDefault="00BF6584" w:rsidP="0060329E">
      <w:r>
        <w:t xml:space="preserve">The FROF is issued by the Deputy Secretary, Budget and Finance Division at the Department of Treasury and Finance (DTF), and mandated for Departments by direction of the Minister for Finance in the </w:t>
      </w:r>
      <w:r w:rsidRPr="007C5620">
        <w:rPr>
          <w:i/>
        </w:rPr>
        <w:t>Standing Directions of the Minister for Finance 2016</w:t>
      </w:r>
      <w:r>
        <w:t xml:space="preserve"> (Standing Directions).</w:t>
      </w:r>
      <w:r>
        <w:rPr>
          <w:rStyle w:val="FootnoteReference"/>
        </w:rPr>
        <w:footnoteReference w:id="1"/>
      </w:r>
    </w:p>
    <w:p w:rsidR="00BF6584" w:rsidRDefault="00BF6584" w:rsidP="0060329E">
      <w:r>
        <w:t>The following diagram illustrates where the FROF fits into the broader financial management framework for Victorian public sector agencies:</w:t>
      </w:r>
    </w:p>
    <w:p w:rsidR="000E2696" w:rsidRPr="00BF6584" w:rsidRDefault="00BF6584" w:rsidP="00BF6584">
      <w:pPr>
        <w:pStyle w:val="Caption"/>
        <w:ind w:left="0"/>
        <w:rPr>
          <w:rFonts w:eastAsiaTheme="minorHAnsi"/>
        </w:rPr>
      </w:pPr>
      <w:r w:rsidRPr="00EE1A45">
        <w:t xml:space="preserve">Figure </w:t>
      </w:r>
      <w:r w:rsidR="00E41273">
        <w:fldChar w:fldCharType="begin"/>
      </w:r>
      <w:r w:rsidR="00E41273">
        <w:instrText xml:space="preserve"> SEQ Figure \* ARABIC </w:instrText>
      </w:r>
      <w:r w:rsidR="00E41273">
        <w:fldChar w:fldCharType="separate"/>
      </w:r>
      <w:r w:rsidR="00D5447F">
        <w:rPr>
          <w:noProof/>
        </w:rPr>
        <w:t>1</w:t>
      </w:r>
      <w:r w:rsidR="00E41273">
        <w:rPr>
          <w:noProof/>
        </w:rPr>
        <w:fldChar w:fldCharType="end"/>
      </w:r>
      <w:r w:rsidRPr="00EE1A45">
        <w:t xml:space="preserve">: The </w:t>
      </w:r>
      <w:r>
        <w:t>Financial Reporting</w:t>
      </w:r>
      <w:r w:rsidRPr="00EE1A45">
        <w:t xml:space="preserve"> Operations Framework within Victoria's Financial Management Framework</w:t>
      </w:r>
    </w:p>
    <w:p w:rsidR="005476DA" w:rsidRDefault="000E2696" w:rsidP="000E2696">
      <w:pPr>
        <w:pStyle w:val="NormalIndent"/>
      </w:pPr>
      <w:r>
        <w:rPr>
          <w:noProof/>
        </w:rPr>
        <mc:AlternateContent>
          <mc:Choice Requires="wpg">
            <w:drawing>
              <wp:inline distT="0" distB="0" distL="0" distR="0" wp14:anchorId="4BCED483" wp14:editId="58BB72EA">
                <wp:extent cx="5084064" cy="3127248"/>
                <wp:effectExtent l="0" t="0" r="2540" b="0"/>
                <wp:docPr id="31" name="Group 31"/>
                <wp:cNvGraphicFramePr/>
                <a:graphic xmlns:a="http://schemas.openxmlformats.org/drawingml/2006/main">
                  <a:graphicData uri="http://schemas.microsoft.com/office/word/2010/wordprocessingGroup">
                    <wpg:wgp>
                      <wpg:cNvGrpSpPr/>
                      <wpg:grpSpPr>
                        <a:xfrm>
                          <a:off x="0" y="0"/>
                          <a:ext cx="5084064" cy="3127248"/>
                          <a:chOff x="0" y="0"/>
                          <a:chExt cx="5084422" cy="3130343"/>
                        </a:xfrm>
                      </wpg:grpSpPr>
                      <wps:wsp>
                        <wps:cNvPr id="29" name="Rectangle 28"/>
                        <wps:cNvSpPr/>
                        <wps:spPr>
                          <a:xfrm>
                            <a:off x="0" y="0"/>
                            <a:ext cx="5084422" cy="3130343"/>
                          </a:xfrm>
                          <a:prstGeom prst="rect">
                            <a:avLst/>
                          </a:prstGeom>
                          <a:solidFill>
                            <a:schemeClr val="accent1"/>
                          </a:solidFill>
                          <a:ln>
                            <a:noFill/>
                          </a:ln>
                          <a:effectLst/>
                        </wps:spPr>
                        <wps:style>
                          <a:lnRef idx="1">
                            <a:schemeClr val="accent2"/>
                          </a:lnRef>
                          <a:fillRef idx="2">
                            <a:schemeClr val="accent2"/>
                          </a:fillRef>
                          <a:effectRef idx="1">
                            <a:schemeClr val="accent2"/>
                          </a:effectRef>
                          <a:fontRef idx="minor">
                            <a:schemeClr val="dk1"/>
                          </a:fontRef>
                        </wps:style>
                        <wps:bodyPr rtlCol="0" anchor="ctr"/>
                      </wps:wsp>
                      <wps:wsp>
                        <wps:cNvPr id="12" name="Rectangle 11"/>
                        <wps:cNvSpPr/>
                        <wps:spPr>
                          <a:xfrm>
                            <a:off x="3450567" y="2286000"/>
                            <a:ext cx="1376536" cy="633550"/>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wps:txbx>
                        <wps:bodyPr rtlCol="0" anchor="ctr"/>
                      </wps:wsp>
                      <wps:wsp>
                        <wps:cNvPr id="15" name="Rectangle 14"/>
                        <wps:cNvSpPr/>
                        <wps:spPr>
                          <a:xfrm>
                            <a:off x="448574" y="1181819"/>
                            <a:ext cx="18000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(FMA s8)</w:t>
                              </w:r>
                            </w:p>
                          </w:txbxContent>
                        </wps:txbx>
                        <wps:bodyPr rtlCol="0" anchor="ctr" anchorCtr="0"/>
                      </wps:wsp>
                      <wps:wsp>
                        <wps:cNvPr id="16" name="Rectangle 15"/>
                        <wps:cNvSpPr/>
                        <wps:spPr>
                          <a:xfrm>
                            <a:off x="1224951" y="129397"/>
                            <a:ext cx="2634133" cy="432048"/>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wps:txbx>
                        <wps:bodyPr rtlCol="0" anchor="ctr"/>
                      </wps:wsp>
                      <wps:wsp>
                        <wps:cNvPr id="20" name="Rectangle 17"/>
                        <wps:cNvSpPr/>
                        <wps:spPr>
                          <a:xfrm>
                            <a:off x="2829465" y="1181819"/>
                            <a:ext cx="18002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wps:txbx>
                        <wps:bodyPr rtlCol="0" anchor="ctr" anchorCtr="0"/>
                      </wps:wsp>
                      <wps:wsp>
                        <wps:cNvPr id="22" name="Elbow Connector 18"/>
                        <wps:cNvCnPr/>
                        <wps:spPr>
                          <a:xfrm rot="16200000" flipH="1">
                            <a:off x="2820839" y="276045"/>
                            <a:ext cx="621216" cy="119101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3" name="Elbow Connector 19"/>
                        <wps:cNvCnPr/>
                        <wps:spPr>
                          <a:xfrm rot="5400000">
                            <a:off x="1630393" y="276045"/>
                            <a:ext cx="621216" cy="1189555"/>
                          </a:xfrm>
                          <a:prstGeom prst="bentConnector3">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4" name="Rectangle 22"/>
                        <wps:cNvSpPr/>
                        <wps:spPr>
                          <a:xfrm>
                            <a:off x="1915065" y="2286000"/>
                            <a:ext cx="1237177" cy="633550"/>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wps:txbx>
                        <wps:bodyPr rtlCol="0" anchor="ctr" anchorCtr="0"/>
                      </wps:wsp>
                      <wps:wsp>
                        <wps:cNvPr id="26" name="Rectangle 23"/>
                        <wps:cNvSpPr/>
                        <wps:spPr>
                          <a:xfrm>
                            <a:off x="250167" y="2286000"/>
                            <a:ext cx="1376536" cy="633550"/>
                          </a:xfrm>
                          <a:prstGeom prst="rect">
                            <a:avLst/>
                          </a:prstGeom>
                          <a:solidFill>
                            <a:schemeClr val="accent6">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wps:txbx>
                        <wps:bodyPr rtlCol="0" anchor="ctr" anchorCtr="0"/>
                      </wps:wsp>
                      <wps:wsp>
                        <wps:cNvPr id="25" name="Elbow Connector 24"/>
                        <wps:cNvCnPr/>
                        <wps:spPr>
                          <a:xfrm rot="16200000" flipH="1">
                            <a:off x="1673525" y="1414732"/>
                            <a:ext cx="535160" cy="118850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7" name="Elbow Connector 25"/>
                        <wps:cNvCnPr/>
                        <wps:spPr>
                          <a:xfrm rot="5400000">
                            <a:off x="871268" y="1811548"/>
                            <a:ext cx="535160" cy="41133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30" name="Elbow Connector 26"/>
                        <wps:cNvCnPr/>
                        <wps:spPr>
                          <a:xfrm rot="16200000" flipH="1">
                            <a:off x="2475782" y="612475"/>
                            <a:ext cx="535160" cy="278834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1" o:spid="_x0000_s1026" style="width:400.3pt;height:246.25pt;mso-position-horizontal-relative:char;mso-position-vertical-relative:line" coordsize="50844,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">
                <v:rect id="Rectangle 28" o:spid="_x0000_s1027" style="position:absolute;width:50844;height:3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fBcEA&#10;AADbAAAADwAAAGRycy9kb3ducmV2LnhtbESP0YrCMBRE3wX/IVxh3zS1LKLVKCIq66PWD7g217bY&#10;3NQm1u7fG0HwcZiZM8xi1ZlKtNS40rKC8SgCQZxZXXKu4JzuhlMQziNrrCyTgn9ysFr2ewtMtH3y&#10;kdqTz0WAsEtQQeF9nUjpsoIMupGtiYN3tY1BH2STS93gM8BNJeMomkiDJYeFAmvaFJTdTg+jgH/z&#10;aXpvo7jbXyb73SE+r6/3rVI/g249B+Gp89/wp/2nFcQz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cnwXBAAAA2wAAAA8AAAAAAAAAAAAAAAAAmAIAAGRycy9kb3du&#10;cmV2LnhtbFBLBQYAAAAABAAEAPUAAACGAwAAAAA=&#10;" fillcolor="#0063a6 [3204]" stroked="f"/>
                <v:rect id="Rectangle 11" o:spid="_x0000_s1028" style="position:absolute;left:34505;top:22860;width:13766;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Em78A&#10;AADbAAAADwAAAGRycy9kb3ducmV2LnhtbERPS4vCMBC+L/gfwgheFk0UEa1GEWGhRx972OPQjG2x&#10;mZQk2q6/3ggLe5uP7zmbXW8b8SAfascaphMFgrhwpuZSw/fla7wEESKywcYxafilALvt4GODmXEd&#10;n+hxjqVIIRwy1FDF2GZShqIii2HiWuLEXZ23GBP0pTQeuxRuGzlTaiEt1pwaKmzpUFFxO9+thifW&#10;B5+r/IeD+jzOeVXe59RpPRr2+zWISH38F/+5c5Pmz+D9Szp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1oSbvwAAANsAAAAPAAAAAAAAAAAAAAAAAJgCAABkcnMvZG93bnJl&#10;di54bWxQSwUGAAAAAAQABAD1AAAAhAMAAAAA&#10;" fillcolor="#e3ebf4 [662]" stroked="f">
                  <v:textbo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v:textbox>
                </v:rect>
                <v:rect id="Rectangle 14" o:spid="_x0000_s1029" style="position:absolute;left:4485;top:11818;width:18000;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c78AA&#10;AADbAAAADwAAAGRycy9kb3ducmV2LnhtbERPTWvCQBC9C/6HZYRepO4qKjV1DSIIOba2B49DdkxC&#10;s7Nhd2PS/vpuoeBtHu9z9vloW3EnHxrHGpYLBYK4dKbhSsPnx/n5BUSIyAZbx6ThmwLkh+lkj5lx&#10;A7/T/RIrkUI4ZKihjrHLpAxlTRbDwnXEibs5bzEm6CtpPA4p3LZypdRWWmw4NdTY0amm8uvSWw0/&#10;2Jx8oYorBzV/W/Ou6tc0aP00G4+vICKN8SH+dxcmzd/A3y/p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8c78AAAADbAAAADwAAAAAAAAAAAAAAAACYAgAAZHJzL2Rvd25y&#10;ZXYueG1sUEsFBgAAAAAEAAQA9QAAAIUDAAAAAA==&#10;" fillcolor="#e3ebf4 [662]" stroked="f">
                  <v:textbo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(FMA s8)</w:t>
                        </w:r>
                      </w:p>
                    </w:txbxContent>
                  </v:textbox>
                </v:rect>
                <v:rect id="Rectangle 15" o:spid="_x0000_s1030" style="position:absolute;left:12249;top:1293;width:2634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CmL8A&#10;AADbAAAADwAAAGRycy9kb3ducmV2LnhtbERPTYvCMBC9L/gfwgheFk0UEa1GEWGhx9X14HFoxrbY&#10;TEoSbddfbxaEvc3jfc5m19tGPMiH2rGG6USBIC6cqbnUcP75Gi9BhIhssHFMGn4pwG47+NhgZlzH&#10;R3qcYilSCIcMNVQxtpmUoajIYpi4ljhxV+ctxgR9KY3HLoXbRs6UWkiLNaeGCls6VFTcTner4Yn1&#10;wecqv3BQn99zXpX3OXVaj4b9fg0iUh//xW93btL8Bfz9kg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YKYvwAAANsAAAAPAAAAAAAAAAAAAAAAAJgCAABkcnMvZG93bnJl&#10;di54bWxQSwUGAAAAAAQABAD1AAAAhAMAAAAA&#10;" fillcolor="#e3ebf4 [662]" stroked="f">
                  <v:textbox>
                    <w:txbxContent>
                      <w:p w:rsidR="008827BD" w:rsidRDefault="008827BD" w:rsidP="000E2696">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v:textbox>
                </v:rect>
                <v:rect id="Rectangle 17" o:spid="_x0000_s1031" style="position:absolute;left:28294;top:11818;width:18002;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1yr8A&#10;AADbAAAADwAAAGRycy9kb3ducmV2LnhtbERPz2vCMBS+D/wfwhvsMjSZyNDatIgw6HFzHjw+mmdb&#10;1ryUJLWdf705DHb8+H7n5Wx7cSMfOsca3lYKBHHtTMeNhvP3x3ILIkRkg71j0vBLAcpi8ZRjZtzE&#10;X3Q7xUakEA4ZamhjHDIpQ92SxbByA3Hirs5bjAn6RhqPUwq3vVwr9S4tdpwaWhzo2FL9cxqthjt2&#10;R1+p6sJBvX5ueNeMG5q0fnmeD3sQkeb4L/5zV0bDOq1PX9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HXKvwAAANsAAAAPAAAAAAAAAAAAAAAAAJgCAABkcnMvZG93bnJl&#10;di54bWxQSwUGAAAAAAQABAD1AAAAhAMAAAAA&#10;" fillcolor="#e3ebf4 [662]" stroked="f">
                  <v:textbo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32" type="#_x0000_t34" style="position:absolute;left:28208;top:2760;width:6212;height:119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fcMQAAADbAAAADwAAAGRycy9kb3ducmV2LnhtbESPQUvDQBSE74L/YXmCN7sxBy2xmyIF&#10;wUKhNSri7ZF9yQazb2P2tU3+vSsIHoeZ+YZZrSffqxONsQts4HaRgSKug+24NfD2+nSzBBUF2WIf&#10;mAzMFGFdXl6ssLDhzC90qqRVCcKxQANOZCi0jrUjj3ERBuLkNWH0KEmOrbYjnhPc9zrPsjvtseO0&#10;4HCgjaP6qzp6A/vhe/ux22Wz4PvhvtksK/cpszHXV9PjAyihSf7Df+1nayDP4fdL+gG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19wxAAAANsAAAAPAAAAAAAAAAAA&#10;AAAAAKECAABkcnMvZG93bnJldi54bWxQSwUGAAAAAAQABAD5AAAAkgMAAAAA&#10;" strokecolor="white [3212]">
                  <v:stroke endarrow="classic"/>
                </v:shape>
                <v:shape id="Elbow Connector 19" o:spid="_x0000_s1033" type="#_x0000_t34" style="position:absolute;left:16304;top:2760;width:6212;height:118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PCcYAAADbAAAADwAAAGRycy9kb3ducmV2LnhtbESPQWvCQBSE7wX/w/IKvRTdqEUkdRNE&#10;KRR7asxBb8/saxKafRuz2xj99d2C0OMwM98wq3Qwjeipc7VlBdNJBIK4sLrmUkG+fxsvQTiPrLGx&#10;TAqu5CBNRg8rjLW98Cf1mS9FgLCLUUHlfRtL6YqKDLqJbYmD92U7gz7IrpS6w0uAm0bOomghDdYc&#10;FipsaVNR8Z39GAWnuufs+XDNty/N8SyLj932tt4p9fQ4rF9BeBr8f/jeftcKZn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XDwnGAAAA2wAAAA8AAAAAAAAA&#10;AAAAAAAAoQIAAGRycy9kb3ducmV2LnhtbFBLBQYAAAAABAAEAPkAAACUAwAAAAA=&#10;" strokecolor="white [3212]">
                  <v:stroke endarrow="classic"/>
                </v:shape>
                <v:rect id="Rectangle 22" o:spid="_x0000_s1034" style="position:absolute;left:19150;top:22860;width:12372;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zycIA&#10;AADbAAAADwAAAGRycy9kb3ducmV2LnhtbESPzWrDMBCE74W8g9hALyWRGkxonSimBAo+5qeHHhdr&#10;Y5tYKyPJsdunjwKFHoeZ+YbZFpPtxI18aB1reF0qEMSVMy3XGr7On4s3ECEiG+wck4YfClDsZk9b&#10;zI0b+Ui3U6xFgnDIUUMTY59LGaqGLIal64mTd3HeYkzS19J4HBPcdnKl1FpabDktNNjTvqHqehqs&#10;hl9s975U5TcH9XLI+L0eMhq1fp5PHxsQkab4H/5rl0bDKoPHl/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3PJwgAAANsAAAAPAAAAAAAAAAAAAAAAAJgCAABkcnMvZG93&#10;bnJldi54bWxQSwUGAAAAAAQABAD1AAAAhwMAAAAA&#10;" fillcolor="#e3ebf4 [662]" stroked="f">
                  <v:textbo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v:textbox>
                </v:rect>
                <v:rect id="Rectangle 23" o:spid="_x0000_s1035" style="position:absolute;left:2501;top:22860;width:13766;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BfMQA&#10;AADbAAAADwAAAGRycy9kb3ducmV2LnhtbESPQWvCQBSE70L/w/IKvUjd6EFC6ia0RWmRXozB8zP7&#10;TEKzb8PuNqb/visUPA4z8w2zKSbTi5Gc7ywrWC4SEMS11R03Cqrj7jkF4QOyxt4yKfglD0X+MNtg&#10;pu2VDzSWoRERwj5DBW0IQyalr1sy6Bd2II7exTqDIUrXSO3wGuGml6skWUuDHceFFgd6b6n+Ln+M&#10;gnQb5o1P93J4G08f+LU7V5VzSj09Tq8vIAJN4R7+b39qBas13L7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rgXzEAAAA2wAAAA8AAAAAAAAAAAAAAAAAmAIAAGRycy9k&#10;b3ducmV2LnhtbFBLBQYAAAAABAAEAPUAAACJAwAAAAA=&#10;" fillcolor="#efcccc [665]" stroked="f">
                  <v:textbox>
                    <w:txbxContent>
                      <w:p w:rsidR="008827BD" w:rsidRDefault="008827BD" w:rsidP="000E2696">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v:textbox>
                </v:rect>
                <v:shape id="Elbow Connector 24" o:spid="_x0000_s1036" type="#_x0000_t34" style="position:absolute;left:16735;top:14147;width:5351;height:118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LHBMUAAADbAAAADwAAAGRycy9kb3ducmV2LnhtbESPUUvDQBCE34X+h2MLvtlLC9USey1S&#10;KFgoaKMivi25bS6Y24u5tU3+vVcQ+jjMzDfMct37Rp2oi3VgA9NJBoq4DLbmysD72/ZuASoKssUm&#10;MBkYKMJ6NbpZYm7DmQ90KqRSCcIxRwNOpM21jqUjj3ESWuLkHUPnUZLsKm07PCe4b/Qsy+61x5rT&#10;gsOWNo7K7+LXG3hpf3af+302CH68Phw3i8J9yWDM7bh/egQl1Ms1/N9+tgZmc7h8ST9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LHBMUAAADbAAAADwAAAAAAAAAA&#10;AAAAAAChAgAAZHJzL2Rvd25yZXYueG1sUEsFBgAAAAAEAAQA+QAAAJMDAAAAAA==&#10;" strokecolor="white [3212]">
                  <v:stroke endarrow="classic"/>
                </v:shape>
                <v:shape id="Elbow Connector 25" o:spid="_x0000_s1037" type="#_x0000_t34" style="position:absolute;left:8712;top:18115;width:5351;height:4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JCsYAAADbAAAADwAAAGRycy9kb3ducmV2LnhtbESPQWvCQBSE7wX/w/IKvRTdKFIldRNE&#10;KRR7asxBb8/saxKafRuz2xj99d2C0OMwM98wq3Qwjeipc7VlBdNJBIK4sLrmUkG+fxsvQTiPrLGx&#10;TAqu5CBNRg8rjLW98Cf1mS9FgLCLUUHlfRtL6YqKDLqJbYmD92U7gz7IrpS6w0uAm0bOouhFGqw5&#10;LFTY0qai4jv7MQpOdc/Z8+Gab+fN8SyLj932tt4p9fQ4rF9BeBr8f/jeftcKZgv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sCQrGAAAA2wAAAA8AAAAAAAAA&#10;AAAAAAAAoQIAAGRycy9kb3ducmV2LnhtbFBLBQYAAAAABAAEAPkAAACUAwAAAAA=&#10;" strokecolor="white [3212]">
                  <v:stroke endarrow="classic"/>
                </v:shape>
                <v:shape id="Elbow Connector 26" o:spid="_x0000_s1038" type="#_x0000_t34" style="position:absolute;left:24757;top:6124;width:5352;height:278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yQcIAAADbAAAADwAAAGRycy9kb3ducmV2LnhtbERPTWvCQBC9F/wPywi91Y0ttBJdpQiC&#10;glCbthRvQ3bMhmZn0+xUk3/fPQgeH+97sep9o87UxTqwgekkA0VcBltzZeDzY/MwAxUF2WITmAwM&#10;FGG1HN0tMLfhwu90LqRSKYRjjgacSJtrHUtHHuMktMSJO4XOoyTYVdp2eEnhvtGPWfasPdacGhy2&#10;tHZU/hR/3sBb+7v73u+zQfDr8HJazwp3lMGY+3H/Ogcl1MtNfHVvrYGntD59ST9A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yQcIAAADbAAAADwAAAAAAAAAAAAAA&#10;AAChAgAAZHJzL2Rvd25yZXYueG1sUEsFBgAAAAAEAAQA+QAAAJADAAAAAA==&#10;" strokecolor="white [3212]">
                  <v:stroke endarrow="classic"/>
                </v:shape>
                <w10:anchorlock/>
              </v:group>
            </w:pict>
          </mc:Fallback>
        </mc:AlternateContent>
      </w:r>
    </w:p>
    <w:p w:rsidR="005476DA" w:rsidRDefault="00BF6584" w:rsidP="0060329E">
      <w:pPr>
        <w:pStyle w:val="Heading2"/>
      </w:pPr>
      <w:bookmarkStart w:id="7" w:name="_Toc445470187"/>
      <w:bookmarkStart w:id="8" w:name="_Toc476910309"/>
      <w:r>
        <w:lastRenderedPageBreak/>
        <w:t>Application and compliance</w:t>
      </w:r>
      <w:bookmarkEnd w:id="7"/>
      <w:bookmarkEnd w:id="8"/>
    </w:p>
    <w:p w:rsidR="00BF6584" w:rsidRDefault="00BF6584" w:rsidP="00BF6584">
      <w:pPr>
        <w:rPr>
          <w:lang w:eastAsia="en-US"/>
        </w:rPr>
      </w:pPr>
      <w:r>
        <w:rPr>
          <w:lang w:eastAsia="en-US"/>
        </w:rPr>
        <w:t>The FROF applies to all Victorian Departments.</w:t>
      </w:r>
      <w:r>
        <w:rPr>
          <w:rStyle w:val="FootnoteReference"/>
          <w:lang w:eastAsia="en-US"/>
        </w:rPr>
        <w:footnoteReference w:id="2"/>
      </w:r>
      <w:r>
        <w:rPr>
          <w:lang w:eastAsia="en-US"/>
        </w:rPr>
        <w:t xml:space="preserve"> </w:t>
      </w:r>
    </w:p>
    <w:p w:rsidR="00BF6584" w:rsidRDefault="00BF6584" w:rsidP="00BF6584">
      <w:pPr>
        <w:rPr>
          <w:lang w:eastAsia="en-US"/>
        </w:rPr>
      </w:pPr>
      <w:r>
        <w:rPr>
          <w:lang w:eastAsia="en-US"/>
        </w:rPr>
        <w:t>The Accountable Officer of each Department must ensure that the FROF is applied by the Department.</w:t>
      </w:r>
      <w:r>
        <w:rPr>
          <w:rStyle w:val="FootnoteReference"/>
          <w:lang w:eastAsia="en-US"/>
        </w:rPr>
        <w:footnoteReference w:id="3"/>
      </w:r>
      <w:r>
        <w:rPr>
          <w:lang w:eastAsia="en-US"/>
        </w:rPr>
        <w:t xml:space="preserve"> </w:t>
      </w:r>
    </w:p>
    <w:p w:rsidR="00BF6584" w:rsidRDefault="00BF6584" w:rsidP="00BF6584">
      <w:pPr>
        <w:rPr>
          <w:lang w:eastAsia="en-US"/>
        </w:rPr>
      </w:pPr>
      <w:r>
        <w:rPr>
          <w:lang w:eastAsia="en-US"/>
        </w:rPr>
        <w:t>Applying the FROF requires</w:t>
      </w:r>
      <w:r w:rsidRPr="00FB4003">
        <w:rPr>
          <w:lang w:eastAsia="en-US"/>
        </w:rPr>
        <w:t xml:space="preserve"> comply</w:t>
      </w:r>
      <w:r>
        <w:rPr>
          <w:lang w:eastAsia="en-US"/>
        </w:rPr>
        <w:t>ing</w:t>
      </w:r>
      <w:r w:rsidRPr="00FB4003">
        <w:rPr>
          <w:lang w:eastAsia="en-US"/>
        </w:rPr>
        <w:t xml:space="preserve"> with </w:t>
      </w:r>
      <w:r>
        <w:rPr>
          <w:lang w:eastAsia="en-US"/>
        </w:rPr>
        <w:t>its</w:t>
      </w:r>
      <w:r w:rsidRPr="00FB4003">
        <w:rPr>
          <w:lang w:eastAsia="en-US"/>
        </w:rPr>
        <w:t xml:space="preserve"> mandatory requirements</w:t>
      </w:r>
      <w:r>
        <w:rPr>
          <w:lang w:eastAsia="en-US"/>
        </w:rPr>
        <w:t xml:space="preserve"> (see the information provided under ‘Structure’ on the following page). </w:t>
      </w:r>
    </w:p>
    <w:p w:rsidR="00BF6584" w:rsidRDefault="00BF6584" w:rsidP="00BF6584">
      <w:pPr>
        <w:rPr>
          <w:lang w:eastAsia="en-US"/>
        </w:rPr>
      </w:pPr>
      <w:r>
        <w:rPr>
          <w:lang w:eastAsia="en-US"/>
        </w:rPr>
        <w:t xml:space="preserve">Departments are subject to the compliance requirements set out in the Standing Directions in relation to the FROF. This includes public attestation of compliance in annual reports from 2017-18. See the Standing Directions for more information, and particularly Direction 5.1. </w:t>
      </w:r>
    </w:p>
    <w:p w:rsidR="00BF6584" w:rsidRDefault="00BF6584" w:rsidP="00BF6584">
      <w:pPr>
        <w:rPr>
          <w:lang w:eastAsia="en-US"/>
        </w:rPr>
      </w:pPr>
      <w:r w:rsidRPr="0045413F">
        <w:rPr>
          <w:lang w:eastAsia="en-US"/>
        </w:rPr>
        <w:t xml:space="preserve">The </w:t>
      </w:r>
      <w:r w:rsidR="00C35140" w:rsidRPr="00413AB9">
        <w:rPr>
          <w:i/>
          <w:lang w:eastAsia="en-US"/>
        </w:rPr>
        <w:t>Financial Management Act 1994</w:t>
      </w:r>
      <w:r w:rsidR="00C35140">
        <w:rPr>
          <w:lang w:eastAsia="en-US"/>
        </w:rPr>
        <w:t xml:space="preserve"> (</w:t>
      </w:r>
      <w:r>
        <w:rPr>
          <w:lang w:eastAsia="en-US"/>
        </w:rPr>
        <w:t>FMA</w:t>
      </w:r>
      <w:r w:rsidR="00C35140">
        <w:rPr>
          <w:lang w:eastAsia="en-US"/>
        </w:rPr>
        <w:t>)</w:t>
      </w:r>
      <w:r w:rsidRPr="0045413F">
        <w:rPr>
          <w:lang w:eastAsia="en-US"/>
        </w:rPr>
        <w:t xml:space="preserve"> requires Departments and some Victorian public sector entities to comply with requirements in relation to financial management. While the Standin</w:t>
      </w:r>
      <w:r>
        <w:rPr>
          <w:lang w:eastAsia="en-US"/>
        </w:rPr>
        <w:t>g Directions only mandate the FR</w:t>
      </w:r>
      <w:r w:rsidRPr="0045413F">
        <w:rPr>
          <w:lang w:eastAsia="en-US"/>
        </w:rPr>
        <w:t xml:space="preserve">OF for Departments, other entities subject to aspects of the FMA are expected to comply with the related requirements in the </w:t>
      </w:r>
      <w:r>
        <w:rPr>
          <w:lang w:eastAsia="en-US"/>
        </w:rPr>
        <w:t>FR</w:t>
      </w:r>
      <w:r w:rsidRPr="0045413F">
        <w:rPr>
          <w:lang w:eastAsia="en-US"/>
        </w:rPr>
        <w:t>OF</w:t>
      </w:r>
      <w:r>
        <w:rPr>
          <w:lang w:eastAsia="en-US"/>
        </w:rPr>
        <w:t xml:space="preserve">. </w:t>
      </w:r>
      <w:r>
        <w:rPr>
          <w:color w:val="000000" w:themeColor="text1"/>
          <w:lang w:eastAsia="en-US"/>
        </w:rPr>
        <w:t xml:space="preserve">For example, an agency that </w:t>
      </w:r>
      <w:r w:rsidRPr="00D356DA">
        <w:rPr>
          <w:color w:val="000000" w:themeColor="text1"/>
          <w:lang w:eastAsia="en-US"/>
        </w:rPr>
        <w:t xml:space="preserve">has motor vehicle leases through </w:t>
      </w:r>
      <w:proofErr w:type="spellStart"/>
      <w:r w:rsidRPr="00D356DA">
        <w:rPr>
          <w:color w:val="000000" w:themeColor="text1"/>
          <w:lang w:eastAsia="en-US"/>
        </w:rPr>
        <w:t>VicFleet</w:t>
      </w:r>
      <w:proofErr w:type="spellEnd"/>
      <w:r w:rsidRPr="00D356DA">
        <w:rPr>
          <w:color w:val="000000" w:themeColor="text1"/>
          <w:lang w:eastAsia="en-US"/>
        </w:rPr>
        <w:t xml:space="preserve"> should comply </w:t>
      </w:r>
      <w:r w:rsidRPr="00013786">
        <w:rPr>
          <w:color w:val="000000" w:themeColor="text1"/>
          <w:lang w:eastAsia="en-US"/>
        </w:rPr>
        <w:t xml:space="preserve">with FROF </w:t>
      </w:r>
      <w:r w:rsidR="001E382F" w:rsidRPr="00013786">
        <w:rPr>
          <w:color w:val="000000" w:themeColor="text1"/>
          <w:lang w:eastAsia="en-US"/>
        </w:rPr>
        <w:t>3</w:t>
      </w:r>
      <w:r w:rsidRPr="00013786">
        <w:rPr>
          <w:color w:val="000000" w:themeColor="text1"/>
          <w:lang w:eastAsia="en-US"/>
        </w:rPr>
        <w:t>.4</w:t>
      </w:r>
      <w:r w:rsidRPr="00D356DA">
        <w:rPr>
          <w:color w:val="000000" w:themeColor="text1"/>
          <w:lang w:eastAsia="en-US"/>
        </w:rPr>
        <w:t xml:space="preserve"> (</w:t>
      </w:r>
      <w:r w:rsidRPr="00D356DA">
        <w:rPr>
          <w:lang w:eastAsia="en-US"/>
        </w:rPr>
        <w:t>Accounting for Motor Vehicle Leasing</w:t>
      </w:r>
      <w:r w:rsidRPr="009F2913">
        <w:rPr>
          <w:lang w:eastAsia="en-US"/>
        </w:rPr>
        <w:t>).</w:t>
      </w:r>
      <w:r w:rsidRPr="0045413F">
        <w:rPr>
          <w:lang w:eastAsia="en-US"/>
        </w:rPr>
        <w:t xml:space="preserve"> The expectation is that agencies using public resources should manage and account for those resources transparently and, as far as possible, consistently with other agencies.</w:t>
      </w:r>
    </w:p>
    <w:p w:rsidR="00BF6584" w:rsidRDefault="00BF6584" w:rsidP="00BF6584">
      <w:pPr>
        <w:rPr>
          <w:lang w:eastAsia="en-US"/>
        </w:rPr>
      </w:pPr>
      <w:r>
        <w:rPr>
          <w:lang w:eastAsia="en-US"/>
        </w:rPr>
        <w:t>Other agencies are not bound by the FROF, but may voluntarily adopt it as relevant.</w:t>
      </w:r>
    </w:p>
    <w:p w:rsidR="005476DA" w:rsidRDefault="00BF6584" w:rsidP="0060329E">
      <w:pPr>
        <w:pStyle w:val="Heading2"/>
      </w:pPr>
      <w:bookmarkStart w:id="9" w:name="_Toc445470188"/>
      <w:bookmarkStart w:id="10" w:name="_Toc476910310"/>
      <w:r>
        <w:t>Commencement, DTF role and currency</w:t>
      </w:r>
      <w:bookmarkEnd w:id="9"/>
      <w:bookmarkEnd w:id="10"/>
    </w:p>
    <w:p w:rsidR="00BF6584" w:rsidRDefault="00967717" w:rsidP="00BF6584">
      <w:pPr>
        <w:rPr>
          <w:lang w:eastAsia="en-US"/>
        </w:rPr>
      </w:pPr>
      <w:bookmarkStart w:id="11" w:name="_Toc440958654"/>
      <w:bookmarkStart w:id="12" w:name="_Toc445459712"/>
      <w:r>
        <w:rPr>
          <w:lang w:eastAsia="en-US"/>
        </w:rPr>
        <w:t xml:space="preserve">The FROF </w:t>
      </w:r>
      <w:r w:rsidR="00D9389F">
        <w:rPr>
          <w:lang w:eastAsia="en-US"/>
        </w:rPr>
        <w:t>form</w:t>
      </w:r>
      <w:r w:rsidR="0030280A">
        <w:rPr>
          <w:lang w:eastAsia="en-US"/>
        </w:rPr>
        <w:t>al</w:t>
      </w:r>
      <w:r w:rsidR="00D9389F">
        <w:rPr>
          <w:lang w:eastAsia="en-US"/>
        </w:rPr>
        <w:t xml:space="preserve">ly </w:t>
      </w:r>
      <w:r>
        <w:rPr>
          <w:lang w:eastAsia="en-US"/>
        </w:rPr>
        <w:t>commenced</w:t>
      </w:r>
      <w:r w:rsidR="00BF6584">
        <w:rPr>
          <w:lang w:eastAsia="en-US"/>
        </w:rPr>
        <w:t xml:space="preserve"> on </w:t>
      </w:r>
      <w:r w:rsidR="00BF6584" w:rsidRPr="00BF3B80">
        <w:rPr>
          <w:lang w:eastAsia="en-US"/>
        </w:rPr>
        <w:t>1 July 2016</w:t>
      </w:r>
      <w:r w:rsidR="00BF6584">
        <w:rPr>
          <w:lang w:eastAsia="en-US"/>
        </w:rPr>
        <w:t xml:space="preserve">. </w:t>
      </w:r>
      <w:r w:rsidR="00BF3B80">
        <w:rPr>
          <w:lang w:eastAsia="en-US"/>
        </w:rPr>
        <w:t xml:space="preserve">This updated version of the FROF is effective from </w:t>
      </w:r>
      <w:r w:rsidR="00BF3B80" w:rsidRPr="00BF3B80">
        <w:rPr>
          <w:b/>
          <w:lang w:eastAsia="en-US"/>
        </w:rPr>
        <w:t>1 July 2017</w:t>
      </w:r>
      <w:r w:rsidR="00BF3B80">
        <w:rPr>
          <w:lang w:eastAsia="en-US"/>
        </w:rPr>
        <w:t>.</w:t>
      </w:r>
    </w:p>
    <w:p w:rsidR="00BF6584" w:rsidRDefault="00BF6584" w:rsidP="00BF6584">
      <w:r>
        <w:rPr>
          <w:lang w:eastAsia="en-US"/>
        </w:rPr>
        <w:t>The FROF supersede</w:t>
      </w:r>
      <w:r w:rsidR="00967717">
        <w:rPr>
          <w:lang w:eastAsia="en-US"/>
        </w:rPr>
        <w:t>d</w:t>
      </w:r>
      <w:r>
        <w:rPr>
          <w:lang w:eastAsia="en-US"/>
        </w:rPr>
        <w:t xml:space="preserve"> a number of Budget and Financial Management </w:t>
      </w:r>
      <w:proofErr w:type="spellStart"/>
      <w:r>
        <w:rPr>
          <w:lang w:eastAsia="en-US"/>
        </w:rPr>
        <w:t>Guidances</w:t>
      </w:r>
      <w:proofErr w:type="spellEnd"/>
      <w:r>
        <w:rPr>
          <w:lang w:eastAsia="en-US"/>
        </w:rPr>
        <w:t xml:space="preserve"> (BFMGs) that </w:t>
      </w:r>
      <w:r w:rsidR="00711EBD">
        <w:rPr>
          <w:lang w:eastAsia="en-US"/>
        </w:rPr>
        <w:t>had been</w:t>
      </w:r>
      <w:r>
        <w:rPr>
          <w:lang w:eastAsia="en-US"/>
        </w:rPr>
        <w:t xml:space="preserve"> issued by DTF under the </w:t>
      </w:r>
      <w:r w:rsidRPr="007C5620">
        <w:rPr>
          <w:i/>
        </w:rPr>
        <w:t xml:space="preserve">Standing Directions </w:t>
      </w:r>
      <w:r>
        <w:rPr>
          <w:i/>
        </w:rPr>
        <w:t xml:space="preserve">of the Minister for Finance 2003 </w:t>
      </w:r>
      <w:r w:rsidRPr="00FB4003">
        <w:t>(2003 Directions)</w:t>
      </w:r>
      <w:r>
        <w:rPr>
          <w:i/>
        </w:rPr>
        <w:t xml:space="preserve">. </w:t>
      </w:r>
      <w:r>
        <w:t xml:space="preserve">Those BFMGs </w:t>
      </w:r>
      <w:r w:rsidR="00967717">
        <w:t>were</w:t>
      </w:r>
      <w:r>
        <w:t xml:space="preserve"> discontinue</w:t>
      </w:r>
      <w:r w:rsidR="00967717">
        <w:t>d</w:t>
      </w:r>
      <w:r>
        <w:t xml:space="preserve"> on </w:t>
      </w:r>
      <w:r w:rsidR="00454ABB">
        <w:t>1</w:t>
      </w:r>
      <w:r>
        <w:t xml:space="preserve"> Ju</w:t>
      </w:r>
      <w:r w:rsidR="00454ABB">
        <w:t>ly</w:t>
      </w:r>
      <w:r>
        <w:t xml:space="preserve"> 2016, along with the 2003 Directions. </w:t>
      </w:r>
    </w:p>
    <w:p w:rsidR="00BF6584" w:rsidRPr="007B55B1" w:rsidRDefault="00BF6584" w:rsidP="00BF6584">
      <w:r>
        <w:t>DTF manages and implements the FROF on behalf of the Deputy Secretary, Budget and Finance Division</w:t>
      </w:r>
      <w:r w:rsidRPr="007B55B1">
        <w:t>.</w:t>
      </w:r>
      <w:r>
        <w:t xml:space="preserve"> To ask a question or provide feedback on the FROF, email </w:t>
      </w:r>
      <w:hyperlink r:id="rId26" w:history="1">
        <w:r w:rsidRPr="00B32746">
          <w:rPr>
            <w:rStyle w:val="Hyperlink"/>
          </w:rPr>
          <w:t>Financial.Frameworks@dtf.vic.gov.au</w:t>
        </w:r>
      </w:hyperlink>
      <w:r>
        <w:t xml:space="preserve">. </w:t>
      </w:r>
    </w:p>
    <w:p w:rsidR="00BF6584" w:rsidRDefault="00BF6584" w:rsidP="00BF6584">
      <w:r>
        <w:t xml:space="preserve">The FROF may be amended and re-issued from time to time. Please check the DTF website to ensure you are working with the latest version. </w:t>
      </w:r>
    </w:p>
    <w:p w:rsidR="008C452E" w:rsidRDefault="008C452E">
      <w:pPr>
        <w:spacing w:before="0" w:after="200"/>
        <w:rPr>
          <w:rFonts w:asciiTheme="majorHAnsi" w:eastAsiaTheme="majorEastAsia" w:hAnsiTheme="majorHAnsi" w:cstheme="majorBidi"/>
          <w:b/>
          <w:bCs/>
          <w:color w:val="0063A6" w:themeColor="accent1"/>
          <w:sz w:val="28"/>
          <w:szCs w:val="26"/>
        </w:rPr>
      </w:pPr>
      <w:bookmarkStart w:id="13" w:name="_Toc445470189"/>
      <w:bookmarkEnd w:id="11"/>
      <w:bookmarkEnd w:id="12"/>
      <w:r>
        <w:br w:type="page"/>
      </w:r>
    </w:p>
    <w:p w:rsidR="005476DA" w:rsidRDefault="00BF6584" w:rsidP="0060329E">
      <w:pPr>
        <w:pStyle w:val="Heading2"/>
      </w:pPr>
      <w:bookmarkStart w:id="14" w:name="_Toc476910311"/>
      <w:r>
        <w:lastRenderedPageBreak/>
        <w:t>Structure</w:t>
      </w:r>
      <w:bookmarkEnd w:id="13"/>
      <w:bookmarkEnd w:id="14"/>
    </w:p>
    <w:p w:rsidR="005476DA" w:rsidRDefault="00297111" w:rsidP="0060329E">
      <w:r>
        <w:t>Each element of the</w:t>
      </w:r>
      <w:r w:rsidR="00BF6584">
        <w:t xml:space="preserve"> FROF</w:t>
      </w:r>
      <w:r w:rsidR="00BF6584" w:rsidRPr="00726846">
        <w:t xml:space="preserve"> consists of two components</w:t>
      </w:r>
      <w:r w:rsidR="00BF6584">
        <w:t>:</w:t>
      </w:r>
    </w:p>
    <w:p w:rsidR="005476DA" w:rsidRDefault="005476DA" w:rsidP="006926C1">
      <w:pPr>
        <w:pStyle w:val="Bullet1"/>
      </w:pPr>
      <w:r>
        <w:t>mandatory</w:t>
      </w:r>
      <w:r w:rsidRPr="00726846">
        <w:t xml:space="preserve"> section</w:t>
      </w:r>
      <w:r>
        <w:t>s; and</w:t>
      </w:r>
    </w:p>
    <w:p w:rsidR="005476DA" w:rsidRDefault="005476DA" w:rsidP="006926C1">
      <w:pPr>
        <w:pStyle w:val="Bullet1"/>
      </w:pPr>
      <w:r>
        <w:t>non-mandatory guidance material.</w:t>
      </w:r>
    </w:p>
    <w:p w:rsidR="005476DA" w:rsidRDefault="00BF6584" w:rsidP="0060329E">
      <w:r>
        <w:t>This document is divided into the following chapters:</w:t>
      </w:r>
    </w:p>
    <w:p w:rsidR="005476DA" w:rsidRDefault="00BF6584" w:rsidP="006926C1">
      <w:pPr>
        <w:pStyle w:val="Numpara"/>
      </w:pPr>
      <w:r>
        <w:t>Financial reporting requirements;</w:t>
      </w:r>
    </w:p>
    <w:p w:rsidR="005476DA" w:rsidRDefault="00BF6584" w:rsidP="006926C1">
      <w:pPr>
        <w:pStyle w:val="Numpara"/>
      </w:pPr>
      <w:r>
        <w:t>Specific accounting issues; and</w:t>
      </w:r>
    </w:p>
    <w:p w:rsidR="005476DA" w:rsidRDefault="00BF6584" w:rsidP="006926C1">
      <w:pPr>
        <w:pStyle w:val="Numpara"/>
      </w:pPr>
      <w:r>
        <w:t xml:space="preserve">Machinery of </w:t>
      </w:r>
      <w:r w:rsidR="00413A48">
        <w:t>government</w:t>
      </w:r>
      <w:r>
        <w:t>.</w:t>
      </w:r>
    </w:p>
    <w:p w:rsidR="005476DA" w:rsidRDefault="00BF6584" w:rsidP="0060329E">
      <w:r>
        <w:t>Relevant attachments are also provided.</w:t>
      </w:r>
    </w:p>
    <w:p w:rsidR="005476DA" w:rsidRDefault="00BF6584" w:rsidP="0060329E">
      <w:r>
        <w:t>The chapters are presented as follows:</w:t>
      </w:r>
    </w:p>
    <w:p w:rsidR="00C92091" w:rsidRDefault="00C92091" w:rsidP="00C92091">
      <w:pPr>
        <w:pStyle w:val="NormalIndent"/>
      </w:pPr>
      <w:r w:rsidRPr="00C92091">
        <w:rPr>
          <w:noProof/>
        </w:rPr>
        <w:drawing>
          <wp:inline distT="0" distB="0" distL="0" distR="0" wp14:anchorId="015EAB81" wp14:editId="27E62ACA">
            <wp:extent cx="4468483" cy="341437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78603" cy="3422110"/>
                    </a:xfrm>
                    <a:prstGeom prst="rect">
                      <a:avLst/>
                    </a:prstGeom>
                  </pic:spPr>
                </pic:pic>
              </a:graphicData>
            </a:graphic>
          </wp:inline>
        </w:drawing>
      </w:r>
    </w:p>
    <w:p w:rsidR="008C452E" w:rsidRDefault="008C452E">
      <w:pPr>
        <w:spacing w:before="0" w:after="200"/>
        <w:rPr>
          <w:rFonts w:asciiTheme="majorHAnsi" w:eastAsiaTheme="majorEastAsia" w:hAnsiTheme="majorHAnsi" w:cstheme="majorBidi"/>
          <w:b/>
          <w:bCs/>
          <w:color w:val="201547"/>
          <w:spacing w:val="-1"/>
          <w:sz w:val="36"/>
          <w:szCs w:val="28"/>
        </w:rPr>
      </w:pPr>
      <w:bookmarkStart w:id="15" w:name="_Toc445470190"/>
      <w:r>
        <w:br w:type="page"/>
      </w:r>
    </w:p>
    <w:p w:rsidR="00BF6584" w:rsidRDefault="00BF6584" w:rsidP="00BF6584">
      <w:pPr>
        <w:pStyle w:val="Heading1"/>
      </w:pPr>
      <w:bookmarkStart w:id="16" w:name="_Toc476910312"/>
      <w:r>
        <w:lastRenderedPageBreak/>
        <w:t>Definitions</w:t>
      </w:r>
      <w:bookmarkEnd w:id="15"/>
      <w:bookmarkEnd w:id="16"/>
    </w:p>
    <w:p w:rsidR="00BF6584" w:rsidRDefault="00BF6584" w:rsidP="00BF6584">
      <w:bookmarkStart w:id="17" w:name="_Toc445459714"/>
      <w:r w:rsidRPr="00BF6584">
        <w:rPr>
          <w:b/>
        </w:rPr>
        <w:t xml:space="preserve">‘Additions to the Net Assets Base (ATNAB)’ </w:t>
      </w:r>
      <w:r>
        <w:t>– is a</w:t>
      </w:r>
      <w:r w:rsidRPr="00DD0531">
        <w:t xml:space="preserve">n appropriation which provides for an increase in the net capital base of a </w:t>
      </w:r>
      <w:r>
        <w:t>D</w:t>
      </w:r>
      <w:r w:rsidRPr="00DD0531">
        <w:t>epartment’s statement of financial position.</w:t>
      </w:r>
    </w:p>
    <w:p w:rsidR="00BF6584" w:rsidRDefault="00BF6584" w:rsidP="00BF6584">
      <w:r w:rsidRPr="00BF6584">
        <w:rPr>
          <w:b/>
          <w:iCs/>
        </w:rPr>
        <w:t xml:space="preserve">‘Administered </w:t>
      </w:r>
      <w:r w:rsidRPr="00BF6584">
        <w:rPr>
          <w:b/>
        </w:rPr>
        <w:t>item’</w:t>
      </w:r>
      <w:r>
        <w:rPr>
          <w:i/>
        </w:rPr>
        <w:t xml:space="preserve"> –</w:t>
      </w:r>
      <w:r w:rsidR="00413A48">
        <w:rPr>
          <w:i/>
        </w:rPr>
        <w:t xml:space="preserve"> </w:t>
      </w:r>
      <w:r w:rsidRPr="00731E39">
        <w:t xml:space="preserve">refers to </w:t>
      </w:r>
      <w:r>
        <w:t>an item that is not deemed a ‘Controlled item’, but is an item administered on behalf of the State. The item will generally be characterised by the relevant D</w:t>
      </w:r>
      <w:r w:rsidRPr="00731E39">
        <w:t xml:space="preserve">epartment lacking the capacity to benefit from that item in the pursuit of the </w:t>
      </w:r>
      <w:r>
        <w:t>Department’</w:t>
      </w:r>
      <w:r w:rsidRPr="00731E39">
        <w:t>s objectives</w:t>
      </w:r>
      <w:r>
        <w:t>,</w:t>
      </w:r>
      <w:r w:rsidRPr="00731E39">
        <w:t xml:space="preserve"> and </w:t>
      </w:r>
      <w:r>
        <w:t xml:space="preserve">the Department </w:t>
      </w:r>
      <w:r w:rsidRPr="00731E39">
        <w:t>lacking the capacity to deny or regulate the access of others to that benefit.</w:t>
      </w:r>
    </w:p>
    <w:p w:rsidR="00BF6584" w:rsidRPr="004F3FF5" w:rsidRDefault="00BF6584" w:rsidP="00BF6584">
      <w:pPr>
        <w:rPr>
          <w:iCs/>
        </w:rPr>
      </w:pPr>
      <w:r w:rsidRPr="00BF6584">
        <w:rPr>
          <w:b/>
          <w:iCs/>
        </w:rPr>
        <w:t>‘Appropriation’</w:t>
      </w:r>
      <w:r>
        <w:rPr>
          <w:i/>
          <w:iCs/>
        </w:rPr>
        <w:t xml:space="preserve"> –</w:t>
      </w:r>
      <w:r w:rsidR="00413A48">
        <w:rPr>
          <w:iCs/>
        </w:rPr>
        <w:t xml:space="preserve"> </w:t>
      </w:r>
      <w:r>
        <w:rPr>
          <w:iCs/>
        </w:rPr>
        <w:t xml:space="preserve">is an authority given by the Parliament to draw certain sums out of the Consolidated Fund, now or at some future point in time, for the purposes stated, up to the limit of the amount in the particular Act. </w:t>
      </w:r>
    </w:p>
    <w:p w:rsidR="00BF6584" w:rsidRDefault="00BF6584" w:rsidP="00BF6584">
      <w:pPr>
        <w:rPr>
          <w:i/>
          <w:iCs/>
        </w:rPr>
      </w:pPr>
      <w:r w:rsidRPr="00BF6584">
        <w:rPr>
          <w:b/>
          <w:iCs/>
        </w:rPr>
        <w:t>‘Assets’</w:t>
      </w:r>
      <w:r>
        <w:rPr>
          <w:i/>
          <w:iCs/>
        </w:rPr>
        <w:t xml:space="preserve"> – </w:t>
      </w:r>
      <w:r>
        <w:rPr>
          <w:iCs/>
        </w:rPr>
        <w:t>represent s</w:t>
      </w:r>
      <w:r w:rsidRPr="004F3FF5">
        <w:rPr>
          <w:iCs/>
        </w:rPr>
        <w:t>ervice</w:t>
      </w:r>
      <w:r>
        <w:rPr>
          <w:iCs/>
        </w:rPr>
        <w:t xml:space="preserve"> potential or future economic benefits controlled by an entity (e.g. a Department) as a result of past transactions or other past events. Assets may be physical (e.g. plant, equipment, buildings, trains, information technology systems) or non-physical (e.g. intellectual property, intangible assets). Assets may also be current (one year or less) or non-current</w:t>
      </w:r>
      <w:r w:rsidR="002E7931">
        <w:rPr>
          <w:iCs/>
        </w:rPr>
        <w:t xml:space="preserve"> </w:t>
      </w:r>
      <w:r w:rsidR="002E7931">
        <w:t>(having service potential that is consumed over a period of more than one year)</w:t>
      </w:r>
      <w:r>
        <w:rPr>
          <w:iCs/>
        </w:rPr>
        <w:t>.</w:t>
      </w:r>
    </w:p>
    <w:p w:rsidR="00BF6584" w:rsidRPr="004F3FF5" w:rsidRDefault="00BF6584" w:rsidP="00BF6584">
      <w:pPr>
        <w:rPr>
          <w:lang w:eastAsia="en-US"/>
        </w:rPr>
      </w:pPr>
      <w:r w:rsidRPr="00BF6584">
        <w:rPr>
          <w:b/>
          <w:lang w:eastAsia="en-US"/>
        </w:rPr>
        <w:t>‘Capital Assets Charge (CAC)</w:t>
      </w:r>
      <w:r w:rsidRPr="008359F6">
        <w:rPr>
          <w:b/>
          <w:i/>
          <w:lang w:eastAsia="en-US"/>
        </w:rPr>
        <w:t>’</w:t>
      </w:r>
      <w:r>
        <w:rPr>
          <w:lang w:eastAsia="en-US"/>
        </w:rPr>
        <w:t xml:space="preserve"> –</w:t>
      </w:r>
      <w:r w:rsidR="00413A48">
        <w:rPr>
          <w:lang w:eastAsia="en-US"/>
        </w:rPr>
        <w:t xml:space="preserve"> </w:t>
      </w:r>
      <w:r>
        <w:rPr>
          <w:lang w:eastAsia="en-US"/>
        </w:rPr>
        <w:t xml:space="preserve">is a charge levied on the written-down value of controlled non-current physical assets in a Department’s balance sheet which aims to attribute to agency outputs the opportunity cost of capital used in service delivery; and provide incentives to Departments to identify and dispose of underutilised or surplus assets in a timely manner. </w:t>
      </w:r>
    </w:p>
    <w:p w:rsidR="00BF6584" w:rsidRDefault="00BF6584" w:rsidP="00BF6584">
      <w:pPr>
        <w:rPr>
          <w:lang w:eastAsia="en-US"/>
        </w:rPr>
      </w:pPr>
      <w:r w:rsidRPr="00BF6584">
        <w:rPr>
          <w:b/>
          <w:lang w:eastAsia="en-US"/>
        </w:rPr>
        <w:t>‘Carrying amount/value’</w:t>
      </w:r>
      <w:r>
        <w:rPr>
          <w:lang w:eastAsia="en-US"/>
        </w:rPr>
        <w:t xml:space="preserve"> – is the amount/value at which an asset is recognised after deducting any accumulated depreciation and accumulated impairment losses</w:t>
      </w:r>
      <w:r w:rsidRPr="00914ABA">
        <w:rPr>
          <w:lang w:eastAsia="en-US"/>
        </w:rPr>
        <w:t>.</w:t>
      </w:r>
    </w:p>
    <w:p w:rsidR="00BF6584" w:rsidRPr="004C15E4" w:rsidRDefault="00BF6584" w:rsidP="00BF6584">
      <w:r w:rsidRPr="00BF6584">
        <w:rPr>
          <w:b/>
        </w:rPr>
        <w:t>‘Consolidated Fund’</w:t>
      </w:r>
      <w:r>
        <w:rPr>
          <w:i/>
        </w:rPr>
        <w:t xml:space="preserve"> –</w:t>
      </w:r>
      <w:r>
        <w:t xml:space="preserve"> is the Government’s primary financial account, established by the FMA, and receives all Consolidated Revenue under the </w:t>
      </w:r>
      <w:r>
        <w:rPr>
          <w:i/>
        </w:rPr>
        <w:t>Constitution Act 1975.</w:t>
      </w:r>
    </w:p>
    <w:p w:rsidR="00BF6584" w:rsidRDefault="00BF6584" w:rsidP="00BF6584">
      <w:r w:rsidRPr="00BF6584">
        <w:rPr>
          <w:b/>
        </w:rPr>
        <w:t>‘</w:t>
      </w:r>
      <w:r w:rsidR="00816903">
        <w:rPr>
          <w:b/>
        </w:rPr>
        <w:t>C</w:t>
      </w:r>
      <w:r w:rsidR="005162CD">
        <w:rPr>
          <w:b/>
        </w:rPr>
        <w:t>ontributed capital</w:t>
      </w:r>
      <w:r w:rsidRPr="00BF6584">
        <w:rPr>
          <w:b/>
        </w:rPr>
        <w:t>’</w:t>
      </w:r>
      <w:r>
        <w:rPr>
          <w:i/>
        </w:rPr>
        <w:t xml:space="preserve"> –</w:t>
      </w:r>
      <w:r>
        <w:t xml:space="preserve"> </w:t>
      </w:r>
      <w:r w:rsidR="005162CD">
        <w:t>contributed capital</w:t>
      </w:r>
      <w:r>
        <w:t xml:space="preserve"> is the recognition and reporting of the ‘investment’ </w:t>
      </w:r>
      <w:r w:rsidR="00297111">
        <w:t>in</w:t>
      </w:r>
      <w:r>
        <w:t xml:space="preserve"> a portfolio agency or sector of Government, which is reflected in a Department’s set of accounts.</w:t>
      </w:r>
    </w:p>
    <w:p w:rsidR="00BF6584" w:rsidRDefault="00BF6584" w:rsidP="00BF6584">
      <w:r w:rsidRPr="00BF6584">
        <w:rPr>
          <w:b/>
        </w:rPr>
        <w:t>‘Controlled item’</w:t>
      </w:r>
      <w:r w:rsidRPr="00B77452">
        <w:t xml:space="preserve"> </w:t>
      </w:r>
      <w:r>
        <w:t xml:space="preserve">– </w:t>
      </w:r>
      <w:r w:rsidRPr="00B77452">
        <w:t xml:space="preserve">generally refers to the capacity of a </w:t>
      </w:r>
      <w:r>
        <w:t>D</w:t>
      </w:r>
      <w:r w:rsidRPr="00B77452">
        <w:t>epartment to benefit from that item in the pursuit of the entity’s objectives and to deny or regulate the access of others to that benefit</w:t>
      </w:r>
      <w:r>
        <w:t>.</w:t>
      </w:r>
    </w:p>
    <w:p w:rsidR="00BF6584" w:rsidRPr="00B25264" w:rsidRDefault="00BF6584" w:rsidP="00BF6584">
      <w:pPr>
        <w:autoSpaceDE w:val="0"/>
        <w:autoSpaceDN w:val="0"/>
        <w:adjustRightInd w:val="0"/>
        <w:spacing w:before="120" w:after="120" w:line="240" w:lineRule="atLeast"/>
        <w:rPr>
          <w:rFonts w:cs="Arial"/>
        </w:rPr>
      </w:pPr>
      <w:r w:rsidRPr="00BF6584">
        <w:rPr>
          <w:rFonts w:cs="Arial"/>
          <w:b/>
        </w:rPr>
        <w:t>‘Department’</w:t>
      </w:r>
      <w:r>
        <w:rPr>
          <w:rFonts w:cs="Arial"/>
        </w:rPr>
        <w:t xml:space="preserve"> –</w:t>
      </w:r>
      <w:r w:rsidRPr="00B25264">
        <w:rPr>
          <w:rFonts w:cs="Arial"/>
        </w:rPr>
        <w:t xml:space="preserve"> </w:t>
      </w:r>
      <w:r>
        <w:rPr>
          <w:rFonts w:cs="Arial"/>
        </w:rPr>
        <w:t xml:space="preserve">has the same meaning as para (a) of </w:t>
      </w:r>
      <w:r>
        <w:rPr>
          <w:rFonts w:cs="Arial"/>
          <w:i/>
        </w:rPr>
        <w:t xml:space="preserve">department </w:t>
      </w:r>
      <w:r>
        <w:rPr>
          <w:rFonts w:cs="Arial"/>
        </w:rPr>
        <w:t xml:space="preserve">in </w:t>
      </w:r>
      <w:r w:rsidR="00504EE7">
        <w:rPr>
          <w:rFonts w:cs="Arial"/>
        </w:rPr>
        <w:t>s</w:t>
      </w:r>
      <w:r>
        <w:rPr>
          <w:rFonts w:cs="Arial"/>
        </w:rPr>
        <w:t>ection 3 of the FMA</w:t>
      </w:r>
      <w:r w:rsidRPr="00B25264">
        <w:rPr>
          <w:rFonts w:cs="Arial"/>
        </w:rPr>
        <w:t xml:space="preserve">. </w:t>
      </w:r>
    </w:p>
    <w:p w:rsidR="00BF6584" w:rsidRPr="002A30BD" w:rsidRDefault="00BF6584" w:rsidP="00BF6584">
      <w:r w:rsidRPr="00BF6584">
        <w:rPr>
          <w:b/>
        </w:rPr>
        <w:t>‘Depreciation’</w:t>
      </w:r>
      <w:r>
        <w:rPr>
          <w:i/>
        </w:rPr>
        <w:t xml:space="preserve"> – </w:t>
      </w:r>
      <w:r>
        <w:t xml:space="preserve">the systematic allocation of the depreciable amount of an asset over its useful life. </w:t>
      </w:r>
    </w:p>
    <w:p w:rsidR="00BF6584" w:rsidRDefault="00BF6584" w:rsidP="00BF6584">
      <w:r w:rsidRPr="00BF6584">
        <w:rPr>
          <w:b/>
        </w:rPr>
        <w:t>‘Equity investment in controlled entities’</w:t>
      </w:r>
      <w:r>
        <w:t xml:space="preserve"> – refers to the Government’s equity investment in a Department and other controlled entities of the State, in its capacity as owner.</w:t>
      </w:r>
    </w:p>
    <w:p w:rsidR="00BF6584" w:rsidRDefault="00BF6584" w:rsidP="00BF6584">
      <w:r w:rsidRPr="00BF6584">
        <w:rPr>
          <w:b/>
        </w:rPr>
        <w:t>‘Finance lease’</w:t>
      </w:r>
      <w:r w:rsidRPr="00B00E96">
        <w:rPr>
          <w:i/>
        </w:rPr>
        <w:t xml:space="preserve"> </w:t>
      </w:r>
      <w:r w:rsidRPr="00B00E96">
        <w:t>–</w:t>
      </w:r>
      <w:r w:rsidRPr="00731E39">
        <w:t xml:space="preserve"> is a lease under which the lessor </w:t>
      </w:r>
      <w:r w:rsidR="00893367">
        <w:t xml:space="preserve">effectively </w:t>
      </w:r>
      <w:r w:rsidRPr="00731E39">
        <w:t xml:space="preserve">transfers to the lessee substantially all the risks and benefits incidental to the lease and where legal ownership may or may not be actually transferred. </w:t>
      </w:r>
    </w:p>
    <w:p w:rsidR="00BF6584" w:rsidRPr="00154254" w:rsidRDefault="00BF6584" w:rsidP="00BF6584">
      <w:r w:rsidRPr="00BF6584">
        <w:rPr>
          <w:b/>
        </w:rPr>
        <w:t>‘FMA’</w:t>
      </w:r>
      <w:r>
        <w:rPr>
          <w:i/>
        </w:rPr>
        <w:t xml:space="preserve"> </w:t>
      </w:r>
      <w:r>
        <w:t xml:space="preserve">– refers to the </w:t>
      </w:r>
      <w:r>
        <w:rPr>
          <w:i/>
        </w:rPr>
        <w:t>Financial Management Act 1994</w:t>
      </w:r>
      <w:r>
        <w:t>.</w:t>
      </w:r>
    </w:p>
    <w:p w:rsidR="00BF6584" w:rsidRPr="00731E39" w:rsidRDefault="00BF6584" w:rsidP="00BF6584">
      <w:r w:rsidRPr="00BF6584">
        <w:rPr>
          <w:b/>
        </w:rPr>
        <w:lastRenderedPageBreak/>
        <w:t>‘Physical assets’</w:t>
      </w:r>
      <w:r>
        <w:rPr>
          <w:i/>
        </w:rPr>
        <w:t xml:space="preserve"> </w:t>
      </w:r>
      <w:r>
        <w:t xml:space="preserve">– applies to non-financial assets such as property, plant and equipment other than inventories and consumables. </w:t>
      </w:r>
    </w:p>
    <w:p w:rsidR="00BF6584" w:rsidRDefault="00BF6584" w:rsidP="00BF6584">
      <w:r w:rsidRPr="00BF6584">
        <w:rPr>
          <w:b/>
        </w:rPr>
        <w:t>‘Public Account’</w:t>
      </w:r>
      <w:r w:rsidRPr="00731E39">
        <w:t xml:space="preserve"> </w:t>
      </w:r>
      <w:r>
        <w:t xml:space="preserve">– is </w:t>
      </w:r>
      <w:r w:rsidRPr="00731E39">
        <w:t>the Governments</w:t>
      </w:r>
      <w:r>
        <w:t>’</w:t>
      </w:r>
      <w:r w:rsidRPr="00731E39">
        <w:t xml:space="preserve"> bank account, in which are held the moneys of the Consolidated Fund and the Trust Fund.</w:t>
      </w:r>
    </w:p>
    <w:p w:rsidR="00BF6584" w:rsidRDefault="00BF6584" w:rsidP="00BF6584">
      <w:r w:rsidRPr="00BF6584">
        <w:rPr>
          <w:b/>
        </w:rPr>
        <w:t>‘SRIMS’</w:t>
      </w:r>
      <w:r>
        <w:rPr>
          <w:i/>
        </w:rPr>
        <w:t xml:space="preserve"> – </w:t>
      </w:r>
      <w:r>
        <w:t xml:space="preserve">refers to the State Resource Information Management System. </w:t>
      </w:r>
      <w:r>
        <w:rPr>
          <w:rFonts w:eastAsiaTheme="minorHAnsi"/>
          <w:color w:val="000000"/>
          <w:lang w:eastAsia="en-US"/>
        </w:rPr>
        <w:t>SRIMS is the State’s central ledger, which supports DTF in its ‘head office’ role in being able to provide the Government with financial and performance information from Departments and agencies to support whole of government decision-making and accountability obligations.</w:t>
      </w:r>
    </w:p>
    <w:p w:rsidR="00BF6584" w:rsidRDefault="00BF6584" w:rsidP="00BF6584">
      <w:r w:rsidRPr="00BF6584">
        <w:rPr>
          <w:b/>
        </w:rPr>
        <w:t>‘State Administration Unit (SAU)’</w:t>
      </w:r>
      <w:r w:rsidRPr="007F0125">
        <w:rPr>
          <w:i/>
        </w:rPr>
        <w:t xml:space="preserve"> –</w:t>
      </w:r>
      <w:r w:rsidRPr="0019169B">
        <w:t xml:space="preserve"> </w:t>
      </w:r>
      <w:r w:rsidRPr="00BA3E42">
        <w:t xml:space="preserve">The SAU serves two primary functions: (a) as a mechanism for recording transaction flows and balances within the Public Account; and (b) a means of capturing certain relationships and balances between the Government (with DTF as the ‘corporate head office’) and Departments (such as </w:t>
      </w:r>
      <w:r w:rsidR="00D40E61">
        <w:t>c</w:t>
      </w:r>
      <w:r w:rsidR="005162CD">
        <w:t>ontributed capital</w:t>
      </w:r>
      <w:r w:rsidRPr="00BA3E42">
        <w:t xml:space="preserve"> balances).</w:t>
      </w:r>
    </w:p>
    <w:p w:rsidR="00BF6584" w:rsidRDefault="00BF6584" w:rsidP="00BF6584">
      <w:r w:rsidRPr="00BF6584">
        <w:rPr>
          <w:b/>
        </w:rPr>
        <w:t>‘TCV’ –</w:t>
      </w:r>
      <w:r>
        <w:t xml:space="preserve"> refers to the Treasury Corporation of Victoria.</w:t>
      </w:r>
    </w:p>
    <w:p w:rsidR="00BF6584" w:rsidRDefault="00BF6584" w:rsidP="00BF6584">
      <w:pPr>
        <w:spacing w:before="0" w:after="200"/>
      </w:pPr>
      <w:r w:rsidRPr="00BF6584">
        <w:rPr>
          <w:b/>
        </w:rPr>
        <w:t>‘Trust accounts’</w:t>
      </w:r>
      <w:r w:rsidRPr="00B00E96">
        <w:t xml:space="preserve"> – </w:t>
      </w:r>
      <w:r w:rsidRPr="00731E39">
        <w:t>are separate accounts within the Trust Fund, w</w:t>
      </w:r>
      <w:r>
        <w:t>hich contain moneys set aside for specific purposes.</w:t>
      </w:r>
      <w:r w:rsidRPr="00731E39">
        <w:t xml:space="preserve"> The specific purpose for the establishment of each </w:t>
      </w:r>
      <w:r w:rsidR="005532E7">
        <w:t>t</w:t>
      </w:r>
      <w:r w:rsidRPr="00731E39">
        <w:t xml:space="preserve">rust </w:t>
      </w:r>
      <w:r w:rsidR="005532E7">
        <w:t>a</w:t>
      </w:r>
      <w:r w:rsidRPr="00731E39">
        <w:t xml:space="preserve">ccount is defined by the Minister, pursuant to </w:t>
      </w:r>
      <w:r w:rsidR="00027FBC">
        <w:t>s</w:t>
      </w:r>
      <w:r w:rsidRPr="00731E39">
        <w:t>ection</w:t>
      </w:r>
      <w:r>
        <w:t>s</w:t>
      </w:r>
      <w:r w:rsidRPr="00731E39">
        <w:t xml:space="preserve"> 19 </w:t>
      </w:r>
      <w:r>
        <w:t xml:space="preserve">or 23 </w:t>
      </w:r>
      <w:r w:rsidRPr="00731E39">
        <w:t xml:space="preserve">of the </w:t>
      </w:r>
      <w:r>
        <w:t>FMA</w:t>
      </w:r>
      <w:r w:rsidRPr="00731E39">
        <w:t xml:space="preserve">, or is contained in a separate statute. </w:t>
      </w:r>
    </w:p>
    <w:p w:rsidR="000E2696" w:rsidRDefault="000E2696" w:rsidP="00BF6584">
      <w:pPr>
        <w:spacing w:before="0" w:after="200"/>
        <w:rPr>
          <w:rFonts w:asciiTheme="majorHAnsi" w:eastAsiaTheme="majorEastAsia" w:hAnsiTheme="majorHAnsi" w:cstheme="majorBidi"/>
          <w:b/>
          <w:bCs/>
          <w:color w:val="201547"/>
          <w:spacing w:val="-1"/>
          <w:sz w:val="36"/>
          <w:szCs w:val="28"/>
        </w:rPr>
      </w:pPr>
      <w:r>
        <w:br w:type="page"/>
      </w:r>
    </w:p>
    <w:p w:rsidR="005476DA" w:rsidRPr="00354AB3" w:rsidRDefault="00BF6584" w:rsidP="00A75461">
      <w:pPr>
        <w:pStyle w:val="Heading1numbered"/>
      </w:pPr>
      <w:bookmarkStart w:id="18" w:name="_Toc445470191"/>
      <w:bookmarkStart w:id="19" w:name="_Toc476910313"/>
      <w:bookmarkEnd w:id="17"/>
      <w:r>
        <w:lastRenderedPageBreak/>
        <w:t>Financial reporting requirements</w:t>
      </w:r>
      <w:bookmarkEnd w:id="18"/>
      <w:bookmarkEnd w:id="19"/>
    </w:p>
    <w:p w:rsidR="005476DA" w:rsidRDefault="00BF6584" w:rsidP="00554BC6">
      <w:pPr>
        <w:pStyle w:val="Heading2"/>
      </w:pPr>
      <w:bookmarkStart w:id="20" w:name="_Toc445470192"/>
      <w:bookmarkStart w:id="21" w:name="_Toc476910314"/>
      <w:r>
        <w:t>Context</w:t>
      </w:r>
      <w:bookmarkEnd w:id="20"/>
      <w:bookmarkEnd w:id="21"/>
    </w:p>
    <w:p w:rsidR="00BF6584" w:rsidRPr="00141123" w:rsidRDefault="00711EBD" w:rsidP="00BF6584">
      <w:r>
        <w:t>The Department of Treasury and Finance (</w:t>
      </w:r>
      <w:r w:rsidR="00BF6584">
        <w:t>DTF</w:t>
      </w:r>
      <w:r>
        <w:t>)</w:t>
      </w:r>
      <w:r w:rsidR="00BF6584">
        <w:t xml:space="preserve"> is responsible for supporting the Treasurer and the Minister for Finance in discharging their accountability</w:t>
      </w:r>
      <w:r w:rsidR="00BF6584" w:rsidRPr="00B31F4E">
        <w:t xml:space="preserve"> to Parliament for the overall financial management performance of the State and the </w:t>
      </w:r>
      <w:r w:rsidR="00BF6584">
        <w:t>G</w:t>
      </w:r>
      <w:r w:rsidR="00BF6584" w:rsidRPr="00B31F4E">
        <w:t>overnment</w:t>
      </w:r>
      <w:r w:rsidR="00BF6584">
        <w:t>’</w:t>
      </w:r>
      <w:r w:rsidR="00BF6584" w:rsidRPr="00B31F4E">
        <w:t xml:space="preserve">s </w:t>
      </w:r>
      <w:r w:rsidR="00BF6584">
        <w:t xml:space="preserve">reporting </w:t>
      </w:r>
      <w:r w:rsidR="00BF6584" w:rsidRPr="00B31F4E">
        <w:t xml:space="preserve">obligations under the </w:t>
      </w:r>
      <w:r w:rsidR="00BF6584" w:rsidRPr="00651807">
        <w:rPr>
          <w:i/>
        </w:rPr>
        <w:t>Financial Management Act 1994</w:t>
      </w:r>
      <w:r w:rsidR="00BF6584">
        <w:t xml:space="preserve"> (FMA)</w:t>
      </w:r>
      <w:r w:rsidR="00BF6584" w:rsidRPr="00B31F4E">
        <w:t>.</w:t>
      </w:r>
    </w:p>
    <w:p w:rsidR="00BF6584" w:rsidRDefault="00BF6584" w:rsidP="00BF6584">
      <w:r>
        <w:t xml:space="preserve">Each </w:t>
      </w:r>
      <w:r w:rsidR="00297111">
        <w:t>Department</w:t>
      </w:r>
      <w:r>
        <w:t xml:space="preserve"> is also accountable to its Responsible Minister for its own financial management and reporting on the resources it uses and controls. </w:t>
      </w:r>
    </w:p>
    <w:p w:rsidR="00BF6584" w:rsidRDefault="00BF6584" w:rsidP="00BF6584">
      <w:r>
        <w:t>To assist DTF in its accountability and advisory roles, Departments are required to comply with the data and reporting requirements outlined in this document.</w:t>
      </w:r>
      <w:r w:rsidR="00413A48">
        <w:t xml:space="preserve"> </w:t>
      </w:r>
      <w:r>
        <w:t>Data submission to DTF for these purposes is usually provided through the State Resource Management System (SRIMS), or through other mechanisms as advised by DTF.</w:t>
      </w:r>
    </w:p>
    <w:p w:rsidR="00BF6584" w:rsidRDefault="00BF6584" w:rsidP="00BF6584">
      <w:r>
        <w:t>The data requirements outlined in this chapter relate to:</w:t>
      </w:r>
    </w:p>
    <w:p w:rsidR="00BF6584" w:rsidRDefault="00BF6584" w:rsidP="00BF6584">
      <w:pPr>
        <w:pStyle w:val="Bullet1"/>
      </w:pPr>
      <w:r>
        <w:t>the monthly actuals data feeds</w:t>
      </w:r>
      <w:r w:rsidR="00297111">
        <w:t>;</w:t>
      </w:r>
    </w:p>
    <w:p w:rsidR="00BF6584" w:rsidRDefault="00BF6584" w:rsidP="00BF6584">
      <w:pPr>
        <w:pStyle w:val="Bullet1"/>
      </w:pPr>
      <w:r>
        <w:t>cash flow forecasting requirements</w:t>
      </w:r>
      <w:r w:rsidR="00297111">
        <w:t>;</w:t>
      </w:r>
      <w:r>
        <w:t xml:space="preserve"> and</w:t>
      </w:r>
    </w:p>
    <w:p w:rsidR="00BF6584" w:rsidRDefault="00BF6584" w:rsidP="00BF6584">
      <w:pPr>
        <w:pStyle w:val="Bullet1"/>
      </w:pPr>
      <w:r>
        <w:t>the daily data feeds informing cash flow requirements for the Public Account.</w:t>
      </w:r>
    </w:p>
    <w:p w:rsidR="00BF6584" w:rsidRDefault="00BF6584" w:rsidP="00BF6584"/>
    <w:p w:rsidR="00BF6584" w:rsidRDefault="00BF6584">
      <w:pPr>
        <w:spacing w:before="0" w:after="200"/>
      </w:pPr>
      <w:r>
        <w:br w:type="page"/>
      </w:r>
    </w:p>
    <w:p w:rsidR="00554BC6" w:rsidRPr="00554BC6" w:rsidRDefault="00BF6584" w:rsidP="007D065F">
      <w:pPr>
        <w:pStyle w:val="Heading2numbered"/>
        <w:numPr>
          <w:ilvl w:val="3"/>
          <w:numId w:val="12"/>
        </w:numPr>
      </w:pPr>
      <w:bookmarkStart w:id="22" w:name="_Toc445470193"/>
      <w:bookmarkStart w:id="23" w:name="_Toc476910315"/>
      <w:r>
        <w:lastRenderedPageBreak/>
        <w:t>Requirements for monthly reporting purposes</w:t>
      </w:r>
      <w:bookmarkEnd w:id="22"/>
      <w:bookmarkEnd w:id="23"/>
    </w:p>
    <w:tbl>
      <w:tblPr>
        <w:tblStyle w:val="DTFtexttable"/>
        <w:tblW w:w="7483" w:type="dxa"/>
        <w:tblInd w:w="867"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Look w:val="0620" w:firstRow="1" w:lastRow="0" w:firstColumn="0" w:lastColumn="0" w:noHBand="1" w:noVBand="1"/>
      </w:tblPr>
      <w:tblGrid>
        <w:gridCol w:w="7483"/>
      </w:tblGrid>
      <w:tr w:rsidR="005476DA" w:rsidRPr="00BF6584" w:rsidTr="006926C1">
        <w:trPr>
          <w:cnfStyle w:val="100000000000" w:firstRow="1" w:lastRow="0" w:firstColumn="0" w:lastColumn="0" w:oddVBand="0" w:evenVBand="0" w:oddHBand="0" w:evenHBand="0" w:firstRowFirstColumn="0" w:firstRowLastColumn="0" w:lastRowFirstColumn="0" w:lastRowLastColumn="0"/>
        </w:trPr>
        <w:tc>
          <w:tcPr>
            <w:tcW w:w="7483" w:type="dxa"/>
          </w:tcPr>
          <w:p w:rsidR="005476DA" w:rsidRPr="00BF6584" w:rsidRDefault="005476DA" w:rsidP="00BF6584">
            <w:pPr>
              <w:pStyle w:val="Tableheader"/>
              <w:rPr>
                <w:b/>
              </w:rPr>
            </w:pPr>
            <w:r w:rsidRPr="00BF6584">
              <w:rPr>
                <w:b/>
              </w:rPr>
              <w:t xml:space="preserve">Mandatory </w:t>
            </w:r>
            <w:r w:rsidR="00D00949" w:rsidRPr="00BF6584">
              <w:rPr>
                <w:b/>
              </w:rPr>
              <w:t>requirements</w:t>
            </w:r>
            <w:r w:rsidR="006926C1" w:rsidRPr="00BF6584">
              <w:rPr>
                <w:b/>
              </w:rPr>
              <w:br/>
            </w:r>
            <w:r w:rsidR="00BF6584" w:rsidRPr="00BF6584">
              <w:rPr>
                <w:b/>
              </w:rPr>
              <w:t>MONTHLY REPORTING</w:t>
            </w:r>
          </w:p>
        </w:tc>
      </w:tr>
      <w:tr w:rsidR="005476DA" w:rsidRPr="007B3C7A" w:rsidTr="006926C1">
        <w:tc>
          <w:tcPr>
            <w:tcW w:w="7483" w:type="dxa"/>
          </w:tcPr>
          <w:p w:rsidR="005476DA" w:rsidRDefault="00BF6584" w:rsidP="00BF6584">
            <w:pPr>
              <w:pStyle w:val="Heading3numbered"/>
            </w:pPr>
            <w:bookmarkStart w:id="24" w:name="_Toc445470194"/>
            <w:bookmarkStart w:id="25" w:name="_Toc476910316"/>
            <w:r w:rsidRPr="00BF6584">
              <w:t>Requirements</w:t>
            </w:r>
            <w:r>
              <w:t xml:space="preserve"> for the submission of Departmental actuals data to DTF on a monthly basis</w:t>
            </w:r>
            <w:bookmarkEnd w:id="24"/>
            <w:bookmarkEnd w:id="25"/>
          </w:p>
          <w:p w:rsidR="005476DA" w:rsidRPr="00406471" w:rsidRDefault="00BF6584" w:rsidP="000A5E66">
            <w:pPr>
              <w:pStyle w:val="Tabletextindent"/>
            </w:pPr>
            <w:r w:rsidRPr="000A5E66">
              <w:t>Each</w:t>
            </w:r>
            <w:r>
              <w:t xml:space="preserve"> month, a Department must submit to DTF:</w:t>
            </w:r>
          </w:p>
          <w:p w:rsidR="005476DA" w:rsidRDefault="00BF6584" w:rsidP="00BF6584">
            <w:pPr>
              <w:pStyle w:val="Tabletextnum"/>
            </w:pPr>
            <w:r>
              <w:t>A t</w:t>
            </w:r>
            <w:r w:rsidRPr="00731E39">
              <w:t>rial balance data</w:t>
            </w:r>
            <w:r>
              <w:t xml:space="preserve"> feed</w:t>
            </w:r>
            <w:r w:rsidRPr="00731E39">
              <w:t xml:space="preserve"> in</w:t>
            </w:r>
            <w:r>
              <w:t>to</w:t>
            </w:r>
            <w:r w:rsidRPr="00731E39">
              <w:t xml:space="preserve"> </w:t>
            </w:r>
            <w:r>
              <w:t>SRIMS,</w:t>
            </w:r>
            <w:r w:rsidRPr="00731E39">
              <w:t xml:space="preserve"> within </w:t>
            </w:r>
            <w:r>
              <w:t>five</w:t>
            </w:r>
            <w:r w:rsidRPr="000270E7">
              <w:rPr>
                <w:i/>
              </w:rPr>
              <w:t xml:space="preserve"> </w:t>
            </w:r>
            <w:r w:rsidRPr="00613C77">
              <w:t>business</w:t>
            </w:r>
            <w:r w:rsidRPr="000270E7">
              <w:rPr>
                <w:i/>
              </w:rPr>
              <w:t xml:space="preserve"> </w:t>
            </w:r>
            <w:r w:rsidRPr="00613C77">
              <w:t>days</w:t>
            </w:r>
            <w:r>
              <w:t xml:space="preserve"> after the end of the month being reported</w:t>
            </w:r>
            <w:r w:rsidRPr="00731E39">
              <w:t>; and</w:t>
            </w:r>
          </w:p>
          <w:p w:rsidR="00BF6584" w:rsidRDefault="00BF6584" w:rsidP="00406471">
            <w:pPr>
              <w:pStyle w:val="Tabletextnum"/>
            </w:pPr>
            <w:r>
              <w:t>C</w:t>
            </w:r>
            <w:r w:rsidRPr="00731E39">
              <w:t>ommentary</w:t>
            </w:r>
            <w:r>
              <w:t>/explanations,</w:t>
            </w:r>
            <w:r w:rsidRPr="00731E39">
              <w:t xml:space="preserve"> </w:t>
            </w:r>
            <w:r>
              <w:t xml:space="preserve">with </w:t>
            </w:r>
            <w:r w:rsidRPr="00051EAC">
              <w:t>Chief Financ</w:t>
            </w:r>
            <w:r w:rsidR="00A1060E">
              <w:t>e</w:t>
            </w:r>
            <w:r w:rsidRPr="00051EAC">
              <w:t xml:space="preserve"> Officer </w:t>
            </w:r>
            <w:r>
              <w:t xml:space="preserve">(CFO) </w:t>
            </w:r>
            <w:r w:rsidRPr="00051EAC">
              <w:t>sign-off</w:t>
            </w:r>
            <w:r w:rsidRPr="00731E39">
              <w:t xml:space="preserve"> </w:t>
            </w:r>
            <w:r>
              <w:t>on both controlled and administered item</w:t>
            </w:r>
            <w:r w:rsidRPr="00051EAC">
              <w:t>s</w:t>
            </w:r>
            <w:r>
              <w:t>,</w:t>
            </w:r>
            <w:r w:rsidRPr="00051EAC">
              <w:t xml:space="preserve"> within </w:t>
            </w:r>
            <w:r w:rsidR="00711EBD">
              <w:t>10</w:t>
            </w:r>
            <w:r w:rsidRPr="00051EAC">
              <w:t xml:space="preserve"> working days after the end of the month being reported, on:</w:t>
            </w:r>
          </w:p>
          <w:p w:rsidR="00BF6584" w:rsidRDefault="00BF6584" w:rsidP="00BF6584">
            <w:pPr>
              <w:pStyle w:val="TableBulletindent"/>
            </w:pPr>
            <w:r>
              <w:t>variations between budgeted and actual results;</w:t>
            </w:r>
          </w:p>
          <w:p w:rsidR="00BF6584" w:rsidRDefault="00BF6584" w:rsidP="00BF6584">
            <w:pPr>
              <w:pStyle w:val="TableBulletindent"/>
            </w:pPr>
            <w:r>
              <w:t>variations comparing the current year to the previous year; and</w:t>
            </w:r>
          </w:p>
          <w:p w:rsidR="00BF6584" w:rsidRDefault="00BF6584" w:rsidP="00BF6584">
            <w:pPr>
              <w:pStyle w:val="TableBulletindent"/>
            </w:pPr>
            <w:r>
              <w:t>any other significant factors which have influenced the reported results.</w:t>
            </w:r>
          </w:p>
          <w:p w:rsidR="005476DA" w:rsidRDefault="00BF6584" w:rsidP="00BF6584">
            <w:pPr>
              <w:pStyle w:val="Heading3numbered"/>
            </w:pPr>
            <w:bookmarkStart w:id="26" w:name="_Toc445470195"/>
            <w:bookmarkStart w:id="27" w:name="_Toc476910317"/>
            <w:r>
              <w:t>Requirements for monthly reconciliations</w:t>
            </w:r>
            <w:bookmarkEnd w:id="26"/>
            <w:bookmarkEnd w:id="27"/>
          </w:p>
          <w:p w:rsidR="00BF6584" w:rsidRDefault="00BF6584" w:rsidP="00406471">
            <w:pPr>
              <w:pStyle w:val="Tabletextindent"/>
            </w:pPr>
            <w:r>
              <w:t>At the end of each month, a Department must ensure that:</w:t>
            </w:r>
          </w:p>
          <w:p w:rsidR="00BF6584" w:rsidRDefault="00BF6584" w:rsidP="00BF6584">
            <w:pPr>
              <w:pStyle w:val="Tabletextnum"/>
            </w:pPr>
            <w:r>
              <w:t xml:space="preserve">any </w:t>
            </w:r>
            <w:r w:rsidRPr="00731E39">
              <w:t>advances provided by the State Administration Unit (SAU) in the inter</w:t>
            </w:r>
            <w:r>
              <w:noBreakHyphen/>
            </w:r>
            <w:r w:rsidRPr="00731E39">
              <w:t xml:space="preserve">entity account </w:t>
            </w:r>
            <w:r>
              <w:t xml:space="preserve">are reconciled </w:t>
            </w:r>
            <w:r w:rsidRPr="00731E39">
              <w:t>against the revenue recognised and claimed from Government;</w:t>
            </w:r>
          </w:p>
          <w:p w:rsidR="00BF6584" w:rsidRDefault="00BF6584" w:rsidP="00BF6584">
            <w:pPr>
              <w:pStyle w:val="Tabletextnum"/>
            </w:pPr>
            <w:r w:rsidRPr="00731E39">
              <w:t>the inter</w:t>
            </w:r>
            <w:r>
              <w:noBreakHyphen/>
            </w:r>
            <w:r w:rsidRPr="00731E39">
              <w:t xml:space="preserve">entity account between a </w:t>
            </w:r>
            <w:r>
              <w:t>D</w:t>
            </w:r>
            <w:r w:rsidRPr="00731E39">
              <w:t xml:space="preserve">epartment and the SAU </w:t>
            </w:r>
            <w:r>
              <w:t xml:space="preserve">is </w:t>
            </w:r>
            <w:r w:rsidRPr="00731E39">
              <w:t xml:space="preserve">reconciled by both the </w:t>
            </w:r>
            <w:r>
              <w:t>D</w:t>
            </w:r>
            <w:r w:rsidRPr="00731E39">
              <w:t xml:space="preserve">epartment and DTF to ensure that all components of the SAU account balance have been represented accurately by both </w:t>
            </w:r>
            <w:r w:rsidR="00676588">
              <w:t>part</w:t>
            </w:r>
            <w:r w:rsidRPr="00731E39">
              <w:t>ies</w:t>
            </w:r>
            <w:r>
              <w:t>; and</w:t>
            </w:r>
          </w:p>
          <w:p w:rsidR="00BF6584" w:rsidRPr="00A75005" w:rsidRDefault="00BF6584" w:rsidP="00676588">
            <w:pPr>
              <w:pStyle w:val="Tabletextnum"/>
            </w:pPr>
            <w:r>
              <w:t>t</w:t>
            </w:r>
            <w:r w:rsidRPr="00731E39">
              <w:t xml:space="preserve">rust </w:t>
            </w:r>
            <w:r w:rsidR="00676588">
              <w:t>accounts within the Trust Fund</w:t>
            </w:r>
            <w:r w:rsidRPr="00731E39">
              <w:t xml:space="preserve"> </w:t>
            </w:r>
            <w:r>
              <w:t>are reconciled.</w:t>
            </w:r>
            <w:r>
              <w:rPr>
                <w:rStyle w:val="FootnoteReference"/>
              </w:rPr>
              <w:footnoteReference w:id="4"/>
            </w:r>
          </w:p>
        </w:tc>
      </w:tr>
    </w:tbl>
    <w:p w:rsidR="00406471" w:rsidRDefault="00406471" w:rsidP="00406471">
      <w:pPr>
        <w:pStyle w:val="Spacer"/>
      </w:pPr>
    </w:p>
    <w:p w:rsidR="005476DA" w:rsidRDefault="005476DA" w:rsidP="00D00949">
      <w:pPr>
        <w:pStyle w:val="Heading4indent"/>
      </w:pPr>
      <w:r>
        <w:t>Guidance</w:t>
      </w:r>
    </w:p>
    <w:p w:rsidR="00BF6584" w:rsidRDefault="00BF6584" w:rsidP="00BF6584">
      <w:pPr>
        <w:pStyle w:val="NormalIndent"/>
      </w:pPr>
      <w:r w:rsidRPr="00162A14">
        <w:t xml:space="preserve">DTF is responsible for generating a </w:t>
      </w:r>
      <w:r w:rsidR="00711EBD">
        <w:t>m</w:t>
      </w:r>
      <w:r w:rsidRPr="00162A14">
        <w:t xml:space="preserve">onthly </w:t>
      </w:r>
      <w:r w:rsidR="00711EBD">
        <w:t>f</w:t>
      </w:r>
      <w:r w:rsidRPr="00162A14">
        <w:t xml:space="preserve">inancial </w:t>
      </w:r>
      <w:r w:rsidR="00711EBD">
        <w:t>r</w:t>
      </w:r>
      <w:r w:rsidRPr="00162A14">
        <w:t>eport f</w:t>
      </w:r>
      <w:r>
        <w:t>rom September to June each financial year</w:t>
      </w:r>
      <w:r w:rsidR="00413A48">
        <w:t xml:space="preserve"> </w:t>
      </w:r>
      <w:r>
        <w:t>(July and August are analysed concurrently to inform the September report)</w:t>
      </w:r>
      <w:r w:rsidR="00A83405">
        <w:t>.</w:t>
      </w:r>
    </w:p>
    <w:p w:rsidR="00BF6584" w:rsidRDefault="00BF6584">
      <w:pPr>
        <w:pStyle w:val="NormalIndent"/>
      </w:pPr>
      <w:r>
        <w:t xml:space="preserve">The purpose of the </w:t>
      </w:r>
      <w:r w:rsidR="00711EBD">
        <w:t>m</w:t>
      </w:r>
      <w:r>
        <w:t xml:space="preserve">onthly </w:t>
      </w:r>
      <w:r w:rsidR="00711EBD">
        <w:t>f</w:t>
      </w:r>
      <w:r>
        <w:t xml:space="preserve">inancial </w:t>
      </w:r>
      <w:r w:rsidR="00711EBD">
        <w:t>r</w:t>
      </w:r>
      <w:r w:rsidRPr="00162A14">
        <w:t xml:space="preserve">eport is to provide </w:t>
      </w:r>
      <w:r>
        <w:t>ministers</w:t>
      </w:r>
      <w:r w:rsidRPr="00162A14">
        <w:t xml:space="preserve"> and </w:t>
      </w:r>
      <w:r>
        <w:t xml:space="preserve">the </w:t>
      </w:r>
      <w:r w:rsidRPr="00162A14">
        <w:t>DTF executive with analysis of key fiscal aggregates and information on particular line it</w:t>
      </w:r>
      <w:r>
        <w:t>ems of</w:t>
      </w:r>
      <w:r w:rsidRPr="00162A14">
        <w:t xml:space="preserve"> financial statements regarding the performance of the </w:t>
      </w:r>
      <w:r w:rsidR="00711EBD">
        <w:t>g</w:t>
      </w:r>
      <w:r>
        <w:t xml:space="preserve">eneral </w:t>
      </w:r>
      <w:r w:rsidR="00711EBD">
        <w:t>g</w:t>
      </w:r>
      <w:r>
        <w:t>overnment</w:t>
      </w:r>
      <w:r w:rsidRPr="00162A14">
        <w:t xml:space="preserve"> </w:t>
      </w:r>
      <w:r w:rsidR="00711EBD">
        <w:t>s</w:t>
      </w:r>
      <w:r w:rsidRPr="00162A14">
        <w:t>ector during the reporting period</w:t>
      </w:r>
      <w:r w:rsidR="006550E7">
        <w:t>.</w:t>
      </w:r>
    </w:p>
    <w:p w:rsidR="00BF6584" w:rsidRPr="006B239F" w:rsidRDefault="00BF6584" w:rsidP="00BF6584">
      <w:pPr>
        <w:pStyle w:val="NormalIndent"/>
      </w:pPr>
      <w:r>
        <w:t>The quality of the advice provided to Government on the financial performance and position of the State is dependent on the quality and timeliness of the data and analysis submitted by Departments.</w:t>
      </w:r>
      <w:r w:rsidR="00413A48">
        <w:t xml:space="preserve"> </w:t>
      </w:r>
      <w:r>
        <w:t>Departments are expected to work closely with their DTF contacts in providing data and analysis of a sufficiently high standard to deliver this outcome.</w:t>
      </w:r>
    </w:p>
    <w:p w:rsidR="00413AB9" w:rsidRPr="00354AB3" w:rsidRDefault="00413AB9" w:rsidP="00413AB9">
      <w:pPr>
        <w:pStyle w:val="Heading1numbered"/>
      </w:pPr>
      <w:bookmarkStart w:id="28" w:name="_Toc476910318"/>
      <w:bookmarkStart w:id="29" w:name="_Toc445470196"/>
      <w:r>
        <w:lastRenderedPageBreak/>
        <w:t xml:space="preserve">Cash </w:t>
      </w:r>
      <w:r w:rsidR="00711EBD">
        <w:t>m</w:t>
      </w:r>
      <w:r>
        <w:t>anagement</w:t>
      </w:r>
      <w:bookmarkEnd w:id="28"/>
    </w:p>
    <w:p w:rsidR="00BB2A3C" w:rsidRDefault="002E3AEC" w:rsidP="00331FF5">
      <w:pPr>
        <w:pStyle w:val="NormalIndent"/>
      </w:pPr>
      <w:r>
        <w:t xml:space="preserve">The State of Victoria operates a </w:t>
      </w:r>
      <w:r w:rsidR="000C4C1F">
        <w:t xml:space="preserve">partially centralised system of </w:t>
      </w:r>
      <w:r>
        <w:t>cash management</w:t>
      </w:r>
      <w:r w:rsidR="000C4C1F">
        <w:t>.</w:t>
      </w:r>
      <w:r w:rsidR="00A45BD8">
        <w:t xml:space="preserve"> The </w:t>
      </w:r>
      <w:r w:rsidR="00615586">
        <w:t xml:space="preserve">centralised component comprises the </w:t>
      </w:r>
      <w:r w:rsidR="008E2BB2">
        <w:t xml:space="preserve">State’s </w:t>
      </w:r>
      <w:r w:rsidR="00A45BD8">
        <w:t xml:space="preserve">primary bank account known as the Public Account, which </w:t>
      </w:r>
      <w:r w:rsidR="00711EBD">
        <w:t>consists of</w:t>
      </w:r>
      <w:r w:rsidR="000532B0">
        <w:t xml:space="preserve"> </w:t>
      </w:r>
      <w:r w:rsidR="00A45BD8">
        <w:t>a pool of bank accounts</w:t>
      </w:r>
      <w:r w:rsidR="00B36236">
        <w:t xml:space="preserve"> held by Departments.</w:t>
      </w:r>
    </w:p>
    <w:p w:rsidR="002E3AEC" w:rsidRDefault="00F15D7A" w:rsidP="00331FF5">
      <w:pPr>
        <w:pStyle w:val="NormalIndent"/>
      </w:pPr>
      <w:r>
        <w:t>The decentralised component comprises various other account</w:t>
      </w:r>
      <w:r w:rsidR="00A45BD8">
        <w:t xml:space="preserve">s </w:t>
      </w:r>
      <w:r w:rsidR="00BB2A3C">
        <w:t xml:space="preserve">held </w:t>
      </w:r>
      <w:r>
        <w:t>outside</w:t>
      </w:r>
      <w:r w:rsidR="00BB2A3C">
        <w:t xml:space="preserve"> of the Public Account</w:t>
      </w:r>
      <w:r>
        <w:t xml:space="preserve"> by Departments and agencies</w:t>
      </w:r>
      <w:r w:rsidR="009578A1">
        <w:t>.</w:t>
      </w:r>
    </w:p>
    <w:p w:rsidR="008E2BB2" w:rsidRPr="008E2BB2" w:rsidRDefault="008E2BB2" w:rsidP="000C4C1F">
      <w:pPr>
        <w:pStyle w:val="NormalIndent"/>
      </w:pPr>
      <w:r>
        <w:t>This chapter primarily concerns the cash management of the State’s Public Account balances.</w:t>
      </w:r>
    </w:p>
    <w:p w:rsidR="00D12CCD" w:rsidRPr="004E49E1" w:rsidRDefault="00D12CCD" w:rsidP="000C4C1F">
      <w:pPr>
        <w:pStyle w:val="NormalIndent"/>
        <w:rPr>
          <w:b/>
        </w:rPr>
      </w:pPr>
      <w:r w:rsidRPr="004E49E1">
        <w:rPr>
          <w:b/>
        </w:rPr>
        <w:t>The Public Account</w:t>
      </w:r>
    </w:p>
    <w:p w:rsidR="008E2BB2" w:rsidRDefault="008E2BB2" w:rsidP="000C4C1F">
      <w:pPr>
        <w:pStyle w:val="NormalIndent"/>
      </w:pPr>
      <w:r>
        <w:t xml:space="preserve">The daily cash requirements of Departments are met from the Public Account. </w:t>
      </w:r>
    </w:p>
    <w:p w:rsidR="008E2BB2" w:rsidRDefault="008E2BB2" w:rsidP="008E2BB2">
      <w:pPr>
        <w:pStyle w:val="NormalIndent"/>
      </w:pPr>
      <w:r w:rsidRPr="00F731DB">
        <w:t>DTF</w:t>
      </w:r>
      <w:r>
        <w:t xml:space="preserve">’s role is to monitor and manage the </w:t>
      </w:r>
      <w:r w:rsidRPr="00F731DB">
        <w:t>cash</w:t>
      </w:r>
      <w:r>
        <w:t xml:space="preserve"> </w:t>
      </w:r>
      <w:r w:rsidRPr="00F731DB">
        <w:t xml:space="preserve">flow </w:t>
      </w:r>
      <w:r>
        <w:t xml:space="preserve">requirements </w:t>
      </w:r>
      <w:r w:rsidRPr="00F731DB">
        <w:t xml:space="preserve">for </w:t>
      </w:r>
      <w:r>
        <w:t>the Public Account</w:t>
      </w:r>
      <w:r w:rsidR="00BF2F2F">
        <w:t>, through information obtained from Departments</w:t>
      </w:r>
      <w:r>
        <w:t xml:space="preserve">. This assists DTF in </w:t>
      </w:r>
      <w:r w:rsidRPr="00F731DB">
        <w:t xml:space="preserve">managing </w:t>
      </w:r>
      <w:r>
        <w:t xml:space="preserve">the budget </w:t>
      </w:r>
      <w:r w:rsidRPr="00F731DB">
        <w:t xml:space="preserve">surplus, </w:t>
      </w:r>
      <w:r>
        <w:t xml:space="preserve">the State’s level of </w:t>
      </w:r>
      <w:r w:rsidRPr="00F731DB">
        <w:t xml:space="preserve">borrowings, </w:t>
      </w:r>
      <w:r w:rsidR="00B36236">
        <w:t xml:space="preserve">its </w:t>
      </w:r>
      <w:r w:rsidRPr="00F731DB">
        <w:t>investment</w:t>
      </w:r>
      <w:r>
        <w:t>s</w:t>
      </w:r>
      <w:r w:rsidR="00B36236">
        <w:t>,</w:t>
      </w:r>
      <w:r w:rsidRPr="00F731DB">
        <w:t xml:space="preserve"> and </w:t>
      </w:r>
      <w:r>
        <w:t xml:space="preserve">its </w:t>
      </w:r>
      <w:r w:rsidRPr="00F731DB">
        <w:t>ris</w:t>
      </w:r>
      <w:r>
        <w:t>k profile.</w:t>
      </w:r>
    </w:p>
    <w:p w:rsidR="008E2BB2" w:rsidRDefault="00615586" w:rsidP="008E2BB2">
      <w:pPr>
        <w:pStyle w:val="NormalIndent"/>
      </w:pPr>
      <w:r>
        <w:t>A</w:t>
      </w:r>
      <w:r w:rsidR="008E2BB2">
        <w:t>ppropriate management of the Public Account assists in the short term to:</w:t>
      </w:r>
    </w:p>
    <w:p w:rsidR="008E2BB2" w:rsidRDefault="008E2BB2" w:rsidP="009C70DB">
      <w:pPr>
        <w:pStyle w:val="Bulletindent2"/>
        <w:numPr>
          <w:ilvl w:val="3"/>
          <w:numId w:val="18"/>
        </w:numPr>
      </w:pPr>
      <w:r>
        <w:t>ensure there is enough cash available to service bills;</w:t>
      </w:r>
    </w:p>
    <w:p w:rsidR="008E2BB2" w:rsidRDefault="008E2BB2" w:rsidP="009C70DB">
      <w:pPr>
        <w:pStyle w:val="Bulletindent2"/>
        <w:numPr>
          <w:ilvl w:val="3"/>
          <w:numId w:val="18"/>
        </w:numPr>
      </w:pPr>
      <w:r>
        <w:t>identify and appropriately invest any surplus funds to maximise returns to the State, or to identify funding deficits for appropriate action; and</w:t>
      </w:r>
    </w:p>
    <w:p w:rsidR="008E2BB2" w:rsidRDefault="008E2BB2" w:rsidP="009C70DB">
      <w:pPr>
        <w:pStyle w:val="Bulletindent2"/>
        <w:numPr>
          <w:ilvl w:val="3"/>
          <w:numId w:val="18"/>
        </w:numPr>
      </w:pPr>
      <w:r>
        <w:t>detect any unusual activity/movements and take action where required</w:t>
      </w:r>
    </w:p>
    <w:p w:rsidR="008E2BB2" w:rsidRDefault="008E2BB2" w:rsidP="008E2BB2">
      <w:pPr>
        <w:pStyle w:val="NormalIndent"/>
      </w:pPr>
      <w:r>
        <w:t>and, in the longer term to:</w:t>
      </w:r>
    </w:p>
    <w:p w:rsidR="00615586" w:rsidRDefault="008E2BB2" w:rsidP="009C70DB">
      <w:pPr>
        <w:pStyle w:val="Bulletindent2"/>
        <w:numPr>
          <w:ilvl w:val="3"/>
          <w:numId w:val="18"/>
        </w:numPr>
      </w:pPr>
      <w:r>
        <w:t xml:space="preserve">assist in managing the State’s </w:t>
      </w:r>
      <w:r w:rsidRPr="00F731DB">
        <w:t>investment</w:t>
      </w:r>
      <w:r>
        <w:t xml:space="preserve"> portfolio and borrowings.</w:t>
      </w:r>
    </w:p>
    <w:p w:rsidR="00615586" w:rsidRPr="00B95729" w:rsidRDefault="00615586" w:rsidP="00615586">
      <w:pPr>
        <w:pStyle w:val="NormalIndent"/>
        <w:rPr>
          <w:b/>
          <w:i/>
        </w:rPr>
      </w:pPr>
      <w:r w:rsidRPr="00B95729">
        <w:rPr>
          <w:b/>
          <w:i/>
        </w:rPr>
        <w:t xml:space="preserve">The </w:t>
      </w:r>
      <w:r w:rsidR="00F47792" w:rsidRPr="00B95729">
        <w:rPr>
          <w:b/>
          <w:i/>
        </w:rPr>
        <w:t>P</w:t>
      </w:r>
      <w:r w:rsidRPr="00B95729">
        <w:rPr>
          <w:b/>
          <w:i/>
        </w:rPr>
        <w:t xml:space="preserve">ublic </w:t>
      </w:r>
      <w:r w:rsidR="00F47792" w:rsidRPr="00B95729">
        <w:rPr>
          <w:b/>
          <w:i/>
        </w:rPr>
        <w:t>A</w:t>
      </w:r>
      <w:r w:rsidRPr="00B95729">
        <w:rPr>
          <w:b/>
          <w:i/>
        </w:rPr>
        <w:t>ccount</w:t>
      </w:r>
      <w:r w:rsidR="00F47792" w:rsidRPr="00B95729">
        <w:rPr>
          <w:b/>
          <w:i/>
        </w:rPr>
        <w:t xml:space="preserve"> banking</w:t>
      </w:r>
      <w:r w:rsidRPr="00B95729">
        <w:rPr>
          <w:b/>
          <w:i/>
        </w:rPr>
        <w:t xml:space="preserve"> mechanism</w:t>
      </w:r>
    </w:p>
    <w:p w:rsidR="008E2BB2" w:rsidRDefault="00BF70ED" w:rsidP="00615586">
      <w:pPr>
        <w:pStyle w:val="NormalIndent"/>
      </w:pPr>
      <w:r>
        <w:t xml:space="preserve">DTF manages a </w:t>
      </w:r>
      <w:r w:rsidR="00711EBD">
        <w:t>w</w:t>
      </w:r>
      <w:r>
        <w:t xml:space="preserve">hole of Government banking contract </w:t>
      </w:r>
      <w:r w:rsidR="00711EBD">
        <w:t xml:space="preserve">that </w:t>
      </w:r>
      <w:r>
        <w:t xml:space="preserve">provides a </w:t>
      </w:r>
      <w:r w:rsidR="00AF35D8">
        <w:t>‘</w:t>
      </w:r>
      <w:r>
        <w:t>zero balancing cash pool</w:t>
      </w:r>
      <w:r w:rsidR="004E41AF">
        <w:t>’</w:t>
      </w:r>
      <w:r>
        <w:t xml:space="preserve"> (i.e. the Public Account). All Departmental accounts that are part of this arrangement are </w:t>
      </w:r>
      <w:r w:rsidR="008E2BB2">
        <w:t xml:space="preserve">swept to a zero balance </w:t>
      </w:r>
      <w:r>
        <w:t xml:space="preserve">centrally </w:t>
      </w:r>
      <w:r w:rsidR="008E2BB2">
        <w:t>on a daily basis.</w:t>
      </w:r>
    </w:p>
    <w:p w:rsidR="00BF70ED" w:rsidRDefault="00A45BD8" w:rsidP="00BF70ED">
      <w:pPr>
        <w:pStyle w:val="NormalIndent"/>
      </w:pPr>
      <w:r>
        <w:t xml:space="preserve">This sweeping arrangement </w:t>
      </w:r>
      <w:r w:rsidR="00BF70ED">
        <w:t xml:space="preserve">allows </w:t>
      </w:r>
      <w:r>
        <w:t>any s</w:t>
      </w:r>
      <w:r w:rsidR="004E49E1">
        <w:t>urplus funds</w:t>
      </w:r>
      <w:r>
        <w:t xml:space="preserve"> </w:t>
      </w:r>
      <w:r w:rsidR="006940B6">
        <w:t xml:space="preserve">from the cash pool </w:t>
      </w:r>
      <w:r w:rsidR="00BF70ED">
        <w:t xml:space="preserve">to be </w:t>
      </w:r>
      <w:r>
        <w:t>invested</w:t>
      </w:r>
      <w:r w:rsidR="004E49E1">
        <w:t xml:space="preserve"> </w:t>
      </w:r>
      <w:r w:rsidR="00BF70ED">
        <w:t xml:space="preserve">or offset against borrowings to minimise the net costs of borrowings </w:t>
      </w:r>
      <w:r w:rsidR="004E49E1">
        <w:t>(net interest cost</w:t>
      </w:r>
      <w:r w:rsidR="00F47792">
        <w:t>s</w:t>
      </w:r>
      <w:r w:rsidR="004E49E1">
        <w:t xml:space="preserve"> or interest expenditure less interest revenue) and </w:t>
      </w:r>
      <w:r w:rsidR="00BF70ED">
        <w:t xml:space="preserve">to </w:t>
      </w:r>
      <w:r w:rsidR="004E49E1">
        <w:t>ensure sufficient liquidity in order to m</w:t>
      </w:r>
      <w:r w:rsidR="00BF70ED">
        <w:t xml:space="preserve">eet obligations as they arise. </w:t>
      </w:r>
    </w:p>
    <w:p w:rsidR="009578A1" w:rsidRPr="00B95729" w:rsidRDefault="00F47792" w:rsidP="009578A1">
      <w:pPr>
        <w:pStyle w:val="NormalIndent"/>
        <w:rPr>
          <w:b/>
          <w:i/>
        </w:rPr>
      </w:pPr>
      <w:r w:rsidRPr="00B95729">
        <w:rPr>
          <w:b/>
          <w:i/>
        </w:rPr>
        <w:t xml:space="preserve">The </w:t>
      </w:r>
      <w:r w:rsidR="009578A1" w:rsidRPr="00B95729">
        <w:rPr>
          <w:b/>
          <w:i/>
        </w:rPr>
        <w:t>Treasury Corporation of Victoria</w:t>
      </w:r>
      <w:r w:rsidRPr="00B95729">
        <w:rPr>
          <w:b/>
          <w:i/>
        </w:rPr>
        <w:t xml:space="preserve"> and the Victorian Funds Management Corporation’s </w:t>
      </w:r>
      <w:r w:rsidR="009578A1" w:rsidRPr="00B95729">
        <w:rPr>
          <w:b/>
          <w:i/>
        </w:rPr>
        <w:t xml:space="preserve">role in </w:t>
      </w:r>
      <w:r w:rsidR="006940B6" w:rsidRPr="00B95729">
        <w:rPr>
          <w:b/>
          <w:i/>
        </w:rPr>
        <w:t xml:space="preserve">the State’s </w:t>
      </w:r>
      <w:r w:rsidR="009578A1" w:rsidRPr="00B95729">
        <w:rPr>
          <w:b/>
          <w:i/>
        </w:rPr>
        <w:t>cash management</w:t>
      </w:r>
      <w:r w:rsidR="005728F0" w:rsidRPr="00B95729">
        <w:rPr>
          <w:b/>
          <w:i/>
        </w:rPr>
        <w:t xml:space="preserve"> and investment</w:t>
      </w:r>
    </w:p>
    <w:p w:rsidR="009578A1" w:rsidRDefault="005728F0" w:rsidP="009578A1">
      <w:pPr>
        <w:pStyle w:val="NormalIndent"/>
      </w:pPr>
      <w:r>
        <w:t>The Treasury Corporation of Victoria (</w:t>
      </w:r>
      <w:r w:rsidR="009578A1">
        <w:t>TCV</w:t>
      </w:r>
      <w:r>
        <w:t>)</w:t>
      </w:r>
      <w:r w:rsidR="009578A1">
        <w:t xml:space="preserve"> is the central financing authority for the State of Victoria, and is the interface between the State and the wholesale financial markets.</w:t>
      </w:r>
    </w:p>
    <w:p w:rsidR="009578A1" w:rsidRDefault="009578A1" w:rsidP="009578A1">
      <w:pPr>
        <w:pStyle w:val="NormalIndent"/>
      </w:pPr>
      <w:r>
        <w:t xml:space="preserve">TCV’s borrowing programs provide financing liquidity for the State and its authorities. To maintain </w:t>
      </w:r>
      <w:r w:rsidR="005728F0">
        <w:t xml:space="preserve">sufficient </w:t>
      </w:r>
      <w:r>
        <w:t>cash flow in the Public Account, DTF may borrow funds from TCV to meet its daily expenditure commitment</w:t>
      </w:r>
      <w:r w:rsidR="00AF35D8">
        <w:t>s</w:t>
      </w:r>
      <w:r>
        <w:t xml:space="preserve">. </w:t>
      </w:r>
      <w:r w:rsidR="005728F0">
        <w:t xml:space="preserve">If there are </w:t>
      </w:r>
      <w:r w:rsidR="00AF35D8">
        <w:t xml:space="preserve">surplus </w:t>
      </w:r>
      <w:r>
        <w:t xml:space="preserve">funds being deposited (credited) to the bank accounts, </w:t>
      </w:r>
      <w:r w:rsidR="00AF35D8">
        <w:t xml:space="preserve">these funds </w:t>
      </w:r>
      <w:r>
        <w:t>are managed and invested into short-term investment</w:t>
      </w:r>
      <w:r w:rsidR="00AF35D8">
        <w:t>s</w:t>
      </w:r>
      <w:r>
        <w:t xml:space="preserve"> by TCV and the Victorian Funds Management Corporation</w:t>
      </w:r>
      <w:r w:rsidR="00F47792">
        <w:t xml:space="preserve"> (VFMC)</w:t>
      </w:r>
      <w:r>
        <w:t xml:space="preserve">. This </w:t>
      </w:r>
      <w:r w:rsidR="00AF35D8">
        <w:t>strategy seeks to optimise</w:t>
      </w:r>
      <w:r w:rsidR="0072604A">
        <w:t xml:space="preserve"> returns to the State.</w:t>
      </w:r>
    </w:p>
    <w:p w:rsidR="007B1C17" w:rsidRDefault="007B1C17" w:rsidP="009578A1">
      <w:pPr>
        <w:pStyle w:val="NormalIndent"/>
      </w:pPr>
      <w:r>
        <w:lastRenderedPageBreak/>
        <w:t xml:space="preserve">The </w:t>
      </w:r>
      <w:r w:rsidR="00A00CD6">
        <w:t xml:space="preserve">State’s </w:t>
      </w:r>
      <w:r w:rsidR="00F40095">
        <w:t>cash management banking arrangements are summarised in the following diagram:</w:t>
      </w:r>
    </w:p>
    <w:p w:rsidR="00027FBC" w:rsidRDefault="00027FBC" w:rsidP="00F64432">
      <w:pPr>
        <w:pStyle w:val="NormalIndent"/>
        <w:rPr>
          <w:noProof/>
        </w:rPr>
      </w:pPr>
      <w:r>
        <w:rPr>
          <w:noProof/>
        </w:rPr>
        <w:drawing>
          <wp:inline distT="0" distB="0" distL="0" distR="0" wp14:anchorId="29DC276B" wp14:editId="7DE0F4FB">
            <wp:extent cx="4854632" cy="1607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3933" cy="1606973"/>
                    </a:xfrm>
                    <a:prstGeom prst="rect">
                      <a:avLst/>
                    </a:prstGeom>
                    <a:noFill/>
                  </pic:spPr>
                </pic:pic>
              </a:graphicData>
            </a:graphic>
          </wp:inline>
        </w:drawing>
      </w:r>
    </w:p>
    <w:p w:rsidR="00C04113" w:rsidRDefault="00C04113" w:rsidP="00F64432">
      <w:pPr>
        <w:pStyle w:val="NormalIndent"/>
        <w:rPr>
          <w:i/>
        </w:rPr>
      </w:pPr>
    </w:p>
    <w:p w:rsidR="00C04113" w:rsidRDefault="00C04113" w:rsidP="00F64432">
      <w:pPr>
        <w:pStyle w:val="NormalIndent"/>
        <w:rPr>
          <w:i/>
        </w:rPr>
      </w:pPr>
    </w:p>
    <w:p w:rsidR="00F40095" w:rsidRDefault="00F40095" w:rsidP="00F40095">
      <w:pPr>
        <w:pStyle w:val="Heading4indent"/>
      </w:pPr>
      <w:r>
        <w:t>Relevant materials</w:t>
      </w:r>
    </w:p>
    <w:p w:rsidR="00F40095" w:rsidRDefault="00F40095" w:rsidP="00F40095">
      <w:pPr>
        <w:pStyle w:val="Heading5"/>
      </w:pPr>
      <w:r>
        <w:t>Budget Operations Framework</w:t>
      </w:r>
    </w:p>
    <w:p w:rsidR="00F40095" w:rsidRPr="00013786" w:rsidRDefault="00F40095" w:rsidP="00F40095">
      <w:pPr>
        <w:pStyle w:val="Bulletindent"/>
      </w:pPr>
      <w:r w:rsidRPr="00013786">
        <w:t xml:space="preserve">BOF section </w:t>
      </w:r>
      <w:r w:rsidR="00AA699D" w:rsidRPr="00013786">
        <w:t xml:space="preserve">on </w:t>
      </w:r>
      <w:r w:rsidR="00AA699D" w:rsidRPr="00013786">
        <w:rPr>
          <w:i/>
        </w:rPr>
        <w:t>The State’s Appropriation Framework – The Public Account</w:t>
      </w:r>
    </w:p>
    <w:p w:rsidR="00413AB9" w:rsidRPr="00013786" w:rsidRDefault="00413AB9" w:rsidP="00013786">
      <w:pPr>
        <w:pStyle w:val="Bulletindent"/>
        <w:numPr>
          <w:ilvl w:val="0"/>
          <w:numId w:val="0"/>
        </w:numPr>
        <w:ind w:left="1152"/>
      </w:pPr>
    </w:p>
    <w:p w:rsidR="00200ECD" w:rsidRDefault="00200ECD" w:rsidP="00413AB9">
      <w:pPr>
        <w:pStyle w:val="Bulletindent"/>
        <w:numPr>
          <w:ilvl w:val="0"/>
          <w:numId w:val="0"/>
        </w:numPr>
        <w:ind w:left="792"/>
      </w:pPr>
    </w:p>
    <w:p w:rsidR="00200ECD" w:rsidRDefault="00200ECD" w:rsidP="00413AB9">
      <w:pPr>
        <w:pStyle w:val="Bulletindent"/>
        <w:numPr>
          <w:ilvl w:val="0"/>
          <w:numId w:val="0"/>
        </w:numPr>
        <w:ind w:left="792"/>
      </w:pPr>
    </w:p>
    <w:p w:rsidR="009578A1" w:rsidRDefault="009578A1">
      <w:pPr>
        <w:spacing w:before="0" w:after="200"/>
        <w:rPr>
          <w:rFonts w:asciiTheme="majorHAnsi" w:eastAsiaTheme="majorEastAsia" w:hAnsiTheme="majorHAnsi" w:cstheme="majorBidi"/>
          <w:b/>
          <w:bCs/>
          <w:color w:val="0063A6" w:themeColor="accent1"/>
          <w:sz w:val="28"/>
          <w:szCs w:val="26"/>
        </w:rPr>
      </w:pPr>
      <w:r>
        <w:br w:type="page"/>
      </w:r>
    </w:p>
    <w:p w:rsidR="005476DA" w:rsidRDefault="000A5E66" w:rsidP="000A5E66">
      <w:pPr>
        <w:pStyle w:val="Heading2numbered"/>
      </w:pPr>
      <w:bookmarkStart w:id="30" w:name="_Toc476910319"/>
      <w:r>
        <w:lastRenderedPageBreak/>
        <w:t>Cash flow forecasting</w:t>
      </w:r>
      <w:bookmarkEnd w:id="29"/>
      <w:bookmarkEnd w:id="30"/>
    </w:p>
    <w:tbl>
      <w:tblPr>
        <w:tblStyle w:val="Mandatory"/>
        <w:tblW w:w="0" w:type="auto"/>
        <w:tblLook w:val="0620" w:firstRow="1" w:lastRow="0" w:firstColumn="0" w:lastColumn="0" w:noHBand="1" w:noVBand="1"/>
      </w:tblPr>
      <w:tblGrid>
        <w:gridCol w:w="8276"/>
      </w:tblGrid>
      <w:tr w:rsidR="000A5E66" w:rsidTr="000A5E66">
        <w:trPr>
          <w:cnfStyle w:val="100000000000" w:firstRow="1" w:lastRow="0" w:firstColumn="0" w:lastColumn="0" w:oddVBand="0" w:evenVBand="0" w:oddHBand="0" w:evenHBand="0" w:firstRowFirstColumn="0" w:firstRowLastColumn="0" w:lastRowFirstColumn="0" w:lastRowLastColumn="0"/>
        </w:trPr>
        <w:tc>
          <w:tcPr>
            <w:tcW w:w="9306" w:type="dxa"/>
          </w:tcPr>
          <w:p w:rsidR="000A5E66" w:rsidRPr="000A5E66" w:rsidRDefault="000A5E66" w:rsidP="000A5E66">
            <w:pPr>
              <w:pStyle w:val="Tableheader"/>
            </w:pPr>
            <w:r w:rsidRPr="008D7E41">
              <w:t xml:space="preserve">Mandatory </w:t>
            </w:r>
            <w:r>
              <w:t>r</w:t>
            </w:r>
            <w:r w:rsidRPr="008D7E41">
              <w:t>equirements</w:t>
            </w:r>
            <w:r>
              <w:br/>
              <w:t>CASH FLOW FORECASTING</w:t>
            </w:r>
          </w:p>
        </w:tc>
      </w:tr>
      <w:tr w:rsidR="000A5E66" w:rsidTr="000A5E66">
        <w:tc>
          <w:tcPr>
            <w:tcW w:w="9306" w:type="dxa"/>
          </w:tcPr>
          <w:p w:rsidR="000A5E66" w:rsidRDefault="000A5E66" w:rsidP="007D065F">
            <w:pPr>
              <w:pStyle w:val="Heading3numbered"/>
              <w:numPr>
                <w:ilvl w:val="4"/>
                <w:numId w:val="13"/>
              </w:numPr>
            </w:pPr>
            <w:bookmarkStart w:id="31" w:name="_Toc445470197"/>
            <w:bookmarkStart w:id="32" w:name="_Toc476910320"/>
            <w:r>
              <w:t>Cash flow forecast requirements</w:t>
            </w:r>
            <w:bookmarkEnd w:id="31"/>
            <w:bookmarkEnd w:id="32"/>
          </w:p>
          <w:p w:rsidR="000A5E66" w:rsidRDefault="000A5E66" w:rsidP="000A5E66">
            <w:pPr>
              <w:pStyle w:val="Tabletextnum"/>
            </w:pPr>
            <w:r>
              <w:t xml:space="preserve">By the last business day of each month, a Department must provide </w:t>
            </w:r>
            <w:r w:rsidR="00A05683">
              <w:t xml:space="preserve">the following forecasts </w:t>
            </w:r>
            <w:r>
              <w:t>to DTF:</w:t>
            </w:r>
          </w:p>
          <w:p w:rsidR="000A5E66" w:rsidRDefault="000A5E66" w:rsidP="000A5E66">
            <w:pPr>
              <w:pStyle w:val="TableBulletindent"/>
            </w:pPr>
            <w:r>
              <w:t xml:space="preserve">a rolling </w:t>
            </w:r>
            <w:r w:rsidRPr="00B83528">
              <w:rPr>
                <w:b/>
              </w:rPr>
              <w:t>daily</w:t>
            </w:r>
            <w:r>
              <w:t xml:space="preserve"> cash flow forecast for the next eight weeks </w:t>
            </w:r>
            <w:r w:rsidR="00874162">
              <w:t xml:space="preserve">ahead </w:t>
            </w:r>
            <w:r>
              <w:t>(months 1 and 2); and</w:t>
            </w:r>
          </w:p>
          <w:p w:rsidR="000A5E66" w:rsidRDefault="000A5E66" w:rsidP="000A5E66">
            <w:pPr>
              <w:pStyle w:val="TableBulletindent"/>
            </w:pPr>
            <w:r>
              <w:t xml:space="preserve">a rolling </w:t>
            </w:r>
            <w:r w:rsidR="00A05683" w:rsidRPr="00B83528">
              <w:rPr>
                <w:b/>
              </w:rPr>
              <w:t>monthly</w:t>
            </w:r>
            <w:r w:rsidR="00A05683">
              <w:t xml:space="preserve"> </w:t>
            </w:r>
            <w:r>
              <w:t>cash flow forecast for the remaining months ahead (months 3 to 12).</w:t>
            </w:r>
          </w:p>
          <w:p w:rsidR="000A5E66" w:rsidRDefault="000A5E66" w:rsidP="000A5E66">
            <w:pPr>
              <w:pStyle w:val="Tabletextnum"/>
            </w:pPr>
            <w:r>
              <w:t>The</w:t>
            </w:r>
            <w:r w:rsidR="00A05683">
              <w:t>se</w:t>
            </w:r>
            <w:r>
              <w:t xml:space="preserve"> cash flow forecasts must be updated prior to 10:30 am each business day in order to reflect the latest cash flow requirements.</w:t>
            </w:r>
          </w:p>
          <w:p w:rsidR="000A5E66" w:rsidRDefault="000A5E66" w:rsidP="000A5E66">
            <w:pPr>
              <w:pStyle w:val="Tabletextnum"/>
            </w:pPr>
            <w:r>
              <w:t>The monthly cash flow forecasts must be reviewed and authorised by the</w:t>
            </w:r>
            <w:r w:rsidR="00AA7403">
              <w:t xml:space="preserve"> Departmental</w:t>
            </w:r>
            <w:r>
              <w:t xml:space="preserve"> CFO prior to being provided to DTF.</w:t>
            </w:r>
          </w:p>
          <w:p w:rsidR="000A5E66" w:rsidRDefault="000A5E66" w:rsidP="000A5E66">
            <w:pPr>
              <w:pStyle w:val="Tabletextnum"/>
            </w:pPr>
            <w:r w:rsidRPr="00C55689">
              <w:t xml:space="preserve">Departments must provide </w:t>
            </w:r>
            <w:r>
              <w:t xml:space="preserve">to </w:t>
            </w:r>
            <w:r w:rsidRPr="00C55689">
              <w:t>DTF</w:t>
            </w:r>
            <w:r>
              <w:t>, reasons for any material variations (above 10 per cent) between:</w:t>
            </w:r>
          </w:p>
          <w:p w:rsidR="000A5E66" w:rsidRDefault="000A5E66" w:rsidP="000A5E66">
            <w:pPr>
              <w:pStyle w:val="TableBulletindent"/>
            </w:pPr>
            <w:r w:rsidRPr="00C55689">
              <w:t xml:space="preserve">the </w:t>
            </w:r>
            <w:r>
              <w:t>latest cash flow forecasts</w:t>
            </w:r>
            <w:r w:rsidRPr="00C55689">
              <w:t xml:space="preserve"> and those provided in July each </w:t>
            </w:r>
            <w:r>
              <w:t>year (based on the Budget); and</w:t>
            </w:r>
          </w:p>
          <w:p w:rsidR="000A5E66" w:rsidRPr="000A5E66" w:rsidRDefault="000A5E66" w:rsidP="002D4EE5">
            <w:pPr>
              <w:pStyle w:val="TableBulletindent"/>
            </w:pPr>
            <w:r w:rsidRPr="00C55689">
              <w:t xml:space="preserve">the latest cash flow </w:t>
            </w:r>
            <w:r>
              <w:t>forecasts</w:t>
            </w:r>
            <w:r w:rsidRPr="00C55689">
              <w:t xml:space="preserve"> and the prior month</w:t>
            </w:r>
            <w:r>
              <w:t>’s cash flow forecasts</w:t>
            </w:r>
            <w:r w:rsidRPr="00C55689">
              <w:t>.</w:t>
            </w:r>
          </w:p>
        </w:tc>
      </w:tr>
    </w:tbl>
    <w:p w:rsidR="00BF6584" w:rsidRDefault="00BF6584" w:rsidP="00A75461">
      <w:pPr>
        <w:pStyle w:val="Spacer"/>
      </w:pPr>
    </w:p>
    <w:p w:rsidR="009578A1" w:rsidRDefault="009578A1" w:rsidP="009578A1">
      <w:pPr>
        <w:pStyle w:val="Heading4indent"/>
      </w:pPr>
      <w:r>
        <w:t>Guidance</w:t>
      </w:r>
    </w:p>
    <w:p w:rsidR="00A75461" w:rsidRDefault="00A75461" w:rsidP="00BF6584">
      <w:pPr>
        <w:pStyle w:val="NormalIndent"/>
      </w:pPr>
      <w:r w:rsidRPr="00700FEA">
        <w:t xml:space="preserve">During the last week of </w:t>
      </w:r>
      <w:r>
        <w:t xml:space="preserve">each </w:t>
      </w:r>
      <w:r w:rsidRPr="00700FEA">
        <w:t>month</w:t>
      </w:r>
      <w:r>
        <w:t>, DTF</w:t>
      </w:r>
      <w:r w:rsidRPr="00700FEA">
        <w:t xml:space="preserve"> </w:t>
      </w:r>
      <w:r>
        <w:t>requests that D</w:t>
      </w:r>
      <w:r w:rsidRPr="00700FEA">
        <w:t xml:space="preserve">epartments update their cash flow estimates for the next </w:t>
      </w:r>
      <w:r w:rsidR="00DB6F4C">
        <w:t>12</w:t>
      </w:r>
      <w:r w:rsidRPr="00700FEA">
        <w:t xml:space="preserve">months by the fifth working day of the </w:t>
      </w:r>
      <w:r>
        <w:t xml:space="preserve">following </w:t>
      </w:r>
      <w:r w:rsidRPr="00700FEA">
        <w:t>month.</w:t>
      </w:r>
    </w:p>
    <w:p w:rsidR="00A75461" w:rsidRDefault="00A75461" w:rsidP="00BF6584">
      <w:pPr>
        <w:pStyle w:val="NormalIndent"/>
      </w:pPr>
      <w:r w:rsidRPr="00DC19AD">
        <w:t xml:space="preserve">The forecasts </w:t>
      </w:r>
      <w:r>
        <w:t xml:space="preserve">comprise </w:t>
      </w:r>
      <w:r w:rsidRPr="00DC19AD">
        <w:t>the cash requirements for their expenditure bank account(s</w:t>
      </w:r>
      <w:r>
        <w:t>), and the</w:t>
      </w:r>
      <w:r w:rsidRPr="00DC19AD">
        <w:t xml:space="preserve"> receipts to revenue bank account(s).</w:t>
      </w:r>
    </w:p>
    <w:p w:rsidR="00A75461" w:rsidRDefault="00A75461" w:rsidP="00BF6584">
      <w:pPr>
        <w:pStyle w:val="NormalIndent"/>
      </w:pPr>
      <w:r>
        <w:t>As the financial year progresses, cash flow forecasts will deviate. Departments are requested to update these forecasts in a timely manner by advising DTF.</w:t>
      </w:r>
    </w:p>
    <w:p w:rsidR="002D4EE5" w:rsidRDefault="00A75461" w:rsidP="00BF6584">
      <w:pPr>
        <w:pStyle w:val="NormalIndent"/>
      </w:pPr>
      <w:r>
        <w:t xml:space="preserve">It is advised that Departments prepare forecasts of their cash flow for each month consistent with their Departmental annual cash flow statements published in Budget Paper No. 5. </w:t>
      </w:r>
    </w:p>
    <w:p w:rsidR="00A75461" w:rsidRDefault="00A75461" w:rsidP="00BF6584">
      <w:pPr>
        <w:pStyle w:val="NormalIndent"/>
      </w:pPr>
      <w:r>
        <w:t xml:space="preserve">As the cash flow statements </w:t>
      </w:r>
      <w:r w:rsidR="002D4EE5">
        <w:t>in Budget Paper No</w:t>
      </w:r>
      <w:r w:rsidR="008808E8">
        <w:t>.</w:t>
      </w:r>
      <w:r w:rsidR="004D1C89">
        <w:t> </w:t>
      </w:r>
      <w:r w:rsidR="008808E8">
        <w:t>5</w:t>
      </w:r>
      <w:r w:rsidR="004D1C89">
        <w:t xml:space="preserve"> may </w:t>
      </w:r>
      <w:r>
        <w:t>include transactions</w:t>
      </w:r>
      <w:r w:rsidR="00CE0437">
        <w:t xml:space="preserve"> outside of the Public Account</w:t>
      </w:r>
      <w:r>
        <w:t>, Departments will need to remove these transactions from their monthly cash flow forecasts</w:t>
      </w:r>
      <w:r w:rsidR="004D1C89">
        <w:t xml:space="preserve"> before submitting them to DTF</w:t>
      </w:r>
      <w:r>
        <w:t>.</w:t>
      </w:r>
    </w:p>
    <w:p w:rsidR="008359F6" w:rsidRDefault="008359F6">
      <w:pPr>
        <w:spacing w:before="0" w:after="200"/>
        <w:rPr>
          <w:rFonts w:asciiTheme="majorHAnsi" w:eastAsiaTheme="majorEastAsia" w:hAnsiTheme="majorHAnsi" w:cstheme="majorBidi"/>
          <w:b/>
          <w:bCs/>
          <w:color w:val="0063A6" w:themeColor="accent1"/>
          <w:sz w:val="28"/>
          <w:szCs w:val="26"/>
        </w:rPr>
      </w:pPr>
      <w:bookmarkStart w:id="33" w:name="_Toc445470199"/>
      <w:r>
        <w:br w:type="page"/>
      </w:r>
    </w:p>
    <w:p w:rsidR="00D12E74" w:rsidRDefault="00A75461" w:rsidP="00A75461">
      <w:pPr>
        <w:pStyle w:val="Heading2numbered"/>
      </w:pPr>
      <w:bookmarkStart w:id="34" w:name="_Toc476910321"/>
      <w:r>
        <w:lastRenderedPageBreak/>
        <w:t>Cash management and reconciliation</w:t>
      </w:r>
      <w:bookmarkEnd w:id="33"/>
      <w:bookmarkEnd w:id="34"/>
    </w:p>
    <w:tbl>
      <w:tblPr>
        <w:tblStyle w:val="Mandatory"/>
        <w:tblW w:w="7483" w:type="dxa"/>
        <w:tblLook w:val="0620" w:firstRow="1" w:lastRow="0" w:firstColumn="0" w:lastColumn="0" w:noHBand="1" w:noVBand="1"/>
      </w:tblPr>
      <w:tblGrid>
        <w:gridCol w:w="7483"/>
      </w:tblGrid>
      <w:tr w:rsidR="00A75461" w:rsidRPr="008D7E41" w:rsidTr="00A75461">
        <w:trPr>
          <w:cnfStyle w:val="100000000000" w:firstRow="1" w:lastRow="0" w:firstColumn="0" w:lastColumn="0" w:oddVBand="0" w:evenVBand="0" w:oddHBand="0" w:evenHBand="0" w:firstRowFirstColumn="0" w:firstRowLastColumn="0" w:lastRowFirstColumn="0" w:lastRowLastColumn="0"/>
          <w:cantSplit/>
          <w:tblHeader/>
        </w:trPr>
        <w:tc>
          <w:tcPr>
            <w:tcW w:w="7483" w:type="dxa"/>
          </w:tcPr>
          <w:p w:rsidR="00A75461" w:rsidRPr="008D7E41" w:rsidRDefault="00A75461" w:rsidP="00A75461">
            <w:pPr>
              <w:pStyle w:val="Tableheader"/>
            </w:pPr>
            <w:r w:rsidRPr="008D7E41">
              <w:t xml:space="preserve">Mandatory </w:t>
            </w:r>
            <w:r>
              <w:t>r</w:t>
            </w:r>
            <w:r w:rsidRPr="008D7E41">
              <w:t>equirements</w:t>
            </w:r>
            <w:r>
              <w:br/>
              <w:t>CASH MANAGEMENT AND RECONCILIATION</w:t>
            </w:r>
          </w:p>
        </w:tc>
      </w:tr>
      <w:tr w:rsidR="00A75461" w:rsidRPr="008D7E41" w:rsidTr="00A75461">
        <w:tc>
          <w:tcPr>
            <w:tcW w:w="7483" w:type="dxa"/>
          </w:tcPr>
          <w:p w:rsidR="00A75461" w:rsidRDefault="00A75461" w:rsidP="00A75461">
            <w:pPr>
              <w:pStyle w:val="Heading3numbered"/>
            </w:pPr>
            <w:bookmarkStart w:id="35" w:name="_Toc445470200"/>
            <w:bookmarkStart w:id="36" w:name="_Toc476910322"/>
            <w:r>
              <w:t xml:space="preserve">Daily cash </w:t>
            </w:r>
            <w:r w:rsidR="0061303B">
              <w:t xml:space="preserve">transaction recording </w:t>
            </w:r>
            <w:r>
              <w:t>requirements</w:t>
            </w:r>
            <w:bookmarkEnd w:id="35"/>
            <w:bookmarkEnd w:id="36"/>
          </w:p>
          <w:p w:rsidR="00A75461" w:rsidRDefault="00A75461" w:rsidP="00A75461">
            <w:pPr>
              <w:pStyle w:val="Tabletextindent"/>
            </w:pPr>
            <w:r>
              <w:t xml:space="preserve">A Department must claim and process their daily Departmental </w:t>
            </w:r>
            <w:r w:rsidR="00DB6F4C">
              <w:t>g</w:t>
            </w:r>
            <w:r>
              <w:t xml:space="preserve">eneral </w:t>
            </w:r>
            <w:r w:rsidR="00DB6F4C">
              <w:t>g</w:t>
            </w:r>
            <w:r>
              <w:t xml:space="preserve">overnment bank account transactions in the cash ledger </w:t>
            </w:r>
            <w:r w:rsidRPr="00107833">
              <w:t xml:space="preserve">by no later than close of business </w:t>
            </w:r>
            <w:r>
              <w:t>three</w:t>
            </w:r>
            <w:r w:rsidRPr="00107833">
              <w:t xml:space="preserve"> days after the entry has been loaded into SRIMS.</w:t>
            </w:r>
          </w:p>
          <w:p w:rsidR="00A75461" w:rsidRDefault="00A75461" w:rsidP="00A75461">
            <w:pPr>
              <w:pStyle w:val="Heading3numbered"/>
              <w:rPr>
                <w:lang w:eastAsia="en-AU"/>
              </w:rPr>
            </w:pPr>
            <w:bookmarkStart w:id="37" w:name="_Toc445470201"/>
            <w:bookmarkStart w:id="38" w:name="_Toc476910323"/>
            <w:r w:rsidRPr="0017778C">
              <w:rPr>
                <w:lang w:eastAsia="en-AU"/>
              </w:rPr>
              <w:t>Monthly</w:t>
            </w:r>
            <w:r>
              <w:rPr>
                <w:lang w:eastAsia="en-AU"/>
              </w:rPr>
              <w:t xml:space="preserve"> cash </w:t>
            </w:r>
            <w:r w:rsidR="0061303B">
              <w:rPr>
                <w:lang w:eastAsia="en-AU"/>
              </w:rPr>
              <w:t xml:space="preserve">transaction reconciliation </w:t>
            </w:r>
            <w:r>
              <w:rPr>
                <w:lang w:eastAsia="en-AU"/>
              </w:rPr>
              <w:t>requirements</w:t>
            </w:r>
            <w:bookmarkEnd w:id="37"/>
            <w:bookmarkEnd w:id="38"/>
          </w:p>
          <w:p w:rsidR="00A75461" w:rsidRDefault="00A75461" w:rsidP="00A75461">
            <w:pPr>
              <w:pStyle w:val="Tabletextnum"/>
            </w:pPr>
            <w:r>
              <w:t xml:space="preserve">At </w:t>
            </w:r>
            <w:r w:rsidRPr="00107833">
              <w:t>month end,</w:t>
            </w:r>
            <w:r>
              <w:t xml:space="preserve"> a Department must reconcile all cash transactions with TCV for the calendar month with their respective Departmental </w:t>
            </w:r>
            <w:r w:rsidR="00DB6F4C">
              <w:t>g</w:t>
            </w:r>
            <w:r>
              <w:t xml:space="preserve">eneral </w:t>
            </w:r>
            <w:r w:rsidR="00DB6F4C">
              <w:t>g</w:t>
            </w:r>
            <w:r>
              <w:t>overnment bank account statements.</w:t>
            </w:r>
            <w:r>
              <w:rPr>
                <w:rStyle w:val="FootnoteReference"/>
              </w:rPr>
              <w:footnoteReference w:id="5"/>
            </w:r>
            <w:r>
              <w:t xml:space="preserve"> </w:t>
            </w:r>
          </w:p>
          <w:p w:rsidR="00A75461" w:rsidRDefault="00A75461" w:rsidP="00A75461">
            <w:pPr>
              <w:pStyle w:val="Tabletextnum"/>
            </w:pPr>
            <w:r>
              <w:t>The reconciliation under (a) must be completed in time for the following timelines to be met:</w:t>
            </w:r>
          </w:p>
          <w:p w:rsidR="00A75461" w:rsidRPr="00107833" w:rsidRDefault="00C93AD6" w:rsidP="00A75461">
            <w:pPr>
              <w:pStyle w:val="TableBulletindent"/>
            </w:pPr>
            <w:r>
              <w:t>b</w:t>
            </w:r>
            <w:r w:rsidR="00A75461" w:rsidRPr="00107833">
              <w:t>y the fifth business day of the new month:</w:t>
            </w:r>
            <w:r w:rsidR="00A75461">
              <w:t xml:space="preserve"> all D</w:t>
            </w:r>
            <w:r w:rsidR="00A75461" w:rsidRPr="00107833">
              <w:t xml:space="preserve">epartmental account transactions must be claimed and processed into the cash ledger and reconciled to </w:t>
            </w:r>
            <w:r w:rsidR="0025621E">
              <w:t>the</w:t>
            </w:r>
            <w:r w:rsidR="0025621E" w:rsidRPr="00107833">
              <w:t xml:space="preserve"> </w:t>
            </w:r>
            <w:r w:rsidR="00A75461" w:rsidRPr="00107833">
              <w:t>Departmen</w:t>
            </w:r>
            <w:r w:rsidR="00A75461">
              <w:t>t’s end of month bank statement;</w:t>
            </w:r>
            <w:r w:rsidR="0074118E">
              <w:t xml:space="preserve"> </w:t>
            </w:r>
            <w:r w:rsidR="00A75461" w:rsidRPr="00107833">
              <w:t>and</w:t>
            </w:r>
          </w:p>
          <w:p w:rsidR="00A75461" w:rsidRPr="00A75461" w:rsidRDefault="00C93AD6" w:rsidP="00DB6F4C">
            <w:pPr>
              <w:pStyle w:val="TableBulletindent"/>
            </w:pPr>
            <w:r>
              <w:t>b</w:t>
            </w:r>
            <w:r w:rsidR="00A75461" w:rsidRPr="00A75461">
              <w:t xml:space="preserve">y the </w:t>
            </w:r>
            <w:r w:rsidR="00DB6F4C">
              <w:t>10th</w:t>
            </w:r>
            <w:r w:rsidR="00A75461" w:rsidRPr="00A75461">
              <w:t xml:space="preserve"> business day of the new month: A Department must submit a </w:t>
            </w:r>
            <w:r w:rsidR="00DB6F4C">
              <w:t>m</w:t>
            </w:r>
            <w:r w:rsidR="00A75461" w:rsidRPr="00A75461">
              <w:t xml:space="preserve">onthly </w:t>
            </w:r>
            <w:r w:rsidR="00DB6F4C">
              <w:t>r</w:t>
            </w:r>
            <w:r w:rsidR="00A75461" w:rsidRPr="00A75461">
              <w:t>econciliation between its actuals and cash ledger for specified accounts (see Attachment 1) via email</w:t>
            </w:r>
            <w:r w:rsidR="00413A48">
              <w:t xml:space="preserve"> </w:t>
            </w:r>
            <w:r w:rsidR="00A75461" w:rsidRPr="00A75461">
              <w:t xml:space="preserve">to </w:t>
            </w:r>
            <w:hyperlink r:id="rId29" w:history="1">
              <w:r w:rsidRPr="00D63329">
                <w:rPr>
                  <w:rStyle w:val="Hyperlink"/>
                </w:rPr>
                <w:t>cashmanagement@dtf.vic.gov.au</w:t>
              </w:r>
            </w:hyperlink>
            <w:r>
              <w:t>.</w:t>
            </w:r>
          </w:p>
        </w:tc>
      </w:tr>
    </w:tbl>
    <w:p w:rsidR="00A75461" w:rsidRDefault="00A75461" w:rsidP="007D065F">
      <w:pPr>
        <w:pStyle w:val="Spacer"/>
      </w:pPr>
    </w:p>
    <w:p w:rsidR="00A75461" w:rsidRDefault="007D065F" w:rsidP="007D065F">
      <w:pPr>
        <w:pStyle w:val="Heading4indent"/>
      </w:pPr>
      <w:r>
        <w:t>Guidance</w:t>
      </w:r>
    </w:p>
    <w:p w:rsidR="00A75461" w:rsidRDefault="007D065F" w:rsidP="007D065F">
      <w:pPr>
        <w:pStyle w:val="NormalIndent"/>
      </w:pPr>
      <w:r>
        <w:t xml:space="preserve">The </w:t>
      </w:r>
      <w:r w:rsidR="00C93AD6">
        <w:t>c</w:t>
      </w:r>
      <w:r w:rsidRPr="00DB086F">
        <w:t xml:space="preserve">ash ledger </w:t>
      </w:r>
      <w:r>
        <w:t>and</w:t>
      </w:r>
      <w:r w:rsidRPr="00DB086F">
        <w:t xml:space="preserve"> </w:t>
      </w:r>
      <w:r w:rsidR="00C93AD6">
        <w:t>a</w:t>
      </w:r>
      <w:r w:rsidRPr="00DB086F">
        <w:t>ctuals ledger</w:t>
      </w:r>
      <w:r>
        <w:t xml:space="preserve"> balances must align. The following diagram shows the requirements at a high level:</w:t>
      </w:r>
    </w:p>
    <w:p w:rsidR="007D065F" w:rsidRDefault="007D065F" w:rsidP="007D065F">
      <w:pPr>
        <w:pStyle w:val="NormalIndent"/>
      </w:pPr>
      <w:r w:rsidRPr="007D065F">
        <w:rPr>
          <w:noProof/>
        </w:rPr>
        <mc:AlternateContent>
          <mc:Choice Requires="wpg">
            <w:drawing>
              <wp:inline distT="0" distB="0" distL="0" distR="0" wp14:anchorId="3A233B78" wp14:editId="74AD2EDA">
                <wp:extent cx="3749040" cy="530352"/>
                <wp:effectExtent l="0" t="0" r="22860" b="41275"/>
                <wp:docPr id="3" name="Group 7"/>
                <wp:cNvGraphicFramePr/>
                <a:graphic xmlns:a="http://schemas.openxmlformats.org/drawingml/2006/main">
                  <a:graphicData uri="http://schemas.microsoft.com/office/word/2010/wordprocessingGroup">
                    <wpg:wgp>
                      <wpg:cNvGrpSpPr/>
                      <wpg:grpSpPr>
                        <a:xfrm>
                          <a:off x="0" y="0"/>
                          <a:ext cx="3749040" cy="530352"/>
                          <a:chOff x="0" y="0"/>
                          <a:chExt cx="3749040" cy="525780"/>
                        </a:xfrm>
                      </wpg:grpSpPr>
                      <wps:wsp>
                        <wps:cNvPr id="4" name="Rectangle 4"/>
                        <wps:cNvSpPr/>
                        <wps:spPr>
                          <a:xfrm>
                            <a:off x="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27BD" w:rsidRDefault="008827BD" w:rsidP="007D065F">
                              <w:pPr>
                                <w:pStyle w:val="NormalWeb"/>
                                <w:spacing w:before="0" w:beforeAutospacing="0" w:after="0" w:afterAutospacing="0"/>
                                <w:jc w:val="center"/>
                              </w:pPr>
                              <w:r>
                                <w:rPr>
                                  <w:rFonts w:asciiTheme="minorHAnsi" w:hAnsi="Arial" w:cstheme="minorBidi"/>
                                  <w:color w:val="000000" w:themeColor="text1"/>
                                  <w:kern w:val="24"/>
                                  <w:sz w:val="20"/>
                                  <w:szCs w:val="20"/>
                                </w:rPr>
                                <w:t>Cash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49936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27BD" w:rsidRDefault="008827BD" w:rsidP="007D065F">
                              <w:pPr>
                                <w:pStyle w:val="NormalWeb"/>
                                <w:spacing w:before="0" w:beforeAutospacing="0" w:after="0" w:afterAutospacing="0"/>
                                <w:jc w:val="center"/>
                              </w:pPr>
                              <w:r>
                                <w:rPr>
                                  <w:rFonts w:asciiTheme="minorHAnsi" w:hAnsi="Arial" w:cstheme="minorBidi"/>
                                  <w:color w:val="000000" w:themeColor="text1"/>
                                  <w:kern w:val="24"/>
                                  <w:sz w:val="20"/>
                                  <w:szCs w:val="20"/>
                                </w:rPr>
                                <w:t>Actuals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4968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27BD" w:rsidRDefault="008827BD" w:rsidP="007D065F">
                              <w:pPr>
                                <w:pStyle w:val="NormalWeb"/>
                                <w:spacing w:before="0" w:beforeAutospacing="0" w:after="0" w:afterAutospacing="0"/>
                                <w:jc w:val="center"/>
                              </w:pPr>
                              <w:r>
                                <w:rPr>
                                  <w:rFonts w:asciiTheme="minorHAnsi" w:hAnsi="Arial" w:cstheme="minorBidi"/>
                                  <w:b/>
                                  <w:bCs/>
                                  <w:color w:val="000000" w:themeColor="text1"/>
                                  <w:kern w:val="24"/>
                                </w:rPr>
                                <w:t>Must 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432560" y="365760"/>
                            <a:ext cx="891540" cy="0"/>
                          </a:xfrm>
                          <a:prstGeom prst="straightConnector1">
                            <a:avLst/>
                          </a:prstGeom>
                          <a:ln w="28575">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 o:spid="_x0000_s1039" style="width:295.2pt;height:41.75pt;mso-position-horizontal-relative:char;mso-position-vertical-relative:line" coordsize="3749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">
                <v:rect id="Rectangle 4" o:spid="_x0000_s1040" style="position:absolute;width:12496;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gasMA&#10;AADaAAAADwAAAGRycy9kb3ducmV2LnhtbESPT2vCQBTE7wW/w/IEb3Wj2BpSVxGhIM3JGLDH1+zL&#10;n5p9G7Jbk377rlDwOMzMb5jNbjStuFHvGssKFvMIBHFhdcOVgvz8/hyDcB5ZY2uZFPySg9128rTB&#10;RNuBT3TLfCUChF2CCmrvu0RKV9Rk0M1tRxy80vYGfZB9JXWPQ4CbVi6j6FUabDgs1NjRoabimv0Y&#10;BVWelqtLmn/Zg44/1i+fZzLZt1Kz6bh/A+Fp9I/wf/uoFazgfiXc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cgasMAAADaAAAADwAAAAAAAAAAAAAAAACYAgAAZHJzL2Rv&#10;d25yZXYueG1sUEsFBgAAAAAEAAQA9QAAAIgDAAAAAA==&#10;" fillcolor="white [3212]" strokecolor="#0f0248 [3205]" strokeweight="1pt">
                  <v:textbox>
                    <w:txbxContent>
                      <w:p w:rsidR="008827BD" w:rsidRDefault="008827BD" w:rsidP="007D065F">
                        <w:pPr>
                          <w:pStyle w:val="NormalWeb"/>
                          <w:spacing w:before="0" w:beforeAutospacing="0" w:after="0" w:afterAutospacing="0"/>
                          <w:jc w:val="center"/>
                        </w:pPr>
                        <w:r>
                          <w:rPr>
                            <w:rFonts w:asciiTheme="minorHAnsi" w:hAnsi="Arial" w:cstheme="minorBidi"/>
                            <w:color w:val="000000" w:themeColor="text1"/>
                            <w:kern w:val="24"/>
                            <w:sz w:val="20"/>
                            <w:szCs w:val="20"/>
                          </w:rPr>
                          <w:t>Cash ledger in SRIMS</w:t>
                        </w:r>
                      </w:p>
                    </w:txbxContent>
                  </v:textbox>
                </v:rect>
                <v:rect id="Rectangle 9" o:spid="_x0000_s1041" style="position:absolute;left:24993;width:12497;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P9MQA&#10;AADaAAAADwAAAGRycy9kb3ducmV2LnhtbESPQWvCQBSE7wX/w/IK3uqmxVaNrkEChVJPjQE9PrPP&#10;JG32bchuk/jv3ULB4zAz3zCbZDSN6KlztWUFz7MIBHFhdc2lgvzw/rQE4TyyxsYyKbiSg2Q7edhg&#10;rO3AX9RnvhQBwi5GBZX3bSylKyoy6Ga2JQ7exXYGfZBdKXWHQ4CbRr5E0Zs0WHNYqLCltKLiJ/s1&#10;Csp8f5kf9/nZpnr5uXg9Hchk30pNH8fdGoSn0d/D/+0PrWAFf1fCD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j/TEAAAA2gAAAA8AAAAAAAAAAAAAAAAAmAIAAGRycy9k&#10;b3ducmV2LnhtbFBLBQYAAAAABAAEAPUAAACJAwAAAAA=&#10;" fillcolor="white [3212]" strokecolor="#0f0248 [3205]" strokeweight="1pt">
                  <v:textbox>
                    <w:txbxContent>
                      <w:p w:rsidR="008827BD" w:rsidRDefault="008827BD" w:rsidP="007D065F">
                        <w:pPr>
                          <w:pStyle w:val="NormalWeb"/>
                          <w:spacing w:before="0" w:beforeAutospacing="0" w:after="0" w:afterAutospacing="0"/>
                          <w:jc w:val="center"/>
                        </w:pPr>
                        <w:r>
                          <w:rPr>
                            <w:rFonts w:asciiTheme="minorHAnsi" w:hAnsi="Arial" w:cstheme="minorBidi"/>
                            <w:color w:val="000000" w:themeColor="text1"/>
                            <w:kern w:val="24"/>
                            <w:sz w:val="20"/>
                            <w:szCs w:val="20"/>
                          </w:rPr>
                          <w:t>Actuals ledger in SRIMS</w:t>
                        </w:r>
                      </w:p>
                    </w:txbxContent>
                  </v:textbox>
                </v:rect>
                <v:rect id="Rectangle 10" o:spid="_x0000_s1042" style="position:absolute;left:12496;width:12497;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POcIA&#10;AADbAAAADwAAAGRycy9kb3ducmV2LnhtbESPQWvCQBCF7wX/wzJCL0U3lSISXSUIgjdbFc9DdswG&#10;s7Mhu8a0v75zELzN8N68981qM/hG9dTFOrCBz2kGirgMtubKwPm0myxAxYRssQlMBn4pwmY9elth&#10;bsODf6g/pkpJCMccDbiU2lzrWDryGKehJRbtGjqPSdau0rbDh4T7Rs+ybK491iwNDlvaOipvx7s3&#10;8Ld3H4vC9tnX7kDX83Aptn36NuZ9PBRLUImG9DI/r/d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885wgAAANsAAAAPAAAAAAAAAAAAAAAAAJgCAABkcnMvZG93&#10;bnJldi54bWxQSwUGAAAAAAQABAD1AAAAhwMAAAAA&#10;" fillcolor="white [3212]" strokecolor="#0f0248 [3205]" strokeweight="1pt">
                  <v:textbox>
                    <w:txbxContent>
                      <w:p w:rsidR="008827BD" w:rsidRDefault="008827BD" w:rsidP="007D065F">
                        <w:pPr>
                          <w:pStyle w:val="NormalWeb"/>
                          <w:spacing w:before="0" w:beforeAutospacing="0" w:after="0" w:afterAutospacing="0"/>
                          <w:jc w:val="center"/>
                        </w:pPr>
                        <w:r>
                          <w:rPr>
                            <w:rFonts w:asciiTheme="minorHAnsi" w:hAnsi="Arial" w:cstheme="minorBidi"/>
                            <w:b/>
                            <w:bCs/>
                            <w:color w:val="000000" w:themeColor="text1"/>
                            <w:kern w:val="24"/>
                          </w:rPr>
                          <w:t>Must agree</w:t>
                        </w:r>
                      </w:p>
                    </w:txbxContent>
                  </v:textbox>
                </v:rect>
                <v:shapetype id="_x0000_t32" coordsize="21600,21600" o:spt="32" o:oned="t" path="m,l21600,21600e" filled="f">
                  <v:path arrowok="t" fillok="f" o:connecttype="none"/>
                  <o:lock v:ext="edit" shapetype="t"/>
                </v:shapetype>
                <v:shape id="Straight Arrow Connector 17" o:spid="_x0000_s1043" type="#_x0000_t32" style="position:absolute;left:14325;top:3657;width:8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XMQAAADbAAAADwAAAGRycy9kb3ducmV2LnhtbERPTWvCQBC9F/oflin0Vjd6qBJdQ2wR&#10;e1CkVgRvY3aahO7OxuxWo7/eFQq9zeN9ziTrrBEnan3tWEG/l4AgLpyuuVSw/Zq/jED4gKzROCYF&#10;F/KQTR8fJphqd+ZPOm1CKWII+xQVVCE0qZS+qMii77mGOHLfrrUYImxLqVs8x3Br5CBJXqXFmmND&#10;hQ29VVT8bH6tgl2+NDg7HnaX1ftitVwbf232Xqnnpy4fgwjUhX/xn/tDx/lDuP8SD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TxcxAAAANsAAAAPAAAAAAAAAAAA&#10;AAAAAKECAABkcnMvZG93bnJldi54bWxQSwUGAAAAAAQABAD5AAAAkgMAAAAA&#10;" strokecolor="#005d9d [3044]" strokeweight="2.25pt">
                  <v:stroke startarrow="classic" startarrowwidth="wide" startarrowlength="long" endarrow="classic" endarrowwidth="wide" endarrowlength="long"/>
                </v:shape>
                <w10:anchorlock/>
              </v:group>
            </w:pict>
          </mc:Fallback>
        </mc:AlternateContent>
      </w:r>
    </w:p>
    <w:p w:rsidR="007D065F" w:rsidRDefault="007D065F" w:rsidP="007D065F">
      <w:pPr>
        <w:pStyle w:val="NormalIndent"/>
      </w:pPr>
      <w:r>
        <w:t xml:space="preserve">The central State Administration Unit (SAU) reconciliation relies upon the accuracy of this </w:t>
      </w:r>
      <w:r w:rsidRPr="00B4038A">
        <w:t>reconciliation</w:t>
      </w:r>
      <w:r>
        <w:t>.</w:t>
      </w:r>
    </w:p>
    <w:p w:rsidR="007D065F" w:rsidRDefault="007D065F" w:rsidP="007D065F">
      <w:pPr>
        <w:pStyle w:val="NormalIndent"/>
      </w:pPr>
      <w:r w:rsidRPr="007D065F">
        <w:rPr>
          <w:b/>
        </w:rPr>
        <w:t>Attachment 1</w:t>
      </w:r>
      <w:r w:rsidRPr="00C3267A">
        <w:t xml:space="preserve"> provides</w:t>
      </w:r>
      <w:r w:rsidRPr="0017778C">
        <w:t xml:space="preserve"> the monthly reconciliation template to be used at the calendar month end. The template aims to assist </w:t>
      </w:r>
      <w:r>
        <w:t>D</w:t>
      </w:r>
      <w:r w:rsidRPr="0017778C">
        <w:t xml:space="preserve">epartments to balance data and to identify any reconciling items </w:t>
      </w:r>
      <w:r w:rsidRPr="00DB086F">
        <w:t>prior to</w:t>
      </w:r>
      <w:r w:rsidRPr="0017778C">
        <w:t xml:space="preserve"> submitting their </w:t>
      </w:r>
      <w:r w:rsidRPr="00DB086F">
        <w:t>SRIMS</w:t>
      </w:r>
      <w:r w:rsidRPr="0017778C">
        <w:t xml:space="preserve"> feed to DTF. This reconciliation must be authorised by each </w:t>
      </w:r>
      <w:r>
        <w:t>D</w:t>
      </w:r>
      <w:r w:rsidRPr="0017778C">
        <w:t xml:space="preserve">epartment’s </w:t>
      </w:r>
      <w:r>
        <w:t>CFO</w:t>
      </w:r>
      <w:r w:rsidRPr="0017778C">
        <w:t>.</w:t>
      </w:r>
    </w:p>
    <w:p w:rsidR="003533CE" w:rsidRDefault="00A85967" w:rsidP="00CD29FF">
      <w:pPr>
        <w:spacing w:before="0" w:after="200"/>
      </w:pPr>
      <w:r>
        <w:br w:type="page"/>
      </w:r>
    </w:p>
    <w:p w:rsidR="007D065F" w:rsidRDefault="007D065F" w:rsidP="007D065F">
      <w:pPr>
        <w:pStyle w:val="Heading1numbered"/>
      </w:pPr>
      <w:bookmarkStart w:id="39" w:name="_Toc445470202"/>
      <w:bookmarkStart w:id="40" w:name="_Toc476910324"/>
      <w:r>
        <w:lastRenderedPageBreak/>
        <w:t>Specific accounting issues</w:t>
      </w:r>
      <w:bookmarkEnd w:id="39"/>
      <w:bookmarkEnd w:id="40"/>
    </w:p>
    <w:p w:rsidR="007D065F" w:rsidRPr="007D065F" w:rsidRDefault="007D065F" w:rsidP="007D065F">
      <w:pPr>
        <w:pStyle w:val="Heading2numbered"/>
      </w:pPr>
      <w:bookmarkStart w:id="41" w:name="_Toc445470203"/>
      <w:bookmarkStart w:id="42" w:name="_Toc476910325"/>
      <w:r>
        <w:t>The classification and treatment of controlled and administered items</w:t>
      </w:r>
      <w:bookmarkEnd w:id="41"/>
      <w:bookmarkEnd w:id="42"/>
    </w:p>
    <w:tbl>
      <w:tblPr>
        <w:tblStyle w:val="Mandatory"/>
        <w:tblW w:w="7483" w:type="dxa"/>
        <w:tblLook w:val="0620" w:firstRow="1" w:lastRow="0" w:firstColumn="0" w:lastColumn="0" w:noHBand="1" w:noVBand="1"/>
      </w:tblPr>
      <w:tblGrid>
        <w:gridCol w:w="7483"/>
      </w:tblGrid>
      <w:tr w:rsidR="007D065F" w:rsidRPr="008D7E41" w:rsidTr="007D065F">
        <w:trPr>
          <w:cnfStyle w:val="100000000000" w:firstRow="1" w:lastRow="0" w:firstColumn="0" w:lastColumn="0" w:oddVBand="0" w:evenVBand="0" w:oddHBand="0" w:evenHBand="0" w:firstRowFirstColumn="0" w:firstRowLastColumn="0" w:lastRowFirstColumn="0" w:lastRowLastColumn="0"/>
          <w:cantSplit/>
        </w:trPr>
        <w:tc>
          <w:tcPr>
            <w:tcW w:w="7483" w:type="dxa"/>
          </w:tcPr>
          <w:p w:rsidR="007D065F" w:rsidRPr="008D7E41" w:rsidRDefault="007D065F" w:rsidP="007D065F">
            <w:pPr>
              <w:pStyle w:val="Tableheader"/>
            </w:pPr>
            <w:r w:rsidRPr="008D7E41">
              <w:t xml:space="preserve">Mandatory </w:t>
            </w:r>
            <w:r>
              <w:t>r</w:t>
            </w:r>
            <w:r w:rsidRPr="008D7E41">
              <w:t>equirements</w:t>
            </w:r>
            <w:r>
              <w:br/>
              <w:t>CLASSIFICATION AND TREATMENT OF CONTROLLED AND ADMINISTERED ITEMS</w:t>
            </w:r>
          </w:p>
        </w:tc>
      </w:tr>
      <w:tr w:rsidR="007D065F" w:rsidRPr="008D7E41" w:rsidTr="007D065F">
        <w:trPr>
          <w:trHeight w:val="2553"/>
        </w:trPr>
        <w:tc>
          <w:tcPr>
            <w:tcW w:w="7483" w:type="dxa"/>
          </w:tcPr>
          <w:p w:rsidR="007D065F" w:rsidRDefault="007D065F" w:rsidP="007D065F">
            <w:pPr>
              <w:pStyle w:val="Heading3numbered"/>
            </w:pPr>
            <w:bookmarkStart w:id="43" w:name="_Toc445470204"/>
            <w:bookmarkStart w:id="44" w:name="_Toc476910326"/>
            <w:r>
              <w:t>Treatment of controlled items</w:t>
            </w:r>
            <w:bookmarkEnd w:id="43"/>
            <w:bookmarkEnd w:id="44"/>
          </w:p>
          <w:p w:rsidR="007D065F" w:rsidRPr="006216A6" w:rsidRDefault="007D065F" w:rsidP="007D065F">
            <w:pPr>
              <w:pStyle w:val="Tabletextindent"/>
            </w:pPr>
            <w:r>
              <w:t>A Department must classify all items</w:t>
            </w:r>
            <w:r>
              <w:rPr>
                <w:rStyle w:val="FootnoteReference"/>
              </w:rPr>
              <w:footnoteReference w:id="6"/>
            </w:r>
            <w:r>
              <w:t xml:space="preserve"> as ‘controlled’ unless they clearly meet the criteria for classification as ‘administered’ as per </w:t>
            </w:r>
            <w:r w:rsidRPr="00146C0C">
              <w:rPr>
                <w:i/>
              </w:rPr>
              <w:t>Accounting Standard AASB 1050</w:t>
            </w:r>
            <w:r w:rsidR="0025621E">
              <w:t xml:space="preserve"> </w:t>
            </w:r>
            <w:r w:rsidR="0025621E">
              <w:rPr>
                <w:i/>
              </w:rPr>
              <w:t>Administered</w:t>
            </w:r>
            <w:r w:rsidR="008A73C2">
              <w:rPr>
                <w:i/>
              </w:rPr>
              <w:t xml:space="preserve"> I</w:t>
            </w:r>
            <w:r w:rsidR="0025621E">
              <w:rPr>
                <w:i/>
              </w:rPr>
              <w:t>tems</w:t>
            </w:r>
            <w:r>
              <w:t>.</w:t>
            </w:r>
          </w:p>
          <w:p w:rsidR="007D065F" w:rsidRPr="003C4819" w:rsidRDefault="007D065F" w:rsidP="007D065F">
            <w:pPr>
              <w:pStyle w:val="Heading3numbered"/>
            </w:pPr>
            <w:bookmarkStart w:id="45" w:name="_Toc445470205"/>
            <w:bookmarkStart w:id="46" w:name="_Toc476910327"/>
            <w:r>
              <w:t>Treatment of a</w:t>
            </w:r>
            <w:r w:rsidRPr="00731E39">
              <w:t xml:space="preserve">dministered </w:t>
            </w:r>
            <w:r>
              <w:t>items</w:t>
            </w:r>
            <w:bookmarkEnd w:id="45"/>
            <w:bookmarkEnd w:id="46"/>
          </w:p>
          <w:p w:rsidR="007D065F" w:rsidRDefault="007D065F" w:rsidP="007D065F">
            <w:pPr>
              <w:pStyle w:val="Tabletextnum"/>
            </w:pPr>
            <w:r>
              <w:t>Unless contributing to output delivery, an item must be classified as administered where an Act or binding agreement means the Department has no influence on any of the following:</w:t>
            </w:r>
          </w:p>
          <w:p w:rsidR="007D065F" w:rsidRDefault="007D065F" w:rsidP="007D065F">
            <w:pPr>
              <w:pStyle w:val="TableBulletindent"/>
            </w:pPr>
            <w:r>
              <w:t xml:space="preserve">eligibility; </w:t>
            </w:r>
          </w:p>
          <w:p w:rsidR="007D065F" w:rsidRDefault="007D065F" w:rsidP="007D065F">
            <w:pPr>
              <w:pStyle w:val="TableBulletindent"/>
            </w:pPr>
            <w:r>
              <w:t>timing; or</w:t>
            </w:r>
          </w:p>
          <w:p w:rsidR="007D065F" w:rsidRDefault="007D065F" w:rsidP="007D065F">
            <w:pPr>
              <w:pStyle w:val="TableBulletindent"/>
            </w:pPr>
            <w:r>
              <w:t>amount of the item.</w:t>
            </w:r>
          </w:p>
          <w:p w:rsidR="007D065F" w:rsidRDefault="007D065F" w:rsidP="007D065F">
            <w:pPr>
              <w:pStyle w:val="Tabletextnum"/>
            </w:pPr>
            <w:r w:rsidRPr="00731E39">
              <w:t>Transactions relating to</w:t>
            </w:r>
            <w:r>
              <w:t xml:space="preserve"> items of an</w:t>
            </w:r>
            <w:r w:rsidRPr="00731E39">
              <w:t xml:space="preserve"> administered </w:t>
            </w:r>
            <w:r>
              <w:t>nature, must</w:t>
            </w:r>
            <w:r w:rsidRPr="00731E39">
              <w:t xml:space="preserve"> be posted to the </w:t>
            </w:r>
            <w:r>
              <w:t>administered entity (</w:t>
            </w:r>
            <w:r w:rsidRPr="00731E39">
              <w:t>SAU branch</w:t>
            </w:r>
            <w:r>
              <w:t>)</w:t>
            </w:r>
            <w:r w:rsidRPr="00731E39">
              <w:t xml:space="preserve"> of the </w:t>
            </w:r>
            <w:r>
              <w:t>D</w:t>
            </w:r>
            <w:r w:rsidRPr="00731E39">
              <w:t>epartment</w:t>
            </w:r>
            <w:r>
              <w:t>’</w:t>
            </w:r>
            <w:r w:rsidRPr="00731E39">
              <w:t xml:space="preserve">s ledger. </w:t>
            </w:r>
          </w:p>
          <w:p w:rsidR="007D065F" w:rsidRDefault="007D065F" w:rsidP="007D065F">
            <w:pPr>
              <w:pStyle w:val="Tabletextnum"/>
            </w:pPr>
            <w:r w:rsidRPr="00731E39">
              <w:t xml:space="preserve">Administered items </w:t>
            </w:r>
            <w:r>
              <w:t>must</w:t>
            </w:r>
            <w:r w:rsidRPr="00731E39">
              <w:t xml:space="preserve"> be:</w:t>
            </w:r>
          </w:p>
          <w:p w:rsidR="007D065F" w:rsidRDefault="007D065F" w:rsidP="007D065F">
            <w:pPr>
              <w:pStyle w:val="TableBulletindent"/>
            </w:pPr>
            <w:r w:rsidRPr="008E7D4B">
              <w:t>included</w:t>
            </w:r>
            <w:r>
              <w:t xml:space="preserve"> in the financial </w:t>
            </w:r>
            <w:r w:rsidR="0025621E">
              <w:t>statements</w:t>
            </w:r>
            <w:r>
              <w:t xml:space="preserve">; and </w:t>
            </w:r>
          </w:p>
          <w:p w:rsidR="007D065F" w:rsidRPr="008D7E41" w:rsidRDefault="007D065F" w:rsidP="007D065F">
            <w:pPr>
              <w:pStyle w:val="TableBulletindent"/>
            </w:pPr>
            <w:r w:rsidRPr="00B7644D">
              <w:t>disclosed</w:t>
            </w:r>
            <w:r>
              <w:t xml:space="preserve"> </w:t>
            </w:r>
            <w:r w:rsidRPr="00B7644D">
              <w:t>separately</w:t>
            </w:r>
            <w:r>
              <w:t xml:space="preserve"> in Budget documents and in a Department’s financial and output reports. </w:t>
            </w:r>
          </w:p>
        </w:tc>
      </w:tr>
    </w:tbl>
    <w:p w:rsidR="007D065F" w:rsidRDefault="007D065F" w:rsidP="00435EE9">
      <w:pPr>
        <w:pStyle w:val="Spacer"/>
      </w:pPr>
    </w:p>
    <w:p w:rsidR="00435EE9" w:rsidRDefault="00435EE9" w:rsidP="00435EE9">
      <w:pPr>
        <w:pStyle w:val="Heading4indent"/>
      </w:pPr>
      <w:r>
        <w:t>Guidance</w:t>
      </w:r>
    </w:p>
    <w:p w:rsidR="00435EE9" w:rsidRDefault="00435EE9" w:rsidP="007D065F">
      <w:pPr>
        <w:pStyle w:val="NormalIndent"/>
      </w:pPr>
      <w:r>
        <w:t>D</w:t>
      </w:r>
      <w:r w:rsidRPr="00731E39">
        <w:t xml:space="preserve">epartments </w:t>
      </w:r>
      <w:r>
        <w:t xml:space="preserve">are required </w:t>
      </w:r>
      <w:r w:rsidRPr="00731E39">
        <w:t xml:space="preserve">to classify revenues, expenses, assets and liabilities as either </w:t>
      </w:r>
      <w:r>
        <w:t>‘</w:t>
      </w:r>
      <w:r w:rsidRPr="00731E39">
        <w:t>controlled</w:t>
      </w:r>
      <w:r>
        <w:t>’</w:t>
      </w:r>
      <w:r w:rsidRPr="00731E39">
        <w:t xml:space="preserve"> or </w:t>
      </w:r>
      <w:r>
        <w:t>‘</w:t>
      </w:r>
      <w:r w:rsidRPr="00731E39">
        <w:t>administered</w:t>
      </w:r>
      <w:r>
        <w:t>’</w:t>
      </w:r>
      <w:r w:rsidRPr="00731E39">
        <w:t xml:space="preserve">. </w:t>
      </w:r>
      <w:r>
        <w:t>U</w:t>
      </w:r>
      <w:r w:rsidRPr="00731E39">
        <w:t xml:space="preserve">nder </w:t>
      </w:r>
      <w:r>
        <w:t xml:space="preserve">Accounting Standard </w:t>
      </w:r>
      <w:r w:rsidRPr="00731E39">
        <w:t>AAS</w:t>
      </w:r>
      <w:r>
        <w:t>B</w:t>
      </w:r>
      <w:r w:rsidRPr="00731E39">
        <w:t xml:space="preserve"> </w:t>
      </w:r>
      <w:r>
        <w:t>1050</w:t>
      </w:r>
      <w:r w:rsidR="0025621E">
        <w:t xml:space="preserve"> </w:t>
      </w:r>
      <w:r w:rsidR="0025621E">
        <w:rPr>
          <w:i/>
        </w:rPr>
        <w:t xml:space="preserve">Administered </w:t>
      </w:r>
      <w:r w:rsidR="008A73C2">
        <w:rPr>
          <w:i/>
        </w:rPr>
        <w:t>I</w:t>
      </w:r>
      <w:r w:rsidR="0025621E">
        <w:rPr>
          <w:i/>
        </w:rPr>
        <w:t>tems</w:t>
      </w:r>
      <w:r w:rsidRPr="00731E39">
        <w:t xml:space="preserve">, </w:t>
      </w:r>
      <w:r>
        <w:t>Government D</w:t>
      </w:r>
      <w:r w:rsidRPr="00731E39">
        <w:t xml:space="preserve">epartments are required to report separately on their controlled and administered items. </w:t>
      </w:r>
      <w:r w:rsidRPr="003C4819">
        <w:t>Administered revenue and expenses are shown as ‘Receipts on behalf of the State’ and ‘Payments made on behalf of the State’ in financial statements and Appropriation Bills.</w:t>
      </w:r>
    </w:p>
    <w:p w:rsidR="00435EE9" w:rsidRDefault="00435EE9" w:rsidP="007D065F">
      <w:pPr>
        <w:pStyle w:val="NormalIndent"/>
      </w:pPr>
      <w:r w:rsidRPr="00731E39">
        <w:t xml:space="preserve">Administered items do not form part of a </w:t>
      </w:r>
      <w:r>
        <w:t>D</w:t>
      </w:r>
      <w:r w:rsidRPr="00731E39">
        <w:t>epartment</w:t>
      </w:r>
      <w:r>
        <w:t>’</w:t>
      </w:r>
      <w:r w:rsidRPr="00731E39">
        <w:t xml:space="preserve">s outputs, and in the case of administered expenses, funding is provided under a separate </w:t>
      </w:r>
      <w:hyperlink r:id="rId30" w:history="1">
        <w:r w:rsidRPr="00045C2D">
          <w:t>appropriation</w:t>
        </w:r>
      </w:hyperlink>
      <w:r w:rsidRPr="00731E39">
        <w:t>.</w:t>
      </w:r>
    </w:p>
    <w:p w:rsidR="00435EE9" w:rsidRDefault="00435EE9" w:rsidP="007D065F">
      <w:pPr>
        <w:pStyle w:val="NormalIndent"/>
      </w:pPr>
      <w:r w:rsidRPr="00731E39">
        <w:t xml:space="preserve">The decision to classify an asset or liability as </w:t>
      </w:r>
      <w:r>
        <w:t>‘</w:t>
      </w:r>
      <w:r w:rsidRPr="00731E39">
        <w:t>administered</w:t>
      </w:r>
      <w:r>
        <w:t>’</w:t>
      </w:r>
      <w:r w:rsidRPr="00731E39">
        <w:t xml:space="preserve"> rather than </w:t>
      </w:r>
      <w:r>
        <w:t>‘</w:t>
      </w:r>
      <w:r w:rsidRPr="00731E39">
        <w:t>controlled</w:t>
      </w:r>
      <w:r>
        <w:t>’</w:t>
      </w:r>
      <w:r w:rsidRPr="00731E39">
        <w:t xml:space="preserve"> will affect the impact of items such as the </w:t>
      </w:r>
      <w:r>
        <w:t>Capital Asset Charge (</w:t>
      </w:r>
      <w:hyperlink r:id="rId31" w:history="1">
        <w:r w:rsidRPr="008118F8">
          <w:t>CAC</w:t>
        </w:r>
      </w:hyperlink>
      <w:r>
        <w:t xml:space="preserve">) </w:t>
      </w:r>
      <w:r w:rsidRPr="00731E39">
        <w:t xml:space="preserve">on the </w:t>
      </w:r>
      <w:r>
        <w:t>D</w:t>
      </w:r>
      <w:r w:rsidRPr="00731E39">
        <w:t>epartment</w:t>
      </w:r>
      <w:r>
        <w:t>’</w:t>
      </w:r>
      <w:r w:rsidRPr="00731E39">
        <w:t>s operations, and the way in which the asset or liability is present</w:t>
      </w:r>
      <w:r>
        <w:t xml:space="preserve">ed in the Budget </w:t>
      </w:r>
      <w:r w:rsidR="00DB6F4C">
        <w:t>p</w:t>
      </w:r>
      <w:r>
        <w:t xml:space="preserve">apers (refer to </w:t>
      </w:r>
      <w:r w:rsidR="00BA4826">
        <w:t>Budget Operations Framework S</w:t>
      </w:r>
      <w:r w:rsidRPr="00A50DD5">
        <w:rPr>
          <w:i/>
        </w:rPr>
        <w:t xml:space="preserve">ection </w:t>
      </w:r>
      <w:r w:rsidR="00146C0C">
        <w:rPr>
          <w:i/>
        </w:rPr>
        <w:t>3</w:t>
      </w:r>
      <w:r w:rsidRPr="00A50DD5">
        <w:rPr>
          <w:i/>
        </w:rPr>
        <w:t>.</w:t>
      </w:r>
      <w:r w:rsidR="00146C0C">
        <w:rPr>
          <w:i/>
        </w:rPr>
        <w:t>2</w:t>
      </w:r>
      <w:r>
        <w:t xml:space="preserve"> on </w:t>
      </w:r>
      <w:r w:rsidR="00DB6F4C">
        <w:t>CAC</w:t>
      </w:r>
      <w:r w:rsidRPr="00731E39">
        <w:t>).</w:t>
      </w:r>
    </w:p>
    <w:p w:rsidR="00435EE9" w:rsidRDefault="00435EE9" w:rsidP="00435EE9">
      <w:pPr>
        <w:pStyle w:val="Heading5"/>
      </w:pPr>
      <w:r>
        <w:lastRenderedPageBreak/>
        <w:t>Further guidance on definitions of controlled vs administered</w:t>
      </w:r>
    </w:p>
    <w:p w:rsidR="00435EE9" w:rsidRDefault="00435EE9" w:rsidP="007D065F">
      <w:pPr>
        <w:pStyle w:val="NormalIndent"/>
      </w:pPr>
      <w:r>
        <w:t xml:space="preserve">Some administered transactions are straightforward in recognition – for example, </w:t>
      </w:r>
      <w:r w:rsidRPr="00731E39">
        <w:t>crime compensation payments</w:t>
      </w:r>
      <w:r>
        <w:t>,</w:t>
      </w:r>
      <w:r w:rsidRPr="00731E39">
        <w:t xml:space="preserve"> awarded by a </w:t>
      </w:r>
      <w:r w:rsidR="00DB6F4C">
        <w:t>c</w:t>
      </w:r>
      <w:r w:rsidRPr="00731E39">
        <w:t xml:space="preserve">ourt or </w:t>
      </w:r>
      <w:r w:rsidR="00DB6F4C">
        <w:t>t</w:t>
      </w:r>
      <w:r w:rsidRPr="00731E39">
        <w:t>ribunal</w:t>
      </w:r>
      <w:r>
        <w:t>,</w:t>
      </w:r>
      <w:r w:rsidRPr="00731E39">
        <w:t xml:space="preserve"> or revenues or taxes collected by a </w:t>
      </w:r>
      <w:r>
        <w:t>D</w:t>
      </w:r>
      <w:r w:rsidRPr="00731E39">
        <w:t>epartment on behalf of the State</w:t>
      </w:r>
      <w:r>
        <w:t>,</w:t>
      </w:r>
      <w:r w:rsidRPr="00731E39">
        <w:t xml:space="preserve"> would normally be classified as administered items.</w:t>
      </w:r>
      <w:r w:rsidRPr="00435EE9">
        <w:t xml:space="preserve"> </w:t>
      </w:r>
      <w:r>
        <w:t>Sometimes, t</w:t>
      </w:r>
      <w:r w:rsidRPr="00731E39">
        <w:t xml:space="preserve">he way an </w:t>
      </w:r>
      <w:hyperlink r:id="rId32" w:history="1">
        <w:r w:rsidRPr="00045C2D">
          <w:t>output</w:t>
        </w:r>
      </w:hyperlink>
      <w:r w:rsidRPr="00731E39">
        <w:t xml:space="preserve"> is defined can affect the classification of a revenue or expense between the adminis</w:t>
      </w:r>
      <w:r>
        <w:t>tered or controlled categories (see examples below):</w:t>
      </w:r>
    </w:p>
    <w:p w:rsidR="00435EE9" w:rsidRDefault="00435EE9" w:rsidP="00435EE9">
      <w:pPr>
        <w:pStyle w:val="Bulletindent"/>
      </w:pPr>
      <w:r>
        <w:t>T</w:t>
      </w:r>
      <w:r w:rsidRPr="00731E39">
        <w:t xml:space="preserve">he administrative process of making </w:t>
      </w:r>
      <w:r>
        <w:t xml:space="preserve">grant </w:t>
      </w:r>
      <w:r w:rsidRPr="00731E39">
        <w:t xml:space="preserve">payments is part of an output of the </w:t>
      </w:r>
      <w:r>
        <w:t>D</w:t>
      </w:r>
      <w:r w:rsidRPr="00731E39">
        <w:t xml:space="preserve">epartment and must be classified as a controlled expense. However, the actual </w:t>
      </w:r>
      <w:r>
        <w:t xml:space="preserve">grants </w:t>
      </w:r>
      <w:r w:rsidRPr="00731E39">
        <w:t xml:space="preserve">being paid to the </w:t>
      </w:r>
      <w:r>
        <w:t xml:space="preserve">recipients </w:t>
      </w:r>
      <w:r w:rsidRPr="00731E39">
        <w:t xml:space="preserve">could be classified as an administered item if they meet the criteria for administered items stated </w:t>
      </w:r>
      <w:r>
        <w:t xml:space="preserve">in mandatory requirement </w:t>
      </w:r>
      <w:r w:rsidR="008A73C2">
        <w:t>3</w:t>
      </w:r>
      <w:r>
        <w:t>.1.2(a); and</w:t>
      </w:r>
    </w:p>
    <w:p w:rsidR="00435EE9" w:rsidRDefault="00435EE9" w:rsidP="00435EE9">
      <w:pPr>
        <w:pStyle w:val="Bulletindent"/>
      </w:pPr>
      <w:r>
        <w:t>R</w:t>
      </w:r>
      <w:r w:rsidRPr="00731E39">
        <w:t>evenues, expenses, assets or liabilities arising in connection with the discharge of the function of making crime compensation payments (as distinct from the payments themselves) or collecting revenues (as distinct from the revenues themselves) on behalf of the State would normally be classified as controlled.</w:t>
      </w:r>
    </w:p>
    <w:p w:rsidR="00435EE9" w:rsidRDefault="00435EE9" w:rsidP="007D065F">
      <w:pPr>
        <w:pStyle w:val="NormalIndent"/>
      </w:pPr>
      <w:r>
        <w:t>A</w:t>
      </w:r>
      <w:r w:rsidRPr="00731E39">
        <w:t xml:space="preserve">n item </w:t>
      </w:r>
      <w:r>
        <w:t xml:space="preserve">classified </w:t>
      </w:r>
      <w:r w:rsidRPr="00731E39">
        <w:t xml:space="preserve">as </w:t>
      </w:r>
      <w:r>
        <w:t>‘</w:t>
      </w:r>
      <w:r w:rsidRPr="00731E39">
        <w:t>administered</w:t>
      </w:r>
      <w:r>
        <w:t>’</w:t>
      </w:r>
      <w:r w:rsidRPr="00731E39">
        <w:t xml:space="preserve"> does not diminish in any way the management responsibility of the </w:t>
      </w:r>
      <w:r>
        <w:t>D</w:t>
      </w:r>
      <w:r w:rsidRPr="00731E39">
        <w:t>epartment which administers it to manage the transaction</w:t>
      </w:r>
      <w:r>
        <w:t>.</w:t>
      </w:r>
      <w:r w:rsidRPr="00731E39">
        <w:t xml:space="preserve"> </w:t>
      </w:r>
      <w:r>
        <w:t>This includes</w:t>
      </w:r>
      <w:r w:rsidRPr="00731E39">
        <w:t xml:space="preserve"> maintain</w:t>
      </w:r>
      <w:r>
        <w:t>ing</w:t>
      </w:r>
      <w:r w:rsidRPr="00731E39">
        <w:t xml:space="preserve"> proper ledger entries and other accounting records in relation to the item. The classification only changes th</w:t>
      </w:r>
      <w:r>
        <w:t xml:space="preserve">e way in which the item will be </w:t>
      </w:r>
      <w:r w:rsidRPr="00731E39">
        <w:t>disclosed for budgeting and reporting purposes.</w:t>
      </w:r>
    </w:p>
    <w:p w:rsidR="00435EE9" w:rsidRDefault="00435EE9" w:rsidP="00435EE9">
      <w:pPr>
        <w:pStyle w:val="Heading4indent"/>
      </w:pPr>
      <w:r>
        <w:t>Relevant materials</w:t>
      </w:r>
    </w:p>
    <w:p w:rsidR="00435EE9" w:rsidRDefault="00435EE9" w:rsidP="00435EE9">
      <w:pPr>
        <w:pStyle w:val="Heading5"/>
      </w:pPr>
      <w:r>
        <w:t>Accounting standards</w:t>
      </w:r>
    </w:p>
    <w:p w:rsidR="00435EE9" w:rsidRDefault="005457A4" w:rsidP="005457A4">
      <w:pPr>
        <w:pStyle w:val="Bulletindent"/>
      </w:pPr>
      <w:r>
        <w:t xml:space="preserve">AASB 1050 </w:t>
      </w:r>
      <w:r w:rsidR="00435EE9" w:rsidRPr="005457A4">
        <w:rPr>
          <w:i/>
        </w:rPr>
        <w:t>Administered Items</w:t>
      </w:r>
    </w:p>
    <w:p w:rsidR="00435EE9" w:rsidRDefault="00435EE9" w:rsidP="00435EE9">
      <w:pPr>
        <w:pStyle w:val="Heading5"/>
      </w:pPr>
      <w:r>
        <w:t>Budget Operations Framework</w:t>
      </w:r>
    </w:p>
    <w:p w:rsidR="00435EE9" w:rsidRDefault="00B63969" w:rsidP="00B63969">
      <w:pPr>
        <w:pStyle w:val="Bulletindent"/>
      </w:pPr>
      <w:r w:rsidRPr="00B63969">
        <w:t>BOF section on</w:t>
      </w:r>
      <w:r w:rsidRPr="00B63969">
        <w:rPr>
          <w:i/>
        </w:rPr>
        <w:t xml:space="preserve"> The State’s Appropriation Framework</w:t>
      </w:r>
    </w:p>
    <w:p w:rsidR="00435EE9" w:rsidRDefault="00435EE9" w:rsidP="005457A4">
      <w:pPr>
        <w:pStyle w:val="Bulletindent"/>
      </w:pPr>
      <w:r>
        <w:t xml:space="preserve">BOF </w:t>
      </w:r>
      <w:r w:rsidR="00A00CA4">
        <w:t>S</w:t>
      </w:r>
      <w:r>
        <w:t xml:space="preserve">ection </w:t>
      </w:r>
      <w:r w:rsidR="00B63969">
        <w:t>3</w:t>
      </w:r>
      <w:r>
        <w:t>.</w:t>
      </w:r>
      <w:r w:rsidR="00B63969">
        <w:t>2</w:t>
      </w:r>
      <w:r>
        <w:t xml:space="preserve"> – </w:t>
      </w:r>
      <w:r w:rsidRPr="005457A4">
        <w:rPr>
          <w:i/>
        </w:rPr>
        <w:t>Capital Assets Charge</w:t>
      </w:r>
    </w:p>
    <w:p w:rsidR="008359F6" w:rsidRDefault="008359F6">
      <w:pPr>
        <w:spacing w:before="0" w:after="200"/>
        <w:rPr>
          <w:rFonts w:asciiTheme="majorHAnsi" w:eastAsiaTheme="majorEastAsia" w:hAnsiTheme="majorHAnsi" w:cstheme="majorBidi"/>
          <w:b/>
          <w:bCs/>
          <w:color w:val="0063A6" w:themeColor="accent1"/>
          <w:sz w:val="28"/>
          <w:szCs w:val="26"/>
        </w:rPr>
      </w:pPr>
      <w:bookmarkStart w:id="47" w:name="_Toc445470206"/>
      <w:r>
        <w:br w:type="page"/>
      </w:r>
    </w:p>
    <w:p w:rsidR="00435EE9" w:rsidRDefault="005457A4" w:rsidP="005457A4">
      <w:pPr>
        <w:pStyle w:val="Heading2numbered"/>
      </w:pPr>
      <w:bookmarkStart w:id="48" w:name="_Toc476910328"/>
      <w:r>
        <w:lastRenderedPageBreak/>
        <w:t>Materiality and other thresholds</w:t>
      </w:r>
      <w:bookmarkEnd w:id="47"/>
      <w:bookmarkEnd w:id="48"/>
    </w:p>
    <w:p w:rsidR="005457A4" w:rsidRDefault="005457A4" w:rsidP="005457A4">
      <w:pPr>
        <w:pStyle w:val="Heading3"/>
        <w:ind w:left="792"/>
      </w:pPr>
      <w:r>
        <w:t>Indicative materiality thresholds</w:t>
      </w:r>
    </w:p>
    <w:p w:rsidR="005457A4" w:rsidRDefault="005457A4" w:rsidP="007D065F">
      <w:pPr>
        <w:pStyle w:val="NormalIndent"/>
      </w:pPr>
      <w:r>
        <w:t xml:space="preserve">The determination of materiality in Departmental and </w:t>
      </w:r>
      <w:r w:rsidR="00DB6F4C">
        <w:t>w</w:t>
      </w:r>
      <w:r>
        <w:t xml:space="preserve">hole of </w:t>
      </w:r>
      <w:r w:rsidR="000532B0">
        <w:t>g</w:t>
      </w:r>
      <w:r>
        <w:t>overnment budgeting and reporting is often subjective.</w:t>
      </w:r>
      <w:r w:rsidR="00413A48">
        <w:t xml:space="preserve"> </w:t>
      </w:r>
      <w:r>
        <w:t xml:space="preserve">In some cases, particular items </w:t>
      </w:r>
      <w:r w:rsidR="00DB6F4C">
        <w:t>that</w:t>
      </w:r>
      <w:r w:rsidR="000532B0">
        <w:t xml:space="preserve"> </w:t>
      </w:r>
      <w:r>
        <w:t>are not material in a financial sense may be significant in political or strategic terms (i.e. the item may be material by nature rather than amount). Departments should exercise careful judgement in these cases.</w:t>
      </w:r>
    </w:p>
    <w:p w:rsidR="005457A4" w:rsidRDefault="005457A4" w:rsidP="007D065F">
      <w:pPr>
        <w:pStyle w:val="NormalIndent"/>
      </w:pPr>
      <w:r>
        <w:t>An item may be seen as being m</w:t>
      </w:r>
      <w:r w:rsidRPr="001125FB">
        <w:t xml:space="preserve">aterial </w:t>
      </w:r>
      <w:r>
        <w:t xml:space="preserve">if a </w:t>
      </w:r>
      <w:r w:rsidRPr="001125FB">
        <w:t xml:space="preserve">reasonable person would consider </w:t>
      </w:r>
      <w:r>
        <w:t>that the item has a significant</w:t>
      </w:r>
      <w:r w:rsidRPr="001125FB">
        <w:t xml:space="preserve"> impact on the </w:t>
      </w:r>
      <w:r>
        <w:t>Department’s</w:t>
      </w:r>
      <w:r w:rsidRPr="001125FB">
        <w:t xml:space="preserve"> or the State's reputation, financial </w:t>
      </w:r>
      <w:r>
        <w:t xml:space="preserve">performance or </w:t>
      </w:r>
      <w:r w:rsidRPr="001125FB">
        <w:t>position</w:t>
      </w:r>
      <w:r>
        <w:t>,</w:t>
      </w:r>
      <w:r w:rsidRPr="001125FB">
        <w:t xml:space="preserve"> or financial management.</w:t>
      </w:r>
    </w:p>
    <w:p w:rsidR="005457A4" w:rsidRDefault="005457A4" w:rsidP="007D065F">
      <w:pPr>
        <w:pStyle w:val="NormalIndent"/>
      </w:pPr>
      <w:r>
        <w:t>While it is difficult to set specific quantifiable targets for deciding whether or not an item is material, the following quantitative thresholds may be used as</w:t>
      </w:r>
      <w:r w:rsidR="0061303B">
        <w:t xml:space="preserve"> initial</w:t>
      </w:r>
      <w:r>
        <w:t xml:space="preserve"> guidance in considering the materiality of an item:</w:t>
      </w:r>
    </w:p>
    <w:p w:rsidR="005457A4" w:rsidRDefault="005457A4" w:rsidP="005457A4">
      <w:pPr>
        <w:pStyle w:val="Bulletindent"/>
      </w:pPr>
      <w:r>
        <w:t>an amount equal to or greater than 10 per cent of the appropriate base amount</w:t>
      </w:r>
      <w:r w:rsidR="002A28F7">
        <w:rPr>
          <w:rStyle w:val="FootnoteReference"/>
        </w:rPr>
        <w:footnoteReference w:id="7"/>
      </w:r>
      <w:r>
        <w:t xml:space="preserve"> may be presumed to be material unless there is evidence or convincing arguments to the contrary; </w:t>
      </w:r>
    </w:p>
    <w:p w:rsidR="005457A4" w:rsidRDefault="005457A4" w:rsidP="005457A4">
      <w:pPr>
        <w:pStyle w:val="Bulletindent"/>
      </w:pPr>
      <w:r>
        <w:t>an amount between 5 percent and 10 percent of the appropriate base amount</w:t>
      </w:r>
      <w:r w:rsidR="0061303B">
        <w:t xml:space="preserve"> -</w:t>
      </w:r>
      <w:r>
        <w:t xml:space="preserve"> the decision on whether to include or omit it should be carefully assessed; </w:t>
      </w:r>
    </w:p>
    <w:p w:rsidR="005457A4" w:rsidRDefault="005457A4" w:rsidP="005457A4">
      <w:pPr>
        <w:pStyle w:val="Bulletindent"/>
      </w:pPr>
      <w:r>
        <w:t xml:space="preserve">an amount equal to or less than 5 per cent of the appropriate base amount may be presumed not to be material unless there is evidence, or convincing argument, to the contrary; and </w:t>
      </w:r>
    </w:p>
    <w:p w:rsidR="005457A4" w:rsidRDefault="005457A4" w:rsidP="005457A4">
      <w:pPr>
        <w:pStyle w:val="Bulletindent"/>
      </w:pPr>
      <w:r>
        <w:t xml:space="preserve">transactions with a person in authority (e.g. a board member or a Minister) would normally be considered material unless </w:t>
      </w:r>
      <w:r w:rsidR="0061303B">
        <w:t>they are</w:t>
      </w:r>
      <w:r>
        <w:t xml:space="preserve"> for routine business such as out</w:t>
      </w:r>
      <w:r w:rsidR="0061303B">
        <w:noBreakHyphen/>
      </w:r>
      <w:r>
        <w:t>of-pocket expenses.</w:t>
      </w:r>
    </w:p>
    <w:p w:rsidR="005457A4" w:rsidRDefault="005457A4" w:rsidP="005457A4">
      <w:pPr>
        <w:pStyle w:val="Heading3"/>
        <w:ind w:left="792"/>
      </w:pPr>
      <w:r>
        <w:t>Non-current physical asset capitalisation thresholds</w:t>
      </w:r>
    </w:p>
    <w:p w:rsidR="005457A4" w:rsidRDefault="005457A4" w:rsidP="005457A4">
      <w:pPr>
        <w:pStyle w:val="Bulletindent"/>
      </w:pPr>
      <w:r>
        <w:t xml:space="preserve">Accounting Standard AASB 116 </w:t>
      </w:r>
      <w:r w:rsidRPr="005457A4">
        <w:rPr>
          <w:i/>
        </w:rPr>
        <w:t>Property, Plant and Equipment</w:t>
      </w:r>
      <w:r>
        <w:t xml:space="preserve"> does not prescribe an asset capitalisation threshold. </w:t>
      </w:r>
      <w:r w:rsidR="0025621E">
        <w:t xml:space="preserve">Departments </w:t>
      </w:r>
      <w:r>
        <w:t>may establish a threshold for practical financial reporting purposes on the basis of materiality. As guidance, most Departments are using a threshold of $5 000 for the capitalisation of assets.</w:t>
      </w:r>
    </w:p>
    <w:p w:rsidR="005457A4" w:rsidRDefault="005457A4" w:rsidP="005457A4">
      <w:pPr>
        <w:pStyle w:val="Bulletindent"/>
      </w:pPr>
      <w:r>
        <w:t>Portable</w:t>
      </w:r>
      <w:r w:rsidR="0061303B">
        <w:t xml:space="preserve"> computers</w:t>
      </w:r>
      <w:r>
        <w:t xml:space="preserve"> </w:t>
      </w:r>
      <w:r w:rsidR="00DB6F4C">
        <w:t xml:space="preserve">that </w:t>
      </w:r>
      <w:r>
        <w:t xml:space="preserve">may be subject to risk of loss/theft, but are below a </w:t>
      </w:r>
      <w:r w:rsidR="0025621E">
        <w:t xml:space="preserve">Department's </w:t>
      </w:r>
      <w:r>
        <w:t>recognition threshold, should be recorded on an asset register but not recognised as an asset in the financial statements.</w:t>
      </w:r>
    </w:p>
    <w:p w:rsidR="005457A4" w:rsidRDefault="005457A4" w:rsidP="005457A4">
      <w:pPr>
        <w:pStyle w:val="Bulletindent"/>
      </w:pPr>
      <w:r>
        <w:t xml:space="preserve">An item held by the </w:t>
      </w:r>
      <w:r w:rsidR="0025621E">
        <w:t xml:space="preserve">Department </w:t>
      </w:r>
      <w:r>
        <w:t>for which it is currently assessed that there is no service potential should continue to be recorded on an asset register despite being attributed a value of zero.</w:t>
      </w:r>
    </w:p>
    <w:p w:rsidR="005457A4" w:rsidRDefault="005457A4" w:rsidP="005457A4">
      <w:pPr>
        <w:pStyle w:val="Heading4indent"/>
      </w:pPr>
      <w:r>
        <w:t>Relevant materials</w:t>
      </w:r>
    </w:p>
    <w:p w:rsidR="005457A4" w:rsidRDefault="005457A4" w:rsidP="005457A4">
      <w:pPr>
        <w:pStyle w:val="Heading5"/>
      </w:pPr>
      <w:r>
        <w:t>Accounting Standards</w:t>
      </w:r>
    </w:p>
    <w:p w:rsidR="007D065F" w:rsidRDefault="005457A4" w:rsidP="005457A4">
      <w:pPr>
        <w:pStyle w:val="Bulletindent"/>
      </w:pPr>
      <w:r>
        <w:t xml:space="preserve">AASB 116 </w:t>
      </w:r>
      <w:r w:rsidRPr="005457A4">
        <w:rPr>
          <w:i/>
        </w:rPr>
        <w:t>Property, Plant and Equipment</w:t>
      </w:r>
    </w:p>
    <w:p w:rsidR="005457A4" w:rsidRDefault="005457A4" w:rsidP="007D065F">
      <w:pPr>
        <w:pStyle w:val="NormalIndent"/>
      </w:pPr>
    </w:p>
    <w:p w:rsidR="005162CD" w:rsidRDefault="005162CD" w:rsidP="005162CD">
      <w:pPr>
        <w:pStyle w:val="Heading2numbered"/>
      </w:pPr>
      <w:bookmarkStart w:id="49" w:name="_Toc445470207"/>
      <w:bookmarkStart w:id="50" w:name="_Toc476910329"/>
      <w:r>
        <w:lastRenderedPageBreak/>
        <w:t>Contributed capital</w:t>
      </w:r>
      <w:bookmarkEnd w:id="49"/>
      <w:bookmarkEnd w:id="50"/>
    </w:p>
    <w:tbl>
      <w:tblPr>
        <w:tblStyle w:val="Mandatory"/>
        <w:tblW w:w="7483" w:type="dxa"/>
        <w:tblLook w:val="0620" w:firstRow="1" w:lastRow="0" w:firstColumn="0" w:lastColumn="0" w:noHBand="1" w:noVBand="1"/>
      </w:tblPr>
      <w:tblGrid>
        <w:gridCol w:w="7483"/>
      </w:tblGrid>
      <w:tr w:rsidR="005162CD" w:rsidRPr="008D7E41" w:rsidTr="005162CD">
        <w:trPr>
          <w:cnfStyle w:val="100000000000" w:firstRow="1" w:lastRow="0" w:firstColumn="0" w:lastColumn="0" w:oddVBand="0" w:evenVBand="0" w:oddHBand="0" w:evenHBand="0" w:firstRowFirstColumn="0" w:firstRowLastColumn="0" w:lastRowFirstColumn="0" w:lastRowLastColumn="0"/>
          <w:cantSplit/>
          <w:tblHeader/>
        </w:trPr>
        <w:tc>
          <w:tcPr>
            <w:tcW w:w="7483" w:type="dxa"/>
          </w:tcPr>
          <w:p w:rsidR="005162CD" w:rsidRPr="008D7E41" w:rsidRDefault="005162CD" w:rsidP="005162CD">
            <w:pPr>
              <w:pStyle w:val="Tableheader"/>
            </w:pPr>
            <w:r>
              <w:t>Mandatory r</w:t>
            </w:r>
            <w:r w:rsidRPr="008D7E41">
              <w:t>equirements</w:t>
            </w:r>
            <w:r>
              <w:br/>
              <w:t>CONTRIBUTED CAPITAL</w:t>
            </w:r>
            <w:r w:rsidRPr="00051A81">
              <w:t xml:space="preserve"> </w:t>
            </w:r>
          </w:p>
        </w:tc>
      </w:tr>
      <w:tr w:rsidR="005162CD" w:rsidRPr="008D7E41" w:rsidTr="005162CD">
        <w:tc>
          <w:tcPr>
            <w:tcW w:w="7483" w:type="dxa"/>
          </w:tcPr>
          <w:p w:rsidR="005162CD" w:rsidRPr="00343BA7" w:rsidRDefault="005162CD" w:rsidP="005162CD">
            <w:pPr>
              <w:pStyle w:val="Heading3numbered"/>
            </w:pPr>
            <w:bookmarkStart w:id="51" w:name="_Toc445470208"/>
            <w:bookmarkStart w:id="52" w:name="_Toc476910330"/>
            <w:r>
              <w:t>Contributed capital reconciliation requirements and time frames</w:t>
            </w:r>
            <w:r w:rsidR="00413A48">
              <w:t xml:space="preserve"> – </w:t>
            </w:r>
            <w:r>
              <w:t>actuals</w:t>
            </w:r>
            <w:bookmarkEnd w:id="51"/>
            <w:bookmarkEnd w:id="52"/>
          </w:p>
          <w:p w:rsidR="005162CD" w:rsidRPr="00685D21" w:rsidRDefault="005162CD" w:rsidP="005162CD">
            <w:pPr>
              <w:pStyle w:val="Tabletextnum"/>
            </w:pPr>
            <w:r>
              <w:t>A Department must reconcile t</w:t>
            </w:r>
            <w:r w:rsidRPr="00685D21">
              <w:t xml:space="preserve">he </w:t>
            </w:r>
            <w:r w:rsidR="00285213">
              <w:t>c</w:t>
            </w:r>
            <w:r w:rsidRPr="00685D21">
              <w:t xml:space="preserve">ontributed </w:t>
            </w:r>
            <w:r>
              <w:t>c</w:t>
            </w:r>
            <w:r w:rsidRPr="00685D21">
              <w:t>apital/</w:t>
            </w:r>
            <w:r>
              <w:t>e</w:t>
            </w:r>
            <w:r w:rsidRPr="00685D21">
              <w:t xml:space="preserve">quity </w:t>
            </w:r>
            <w:r>
              <w:t>i</w:t>
            </w:r>
            <w:r w:rsidRPr="00685D21">
              <w:t xml:space="preserve">nvestment </w:t>
            </w:r>
            <w:r>
              <w:t>balances twice a year</w:t>
            </w:r>
            <w:r w:rsidRPr="00685D21">
              <w:t>.</w:t>
            </w:r>
            <w:r>
              <w:rPr>
                <w:rStyle w:val="FootnoteReference"/>
              </w:rPr>
              <w:footnoteReference w:id="8"/>
            </w:r>
            <w:r w:rsidRPr="00685D21">
              <w:t xml:space="preserve"> </w:t>
            </w:r>
          </w:p>
          <w:p w:rsidR="005162CD" w:rsidRDefault="005162CD" w:rsidP="005162CD">
            <w:pPr>
              <w:pStyle w:val="Tabletextnum"/>
            </w:pPr>
            <w:r w:rsidRPr="00685D21">
              <w:t xml:space="preserve">The </w:t>
            </w:r>
            <w:r>
              <w:t>c</w:t>
            </w:r>
            <w:r w:rsidRPr="00685D21">
              <w:t xml:space="preserve">ontributed </w:t>
            </w:r>
            <w:r>
              <w:t>c</w:t>
            </w:r>
            <w:r w:rsidRPr="00685D21">
              <w:t>apita</w:t>
            </w:r>
            <w:r>
              <w:t>l</w:t>
            </w:r>
            <w:r w:rsidRPr="00685D21">
              <w:t>/</w:t>
            </w:r>
            <w:r>
              <w:t>e</w:t>
            </w:r>
            <w:r w:rsidRPr="00685D21">
              <w:t xml:space="preserve">quity </w:t>
            </w:r>
            <w:r>
              <w:t>i</w:t>
            </w:r>
            <w:r w:rsidRPr="00685D21">
              <w:t xml:space="preserve">nvestment reconciliations must be certified by the relevant </w:t>
            </w:r>
            <w:r>
              <w:t>CFO and provided</w:t>
            </w:r>
            <w:r w:rsidRPr="00685D21">
              <w:t xml:space="preserve"> to DTF </w:t>
            </w:r>
            <w:r>
              <w:t xml:space="preserve">as per the instructions in the relevant </w:t>
            </w:r>
            <w:r w:rsidR="00DB6F4C">
              <w:t>Department of Treasury and Finance Information Request</w:t>
            </w:r>
            <w:r>
              <w:t>.</w:t>
            </w:r>
            <w:r>
              <w:rPr>
                <w:rStyle w:val="FootnoteReference"/>
              </w:rPr>
              <w:footnoteReference w:id="9"/>
            </w:r>
          </w:p>
          <w:p w:rsidR="005162CD" w:rsidRDefault="005162CD" w:rsidP="005162CD">
            <w:pPr>
              <w:pStyle w:val="Heading3numbered"/>
            </w:pPr>
            <w:bookmarkStart w:id="53" w:name="_Toc445470209"/>
            <w:bookmarkStart w:id="54" w:name="_Toc476910331"/>
            <w:r>
              <w:t>Contributed capital journal entry reconciliation requirements</w:t>
            </w:r>
            <w:r w:rsidR="00413A48">
              <w:t xml:space="preserve"> – </w:t>
            </w:r>
            <w:r>
              <w:t>e</w:t>
            </w:r>
            <w:r w:rsidRPr="00685D21">
              <w:t>s</w:t>
            </w:r>
            <w:r>
              <w:t>timates</w:t>
            </w:r>
            <w:bookmarkEnd w:id="53"/>
            <w:bookmarkEnd w:id="54"/>
          </w:p>
          <w:p w:rsidR="005162CD" w:rsidRPr="00731E39" w:rsidRDefault="005162CD" w:rsidP="005162CD">
            <w:pPr>
              <w:pStyle w:val="Tabletextnum"/>
            </w:pPr>
            <w:r>
              <w:t xml:space="preserve">A Department must ensure that if they submit any estimate variations that require the recognition of </w:t>
            </w:r>
            <w:r w:rsidR="00285213">
              <w:t>c</w:t>
            </w:r>
            <w:r>
              <w:t>ontributed capital, then the corresponding matching journal entries are also undertaken by the agency in which they are recognising the contributed capital.</w:t>
            </w:r>
            <w:r>
              <w:rPr>
                <w:rStyle w:val="FootnoteReference"/>
              </w:rPr>
              <w:footnoteReference w:id="10"/>
            </w:r>
          </w:p>
          <w:p w:rsidR="005162CD" w:rsidRDefault="005162CD" w:rsidP="005162CD">
            <w:pPr>
              <w:pStyle w:val="Heading3numbered"/>
            </w:pPr>
            <w:bookmarkStart w:id="55" w:name="_Toc445470210"/>
            <w:bookmarkStart w:id="56" w:name="_Toc476910332"/>
            <w:r>
              <w:t>Treatment of contributed capital entries in Departmental and portfolio agency accounts</w:t>
            </w:r>
            <w:bookmarkEnd w:id="55"/>
            <w:bookmarkEnd w:id="56"/>
          </w:p>
          <w:p w:rsidR="005162CD" w:rsidRDefault="005162CD" w:rsidP="005162CD">
            <w:pPr>
              <w:pStyle w:val="Tabletextnum"/>
            </w:pPr>
            <w:r w:rsidRPr="00FB1868">
              <w:t>All equity investments i</w:t>
            </w:r>
            <w:r>
              <w:t xml:space="preserve">n controlled agencies, including cash and other assets, must </w:t>
            </w:r>
            <w:r w:rsidRPr="00FB1868">
              <w:t xml:space="preserve">be recognised as </w:t>
            </w:r>
            <w:r>
              <w:t>c</w:t>
            </w:r>
            <w:r w:rsidRPr="00FB1868">
              <w:t xml:space="preserve">ontributed </w:t>
            </w:r>
            <w:r>
              <w:t>c</w:t>
            </w:r>
            <w:r w:rsidRPr="00FB1868">
              <w:t xml:space="preserve">apital in the </w:t>
            </w:r>
            <w:r>
              <w:t>D</w:t>
            </w:r>
            <w:r w:rsidRPr="00FB1868">
              <w:t>epartment’s administered entity.</w:t>
            </w:r>
          </w:p>
          <w:p w:rsidR="005162CD" w:rsidRPr="00685D21" w:rsidRDefault="005162CD" w:rsidP="005162CD">
            <w:pPr>
              <w:pStyle w:val="Tabletextnum"/>
            </w:pPr>
            <w:r w:rsidRPr="00685D21">
              <w:t>Equity transfers reflected in the controlled entities (accounts 50110 to 50127) must:</w:t>
            </w:r>
          </w:p>
          <w:p w:rsidR="005162CD" w:rsidRPr="00685D21" w:rsidRDefault="005162CD" w:rsidP="005162CD">
            <w:pPr>
              <w:pStyle w:val="Listnumindent2"/>
            </w:pPr>
            <w:r w:rsidRPr="00685D21">
              <w:t>flow to the relevant entity at the carrying value recorded by the originating entity;</w:t>
            </w:r>
          </w:p>
          <w:p w:rsidR="005162CD" w:rsidRPr="00685D21" w:rsidRDefault="005162CD" w:rsidP="005162CD">
            <w:pPr>
              <w:pStyle w:val="Listnumindent2"/>
            </w:pPr>
            <w:r w:rsidRPr="00685D21">
              <w:t xml:space="preserve">be recognised in the </w:t>
            </w:r>
            <w:r>
              <w:t>D</w:t>
            </w:r>
            <w:r w:rsidRPr="00685D21">
              <w:t xml:space="preserve">epartmental administered entity as an equity investment (accounts 21205, 21207, 21400, 21410, 21450 </w:t>
            </w:r>
            <w:r>
              <w:t>or 21460) in accordance with relevant accounting policies; and</w:t>
            </w:r>
          </w:p>
          <w:p w:rsidR="005162CD" w:rsidRDefault="005162CD" w:rsidP="005162CD">
            <w:pPr>
              <w:pStyle w:val="Listnumindent2"/>
            </w:pPr>
            <w:r w:rsidRPr="00685D21">
              <w:t>flow through to t</w:t>
            </w:r>
            <w:r>
              <w:t>he portfolio agency.</w:t>
            </w:r>
          </w:p>
          <w:p w:rsidR="005162CD" w:rsidRDefault="005162CD" w:rsidP="005162CD">
            <w:pPr>
              <w:pStyle w:val="Heading3numbered"/>
            </w:pPr>
            <w:bookmarkStart w:id="57" w:name="_Toc445470211"/>
            <w:bookmarkStart w:id="58" w:name="_Toc476910333"/>
            <w:r>
              <w:t>Recognition of appropriation for contributed capital</w:t>
            </w:r>
            <w:bookmarkEnd w:id="57"/>
            <w:bookmarkEnd w:id="58"/>
          </w:p>
          <w:p w:rsidR="005162CD" w:rsidRDefault="005162CD" w:rsidP="005162CD">
            <w:pPr>
              <w:pStyle w:val="Tabletextindent"/>
            </w:pPr>
            <w:r>
              <w:t>A Department must recognise a</w:t>
            </w:r>
            <w:r w:rsidRPr="00731E39">
              <w:t xml:space="preserve">ll appropriations for </w:t>
            </w:r>
            <w:r w:rsidR="00285213">
              <w:t>c</w:t>
            </w:r>
            <w:r>
              <w:t>ontributed capital</w:t>
            </w:r>
            <w:r w:rsidRPr="00731E39">
              <w:t xml:space="preserve"> in the </w:t>
            </w:r>
            <w:r>
              <w:t>D</w:t>
            </w:r>
            <w:r w:rsidRPr="00731E39">
              <w:t>epartment</w:t>
            </w:r>
            <w:r>
              <w:t>’</w:t>
            </w:r>
            <w:r w:rsidRPr="00731E39">
              <w:t xml:space="preserve">s controlled </w:t>
            </w:r>
            <w:r>
              <w:t>D</w:t>
            </w:r>
            <w:r w:rsidRPr="00731E39">
              <w:t>epartmental entity.</w:t>
            </w:r>
          </w:p>
          <w:p w:rsidR="005162CD" w:rsidRDefault="005162CD" w:rsidP="005162CD">
            <w:pPr>
              <w:pStyle w:val="Heading3numbered"/>
            </w:pPr>
            <w:bookmarkStart w:id="59" w:name="_Toc445470212"/>
            <w:bookmarkStart w:id="60" w:name="_Toc476910334"/>
            <w:r>
              <w:t>Treatment of reductions in, or returns of, contributed capital</w:t>
            </w:r>
            <w:bookmarkEnd w:id="59"/>
            <w:bookmarkEnd w:id="60"/>
          </w:p>
          <w:p w:rsidR="005162CD" w:rsidRPr="00731E39" w:rsidRDefault="005162CD" w:rsidP="008359F6">
            <w:pPr>
              <w:pStyle w:val="Tabletextnum"/>
              <w:numPr>
                <w:ilvl w:val="0"/>
                <w:numId w:val="0"/>
              </w:numPr>
              <w:ind w:left="792"/>
              <w:rPr>
                <w:b/>
              </w:rPr>
            </w:pPr>
            <w:r>
              <w:t>A Department must record a</w:t>
            </w:r>
            <w:r w:rsidRPr="00731E39">
              <w:t xml:space="preserve">ll returns of capital to the Consolidated Fund </w:t>
            </w:r>
            <w:r>
              <w:t>(</w:t>
            </w:r>
            <w:r w:rsidRPr="00731E39">
              <w:t>e.g. asset sales</w:t>
            </w:r>
            <w:r>
              <w:t>)</w:t>
            </w:r>
            <w:r w:rsidRPr="00731E39">
              <w:t xml:space="preserve"> in the administered entity of the </w:t>
            </w:r>
            <w:r>
              <w:t>D</w:t>
            </w:r>
            <w:r w:rsidRPr="00731E39">
              <w:t xml:space="preserve">epartment to reflect the return of the asset back to </w:t>
            </w:r>
            <w:r>
              <w:t>Government (i.e. DTF)</w:t>
            </w:r>
            <w:r w:rsidRPr="00731E39">
              <w:t>.</w:t>
            </w:r>
            <w:r>
              <w:rPr>
                <w:rStyle w:val="FootnoteReference"/>
              </w:rPr>
              <w:footnoteReference w:id="11"/>
            </w:r>
            <w:r w:rsidRPr="00731E39">
              <w:t xml:space="preserve"> </w:t>
            </w:r>
          </w:p>
          <w:p w:rsidR="005162CD" w:rsidRDefault="005162CD" w:rsidP="005162CD">
            <w:pPr>
              <w:pStyle w:val="Heading3numbered"/>
            </w:pPr>
            <w:bookmarkStart w:id="61" w:name="_Toc445470213"/>
            <w:bookmarkStart w:id="62" w:name="_Toc476910335"/>
            <w:r>
              <w:lastRenderedPageBreak/>
              <w:t>Recording of equity investments in entities</w:t>
            </w:r>
            <w:bookmarkEnd w:id="61"/>
            <w:bookmarkEnd w:id="62"/>
          </w:p>
          <w:p w:rsidR="005162CD" w:rsidRDefault="005162CD" w:rsidP="005162CD">
            <w:pPr>
              <w:pStyle w:val="Tabletextnum"/>
            </w:pPr>
            <w:r>
              <w:t xml:space="preserve">A </w:t>
            </w:r>
            <w:r w:rsidRPr="00731E39">
              <w:t xml:space="preserve">Department </w:t>
            </w:r>
            <w:r>
              <w:t>must</w:t>
            </w:r>
            <w:r w:rsidRPr="00731E39">
              <w:t xml:space="preserve"> record equity investments in their own portfolio agencies.</w:t>
            </w:r>
            <w:r>
              <w:t xml:space="preserve"> </w:t>
            </w:r>
          </w:p>
          <w:p w:rsidR="005162CD" w:rsidRPr="00731E39" w:rsidRDefault="005162CD" w:rsidP="005162CD">
            <w:pPr>
              <w:pStyle w:val="Tabletextnum"/>
            </w:pPr>
            <w:r w:rsidRPr="00731E39">
              <w:t xml:space="preserve">A </w:t>
            </w:r>
            <w:r>
              <w:t>D</w:t>
            </w:r>
            <w:r w:rsidRPr="00731E39">
              <w:t xml:space="preserve">epartment </w:t>
            </w:r>
            <w:r>
              <w:t>must not</w:t>
            </w:r>
            <w:r w:rsidRPr="00731E39">
              <w:t xml:space="preserve"> </w:t>
            </w:r>
            <w:r>
              <w:t>recognise</w:t>
            </w:r>
            <w:r w:rsidRPr="00731E39">
              <w:t xml:space="preserve"> </w:t>
            </w:r>
            <w:r>
              <w:t>c</w:t>
            </w:r>
            <w:r w:rsidRPr="00731E39">
              <w:t xml:space="preserve">ontributed </w:t>
            </w:r>
            <w:r>
              <w:t>c</w:t>
            </w:r>
            <w:r w:rsidRPr="00731E39">
              <w:t xml:space="preserve">apital in another </w:t>
            </w:r>
            <w:r>
              <w:t>D</w:t>
            </w:r>
            <w:r w:rsidRPr="00731E39">
              <w:t>epartment</w:t>
            </w:r>
            <w:r w:rsidR="002F4151">
              <w:t xml:space="preserve"> or another Department’s portfolio agencies</w:t>
            </w:r>
            <w:r>
              <w:t>.</w:t>
            </w:r>
          </w:p>
          <w:p w:rsidR="005162CD" w:rsidRPr="00731E39" w:rsidRDefault="005162CD" w:rsidP="005162CD">
            <w:pPr>
              <w:pStyle w:val="Tabletextnum"/>
            </w:pPr>
            <w:r>
              <w:t>T</w:t>
            </w:r>
            <w:r w:rsidRPr="00731E39">
              <w:t xml:space="preserve">ransfers of assets between </w:t>
            </w:r>
            <w:r>
              <w:t>D</w:t>
            </w:r>
            <w:r w:rsidRPr="00731E39">
              <w:t xml:space="preserve">epartments must be shown as adjustments to </w:t>
            </w:r>
            <w:r>
              <w:t>c</w:t>
            </w:r>
            <w:r w:rsidRPr="00731E39">
              <w:t xml:space="preserve">ontributed </w:t>
            </w:r>
            <w:r>
              <w:t>c</w:t>
            </w:r>
            <w:r w:rsidRPr="00731E39">
              <w:t>apital</w:t>
            </w:r>
            <w:r w:rsidR="002F4151">
              <w:t>, unless otherwise determined by the relevant Minister</w:t>
            </w:r>
            <w:r w:rsidRPr="00731E39">
              <w:t>.</w:t>
            </w:r>
            <w:r>
              <w:rPr>
                <w:rStyle w:val="FootnoteReference"/>
              </w:rPr>
              <w:footnoteReference w:id="12"/>
            </w:r>
          </w:p>
          <w:p w:rsidR="005162CD" w:rsidRPr="008D7E41" w:rsidRDefault="005162CD" w:rsidP="005162CD">
            <w:pPr>
              <w:pStyle w:val="Tabletextnum"/>
            </w:pPr>
            <w:r>
              <w:t>Departments must not recognise</w:t>
            </w:r>
            <w:r w:rsidRPr="00731E39">
              <w:t xml:space="preserve"> equity investments, funded from appropriation in organisations external to their </w:t>
            </w:r>
            <w:r>
              <w:t>D</w:t>
            </w:r>
            <w:r w:rsidRPr="00731E39">
              <w:t>epartmental portfolio agencies</w:t>
            </w:r>
            <w:r>
              <w:t>,</w:t>
            </w:r>
            <w:r w:rsidRPr="00731E39">
              <w:t xml:space="preserve"> such as local </w:t>
            </w:r>
            <w:r>
              <w:t>G</w:t>
            </w:r>
            <w:r w:rsidRPr="00731E39">
              <w:t>overnment, universities or denominational hospitals.</w:t>
            </w:r>
          </w:p>
        </w:tc>
      </w:tr>
    </w:tbl>
    <w:p w:rsidR="005162CD" w:rsidRDefault="005162CD" w:rsidP="005162CD">
      <w:pPr>
        <w:pStyle w:val="Heading4indent"/>
      </w:pPr>
      <w:r>
        <w:lastRenderedPageBreak/>
        <w:t>Guidance</w:t>
      </w:r>
    </w:p>
    <w:p w:rsidR="005162CD" w:rsidRDefault="005162CD" w:rsidP="005162CD">
      <w:pPr>
        <w:pStyle w:val="Heading5"/>
      </w:pPr>
      <w:r>
        <w:t>What is contributed capital?</w:t>
      </w:r>
    </w:p>
    <w:p w:rsidR="005162CD" w:rsidRDefault="005162CD" w:rsidP="005162CD">
      <w:pPr>
        <w:pStyle w:val="NormalIndent"/>
      </w:pPr>
      <w:r>
        <w:t>Contributed capital is the recognition and reporting of the ‘investment’ made in a portfolio agency or sector of Government, which is reflected in a Department’s set of accounts.</w:t>
      </w:r>
    </w:p>
    <w:p w:rsidR="005162CD" w:rsidRDefault="005162CD" w:rsidP="005162CD">
      <w:pPr>
        <w:pStyle w:val="NormalIndent"/>
      </w:pPr>
      <w:r>
        <w:t xml:space="preserve">More specifically, </w:t>
      </w:r>
      <w:r w:rsidR="002F4151">
        <w:t>c</w:t>
      </w:r>
      <w:r>
        <w:t>ontributed capital arrangements may arise from the following situations:</w:t>
      </w:r>
    </w:p>
    <w:p w:rsidR="005162CD" w:rsidRDefault="00C93AD6" w:rsidP="009C70DB">
      <w:pPr>
        <w:pStyle w:val="Listnumindent"/>
        <w:numPr>
          <w:ilvl w:val="6"/>
          <w:numId w:val="14"/>
        </w:numPr>
      </w:pPr>
      <w:r>
        <w:t>a</w:t>
      </w:r>
      <w:r w:rsidR="005162CD">
        <w:t xml:space="preserve">dministrative restructures (such as </w:t>
      </w:r>
      <w:r w:rsidR="00413A48">
        <w:t>machinery of government</w:t>
      </w:r>
      <w:r w:rsidR="005162CD">
        <w:t xml:space="preserve"> changes) pursuant to FRD 119A</w:t>
      </w:r>
      <w:r w:rsidR="00690ADE">
        <w:t xml:space="preserve"> </w:t>
      </w:r>
      <w:r w:rsidR="00690ADE" w:rsidRPr="00B61B92">
        <w:rPr>
          <w:i/>
        </w:rPr>
        <w:t xml:space="preserve">Transfers through </w:t>
      </w:r>
      <w:r w:rsidR="002F4151">
        <w:rPr>
          <w:i/>
        </w:rPr>
        <w:t>C</w:t>
      </w:r>
      <w:r w:rsidR="00690ADE" w:rsidRPr="00B61B92">
        <w:rPr>
          <w:i/>
        </w:rPr>
        <w:t xml:space="preserve">ontributed </w:t>
      </w:r>
      <w:r w:rsidR="002F4151">
        <w:rPr>
          <w:i/>
        </w:rPr>
        <w:t>C</w:t>
      </w:r>
      <w:r w:rsidR="00690ADE" w:rsidRPr="00B61B92">
        <w:rPr>
          <w:i/>
        </w:rPr>
        <w:t>apital</w:t>
      </w:r>
      <w:r w:rsidR="005162CD">
        <w:t>;</w:t>
      </w:r>
    </w:p>
    <w:p w:rsidR="005162CD" w:rsidRDefault="00C93AD6" w:rsidP="005162CD">
      <w:pPr>
        <w:pStyle w:val="Listnumindent"/>
      </w:pPr>
      <w:r>
        <w:t>o</w:t>
      </w:r>
      <w:r w:rsidR="005162CD">
        <w:t>ther arrangements pursuant to FRD 119A; and</w:t>
      </w:r>
    </w:p>
    <w:p w:rsidR="005162CD" w:rsidRDefault="00C93AD6" w:rsidP="005162CD">
      <w:pPr>
        <w:pStyle w:val="Listnumindent"/>
      </w:pPr>
      <w:r>
        <w:t>i</w:t>
      </w:r>
      <w:r w:rsidR="005162CD">
        <w:t>ncreases to the following parliamentary appropriations:</w:t>
      </w:r>
    </w:p>
    <w:p w:rsidR="005162CD" w:rsidRDefault="005162CD" w:rsidP="005162CD">
      <w:pPr>
        <w:pStyle w:val="Bulletindent"/>
        <w:tabs>
          <w:tab w:val="clear" w:pos="1152"/>
          <w:tab w:val="num" w:pos="1656"/>
        </w:tabs>
        <w:ind w:left="1656"/>
      </w:pPr>
      <w:r>
        <w:t>Annual Appropriation Increase in ATNAB (account 50010);</w:t>
      </w:r>
    </w:p>
    <w:p w:rsidR="005162CD" w:rsidRDefault="005162CD" w:rsidP="005162CD">
      <w:pPr>
        <w:pStyle w:val="Bulletindent"/>
        <w:ind w:left="1656"/>
      </w:pPr>
      <w:r>
        <w:t>Annual Appropriation Increase in ATNAB under Section 32 of the FMA (account 50015);</w:t>
      </w:r>
    </w:p>
    <w:p w:rsidR="005162CD" w:rsidRDefault="005162CD" w:rsidP="005162CD">
      <w:pPr>
        <w:pStyle w:val="Bulletindent"/>
        <w:ind w:left="1656"/>
      </w:pPr>
      <w:r>
        <w:t>Annual Appropriation Increase in ATNAB under Section 29 of the FMA (account 50020); and</w:t>
      </w:r>
    </w:p>
    <w:p w:rsidR="005162CD" w:rsidRDefault="005162CD" w:rsidP="005162CD">
      <w:pPr>
        <w:pStyle w:val="Bulletindent"/>
        <w:ind w:left="1656"/>
      </w:pPr>
      <w:r>
        <w:t>Special Appropriation – ATNAB</w:t>
      </w:r>
      <w:r w:rsidR="00413A48">
        <w:t xml:space="preserve"> </w:t>
      </w:r>
      <w:r>
        <w:t>(account 50030).</w:t>
      </w:r>
    </w:p>
    <w:p w:rsidR="005162CD" w:rsidRDefault="005162CD" w:rsidP="005162CD">
      <w:pPr>
        <w:pStyle w:val="NormalIndent"/>
      </w:pPr>
      <w:r>
        <w:t>Paragraphs 48 to 5</w:t>
      </w:r>
      <w:r w:rsidR="002F4151">
        <w:t>9</w:t>
      </w:r>
      <w:r>
        <w:t xml:space="preserve"> of the Accounting Standard AASB 1004</w:t>
      </w:r>
      <w:r w:rsidR="0025621E">
        <w:t xml:space="preserve"> </w:t>
      </w:r>
      <w:r w:rsidR="0025621E">
        <w:rPr>
          <w:i/>
        </w:rPr>
        <w:t>Contributions</w:t>
      </w:r>
      <w:r>
        <w:t xml:space="preserve"> provides specific guidance on when it is appropriate to recognise contributions by owners by Government Departments.</w:t>
      </w:r>
    </w:p>
    <w:p w:rsidR="005162CD" w:rsidRDefault="005162CD" w:rsidP="005162CD">
      <w:pPr>
        <w:pStyle w:val="Heading5"/>
      </w:pPr>
      <w:r>
        <w:t>When is contributed capital recognised?</w:t>
      </w:r>
    </w:p>
    <w:p w:rsidR="005162CD" w:rsidRDefault="005162CD" w:rsidP="005162CD">
      <w:pPr>
        <w:pStyle w:val="NormalIndent"/>
      </w:pPr>
      <w:r>
        <w:t>Primarily, when funding for assets or working capital is provided to an agency in a Department’s portfolio, funds are initially appropriated to the Department in the form of ATNAB appropriation, which the Department recognises in its controlled entity.</w:t>
      </w:r>
      <w:r w:rsidR="00413A48">
        <w:t xml:space="preserve"> </w:t>
      </w:r>
    </w:p>
    <w:p w:rsidR="005162CD" w:rsidRDefault="005162CD" w:rsidP="005162CD">
      <w:pPr>
        <w:pStyle w:val="NormalIndent"/>
      </w:pPr>
      <w:r>
        <w:t xml:space="preserve">A journal entry is then created which transfers the funding through to its administered entity, and an equity investment in the agency is recognised in the administered balance sheet. The agency itself also will record an ‘equity injection’ (recognising the </w:t>
      </w:r>
      <w:r w:rsidR="00816903">
        <w:t>c</w:t>
      </w:r>
      <w:r>
        <w:t>ontributed capital) from the Department.</w:t>
      </w:r>
    </w:p>
    <w:p w:rsidR="00A85967" w:rsidRDefault="00A85967">
      <w:pPr>
        <w:spacing w:before="0" w:after="200"/>
      </w:pPr>
      <w:r>
        <w:br w:type="page"/>
      </w:r>
    </w:p>
    <w:p w:rsidR="005162CD" w:rsidRDefault="005162CD" w:rsidP="005162CD">
      <w:pPr>
        <w:pStyle w:val="NormalIndent"/>
      </w:pPr>
      <w:r>
        <w:lastRenderedPageBreak/>
        <w:t>Non</w:t>
      </w:r>
      <w:r w:rsidR="00FE5D7B">
        <w:t>-</w:t>
      </w:r>
      <w:r>
        <w:t xml:space="preserve">financial assets may also be transferred between the Department and its agencies as adjustments to </w:t>
      </w:r>
      <w:r w:rsidR="00690ADE">
        <w:t>c</w:t>
      </w:r>
      <w:r>
        <w:t>ontributed capital. These transfers are also reflected as an increase or decrease in the equity investment in the Department’s administered entity.</w:t>
      </w:r>
    </w:p>
    <w:p w:rsidR="005162CD" w:rsidRDefault="005162CD" w:rsidP="005162CD">
      <w:pPr>
        <w:pStyle w:val="NormalIndent"/>
      </w:pPr>
      <w:r>
        <w:t xml:space="preserve">In DTF, the central SAU carries an investment </w:t>
      </w:r>
      <w:r w:rsidR="00DB6F4C">
        <w:t xml:space="preserve">that </w:t>
      </w:r>
      <w:r>
        <w:t xml:space="preserve">reflects the aggregation of Departmental </w:t>
      </w:r>
      <w:r w:rsidR="00816903">
        <w:t>c</w:t>
      </w:r>
      <w:r>
        <w:t>ontributed capital balances for both controlled and administered entities.</w:t>
      </w:r>
    </w:p>
    <w:p w:rsidR="005162CD" w:rsidRDefault="005162CD" w:rsidP="005162CD">
      <w:pPr>
        <w:pStyle w:val="Heading5"/>
      </w:pPr>
      <w:r>
        <w:t>Accounts used in the recognition and treatment of contributed capital</w:t>
      </w:r>
    </w:p>
    <w:p w:rsidR="005162CD" w:rsidRDefault="005162CD" w:rsidP="005162CD">
      <w:pPr>
        <w:pStyle w:val="Heading4"/>
        <w:ind w:left="792"/>
      </w:pPr>
      <w:r>
        <w:t>1. Contributed capital recognition:</w:t>
      </w:r>
    </w:p>
    <w:p w:rsidR="005162CD" w:rsidRDefault="005162CD" w:rsidP="005162CD">
      <w:pPr>
        <w:pStyle w:val="NormalIndent"/>
      </w:pPr>
      <w:r>
        <w:t>Transfers of contributed capital between Departments and their portfolio agencies are facilitated by the following accounts:</w:t>
      </w:r>
    </w:p>
    <w:p w:rsidR="005162CD" w:rsidRDefault="005162CD" w:rsidP="009C70DB">
      <w:pPr>
        <w:pStyle w:val="Listnumindent"/>
        <w:numPr>
          <w:ilvl w:val="6"/>
          <w:numId w:val="15"/>
        </w:numPr>
      </w:pPr>
      <w:r>
        <w:t xml:space="preserve">Equity </w:t>
      </w:r>
      <w:r w:rsidR="00DB6F4C">
        <w:t>t</w:t>
      </w:r>
      <w:r>
        <w:t xml:space="preserve">ransfers from other </w:t>
      </w:r>
      <w:r w:rsidR="00DB6F4C">
        <w:t>g</w:t>
      </w:r>
      <w:r>
        <w:t>overnment entities (Fixed Assets) – account 50110;</w:t>
      </w:r>
    </w:p>
    <w:p w:rsidR="005162CD" w:rsidRDefault="005162CD" w:rsidP="005162CD">
      <w:pPr>
        <w:pStyle w:val="Listnumindent"/>
      </w:pPr>
      <w:r>
        <w:t xml:space="preserve">Equity </w:t>
      </w:r>
      <w:r w:rsidR="00DB6F4C">
        <w:t>t</w:t>
      </w:r>
      <w:r>
        <w:t xml:space="preserve">ransfers from other </w:t>
      </w:r>
      <w:r w:rsidR="00DB6F4C">
        <w:t>g</w:t>
      </w:r>
      <w:r>
        <w:t xml:space="preserve">overnment entities (Other Net Assets) – account 50115; </w:t>
      </w:r>
    </w:p>
    <w:p w:rsidR="005162CD" w:rsidRDefault="005162CD" w:rsidP="005162CD">
      <w:pPr>
        <w:pStyle w:val="Listnumindent"/>
      </w:pPr>
      <w:r>
        <w:t xml:space="preserve">Equity </w:t>
      </w:r>
      <w:r w:rsidR="00DB6F4C">
        <w:t>t</w:t>
      </w:r>
      <w:r>
        <w:t xml:space="preserve">ransfers to other </w:t>
      </w:r>
      <w:r w:rsidR="00DB6F4C">
        <w:t>g</w:t>
      </w:r>
      <w:r>
        <w:t xml:space="preserve">overnment entities (Fixed Assets) – account 50120; </w:t>
      </w:r>
    </w:p>
    <w:p w:rsidR="005162CD" w:rsidRDefault="005162CD" w:rsidP="005162CD">
      <w:pPr>
        <w:pStyle w:val="Listnumindent"/>
      </w:pPr>
      <w:r>
        <w:t xml:space="preserve">Equity </w:t>
      </w:r>
      <w:r w:rsidR="00DB6F4C">
        <w:t>t</w:t>
      </w:r>
      <w:r>
        <w:t xml:space="preserve">ransfers to other </w:t>
      </w:r>
      <w:r w:rsidR="00DB6F4C">
        <w:t>g</w:t>
      </w:r>
      <w:r>
        <w:t xml:space="preserve">overnment entities (Other Net Assets) – account 50125; and </w:t>
      </w:r>
    </w:p>
    <w:p w:rsidR="005162CD" w:rsidRDefault="005162CD" w:rsidP="005162CD">
      <w:pPr>
        <w:pStyle w:val="Listnumindent"/>
      </w:pPr>
      <w:r>
        <w:t xml:space="preserve">Equity </w:t>
      </w:r>
      <w:r w:rsidR="00DB6F4C">
        <w:t>t</w:t>
      </w:r>
      <w:r>
        <w:t>ransfers to Central SAU – account 50127.</w:t>
      </w:r>
    </w:p>
    <w:p w:rsidR="005162CD" w:rsidRDefault="005162CD" w:rsidP="005162CD">
      <w:pPr>
        <w:pStyle w:val="Heading4"/>
        <w:ind w:left="792"/>
      </w:pPr>
      <w:r>
        <w:t>2. Equity investments arising from equity transfers</w:t>
      </w:r>
    </w:p>
    <w:p w:rsidR="005162CD" w:rsidRDefault="005162CD" w:rsidP="005162CD">
      <w:pPr>
        <w:pStyle w:val="NormalIndent"/>
      </w:pPr>
      <w:r>
        <w:t>Equity investments in Departmental controlled entities arising from equity transfers are recognised in the Department’s administered entity reflecting the sector of government in which the investment lies, utilising the following accounts:</w:t>
      </w:r>
    </w:p>
    <w:p w:rsidR="005162CD" w:rsidRDefault="005162CD" w:rsidP="009C70DB">
      <w:pPr>
        <w:pStyle w:val="Listnumindent"/>
        <w:numPr>
          <w:ilvl w:val="6"/>
          <w:numId w:val="16"/>
        </w:numPr>
      </w:pPr>
      <w:r>
        <w:t xml:space="preserve">Equity </w:t>
      </w:r>
      <w:r w:rsidR="00DB6F4C">
        <w:t>i</w:t>
      </w:r>
      <w:r>
        <w:t xml:space="preserve">nvestment in </w:t>
      </w:r>
      <w:r w:rsidR="00DB6F4C">
        <w:t>g</w:t>
      </w:r>
      <w:r>
        <w:t xml:space="preserve">eneral </w:t>
      </w:r>
      <w:r w:rsidR="00DB6F4C">
        <w:t>g</w:t>
      </w:r>
      <w:r>
        <w:t xml:space="preserve">overnment (GG) </w:t>
      </w:r>
      <w:r w:rsidR="00DB6F4C">
        <w:t>c</w:t>
      </w:r>
      <w:r>
        <w:t xml:space="preserve">ontrolled </w:t>
      </w:r>
      <w:r w:rsidR="00DB6F4C">
        <w:t>e</w:t>
      </w:r>
      <w:r>
        <w:t>ntities – account 21205;</w:t>
      </w:r>
    </w:p>
    <w:p w:rsidR="005162CD" w:rsidRDefault="005162CD" w:rsidP="005162CD">
      <w:pPr>
        <w:pStyle w:val="Listnumindent"/>
      </w:pPr>
      <w:r>
        <w:t xml:space="preserve">Equity </w:t>
      </w:r>
      <w:r w:rsidR="00DB6F4C">
        <w:t>i</w:t>
      </w:r>
      <w:r>
        <w:t xml:space="preserve">nvestment in </w:t>
      </w:r>
      <w:r w:rsidR="00DB6F4C">
        <w:t>g</w:t>
      </w:r>
      <w:r>
        <w:t xml:space="preserve">eneral </w:t>
      </w:r>
      <w:r w:rsidR="00DB6F4C">
        <w:t>g</w:t>
      </w:r>
      <w:r>
        <w:t xml:space="preserve">overnment (GG) </w:t>
      </w:r>
      <w:r w:rsidR="00DB6F4C">
        <w:t>c</w:t>
      </w:r>
      <w:r>
        <w:t xml:space="preserve">ontrolled </w:t>
      </w:r>
      <w:r w:rsidR="00DB6F4C">
        <w:t>e</w:t>
      </w:r>
      <w:r>
        <w:t xml:space="preserve">ntities (Fixed Asset Transfers) – account 21207; </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n</w:t>
      </w:r>
      <w:r>
        <w:t>on-</w:t>
      </w:r>
      <w:r w:rsidR="00DB6F4C">
        <w:t>f</w:t>
      </w:r>
      <w:r>
        <w:t xml:space="preserve">inancial </w:t>
      </w:r>
      <w:r w:rsidR="00DB6F4C">
        <w:t>c</w:t>
      </w:r>
      <w:r>
        <w:t xml:space="preserve">orporations </w:t>
      </w:r>
      <w:r w:rsidR="00DB6F4C">
        <w:t xml:space="preserve">(PNFC) </w:t>
      </w:r>
      <w:r>
        <w:t>– account 21400;</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n</w:t>
      </w:r>
      <w:r>
        <w:t>on-</w:t>
      </w:r>
      <w:r w:rsidR="00DB6F4C">
        <w:t>f</w:t>
      </w:r>
      <w:r>
        <w:t xml:space="preserve">inancial </w:t>
      </w:r>
      <w:r w:rsidR="00DB6F4C">
        <w:t>c</w:t>
      </w:r>
      <w:r>
        <w:t xml:space="preserve">orporations </w:t>
      </w:r>
      <w:r w:rsidR="00DB6F4C">
        <w:t xml:space="preserve">(PNFC) </w:t>
      </w:r>
      <w:r>
        <w:t>(Fixed Asset Transfers) – account 21410;</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f</w:t>
      </w:r>
      <w:r>
        <w:t xml:space="preserve">inancial </w:t>
      </w:r>
      <w:r w:rsidR="00DB6F4C">
        <w:t>c</w:t>
      </w:r>
      <w:r>
        <w:t>orporations</w:t>
      </w:r>
      <w:r w:rsidR="00413A48">
        <w:t xml:space="preserve"> </w:t>
      </w:r>
      <w:r w:rsidR="00DB6F4C">
        <w:t xml:space="preserve">(PFC) </w:t>
      </w:r>
      <w:r>
        <w:t>– account 21450; and</w:t>
      </w:r>
    </w:p>
    <w:p w:rsidR="005457A4" w:rsidRDefault="005162CD" w:rsidP="005162CD">
      <w:pPr>
        <w:pStyle w:val="Listnumindent"/>
      </w:pPr>
      <w:r>
        <w:t xml:space="preserve">Equity Investment in </w:t>
      </w:r>
      <w:r w:rsidR="00DB6F4C">
        <w:t>p</w:t>
      </w:r>
      <w:r>
        <w:t xml:space="preserve">ublic </w:t>
      </w:r>
      <w:r w:rsidR="00DB6F4C">
        <w:t>f</w:t>
      </w:r>
      <w:r>
        <w:t xml:space="preserve">inancial </w:t>
      </w:r>
      <w:r w:rsidR="00DB6F4C">
        <w:t>c</w:t>
      </w:r>
      <w:r>
        <w:t xml:space="preserve">orporations </w:t>
      </w:r>
      <w:r w:rsidR="00DB6F4C">
        <w:t xml:space="preserve">(PFC) </w:t>
      </w:r>
      <w:r>
        <w:t>(Fixed Asset Transfers) – account 21460.</w:t>
      </w:r>
    </w:p>
    <w:p w:rsidR="00DB6F4C" w:rsidRDefault="00DB6F4C">
      <w:pPr>
        <w:spacing w:before="0" w:after="200"/>
        <w:rPr>
          <w:rFonts w:asciiTheme="majorHAnsi" w:eastAsiaTheme="majorEastAsia" w:hAnsiTheme="majorHAnsi" w:cstheme="majorBidi"/>
          <w:b/>
          <w:bCs/>
          <w:iCs/>
          <w:color w:val="53565A"/>
          <w:sz w:val="21"/>
        </w:rPr>
      </w:pPr>
      <w:r>
        <w:br w:type="page"/>
      </w:r>
    </w:p>
    <w:p w:rsidR="005162CD" w:rsidRDefault="005162CD" w:rsidP="005162CD">
      <w:pPr>
        <w:pStyle w:val="Heading4indent"/>
      </w:pPr>
      <w:r>
        <w:lastRenderedPageBreak/>
        <w:t xml:space="preserve">Outline of contributed capital </w:t>
      </w:r>
      <w:r w:rsidR="001602DF">
        <w:t>r</w:t>
      </w:r>
      <w:r>
        <w:t>econciliation process</w:t>
      </w:r>
    </w:p>
    <w:p w:rsidR="005162CD" w:rsidRDefault="005162CD" w:rsidP="005162CD">
      <w:pPr>
        <w:pStyle w:val="Heading5"/>
      </w:pPr>
      <w:r>
        <w:t>Departmental</w:t>
      </w:r>
    </w:p>
    <w:p w:rsidR="005457A4" w:rsidRDefault="005162CD" w:rsidP="005162CD">
      <w:pPr>
        <w:pStyle w:val="NormalIndent"/>
      </w:pPr>
      <w:r>
        <w:t>The contributed capital/equity investment outflows to agencies must reconcile as per below:</w:t>
      </w:r>
    </w:p>
    <w:tbl>
      <w:tblPr>
        <w:tblW w:w="7999"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99"/>
        <w:gridCol w:w="1600"/>
        <w:gridCol w:w="1600"/>
        <w:gridCol w:w="1600"/>
        <w:gridCol w:w="1600"/>
      </w:tblGrid>
      <w:tr w:rsidR="005162CD" w:rsidRPr="00731E39" w:rsidTr="005162CD">
        <w:trPr>
          <w:trHeight w:val="1838"/>
        </w:trPr>
        <w:tc>
          <w:tcPr>
            <w:tcW w:w="1599" w:type="dxa"/>
            <w:vAlign w:val="center"/>
          </w:tcPr>
          <w:p w:rsidR="005162CD" w:rsidRPr="00731E39" w:rsidRDefault="005162CD" w:rsidP="005162CD">
            <w:pPr>
              <w:pStyle w:val="Tabletext"/>
              <w:jc w:val="center"/>
            </w:pPr>
            <w:r w:rsidRPr="00731E39">
              <w:t>Department</w:t>
            </w:r>
            <w:r>
              <w:t>’</w:t>
            </w:r>
            <w:r w:rsidRPr="00731E39">
              <w:t xml:space="preserve">s </w:t>
            </w:r>
            <w:r w:rsidR="00285213">
              <w:t>c</w:t>
            </w:r>
            <w:r w:rsidRPr="00731E39">
              <w:t xml:space="preserve">ontrolled </w:t>
            </w:r>
            <w:r>
              <w:t>contributed capital</w:t>
            </w:r>
            <w:r w:rsidRPr="00731E39">
              <w:t xml:space="preserve"> </w:t>
            </w:r>
            <w:r w:rsidR="00285213">
              <w:t>t</w:t>
            </w:r>
            <w:r w:rsidRPr="00731E39">
              <w:t>ransferred to/from Agencies</w:t>
            </w:r>
          </w:p>
        </w:tc>
        <w:tc>
          <w:tcPr>
            <w:tcW w:w="1600" w:type="dxa"/>
            <w:vAlign w:val="center"/>
          </w:tcPr>
          <w:p w:rsidR="005162CD" w:rsidRPr="005162CD" w:rsidRDefault="005162CD" w:rsidP="005162CD">
            <w:pPr>
              <w:pStyle w:val="Tabletext"/>
              <w:jc w:val="center"/>
              <w:rPr>
                <w:b/>
                <w:sz w:val="24"/>
                <w:szCs w:val="24"/>
              </w:rPr>
            </w:pPr>
            <w:r w:rsidRPr="005162CD">
              <w:rPr>
                <w:b/>
                <w:sz w:val="24"/>
                <w:szCs w:val="24"/>
              </w:rPr>
              <w:t>Must agree</w:t>
            </w:r>
          </w:p>
          <w:p w:rsidR="005162CD" w:rsidRPr="00731E39" w:rsidRDefault="005162CD" w:rsidP="005162CD">
            <w:pPr>
              <w:pStyle w:val="Tabletext"/>
              <w:jc w:val="center"/>
            </w:pPr>
            <w:r w:rsidRPr="005162CD">
              <w:rPr>
                <w:noProof/>
              </w:rPr>
              <mc:AlternateContent>
                <mc:Choice Requires="wps">
                  <w:drawing>
                    <wp:inline distT="0" distB="0" distL="0" distR="0" wp14:anchorId="5983C9E4" wp14:editId="2FE502C6">
                      <wp:extent cx="713232" cy="0"/>
                      <wp:effectExtent l="0" t="133350" r="0" b="133350"/>
                      <wp:docPr id="19715" name="Straight Arrow Connector 13"/>
                      <wp:cNvGraphicFramePr/>
                      <a:graphic xmlns:a="http://schemas.openxmlformats.org/drawingml/2006/main">
                        <a:graphicData uri="http://schemas.microsoft.com/office/word/2010/wordprocessingShape">
                          <wps:wsp>
                            <wps:cNvCnPr/>
                            <wps:spPr>
                              <a:xfrm>
                                <a:off x="0" y="0"/>
                                <a:ext cx="713232" cy="0"/>
                              </a:xfrm>
                              <a:prstGeom prst="straightConnector1">
                                <a:avLst/>
                              </a:prstGeom>
                              <a:ln w="28575">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id="Straight Arrow Connector 13" o:spid="_x0000_s1026" type="#_x0000_t32" style="width:56.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" strokecolor="#005d9d [3044]" strokeweight="2.25pt">
                      <v:stroke startarrow="classic" startarrowwidth="wide" startarrowlength="long" endarrow="classic" endarrowwidth="wide" endarrowlength="long"/>
                      <w10:anchorlock/>
                    </v:shape>
                  </w:pict>
                </mc:Fallback>
              </mc:AlternateContent>
            </w:r>
          </w:p>
        </w:tc>
        <w:tc>
          <w:tcPr>
            <w:tcW w:w="1600" w:type="dxa"/>
            <w:vAlign w:val="center"/>
          </w:tcPr>
          <w:p w:rsidR="005162CD" w:rsidRPr="00731E39" w:rsidRDefault="005162CD" w:rsidP="005162CD">
            <w:pPr>
              <w:pStyle w:val="Tabletext"/>
              <w:jc w:val="center"/>
            </w:pPr>
            <w:r w:rsidRPr="00731E39">
              <w:t xml:space="preserve">Departments </w:t>
            </w:r>
            <w:r w:rsidR="00285213">
              <w:t>a</w:t>
            </w:r>
            <w:r w:rsidRPr="00731E39">
              <w:t xml:space="preserve">dministered </w:t>
            </w:r>
            <w:r w:rsidR="00285213">
              <w:t>e</w:t>
            </w:r>
            <w:r w:rsidRPr="00731E39">
              <w:t xml:space="preserve">quity </w:t>
            </w:r>
            <w:r w:rsidR="00285213">
              <w:t>i</w:t>
            </w:r>
            <w:r w:rsidRPr="00731E39">
              <w:t>nvestment in the Agency</w:t>
            </w:r>
          </w:p>
        </w:tc>
        <w:tc>
          <w:tcPr>
            <w:tcW w:w="1600" w:type="dxa"/>
            <w:vAlign w:val="center"/>
          </w:tcPr>
          <w:p w:rsidR="005162CD" w:rsidRPr="005162CD" w:rsidRDefault="005162CD" w:rsidP="00004E80">
            <w:pPr>
              <w:pStyle w:val="Tabletext"/>
              <w:jc w:val="center"/>
              <w:rPr>
                <w:b/>
                <w:sz w:val="24"/>
                <w:szCs w:val="24"/>
              </w:rPr>
            </w:pPr>
            <w:r w:rsidRPr="005162CD">
              <w:rPr>
                <w:b/>
                <w:sz w:val="24"/>
                <w:szCs w:val="24"/>
              </w:rPr>
              <w:t>Must agree</w:t>
            </w:r>
          </w:p>
          <w:p w:rsidR="005162CD" w:rsidRPr="00731E39" w:rsidRDefault="005162CD" w:rsidP="00004E80">
            <w:pPr>
              <w:pStyle w:val="Tabletext"/>
              <w:jc w:val="center"/>
            </w:pPr>
            <w:r w:rsidRPr="005162CD">
              <w:rPr>
                <w:noProof/>
              </w:rPr>
              <mc:AlternateContent>
                <mc:Choice Requires="wps">
                  <w:drawing>
                    <wp:inline distT="0" distB="0" distL="0" distR="0" wp14:anchorId="7FA842B0" wp14:editId="75135531">
                      <wp:extent cx="713232" cy="0"/>
                      <wp:effectExtent l="0" t="133350" r="0" b="133350"/>
                      <wp:docPr id="19716" name="Straight Arrow Connector 13"/>
                      <wp:cNvGraphicFramePr/>
                      <a:graphic xmlns:a="http://schemas.openxmlformats.org/drawingml/2006/main">
                        <a:graphicData uri="http://schemas.microsoft.com/office/word/2010/wordprocessingShape">
                          <wps:wsp>
                            <wps:cNvCnPr/>
                            <wps:spPr>
                              <a:xfrm>
                                <a:off x="0" y="0"/>
                                <a:ext cx="713232" cy="0"/>
                              </a:xfrm>
                              <a:prstGeom prst="straightConnector1">
                                <a:avLst/>
                              </a:prstGeom>
                              <a:ln w="28575">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id="Straight Arrow Connector 13" o:spid="_x0000_s1026" type="#_x0000_t32" style="width:56.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" strokecolor="#005d9d [3044]" strokeweight="2.25pt">
                      <v:stroke startarrow="classic" startarrowwidth="wide" startarrowlength="long" endarrow="classic" endarrowwidth="wide" endarrowlength="long"/>
                      <w10:anchorlock/>
                    </v:shape>
                  </w:pict>
                </mc:Fallback>
              </mc:AlternateContent>
            </w:r>
          </w:p>
        </w:tc>
        <w:tc>
          <w:tcPr>
            <w:tcW w:w="1600" w:type="dxa"/>
            <w:vAlign w:val="center"/>
          </w:tcPr>
          <w:p w:rsidR="005162CD" w:rsidRPr="00731E39" w:rsidRDefault="005162CD" w:rsidP="005162CD">
            <w:pPr>
              <w:pStyle w:val="Tabletext"/>
              <w:jc w:val="center"/>
            </w:pPr>
            <w:r w:rsidRPr="00731E39">
              <w:t>Agency</w:t>
            </w:r>
            <w:r>
              <w:t>’</w:t>
            </w:r>
            <w:r w:rsidRPr="00731E39">
              <w:t xml:space="preserve">s </w:t>
            </w:r>
            <w:r>
              <w:t>contributed capital received/ returned</w:t>
            </w:r>
          </w:p>
        </w:tc>
      </w:tr>
    </w:tbl>
    <w:p w:rsidR="005162CD" w:rsidRDefault="005162CD" w:rsidP="005162CD">
      <w:pPr>
        <w:pStyle w:val="Spacer"/>
      </w:pPr>
    </w:p>
    <w:p w:rsidR="005162CD" w:rsidRDefault="005162CD" w:rsidP="005162CD">
      <w:pPr>
        <w:pStyle w:val="Heading5"/>
      </w:pPr>
      <w:r>
        <w:t>Transaction flows</w:t>
      </w:r>
    </w:p>
    <w:p w:rsidR="005162CD" w:rsidRDefault="005162CD" w:rsidP="005162CD">
      <w:pPr>
        <w:pStyle w:val="NormalIndent"/>
      </w:pPr>
      <w:r>
        <w:t>The contributed capital transactions flow through the following statements:</w:t>
      </w:r>
    </w:p>
    <w:p w:rsidR="005162CD" w:rsidRDefault="005162CD" w:rsidP="009C70DB">
      <w:pPr>
        <w:pStyle w:val="Listnumindent"/>
        <w:numPr>
          <w:ilvl w:val="6"/>
          <w:numId w:val="17"/>
        </w:numPr>
      </w:pPr>
      <w:r>
        <w:t>Departmental administered items note (note this part is not reported);</w:t>
      </w:r>
    </w:p>
    <w:p w:rsidR="005162CD" w:rsidRDefault="005162CD" w:rsidP="005162CD">
      <w:pPr>
        <w:pStyle w:val="Listnumindent"/>
      </w:pPr>
      <w:r>
        <w:t xml:space="preserve">Administered Items – on </w:t>
      </w:r>
      <w:r w:rsidR="00DB6F4C">
        <w:t>b</w:t>
      </w:r>
      <w:r>
        <w:t xml:space="preserve">ehalf of the State (DTF Annual Report). DTF reports the State’s investment in all its controlled entities, as an </w:t>
      </w:r>
      <w:r w:rsidR="00DB6F4C">
        <w:t>a</w:t>
      </w:r>
      <w:r>
        <w:t>dministered asset;</w:t>
      </w:r>
    </w:p>
    <w:p w:rsidR="005162CD" w:rsidRDefault="005162CD" w:rsidP="005162CD">
      <w:pPr>
        <w:pStyle w:val="Listnumindent"/>
      </w:pPr>
      <w:r>
        <w:t xml:space="preserve">General </w:t>
      </w:r>
      <w:r w:rsidR="00DB6F4C">
        <w:t>g</w:t>
      </w:r>
      <w:r>
        <w:t xml:space="preserve">overnment </w:t>
      </w:r>
      <w:r w:rsidR="00DB6F4C">
        <w:t>c</w:t>
      </w:r>
      <w:r>
        <w:t xml:space="preserve">ash </w:t>
      </w:r>
      <w:r w:rsidR="00DB6F4C">
        <w:t>f</w:t>
      </w:r>
      <w:r>
        <w:t xml:space="preserve">low </w:t>
      </w:r>
      <w:r w:rsidR="00DB6F4C">
        <w:t>s</w:t>
      </w:r>
      <w:r>
        <w:t xml:space="preserve">tatement shown as a net contribution to other </w:t>
      </w:r>
      <w:r w:rsidR="00DB6F4C">
        <w:t>s</w:t>
      </w:r>
      <w:r>
        <w:t xml:space="preserve">ectors of Government </w:t>
      </w:r>
      <w:r w:rsidR="00DB6F4C">
        <w:t>b</w:t>
      </w:r>
      <w:r>
        <w:t xml:space="preserve">alance </w:t>
      </w:r>
      <w:r w:rsidR="00DB6F4C">
        <w:t>s</w:t>
      </w:r>
      <w:r>
        <w:t>heet; and</w:t>
      </w:r>
    </w:p>
    <w:p w:rsidR="005162CD" w:rsidRDefault="005162CD" w:rsidP="005162CD">
      <w:pPr>
        <w:pStyle w:val="Listnumindent"/>
      </w:pPr>
      <w:r>
        <w:t>Annual Financial Report (</w:t>
      </w:r>
      <w:r w:rsidR="00B83528">
        <w:t>w</w:t>
      </w:r>
      <w:r>
        <w:t>hole of State) – eliminated.</w:t>
      </w:r>
    </w:p>
    <w:p w:rsidR="005162CD" w:rsidRDefault="005162CD" w:rsidP="005162CD">
      <w:pPr>
        <w:pStyle w:val="NormalIndent"/>
      </w:pPr>
      <w:r>
        <w:t xml:space="preserve">Refer to Attachment </w:t>
      </w:r>
      <w:r w:rsidR="00A4375C">
        <w:t>3</w:t>
      </w:r>
      <w:r w:rsidR="00CE0437">
        <w:t>:</w:t>
      </w:r>
      <w:r>
        <w:t xml:space="preserve"> </w:t>
      </w:r>
      <w:r w:rsidR="00CE0437" w:rsidRPr="00314B6A">
        <w:rPr>
          <w:i/>
        </w:rPr>
        <w:t>C</w:t>
      </w:r>
      <w:r w:rsidRPr="00314B6A">
        <w:rPr>
          <w:i/>
        </w:rPr>
        <w:t>ontributed capital</w:t>
      </w:r>
      <w:r w:rsidR="00CE0437" w:rsidRPr="00314B6A">
        <w:rPr>
          <w:i/>
        </w:rPr>
        <w:t xml:space="preserve"> scenarios and examples</w:t>
      </w:r>
      <w:r w:rsidR="00CE0437">
        <w:t xml:space="preserve"> for further guidance.</w:t>
      </w:r>
    </w:p>
    <w:p w:rsidR="00CE0437" w:rsidRDefault="00CE0437" w:rsidP="005162CD">
      <w:pPr>
        <w:pStyle w:val="Heading4indent"/>
      </w:pPr>
    </w:p>
    <w:p w:rsidR="005162CD" w:rsidRDefault="005162CD" w:rsidP="005162CD">
      <w:pPr>
        <w:pStyle w:val="Heading4indent"/>
      </w:pPr>
      <w:r>
        <w:t>Relevant materials</w:t>
      </w:r>
    </w:p>
    <w:p w:rsidR="005162CD" w:rsidRDefault="005162CD" w:rsidP="005162CD">
      <w:pPr>
        <w:pStyle w:val="Heading5"/>
      </w:pPr>
      <w:r>
        <w:t>Accounting standards</w:t>
      </w:r>
    </w:p>
    <w:p w:rsidR="005162CD" w:rsidRDefault="005162CD" w:rsidP="005162CD">
      <w:pPr>
        <w:pStyle w:val="Bulletindent"/>
      </w:pPr>
      <w:r>
        <w:t xml:space="preserve">AASB 1004 </w:t>
      </w:r>
      <w:r w:rsidRPr="005162CD">
        <w:rPr>
          <w:i/>
        </w:rPr>
        <w:t>Contributions</w:t>
      </w:r>
    </w:p>
    <w:p w:rsidR="005162CD" w:rsidRDefault="005162CD" w:rsidP="005162CD">
      <w:pPr>
        <w:pStyle w:val="Bulletindent"/>
      </w:pPr>
      <w:r>
        <w:t xml:space="preserve">Interpretation 1038 </w:t>
      </w:r>
      <w:r w:rsidRPr="005162CD">
        <w:rPr>
          <w:i/>
        </w:rPr>
        <w:t>Contributions by Owners Made to Wholly-Owned Public Sector Entities</w:t>
      </w:r>
    </w:p>
    <w:p w:rsidR="005162CD" w:rsidRDefault="005162CD" w:rsidP="005162CD">
      <w:pPr>
        <w:pStyle w:val="Heading5"/>
      </w:pPr>
      <w:r>
        <w:t>Financial reporting directions</w:t>
      </w:r>
    </w:p>
    <w:p w:rsidR="005162CD" w:rsidRPr="005162CD" w:rsidRDefault="005162CD" w:rsidP="005162CD">
      <w:pPr>
        <w:pStyle w:val="Bulletindent"/>
        <w:rPr>
          <w:i/>
        </w:rPr>
      </w:pPr>
      <w:r>
        <w:t xml:space="preserve">FRD 119A </w:t>
      </w:r>
      <w:r w:rsidRPr="005162CD">
        <w:rPr>
          <w:i/>
        </w:rPr>
        <w:t xml:space="preserve">Transfers through Contributed Capital </w:t>
      </w:r>
    </w:p>
    <w:p w:rsidR="005162CD" w:rsidRPr="005162CD" w:rsidRDefault="005162CD" w:rsidP="007D0366">
      <w:pPr>
        <w:pStyle w:val="Heading5"/>
      </w:pPr>
      <w:r w:rsidRPr="005162CD">
        <w:t>Budget Operations Framework</w:t>
      </w:r>
    </w:p>
    <w:p w:rsidR="005162CD" w:rsidRDefault="00A83426" w:rsidP="005162CD">
      <w:pPr>
        <w:pStyle w:val="Bulletindent"/>
      </w:pPr>
      <w:r>
        <w:t xml:space="preserve">BOF </w:t>
      </w:r>
      <w:r w:rsidR="00A00CA4">
        <w:t>S</w:t>
      </w:r>
      <w:r>
        <w:t>ection 3</w:t>
      </w:r>
      <w:r w:rsidR="005162CD">
        <w:t xml:space="preserve">.1 – </w:t>
      </w:r>
      <w:r w:rsidR="00590246">
        <w:rPr>
          <w:i/>
        </w:rPr>
        <w:t xml:space="preserve">Asset </w:t>
      </w:r>
      <w:r w:rsidR="005162CD" w:rsidRPr="005162CD">
        <w:rPr>
          <w:i/>
        </w:rPr>
        <w:t>funding</w:t>
      </w:r>
    </w:p>
    <w:p w:rsidR="005162CD" w:rsidRDefault="005162CD" w:rsidP="00C36AA2">
      <w:pPr>
        <w:pStyle w:val="Heading5"/>
      </w:pPr>
      <w:r>
        <w:t>Financial Reporting Operations Framework</w:t>
      </w:r>
    </w:p>
    <w:p w:rsidR="005162CD" w:rsidRPr="00013786" w:rsidRDefault="00A83426" w:rsidP="005162CD">
      <w:pPr>
        <w:pStyle w:val="Bulletindent"/>
      </w:pPr>
      <w:r w:rsidRPr="00013786">
        <w:t xml:space="preserve">FROF </w:t>
      </w:r>
      <w:r w:rsidR="00A00CA4">
        <w:t>S</w:t>
      </w:r>
      <w:r w:rsidRPr="00013786">
        <w:t>ection 3</w:t>
      </w:r>
      <w:r w:rsidR="005162CD" w:rsidRPr="00013786">
        <w:t xml:space="preserve">.1 – </w:t>
      </w:r>
      <w:r w:rsidR="005162CD" w:rsidRPr="00013786">
        <w:rPr>
          <w:i/>
        </w:rPr>
        <w:t>The classification and treatment of controlled and administered items</w:t>
      </w:r>
    </w:p>
    <w:p w:rsidR="005162CD" w:rsidRPr="00013786" w:rsidRDefault="00A83426" w:rsidP="005162CD">
      <w:pPr>
        <w:pStyle w:val="Bulletindent"/>
      </w:pPr>
      <w:r w:rsidRPr="00013786">
        <w:t xml:space="preserve">FROF </w:t>
      </w:r>
      <w:r w:rsidR="00A00CA4">
        <w:t>S</w:t>
      </w:r>
      <w:r w:rsidRPr="00013786">
        <w:t>ection 3</w:t>
      </w:r>
      <w:r w:rsidR="005162CD" w:rsidRPr="00013786">
        <w:t xml:space="preserve">.5 – </w:t>
      </w:r>
      <w:r w:rsidR="005162CD" w:rsidRPr="00013786">
        <w:rPr>
          <w:i/>
        </w:rPr>
        <w:t>Accounting for the sale of non-financial assets</w:t>
      </w:r>
    </w:p>
    <w:p w:rsidR="005162CD" w:rsidRDefault="005162CD" w:rsidP="00C36AA2">
      <w:pPr>
        <w:pStyle w:val="Heading5"/>
      </w:pPr>
      <w:r>
        <w:t xml:space="preserve">VPS </w:t>
      </w:r>
      <w:r w:rsidR="00C36AA2">
        <w:t>manuals</w:t>
      </w:r>
    </w:p>
    <w:p w:rsidR="005162CD" w:rsidRDefault="005162CD" w:rsidP="005162CD">
      <w:pPr>
        <w:pStyle w:val="Bulletindent"/>
        <w:rPr>
          <w:i/>
        </w:rPr>
      </w:pPr>
      <w:r w:rsidRPr="00C36AA2">
        <w:rPr>
          <w:i/>
        </w:rPr>
        <w:t>Model Report for Victorian Government Departments</w:t>
      </w:r>
    </w:p>
    <w:p w:rsidR="003B6A70" w:rsidRPr="00C36AA2" w:rsidRDefault="003B6A70" w:rsidP="003B6A70">
      <w:pPr>
        <w:pStyle w:val="Bulletindent"/>
        <w:rPr>
          <w:i/>
        </w:rPr>
      </w:pPr>
      <w:r w:rsidRPr="003B6A70">
        <w:rPr>
          <w:i/>
        </w:rPr>
        <w:t>Victorian public sector operating manual on machinery of government changes</w:t>
      </w:r>
    </w:p>
    <w:p w:rsidR="005162CD" w:rsidRDefault="00C36AA2" w:rsidP="00C36AA2">
      <w:pPr>
        <w:pStyle w:val="Heading2numbered"/>
      </w:pPr>
      <w:bookmarkStart w:id="63" w:name="_Toc445470214"/>
      <w:bookmarkStart w:id="64" w:name="_Toc476910336"/>
      <w:r>
        <w:lastRenderedPageBreak/>
        <w:t xml:space="preserve">Accounting for </w:t>
      </w:r>
      <w:r w:rsidRPr="00051A81">
        <w:t>motor vehicle leasing</w:t>
      </w:r>
      <w:bookmarkEnd w:id="63"/>
      <w:bookmarkEnd w:id="64"/>
    </w:p>
    <w:tbl>
      <w:tblPr>
        <w:tblStyle w:val="Mandatory"/>
        <w:tblW w:w="7483" w:type="dxa"/>
        <w:tblLook w:val="0620" w:firstRow="1" w:lastRow="0" w:firstColumn="0" w:lastColumn="0" w:noHBand="1" w:noVBand="1"/>
      </w:tblPr>
      <w:tblGrid>
        <w:gridCol w:w="7483"/>
      </w:tblGrid>
      <w:tr w:rsidR="00C36AA2" w:rsidRPr="008D7E41" w:rsidTr="00C36AA2">
        <w:trPr>
          <w:cnfStyle w:val="100000000000" w:firstRow="1" w:lastRow="0" w:firstColumn="0" w:lastColumn="0" w:oddVBand="0" w:evenVBand="0" w:oddHBand="0" w:evenHBand="0" w:firstRowFirstColumn="0" w:firstRowLastColumn="0" w:lastRowFirstColumn="0" w:lastRowLastColumn="0"/>
        </w:trPr>
        <w:tc>
          <w:tcPr>
            <w:tcW w:w="7483" w:type="dxa"/>
          </w:tcPr>
          <w:p w:rsidR="00C36AA2" w:rsidRPr="008D7E41" w:rsidRDefault="00C36AA2" w:rsidP="00C36AA2">
            <w:pPr>
              <w:pStyle w:val="Tableheader"/>
            </w:pPr>
            <w:r>
              <w:t>Mandatory r</w:t>
            </w:r>
            <w:r w:rsidRPr="008D7E41">
              <w:t>equirements</w:t>
            </w:r>
            <w:r>
              <w:br/>
              <w:t>MOTOR VEHICLE LEASING</w:t>
            </w:r>
          </w:p>
        </w:tc>
      </w:tr>
      <w:tr w:rsidR="00C36AA2" w:rsidRPr="008D7E41" w:rsidTr="00C36AA2">
        <w:tc>
          <w:tcPr>
            <w:tcW w:w="7483" w:type="dxa"/>
          </w:tcPr>
          <w:p w:rsidR="00C36AA2" w:rsidRDefault="00C36AA2" w:rsidP="00C36AA2">
            <w:pPr>
              <w:pStyle w:val="Heading3numbered"/>
            </w:pPr>
            <w:bookmarkStart w:id="65" w:name="_Toc445470215"/>
            <w:bookmarkStart w:id="66" w:name="_Toc476910337"/>
            <w:r>
              <w:t xml:space="preserve">Recording of </w:t>
            </w:r>
            <w:proofErr w:type="spellStart"/>
            <w:r>
              <w:t>VicFleet</w:t>
            </w:r>
            <w:proofErr w:type="spellEnd"/>
            <w:r>
              <w:t xml:space="preserve"> journal entries</w:t>
            </w:r>
            <w:bookmarkEnd w:id="65"/>
            <w:bookmarkEnd w:id="66"/>
          </w:p>
          <w:p w:rsidR="00C36AA2" w:rsidRDefault="00C36AA2" w:rsidP="00C36AA2">
            <w:pPr>
              <w:pStyle w:val="Tabletextnum"/>
            </w:pPr>
            <w:r>
              <w:t xml:space="preserve">Journal entries provided to Departments by the DTF </w:t>
            </w:r>
            <w:proofErr w:type="spellStart"/>
            <w:r>
              <w:t>VicFleet</w:t>
            </w:r>
            <w:proofErr w:type="spellEnd"/>
            <w:r>
              <w:t xml:space="preserve"> area must be recorded in Departmental accounting ledgers.</w:t>
            </w:r>
            <w:r w:rsidR="00413A48">
              <w:t xml:space="preserve"> </w:t>
            </w:r>
          </w:p>
          <w:p w:rsidR="00C36AA2" w:rsidRDefault="00C36AA2" w:rsidP="00C36AA2">
            <w:pPr>
              <w:pStyle w:val="Tabletextnum"/>
            </w:pPr>
            <w:r>
              <w:t xml:space="preserve">Journal entries must follow the appropriate rules pertaining to the account codes and authority codes in SRIMS. </w:t>
            </w:r>
          </w:p>
          <w:p w:rsidR="00C36AA2" w:rsidRDefault="00C36AA2" w:rsidP="00C36AA2">
            <w:pPr>
              <w:pStyle w:val="Heading3numbered"/>
            </w:pPr>
            <w:bookmarkStart w:id="67" w:name="_Toc445470216"/>
            <w:bookmarkStart w:id="68" w:name="_Toc476910338"/>
            <w:proofErr w:type="spellStart"/>
            <w:r>
              <w:t>VicFleet</w:t>
            </w:r>
            <w:proofErr w:type="spellEnd"/>
            <w:r>
              <w:t xml:space="preserve"> trust multi-user account</w:t>
            </w:r>
            <w:bookmarkEnd w:id="67"/>
            <w:bookmarkEnd w:id="68"/>
            <w:r>
              <w:t xml:space="preserve"> </w:t>
            </w:r>
          </w:p>
          <w:p w:rsidR="00C36AA2" w:rsidRDefault="00C36AA2" w:rsidP="00C36AA2">
            <w:pPr>
              <w:pStyle w:val="Tabletextnum"/>
            </w:pPr>
            <w:r>
              <w:t xml:space="preserve">Departments may access the </w:t>
            </w:r>
            <w:proofErr w:type="spellStart"/>
            <w:r>
              <w:t>VicFleet</w:t>
            </w:r>
            <w:proofErr w:type="spellEnd"/>
            <w:r>
              <w:t xml:space="preserve"> trust account through a multi-user account (Trust sub-account), to process vehicle sale transactions.</w:t>
            </w:r>
            <w:r w:rsidR="00413A48">
              <w:t xml:space="preserve"> </w:t>
            </w:r>
          </w:p>
          <w:p w:rsidR="00C36AA2" w:rsidRDefault="00C36AA2" w:rsidP="00C36AA2">
            <w:pPr>
              <w:pStyle w:val="Tabletextnum"/>
            </w:pPr>
            <w:r>
              <w:t>Any surplus in the Trust may be used to fund ongoing vehicle expenses, however any deficit must be immediately reimbursed.</w:t>
            </w:r>
          </w:p>
          <w:p w:rsidR="00C36AA2" w:rsidRDefault="00C36AA2" w:rsidP="00C36AA2">
            <w:pPr>
              <w:pStyle w:val="Heading3numbered"/>
            </w:pPr>
            <w:bookmarkStart w:id="69" w:name="_Toc445470217"/>
            <w:bookmarkStart w:id="70" w:name="_Toc476910339"/>
            <w:r>
              <w:t>Application of C</w:t>
            </w:r>
            <w:r w:rsidRPr="00731E39">
              <w:t xml:space="preserve">apital </w:t>
            </w:r>
            <w:r>
              <w:t>A</w:t>
            </w:r>
            <w:r w:rsidRPr="00731E39">
              <w:t>sset</w:t>
            </w:r>
            <w:r>
              <w:t>s</w:t>
            </w:r>
            <w:r w:rsidRPr="00731E39">
              <w:t xml:space="preserve"> </w:t>
            </w:r>
            <w:r>
              <w:t>Charge (CAC)</w:t>
            </w:r>
            <w:bookmarkEnd w:id="69"/>
            <w:bookmarkEnd w:id="70"/>
          </w:p>
          <w:p w:rsidR="00C36AA2" w:rsidRPr="008D7E41" w:rsidRDefault="00C36AA2" w:rsidP="00C36AA2">
            <w:pPr>
              <w:pStyle w:val="Tabletextindent"/>
            </w:pPr>
            <w:r>
              <w:t>The CAC</w:t>
            </w:r>
            <w:r w:rsidRPr="00731E39">
              <w:t xml:space="preserve"> is </w:t>
            </w:r>
            <w:r w:rsidRPr="00EA0428">
              <w:rPr>
                <w:b/>
              </w:rPr>
              <w:t>not</w:t>
            </w:r>
            <w:r w:rsidRPr="00731E39">
              <w:t xml:space="preserve"> applicable to leased vehicles covered by this </w:t>
            </w:r>
            <w:r>
              <w:t xml:space="preserve">section. </w:t>
            </w:r>
          </w:p>
        </w:tc>
      </w:tr>
    </w:tbl>
    <w:p w:rsidR="005162CD" w:rsidRDefault="005162CD" w:rsidP="00C36AA2">
      <w:pPr>
        <w:pStyle w:val="Spacer"/>
      </w:pPr>
    </w:p>
    <w:p w:rsidR="00C36AA2" w:rsidRDefault="00C36AA2" w:rsidP="00C36AA2">
      <w:pPr>
        <w:pStyle w:val="Heading4indent"/>
      </w:pPr>
      <w:r>
        <w:t>Guidance</w:t>
      </w:r>
    </w:p>
    <w:p w:rsidR="00C36AA2" w:rsidRDefault="00C36AA2" w:rsidP="00C36AA2">
      <w:pPr>
        <w:pStyle w:val="NormalIndent"/>
      </w:pPr>
      <w:r>
        <w:t>Motor vehicles in the Victorian Government are governed by the Standard Motor Vehicle Policy (SMVP), which is a whole of Victorian Government framework to optimise the management and use of Government vehicle assets.</w:t>
      </w:r>
      <w:r w:rsidR="00413A48">
        <w:t xml:space="preserve"> </w:t>
      </w:r>
      <w:r>
        <w:t xml:space="preserve">This section outlines the accounting treatment for motor vehicles held under the </w:t>
      </w:r>
      <w:proofErr w:type="spellStart"/>
      <w:r>
        <w:t>VicFleet</w:t>
      </w:r>
      <w:proofErr w:type="spellEnd"/>
      <w:r>
        <w:t xml:space="preserve"> finance lease arrangement.</w:t>
      </w:r>
    </w:p>
    <w:p w:rsidR="00C36AA2" w:rsidRDefault="00C36AA2" w:rsidP="00C36AA2">
      <w:pPr>
        <w:pStyle w:val="Heading5"/>
      </w:pPr>
      <w:r>
        <w:t>Core accounting treatment</w:t>
      </w:r>
    </w:p>
    <w:p w:rsidR="00C36AA2" w:rsidRDefault="00C36AA2" w:rsidP="00C36AA2">
      <w:pPr>
        <w:pStyle w:val="NormalIndent"/>
      </w:pPr>
      <w:r>
        <w:t>Motor vehicle leases are accounted for as a finance lease.</w:t>
      </w:r>
    </w:p>
    <w:p w:rsidR="00C36AA2" w:rsidRDefault="00C36AA2" w:rsidP="00C36AA2">
      <w:pPr>
        <w:pStyle w:val="NormalIndent"/>
      </w:pPr>
      <w:r>
        <w:t>The accounting entries, broadly summarised, are as follows:</w:t>
      </w:r>
    </w:p>
    <w:p w:rsidR="00C36AA2" w:rsidRDefault="00C36AA2" w:rsidP="00C36AA2">
      <w:pPr>
        <w:pStyle w:val="Bulletindent"/>
      </w:pPr>
      <w:r>
        <w:t xml:space="preserve">DTF – </w:t>
      </w:r>
      <w:proofErr w:type="spellStart"/>
      <w:r>
        <w:t>VicFleet</w:t>
      </w:r>
      <w:proofErr w:type="spellEnd"/>
      <w:r>
        <w:t>, as lessor, records a lease receivable for the capital value of the vehicle.</w:t>
      </w:r>
      <w:r w:rsidR="00413A48">
        <w:t xml:space="preserve"> </w:t>
      </w:r>
      <w:r>
        <w:t xml:space="preserve">The Department/agency, as lessee, records a corresponding lease liability for the amount owed. Both the lease receivable and the lease liability reduce each month as lease repayments are generated. </w:t>
      </w:r>
    </w:p>
    <w:p w:rsidR="00C36AA2" w:rsidRDefault="00C36AA2" w:rsidP="00C36AA2">
      <w:pPr>
        <w:pStyle w:val="Bulletindent"/>
      </w:pPr>
      <w:r>
        <w:t xml:space="preserve">DTF – </w:t>
      </w:r>
      <w:proofErr w:type="spellStart"/>
      <w:r>
        <w:t>VicFleet</w:t>
      </w:r>
      <w:proofErr w:type="spellEnd"/>
      <w:r>
        <w:t xml:space="preserve"> arranges payment of the lease operating costs (e.g. annual vehicle insurance and registration renewal, end of life costs, interest etc.) and recoups these through the lease repayments during the lease period.</w:t>
      </w:r>
      <w:r w:rsidR="00413A48">
        <w:t xml:space="preserve"> </w:t>
      </w:r>
      <w:r>
        <w:t>The Department/agency records the lease operating costs as expenses incurred each month.</w:t>
      </w:r>
      <w:r w:rsidR="00413A48">
        <w:t xml:space="preserve"> </w:t>
      </w:r>
    </w:p>
    <w:p w:rsidR="00C36AA2" w:rsidRDefault="00C36AA2" w:rsidP="00C36AA2">
      <w:pPr>
        <w:pStyle w:val="Bulletindent"/>
      </w:pPr>
      <w:r>
        <w:t xml:space="preserve">As the arrangement is a finance lease, Accounting Standard AASB 117 </w:t>
      </w:r>
      <w:r w:rsidR="0025621E">
        <w:rPr>
          <w:i/>
        </w:rPr>
        <w:t xml:space="preserve">Leases </w:t>
      </w:r>
      <w:r>
        <w:t>requires the capital value of the vehicle also be accounted for as an asset in the Department/agency’s books.</w:t>
      </w:r>
    </w:p>
    <w:p w:rsidR="00C36AA2" w:rsidRDefault="00C36AA2" w:rsidP="00C36AA2">
      <w:pPr>
        <w:pStyle w:val="Bulletindent"/>
      </w:pPr>
      <w:r>
        <w:t xml:space="preserve">Transactions between Departments/agencies and </w:t>
      </w:r>
      <w:proofErr w:type="spellStart"/>
      <w:r>
        <w:t>VicFleet</w:t>
      </w:r>
      <w:proofErr w:type="spellEnd"/>
      <w:r>
        <w:t xml:space="preserve"> must mirror each other. This will be monitored by DTF at a whole of government level as part of the consolidation in SRIMS of the State’s accounts.</w:t>
      </w:r>
    </w:p>
    <w:p w:rsidR="00C36AA2" w:rsidRDefault="00C36AA2" w:rsidP="00C36AA2">
      <w:pPr>
        <w:pStyle w:val="Bulletindent"/>
      </w:pPr>
      <w:r>
        <w:t>SRIMS transactions should balance to zero within each entity and within each entity the authority should also balance to zero.</w:t>
      </w:r>
    </w:p>
    <w:p w:rsidR="00C36AA2" w:rsidRDefault="00C36AA2" w:rsidP="00C36AA2">
      <w:pPr>
        <w:pStyle w:val="Bulletindent"/>
      </w:pPr>
      <w:r>
        <w:t>Accounting Standard</w:t>
      </w:r>
      <w:r w:rsidR="00690ADE">
        <w:t xml:space="preserve"> AASB 117 </w:t>
      </w:r>
      <w:r w:rsidR="00690ADE" w:rsidRPr="00DE62B5">
        <w:rPr>
          <w:i/>
        </w:rPr>
        <w:t>Lease</w:t>
      </w:r>
      <w:r w:rsidRPr="00DE62B5">
        <w:rPr>
          <w:i/>
        </w:rPr>
        <w:t>s</w:t>
      </w:r>
      <w:r>
        <w:t xml:space="preserve"> require</w:t>
      </w:r>
      <w:r w:rsidR="00690ADE">
        <w:t>s</w:t>
      </w:r>
      <w:r>
        <w:t xml:space="preserve"> the lease liability be split between current and non-current, for financial reporting purposes.</w:t>
      </w:r>
      <w:r w:rsidR="00413A48">
        <w:t xml:space="preserve"> </w:t>
      </w:r>
      <w:r>
        <w:t xml:space="preserve">The split is provided by </w:t>
      </w:r>
      <w:proofErr w:type="spellStart"/>
      <w:r>
        <w:t>VicFleet</w:t>
      </w:r>
      <w:proofErr w:type="spellEnd"/>
      <w:r>
        <w:t xml:space="preserve"> to the client Departments on a monthly basis.</w:t>
      </w:r>
    </w:p>
    <w:p w:rsidR="00C36AA2" w:rsidRDefault="00C36AA2" w:rsidP="00C36AA2">
      <w:pPr>
        <w:pStyle w:val="Heading5"/>
      </w:pPr>
      <w:r>
        <w:lastRenderedPageBreak/>
        <w:t>Accounting transactions</w:t>
      </w:r>
    </w:p>
    <w:p w:rsidR="00FC11DA" w:rsidRDefault="00C36AA2" w:rsidP="00FC11DA">
      <w:pPr>
        <w:pStyle w:val="NormalIndent"/>
      </w:pPr>
      <w:r>
        <w:t>Details relating to the substantiation behind the accounting treatment and journals are identified in Attachment 2.</w:t>
      </w:r>
      <w:r w:rsidR="00FC11DA">
        <w:t xml:space="preserve"> Note that authority coding, inter-entity account and inter-fund transactions do not apply to agencies operating outside of the Public Account.</w:t>
      </w:r>
    </w:p>
    <w:p w:rsidR="00C36AA2" w:rsidRDefault="00C36AA2" w:rsidP="00C36AA2">
      <w:pPr>
        <w:pStyle w:val="Heading5"/>
      </w:pPr>
      <w:r>
        <w:t>Under/over variance transactions</w:t>
      </w:r>
    </w:p>
    <w:p w:rsidR="00C36AA2" w:rsidRDefault="00413A48" w:rsidP="00C36AA2">
      <w:pPr>
        <w:pStyle w:val="NormalIndent"/>
      </w:pPr>
      <w:r>
        <w:t xml:space="preserve"> </w:t>
      </w:r>
      <w:r w:rsidR="00303406" w:rsidRPr="00303406">
        <w:t>‘Under/over variance’ of lease liability – is the difference between the total cost of asset against lease liability and accumulated depreciation. This variance has to be manually calculated and included in the disposal journal (Attachment 2) from the disposal client file.</w:t>
      </w:r>
    </w:p>
    <w:p w:rsidR="00303406" w:rsidRDefault="00303406" w:rsidP="00C36AA2">
      <w:pPr>
        <w:pStyle w:val="NormalIndent"/>
      </w:pPr>
      <w:r w:rsidRPr="00303406">
        <w:t xml:space="preserve">‘Under/over variance’ of lease operating costs – is the difference between the total budgeted amount charged to the Department/agency during the life of the lease and the actual amount incurred.  </w:t>
      </w:r>
    </w:p>
    <w:p w:rsidR="00C36AA2" w:rsidRDefault="00C36AA2" w:rsidP="00C36AA2">
      <w:pPr>
        <w:pStyle w:val="NormalIndent"/>
      </w:pPr>
      <w:r>
        <w:t xml:space="preserve">The variance results in an adjustment that is either reimbursed to the lessee or charged to the lessee, in the </w:t>
      </w:r>
      <w:r w:rsidR="00303406">
        <w:t>disposal client file</w:t>
      </w:r>
      <w:r>
        <w:t xml:space="preserve">. The </w:t>
      </w:r>
      <w:proofErr w:type="spellStart"/>
      <w:r>
        <w:t>unders</w:t>
      </w:r>
      <w:proofErr w:type="spellEnd"/>
      <w:r w:rsidR="00303406">
        <w:t xml:space="preserve"> and </w:t>
      </w:r>
      <w:r>
        <w:t xml:space="preserve">overs relating to </w:t>
      </w:r>
      <w:r w:rsidR="00303406">
        <w:t>lease operating expenses are transacted in the appropriation accounts</w:t>
      </w:r>
      <w:r>
        <w:t>.</w:t>
      </w:r>
    </w:p>
    <w:p w:rsidR="00C36AA2" w:rsidRDefault="00C36AA2" w:rsidP="00C36AA2">
      <w:pPr>
        <w:pStyle w:val="Listnumindent"/>
      </w:pPr>
      <w:proofErr w:type="spellStart"/>
      <w:r>
        <w:t>Unders</w:t>
      </w:r>
      <w:proofErr w:type="spellEnd"/>
      <w:r>
        <w:t>/overs</w:t>
      </w:r>
      <w:r w:rsidR="00E05155">
        <w:t xml:space="preserve"> of lease operating costs</w:t>
      </w:r>
      <w:r>
        <w:t xml:space="preserve"> incurred throughout the life of the lease and after the lease has been finalised are made up of </w:t>
      </w:r>
      <w:r w:rsidR="00E05155">
        <w:t>three</w:t>
      </w:r>
      <w:r w:rsidR="00BF5437">
        <w:t xml:space="preserve"> </w:t>
      </w:r>
      <w:r>
        <w:t xml:space="preserve">components: </w:t>
      </w:r>
    </w:p>
    <w:p w:rsidR="00C36AA2" w:rsidRDefault="00C36AA2" w:rsidP="00C36AA2">
      <w:pPr>
        <w:pStyle w:val="Listnumindent2"/>
      </w:pPr>
      <w:r>
        <w:t xml:space="preserve">Costs incurred during vehicle usage – e.g. fuel, insurance, vehicle registration, driver training, roadside assistance, scheduled servicing (prepaid); </w:t>
      </w:r>
    </w:p>
    <w:p w:rsidR="00C36AA2" w:rsidRDefault="00C36AA2" w:rsidP="00C36AA2">
      <w:pPr>
        <w:pStyle w:val="Listnumindent2"/>
      </w:pPr>
      <w:r>
        <w:t>Costs incurred on selling the vehicle (end of life costs);</w:t>
      </w:r>
    </w:p>
    <w:p w:rsidR="00C36AA2" w:rsidRDefault="00C36AA2" w:rsidP="00C36AA2">
      <w:pPr>
        <w:pStyle w:val="Listnumindent2"/>
      </w:pPr>
      <w:r>
        <w:t>Lease financing cost (</w:t>
      </w:r>
      <w:proofErr w:type="spellStart"/>
      <w:r>
        <w:t>VicFleet</w:t>
      </w:r>
      <w:proofErr w:type="spellEnd"/>
      <w:r>
        <w:t xml:space="preserve"> borrowings with TCV) less lease interest cost recovered during the lease.</w:t>
      </w:r>
    </w:p>
    <w:p w:rsidR="005162CD" w:rsidRDefault="00C36AA2" w:rsidP="00C36AA2">
      <w:pPr>
        <w:pStyle w:val="NormalIndent"/>
      </w:pPr>
      <w:r>
        <w:t>Sufficient funding should be set aside by Departments to fund any shortfalls in vehicle under/over expenditure.</w:t>
      </w:r>
    </w:p>
    <w:p w:rsidR="00C36AA2" w:rsidRDefault="00FC11DA" w:rsidP="00C36AA2">
      <w:pPr>
        <w:pStyle w:val="Heading4indent"/>
      </w:pPr>
      <w:r>
        <w:t xml:space="preserve">The </w:t>
      </w:r>
      <w:proofErr w:type="spellStart"/>
      <w:r w:rsidR="00C36AA2">
        <w:t>VicFleet</w:t>
      </w:r>
      <w:proofErr w:type="spellEnd"/>
      <w:r w:rsidR="00C36AA2">
        <w:t xml:space="preserve"> </w:t>
      </w:r>
      <w:r w:rsidR="000532B0">
        <w:t>trust a</w:t>
      </w:r>
      <w:r w:rsidR="00C36AA2">
        <w:t>ccount</w:t>
      </w:r>
    </w:p>
    <w:p w:rsidR="00C36AA2" w:rsidRDefault="00C36AA2" w:rsidP="00C36AA2">
      <w:pPr>
        <w:pStyle w:val="NormalIndent"/>
      </w:pPr>
      <w:r>
        <w:t xml:space="preserve">Departments are able to access the </w:t>
      </w:r>
      <w:proofErr w:type="spellStart"/>
      <w:r>
        <w:t>VicFleet</w:t>
      </w:r>
      <w:proofErr w:type="spellEnd"/>
      <w:r>
        <w:t xml:space="preserve"> </w:t>
      </w:r>
      <w:r w:rsidR="00DE0A4E">
        <w:t>t</w:t>
      </w:r>
      <w:r>
        <w:t xml:space="preserve">rust </w:t>
      </w:r>
      <w:r w:rsidR="00DE0A4E">
        <w:t>a</w:t>
      </w:r>
      <w:r>
        <w:t xml:space="preserve">ccount through the use of a separate multi-user account, which is one of a number of sub-accounts within the </w:t>
      </w:r>
      <w:r w:rsidR="00DE0A4E">
        <w:t>t</w:t>
      </w:r>
      <w:r>
        <w:t>rust. These multi-user accounts should only be utilised</w:t>
      </w:r>
      <w:r w:rsidR="00413A48">
        <w:t xml:space="preserve"> </w:t>
      </w:r>
      <w:r>
        <w:t xml:space="preserve">for the purpose of processing vehicle sale transactions. </w:t>
      </w:r>
      <w:r w:rsidR="002D02F5" w:rsidRPr="002D02F5">
        <w:t xml:space="preserve">Should a deficit arise in the </w:t>
      </w:r>
      <w:proofErr w:type="spellStart"/>
      <w:r w:rsidR="002D02F5" w:rsidRPr="002D02F5">
        <w:t>VicFleet</w:t>
      </w:r>
      <w:proofErr w:type="spellEnd"/>
      <w:r w:rsidR="002D02F5" w:rsidRPr="002D02F5">
        <w:t xml:space="preserve"> </w:t>
      </w:r>
      <w:r w:rsidR="00DE0A4E">
        <w:t>t</w:t>
      </w:r>
      <w:r w:rsidR="002D02F5" w:rsidRPr="002D02F5">
        <w:t xml:space="preserve">rust </w:t>
      </w:r>
      <w:r w:rsidR="00DE0A4E">
        <w:t>a</w:t>
      </w:r>
      <w:r w:rsidR="002D02F5" w:rsidRPr="002D02F5">
        <w:t>ccount, this should be reimbursed immediately from appropriation.</w:t>
      </w:r>
    </w:p>
    <w:p w:rsidR="00C36AA2" w:rsidRDefault="00C36AA2" w:rsidP="00C36AA2">
      <w:pPr>
        <w:pStyle w:val="NormalIndent"/>
      </w:pPr>
      <w:r>
        <w:t xml:space="preserve">Proceeds from the sale of vehicles under the </w:t>
      </w:r>
      <w:proofErr w:type="spellStart"/>
      <w:r>
        <w:t>VicFleet</w:t>
      </w:r>
      <w:proofErr w:type="spellEnd"/>
      <w:r>
        <w:t xml:space="preserve"> lease are paid directly into the </w:t>
      </w:r>
      <w:r w:rsidR="00DE0A4E">
        <w:t>t</w:t>
      </w:r>
      <w:r>
        <w:t xml:space="preserve">rust </w:t>
      </w:r>
      <w:r w:rsidR="00DE0A4E">
        <w:t>a</w:t>
      </w:r>
      <w:r>
        <w:t>ccount.</w:t>
      </w:r>
    </w:p>
    <w:p w:rsidR="00C36AA2" w:rsidRDefault="00C36AA2" w:rsidP="00C36AA2">
      <w:pPr>
        <w:pStyle w:val="Heading4indent"/>
      </w:pPr>
      <w:r>
        <w:t>Relevant materials</w:t>
      </w:r>
    </w:p>
    <w:p w:rsidR="00C36AA2" w:rsidRDefault="00C36AA2" w:rsidP="00C36AA2">
      <w:pPr>
        <w:pStyle w:val="Heading5"/>
      </w:pPr>
      <w:r>
        <w:t>Accounting standards</w:t>
      </w:r>
    </w:p>
    <w:p w:rsidR="00C36AA2" w:rsidRDefault="00C36AA2" w:rsidP="00C36AA2">
      <w:pPr>
        <w:pStyle w:val="Bulletindent"/>
      </w:pPr>
      <w:r>
        <w:t xml:space="preserve">AASB 117 </w:t>
      </w:r>
      <w:r w:rsidRPr="00DE62B5">
        <w:rPr>
          <w:i/>
        </w:rPr>
        <w:t>Leases</w:t>
      </w:r>
    </w:p>
    <w:p w:rsidR="00C36AA2" w:rsidRDefault="00C36AA2" w:rsidP="00C36AA2">
      <w:pPr>
        <w:pStyle w:val="Heading5"/>
      </w:pPr>
      <w:r>
        <w:t>Financial Reporting Directions</w:t>
      </w:r>
    </w:p>
    <w:p w:rsidR="00C36AA2" w:rsidRDefault="00C36AA2" w:rsidP="00C36AA2">
      <w:pPr>
        <w:pStyle w:val="Bulletindent"/>
      </w:pPr>
      <w:r>
        <w:t xml:space="preserve">FRD 26A – Accounting for </w:t>
      </w:r>
      <w:proofErr w:type="spellStart"/>
      <w:r>
        <w:t>VicFleet</w:t>
      </w:r>
      <w:proofErr w:type="spellEnd"/>
      <w:r>
        <w:t xml:space="preserve"> Motor Vehicle Lease Arrangements on or after 1</w:t>
      </w:r>
      <w:r w:rsidR="00BF5437">
        <w:t> </w:t>
      </w:r>
      <w:r>
        <w:t>February 2004</w:t>
      </w:r>
    </w:p>
    <w:p w:rsidR="00C36AA2" w:rsidRDefault="00C36AA2" w:rsidP="00C36AA2">
      <w:pPr>
        <w:pStyle w:val="Heading5"/>
      </w:pPr>
      <w:r>
        <w:t>Budget Operations Framework</w:t>
      </w:r>
    </w:p>
    <w:p w:rsidR="00C36AA2" w:rsidRDefault="00A00CA4" w:rsidP="00C36AA2">
      <w:pPr>
        <w:pStyle w:val="Bulletindent"/>
      </w:pPr>
      <w:r>
        <w:t>BOF S</w:t>
      </w:r>
      <w:r w:rsidR="00C36AA2">
        <w:t xml:space="preserve">ection </w:t>
      </w:r>
      <w:r w:rsidR="00DE62B5">
        <w:t>1.2</w:t>
      </w:r>
      <w:r w:rsidR="00C36AA2">
        <w:t xml:space="preserve"> – </w:t>
      </w:r>
      <w:r w:rsidR="00DE62B5" w:rsidRPr="0010781C">
        <w:rPr>
          <w:i/>
        </w:rPr>
        <w:t xml:space="preserve">The </w:t>
      </w:r>
      <w:r w:rsidR="00C36AA2" w:rsidRPr="0010781C">
        <w:rPr>
          <w:i/>
        </w:rPr>
        <w:t>Trust</w:t>
      </w:r>
      <w:r w:rsidR="00DE62B5" w:rsidRPr="0010781C">
        <w:rPr>
          <w:i/>
        </w:rPr>
        <w:t xml:space="preserve"> Fund and </w:t>
      </w:r>
      <w:r w:rsidR="00CE0437" w:rsidRPr="0010781C">
        <w:rPr>
          <w:i/>
        </w:rPr>
        <w:t>t</w:t>
      </w:r>
      <w:r w:rsidR="00DE62B5" w:rsidRPr="0010781C">
        <w:rPr>
          <w:i/>
        </w:rPr>
        <w:t>rust account</w:t>
      </w:r>
      <w:r w:rsidR="00C36AA2" w:rsidRPr="0010781C">
        <w:rPr>
          <w:i/>
        </w:rPr>
        <w:t>s</w:t>
      </w:r>
      <w:r w:rsidR="00C36AA2">
        <w:t xml:space="preserve"> </w:t>
      </w:r>
    </w:p>
    <w:p w:rsidR="0025361C" w:rsidRDefault="0025361C">
      <w:pPr>
        <w:spacing w:before="0" w:after="200"/>
        <w:rPr>
          <w:rFonts w:asciiTheme="majorHAnsi" w:eastAsiaTheme="majorEastAsia" w:hAnsiTheme="majorHAnsi" w:cstheme="majorBidi"/>
          <w:b/>
          <w:bCs/>
          <w:color w:val="0063A6" w:themeColor="accent1"/>
          <w:sz w:val="28"/>
          <w:szCs w:val="26"/>
        </w:rPr>
      </w:pPr>
      <w:bookmarkStart w:id="71" w:name="_Toc445470218"/>
      <w:r>
        <w:br w:type="page"/>
      </w:r>
    </w:p>
    <w:p w:rsidR="00C36AA2" w:rsidRDefault="00547CEA" w:rsidP="00547CEA">
      <w:pPr>
        <w:pStyle w:val="Heading2numbered"/>
      </w:pPr>
      <w:bookmarkStart w:id="72" w:name="_Toc476910340"/>
      <w:r>
        <w:lastRenderedPageBreak/>
        <w:t xml:space="preserve">Accounting for the sale of </w:t>
      </w:r>
      <w:r w:rsidR="00EA52E1">
        <w:t>D</w:t>
      </w:r>
      <w:r w:rsidR="00C93AD6">
        <w:t>epartment</w:t>
      </w:r>
      <w:r w:rsidR="00DE62B5">
        <w:t>al</w:t>
      </w:r>
      <w:r>
        <w:t xml:space="preserve"> assets</w:t>
      </w:r>
      <w:bookmarkEnd w:id="71"/>
      <w:bookmarkEnd w:id="72"/>
    </w:p>
    <w:tbl>
      <w:tblPr>
        <w:tblStyle w:val="Mandatory"/>
        <w:tblW w:w="7483" w:type="dxa"/>
        <w:tblLook w:val="0620" w:firstRow="1" w:lastRow="0" w:firstColumn="0" w:lastColumn="0" w:noHBand="1" w:noVBand="1"/>
      </w:tblPr>
      <w:tblGrid>
        <w:gridCol w:w="7483"/>
      </w:tblGrid>
      <w:tr w:rsidR="00547CEA" w:rsidRPr="008D7E41" w:rsidTr="001659F2">
        <w:trPr>
          <w:cnfStyle w:val="100000000000" w:firstRow="1" w:lastRow="0" w:firstColumn="0" w:lastColumn="0" w:oddVBand="0" w:evenVBand="0" w:oddHBand="0" w:evenHBand="0" w:firstRowFirstColumn="0" w:firstRowLastColumn="0" w:lastRowFirstColumn="0" w:lastRowLastColumn="0"/>
        </w:trPr>
        <w:tc>
          <w:tcPr>
            <w:tcW w:w="7483" w:type="dxa"/>
          </w:tcPr>
          <w:p w:rsidR="00547CEA" w:rsidRPr="008D7E41" w:rsidRDefault="00547CEA">
            <w:pPr>
              <w:pStyle w:val="Tableheader"/>
              <w:rPr>
                <w:color w:val="auto"/>
              </w:rPr>
            </w:pPr>
            <w:r>
              <w:t>Mandatory requirements</w:t>
            </w:r>
            <w:r>
              <w:br/>
            </w:r>
            <w:r w:rsidRPr="003455D7">
              <w:t xml:space="preserve">ACCOUNTING FOR </w:t>
            </w:r>
            <w:r>
              <w:t xml:space="preserve">THE </w:t>
            </w:r>
            <w:r w:rsidRPr="003455D7">
              <w:t xml:space="preserve">SALE OF </w:t>
            </w:r>
            <w:r w:rsidR="00C93AD6">
              <w:t>DEPARTMENTAL</w:t>
            </w:r>
            <w:r w:rsidRPr="003455D7">
              <w:t xml:space="preserve"> ASSETS</w:t>
            </w:r>
          </w:p>
        </w:tc>
      </w:tr>
      <w:tr w:rsidR="00547CEA" w:rsidRPr="008D7E41" w:rsidTr="001659F2">
        <w:tc>
          <w:tcPr>
            <w:tcW w:w="7483" w:type="dxa"/>
          </w:tcPr>
          <w:p w:rsidR="00547CEA" w:rsidRDefault="00547CEA" w:rsidP="001659F2">
            <w:pPr>
              <w:pStyle w:val="Heading3numbered"/>
            </w:pPr>
            <w:bookmarkStart w:id="73" w:name="_Toc445470219"/>
            <w:bookmarkStart w:id="74" w:name="_Toc476910341"/>
            <w:r>
              <w:t xml:space="preserve">Treatment of the sale of </w:t>
            </w:r>
            <w:r w:rsidR="00EA52E1">
              <w:t>D</w:t>
            </w:r>
            <w:r>
              <w:t>epartmental assets</w:t>
            </w:r>
            <w:bookmarkEnd w:id="73"/>
            <w:bookmarkEnd w:id="74"/>
          </w:p>
          <w:p w:rsidR="00547CEA" w:rsidRPr="008D7E41" w:rsidRDefault="00547CEA" w:rsidP="001659F2">
            <w:pPr>
              <w:pStyle w:val="Tabletextindent"/>
            </w:pPr>
            <w:r>
              <w:t xml:space="preserve">A Department must record the </w:t>
            </w:r>
            <w:r w:rsidRPr="00731E39">
              <w:t xml:space="preserve">sale </w:t>
            </w:r>
            <w:r>
              <w:t xml:space="preserve">of a Departmental asset (unless otherwise advised by DTF) in its </w:t>
            </w:r>
            <w:r w:rsidRPr="00731E39">
              <w:t>adminis</w:t>
            </w:r>
            <w:r>
              <w:t>tered accounts.</w:t>
            </w:r>
          </w:p>
        </w:tc>
      </w:tr>
    </w:tbl>
    <w:p w:rsidR="00C36AA2" w:rsidRDefault="00C36AA2" w:rsidP="00C36AA2">
      <w:pPr>
        <w:pStyle w:val="NormalIndent"/>
      </w:pPr>
    </w:p>
    <w:p w:rsidR="00547CEA" w:rsidRDefault="00547CEA" w:rsidP="001659F2">
      <w:pPr>
        <w:pStyle w:val="Heading4indent"/>
      </w:pPr>
      <w:r>
        <w:t>Guidance</w:t>
      </w:r>
    </w:p>
    <w:p w:rsidR="00547CEA" w:rsidRDefault="00547CEA">
      <w:pPr>
        <w:pStyle w:val="NormalIndent"/>
      </w:pPr>
      <w:r>
        <w:t xml:space="preserve">This section applies to all asset sales of a Department (other than inventory and consumables) where the sales proceeds are required to be paid into the Consolidated Fund. It does </w:t>
      </w:r>
      <w:r w:rsidRPr="00387A01">
        <w:rPr>
          <w:b/>
        </w:rPr>
        <w:t>not</w:t>
      </w:r>
      <w:r>
        <w:t xml:space="preserve"> apply to </w:t>
      </w:r>
      <w:r w:rsidR="00450FD9">
        <w:t xml:space="preserve">the </w:t>
      </w:r>
      <w:r>
        <w:t xml:space="preserve">asset sales of Departments </w:t>
      </w:r>
      <w:r w:rsidR="00450FD9">
        <w:t>where</w:t>
      </w:r>
      <w:r>
        <w:t xml:space="preserve"> </w:t>
      </w:r>
      <w:r w:rsidR="00450FD9">
        <w:t xml:space="preserve">the </w:t>
      </w:r>
      <w:r>
        <w:t xml:space="preserve">funds are legally able to be retained in a Departmental </w:t>
      </w:r>
      <w:r w:rsidR="0003100F">
        <w:t>t</w:t>
      </w:r>
      <w:r>
        <w:t xml:space="preserve">rust </w:t>
      </w:r>
      <w:r w:rsidR="0003100F">
        <w:t>a</w:t>
      </w:r>
      <w:r>
        <w:t>ccount.</w:t>
      </w:r>
    </w:p>
    <w:p w:rsidR="00547CEA" w:rsidRDefault="00547CEA" w:rsidP="00547CEA">
      <w:pPr>
        <w:pStyle w:val="NormalIndent"/>
      </w:pPr>
      <w:r>
        <w:t>The acquisition and recording of assets by a Department for use in the delivery of services, is treated as a controlled transaction.</w:t>
      </w:r>
    </w:p>
    <w:p w:rsidR="00547CEA" w:rsidRDefault="00547CEA" w:rsidP="00547CEA">
      <w:pPr>
        <w:pStyle w:val="NormalIndent"/>
      </w:pPr>
      <w:r>
        <w:t>When a departmental asset is sold however, the transaction is viewed as a sale by the State (i.e. it is an administered transaction). To reflect this, a Department is required to transfer the assets being sold out of its controlled accounts into its administered accounts, at the assets’ carrying value.</w:t>
      </w:r>
    </w:p>
    <w:p w:rsidR="00547CEA" w:rsidRDefault="00547CEA" w:rsidP="00547CEA">
      <w:pPr>
        <w:pStyle w:val="NormalIndent"/>
      </w:pPr>
      <w:r>
        <w:t xml:space="preserve">The sale of the asset is then effected in the administered accounts, where the proceeds from the disposal and the gain/loss on disposal on the assets are recorded. The cash proceeds are then remitted by the Department to Consolidated Fund (via the </w:t>
      </w:r>
      <w:r w:rsidR="002A27C5">
        <w:t>r</w:t>
      </w:r>
      <w:r>
        <w:t>eallocation of revenue to central SAU account), with the corresponding reduction in contributed capital (matching the carrying value of the assets sold).</w:t>
      </w:r>
    </w:p>
    <w:p w:rsidR="00547CEA" w:rsidRDefault="00547CEA" w:rsidP="00547CEA">
      <w:pPr>
        <w:pStyle w:val="NormalIndent"/>
      </w:pPr>
      <w:r>
        <w:t>The central agency’s SAU recognises the cash from the sale into Consolidated Fund, and a corresponding reduction in the State’s investment in its controlled entities.</w:t>
      </w:r>
    </w:p>
    <w:p w:rsidR="0003100F" w:rsidRDefault="0003100F" w:rsidP="00547CEA">
      <w:pPr>
        <w:pStyle w:val="NormalIndent"/>
      </w:pPr>
      <w:r w:rsidRPr="0003100F">
        <w:t>All returns of capital from agencies must be recognised as a reduction in their investment in controlled entities in the administered entity of the Department.</w:t>
      </w:r>
    </w:p>
    <w:p w:rsidR="00547CEA" w:rsidRDefault="00547CEA" w:rsidP="00547CEA">
      <w:pPr>
        <w:pStyle w:val="NormalIndent"/>
      </w:pPr>
      <w:r>
        <w:t xml:space="preserve">Attachment </w:t>
      </w:r>
      <w:r w:rsidR="00A4375C">
        <w:t>4</w:t>
      </w:r>
      <w:r w:rsidR="00A35D5E">
        <w:t xml:space="preserve">: </w:t>
      </w:r>
      <w:r w:rsidR="00A35D5E" w:rsidRPr="00A35D5E">
        <w:rPr>
          <w:i/>
        </w:rPr>
        <w:t>Sample journal entries for the sale of Departmental assets</w:t>
      </w:r>
      <w:r>
        <w:t xml:space="preserve"> provides sample journal entries required to account for asset sales paid to the Consolidated Fund and the return of contributed capital, where there is either a gain or loss on the sale of an asset.</w:t>
      </w:r>
      <w:r w:rsidR="0083708B">
        <w:t xml:space="preserve"> </w:t>
      </w:r>
      <w:r w:rsidR="0083708B" w:rsidRPr="0083708B">
        <w:t xml:space="preserve">Additional sample journal entries have been included for assets received or given away free of charge.  </w:t>
      </w:r>
    </w:p>
    <w:p w:rsidR="00547CEA" w:rsidRDefault="00547CEA" w:rsidP="001659F2">
      <w:pPr>
        <w:pStyle w:val="Heading5"/>
      </w:pPr>
      <w:r>
        <w:t>Section 29 arrangements</w:t>
      </w:r>
    </w:p>
    <w:p w:rsidR="00547CEA" w:rsidRDefault="00547CEA" w:rsidP="00547CEA">
      <w:pPr>
        <w:pStyle w:val="NormalIndent"/>
      </w:pPr>
      <w:r>
        <w:t>If there is an associated FMA Section 29 annotated receipts arrangement, the amount recognised is the proceeds remitted to Consolidated Fund from the sale.</w:t>
      </w:r>
      <w:r w:rsidR="00413A48">
        <w:t xml:space="preserve"> </w:t>
      </w:r>
      <w:r>
        <w:t xml:space="preserve">There is also a corresponding increase in the Department’s ATNAB appropriation authority limit. </w:t>
      </w:r>
      <w:r w:rsidR="00690ADE">
        <w:t>R</w:t>
      </w:r>
      <w:r>
        <w:t xml:space="preserve">efer to the </w:t>
      </w:r>
      <w:r w:rsidR="000E3AB2">
        <w:t>Budget Operations Framework S</w:t>
      </w:r>
      <w:r>
        <w:t>ection 1.</w:t>
      </w:r>
      <w:r w:rsidR="00DE62B5">
        <w:t>1</w:t>
      </w:r>
      <w:r>
        <w:t xml:space="preserve"> for further guidance.</w:t>
      </w:r>
    </w:p>
    <w:p w:rsidR="00547CEA" w:rsidRDefault="00547CEA" w:rsidP="001659F2">
      <w:pPr>
        <w:pStyle w:val="Heading5"/>
      </w:pPr>
      <w:r>
        <w:t>Impact of correct accounting entries for DTF</w:t>
      </w:r>
    </w:p>
    <w:p w:rsidR="00547CEA" w:rsidRDefault="00547CEA" w:rsidP="00547CEA">
      <w:pPr>
        <w:pStyle w:val="NormalIndent"/>
      </w:pPr>
      <w:r>
        <w:t xml:space="preserve">It is important for Departments to follow this guidance closely in its accounting for asset sales, as the correct treatment will minimise the potential risk of material </w:t>
      </w:r>
      <w:proofErr w:type="spellStart"/>
      <w:r>
        <w:t>mis</w:t>
      </w:r>
      <w:proofErr w:type="spellEnd"/>
      <w:r w:rsidR="00450FD9">
        <w:t>-</w:t>
      </w:r>
      <w:r>
        <w:t>statement of the State’s accounts.</w:t>
      </w:r>
    </w:p>
    <w:p w:rsidR="00547CEA" w:rsidRDefault="00547CEA" w:rsidP="001659F2">
      <w:pPr>
        <w:pStyle w:val="Heading4indent"/>
      </w:pPr>
      <w:r>
        <w:lastRenderedPageBreak/>
        <w:t>Relevant materials</w:t>
      </w:r>
    </w:p>
    <w:p w:rsidR="00547CEA" w:rsidRDefault="00547CEA" w:rsidP="001659F2">
      <w:pPr>
        <w:pStyle w:val="Heading5"/>
      </w:pPr>
      <w:r>
        <w:t>Financial Reporting Operations Framework</w:t>
      </w:r>
    </w:p>
    <w:p w:rsidR="00547CEA" w:rsidRPr="00A35D5E" w:rsidRDefault="00547CEA" w:rsidP="001659F2">
      <w:pPr>
        <w:pStyle w:val="Bulletindent"/>
      </w:pPr>
      <w:r w:rsidRPr="00013786">
        <w:t xml:space="preserve">FROF </w:t>
      </w:r>
      <w:r w:rsidR="005975AF">
        <w:t>S</w:t>
      </w:r>
      <w:r w:rsidRPr="00013786">
        <w:t xml:space="preserve">ection </w:t>
      </w:r>
      <w:r w:rsidR="00FB646D" w:rsidRPr="00013786">
        <w:t>3</w:t>
      </w:r>
      <w:r w:rsidRPr="00013786">
        <w:t xml:space="preserve">.3 – </w:t>
      </w:r>
      <w:r w:rsidRPr="00013786">
        <w:rPr>
          <w:i/>
        </w:rPr>
        <w:t>Contributed capital</w:t>
      </w:r>
    </w:p>
    <w:p w:rsidR="00A35D5E" w:rsidRPr="00013786" w:rsidRDefault="00A35D5E" w:rsidP="00A35D5E">
      <w:pPr>
        <w:pStyle w:val="Bulletindent"/>
      </w:pPr>
      <w:r>
        <w:t xml:space="preserve">FROF Attachment 4 - </w:t>
      </w:r>
      <w:r w:rsidRPr="00A35D5E">
        <w:rPr>
          <w:i/>
        </w:rPr>
        <w:t xml:space="preserve">Sample journal entries for the sale of </w:t>
      </w:r>
      <w:r w:rsidR="00EA52E1">
        <w:rPr>
          <w:i/>
        </w:rPr>
        <w:t>D</w:t>
      </w:r>
      <w:r w:rsidRPr="00A35D5E">
        <w:rPr>
          <w:i/>
        </w:rPr>
        <w:t>epartmental assets</w:t>
      </w:r>
    </w:p>
    <w:p w:rsidR="00547CEA" w:rsidRDefault="00547CEA" w:rsidP="001659F2">
      <w:pPr>
        <w:pStyle w:val="Heading5"/>
      </w:pPr>
      <w:r>
        <w:t>Budget Operations Framework</w:t>
      </w:r>
    </w:p>
    <w:p w:rsidR="005457A4" w:rsidRPr="00013786" w:rsidRDefault="00547CEA" w:rsidP="00FB646D">
      <w:pPr>
        <w:pStyle w:val="Bulletindent"/>
        <w:rPr>
          <w:i/>
        </w:rPr>
      </w:pPr>
      <w:r w:rsidRPr="00013786">
        <w:t xml:space="preserve">BOF </w:t>
      </w:r>
      <w:r w:rsidR="005975AF">
        <w:t>S</w:t>
      </w:r>
      <w:r w:rsidR="00FB646D" w:rsidRPr="00013786">
        <w:t xml:space="preserve">ection 1.1 – </w:t>
      </w:r>
      <w:r w:rsidR="00FB646D" w:rsidRPr="00013786">
        <w:rPr>
          <w:i/>
        </w:rPr>
        <w:t>Appropriation of certain revenue and asset proceeds – Section 29 of the FMA</w:t>
      </w:r>
    </w:p>
    <w:p w:rsidR="009D26A8" w:rsidRDefault="009D26A8">
      <w:pPr>
        <w:spacing w:before="0" w:after="200"/>
      </w:pPr>
      <w:r>
        <w:br w:type="page"/>
      </w:r>
    </w:p>
    <w:p w:rsidR="00547CEA" w:rsidRDefault="009D26A8" w:rsidP="009D26A8">
      <w:pPr>
        <w:pStyle w:val="Heading2numbered"/>
      </w:pPr>
      <w:bookmarkStart w:id="75" w:name="_Toc476910342"/>
      <w:r>
        <w:lastRenderedPageBreak/>
        <w:t>Redundancy payments</w:t>
      </w:r>
      <w:bookmarkEnd w:id="75"/>
    </w:p>
    <w:tbl>
      <w:tblPr>
        <w:tblStyle w:val="Mandatory1"/>
        <w:tblW w:w="7483" w:type="dxa"/>
        <w:tblLook w:val="0620" w:firstRow="1" w:lastRow="0" w:firstColumn="0" w:lastColumn="0" w:noHBand="1" w:noVBand="1"/>
      </w:tblPr>
      <w:tblGrid>
        <w:gridCol w:w="7483"/>
      </w:tblGrid>
      <w:tr w:rsidR="009D26A8" w:rsidRPr="009D26A8" w:rsidTr="00967717">
        <w:trPr>
          <w:cnfStyle w:val="100000000000" w:firstRow="1" w:lastRow="0" w:firstColumn="0" w:lastColumn="0" w:oddVBand="0" w:evenVBand="0" w:oddHBand="0" w:evenHBand="0" w:firstRowFirstColumn="0" w:firstRowLastColumn="0" w:lastRowFirstColumn="0" w:lastRowLastColumn="0"/>
        </w:trPr>
        <w:tc>
          <w:tcPr>
            <w:tcW w:w="7483" w:type="dxa"/>
          </w:tcPr>
          <w:p w:rsidR="009D26A8" w:rsidRPr="009D26A8" w:rsidRDefault="009D26A8" w:rsidP="009D26A8">
            <w:pPr>
              <w:spacing w:before="120" w:after="60"/>
              <w:jc w:val="center"/>
              <w:rPr>
                <w:b/>
                <w:sz w:val="20"/>
              </w:rPr>
            </w:pPr>
            <w:r w:rsidRPr="009D26A8">
              <w:rPr>
                <w:b/>
                <w:sz w:val="20"/>
              </w:rPr>
              <w:t xml:space="preserve">Mandatory requirements </w:t>
            </w:r>
            <w:r w:rsidRPr="009D26A8">
              <w:rPr>
                <w:b/>
                <w:sz w:val="20"/>
              </w:rPr>
              <w:br/>
              <w:t>REDUNDANCY PAYMENTS</w:t>
            </w:r>
          </w:p>
        </w:tc>
      </w:tr>
      <w:tr w:rsidR="009D26A8" w:rsidRPr="009D26A8" w:rsidTr="00967717">
        <w:trPr>
          <w:trHeight w:val="589"/>
        </w:trPr>
        <w:tc>
          <w:tcPr>
            <w:tcW w:w="7483" w:type="dxa"/>
          </w:tcPr>
          <w:p w:rsidR="009D26A8" w:rsidRPr="009C70DB" w:rsidRDefault="009D26A8" w:rsidP="009C70DB">
            <w:pPr>
              <w:pStyle w:val="Heading3numbered"/>
            </w:pPr>
            <w:bookmarkStart w:id="76" w:name="_Toc445459772"/>
            <w:bookmarkStart w:id="77" w:name="_Toc456796109"/>
            <w:bookmarkStart w:id="78" w:name="_Toc476910343"/>
            <w:r w:rsidRPr="009D26A8">
              <w:t>Treatment of Voluntary Departure Packages (VDPs) and Targeted Separation Packages (TSPs)</w:t>
            </w:r>
            <w:bookmarkEnd w:id="76"/>
            <w:bookmarkEnd w:id="77"/>
            <w:bookmarkEnd w:id="78"/>
          </w:p>
          <w:p w:rsidR="009D26A8" w:rsidRPr="009D26A8" w:rsidRDefault="009D26A8" w:rsidP="009D26A8">
            <w:pPr>
              <w:spacing w:before="60" w:after="60"/>
              <w:ind w:left="792"/>
            </w:pPr>
            <w:r w:rsidRPr="009D26A8">
              <w:t>Departments must treat Separation Packages (encompassing VDPs and TSPs) as operating expenses.</w:t>
            </w:r>
          </w:p>
          <w:p w:rsidR="009D26A8" w:rsidRPr="009C70DB" w:rsidRDefault="009D26A8" w:rsidP="009C70DB">
            <w:pPr>
              <w:pStyle w:val="Heading3numbered"/>
            </w:pPr>
            <w:bookmarkStart w:id="79" w:name="_Toc445459773"/>
            <w:bookmarkStart w:id="80" w:name="_Toc456796110"/>
            <w:bookmarkStart w:id="81" w:name="_Toc476910344"/>
            <w:r w:rsidRPr="009D26A8">
              <w:t>Treatment of significantly large redundancy programs</w:t>
            </w:r>
            <w:bookmarkEnd w:id="79"/>
            <w:bookmarkEnd w:id="80"/>
            <w:bookmarkEnd w:id="81"/>
          </w:p>
          <w:p w:rsidR="009D26A8" w:rsidRPr="009D26A8" w:rsidRDefault="009D26A8" w:rsidP="009D26A8">
            <w:pPr>
              <w:spacing w:before="60" w:after="60"/>
              <w:ind w:left="792"/>
            </w:pPr>
            <w:r w:rsidRPr="009D26A8">
              <w:t>If a Department wishes to implement a redundancy program that will require significant one-off expenditure above normal operating costs, it may choose to either:</w:t>
            </w:r>
          </w:p>
          <w:p w:rsidR="009D26A8" w:rsidRPr="009D26A8" w:rsidRDefault="009D26A8" w:rsidP="009D26A8">
            <w:pPr>
              <w:numPr>
                <w:ilvl w:val="0"/>
                <w:numId w:val="3"/>
              </w:numPr>
              <w:spacing w:before="60" w:after="60"/>
              <w:ind w:left="1584"/>
            </w:pPr>
            <w:r w:rsidRPr="009D26A8">
              <w:t xml:space="preserve">make a business case to Government for additional funds to enable it to meet the expenditure incurred; or </w:t>
            </w:r>
          </w:p>
          <w:p w:rsidR="009D26A8" w:rsidRPr="009D26A8" w:rsidRDefault="009D26A8" w:rsidP="009D26A8">
            <w:pPr>
              <w:numPr>
                <w:ilvl w:val="0"/>
                <w:numId w:val="3"/>
              </w:numPr>
              <w:spacing w:before="60" w:after="60"/>
              <w:ind w:left="1584"/>
            </w:pPr>
            <w:r w:rsidRPr="009D26A8">
              <w:t>apply to use its accumulated surplus.</w:t>
            </w:r>
          </w:p>
          <w:p w:rsidR="009D26A8" w:rsidRPr="009C70DB" w:rsidRDefault="009D26A8" w:rsidP="009C70DB">
            <w:pPr>
              <w:pStyle w:val="Heading3numbered"/>
            </w:pPr>
            <w:bookmarkStart w:id="82" w:name="_Toc445459774"/>
            <w:bookmarkStart w:id="83" w:name="_Toc456796111"/>
            <w:bookmarkStart w:id="84" w:name="_Toc476910345"/>
            <w:r w:rsidRPr="009D26A8">
              <w:t xml:space="preserve">Treatment of related </w:t>
            </w:r>
            <w:r w:rsidR="00B83528">
              <w:t>l</w:t>
            </w:r>
            <w:r w:rsidRPr="009D26A8">
              <w:t xml:space="preserve">ong </w:t>
            </w:r>
            <w:r w:rsidR="00B83528">
              <w:t>s</w:t>
            </w:r>
            <w:r w:rsidRPr="009D26A8">
              <w:t xml:space="preserve">ervice </w:t>
            </w:r>
            <w:r w:rsidR="00B83528">
              <w:t>l</w:t>
            </w:r>
            <w:r w:rsidRPr="009D26A8">
              <w:t>eave payouts on VDPs and TSPs</w:t>
            </w:r>
            <w:bookmarkEnd w:id="82"/>
            <w:bookmarkEnd w:id="83"/>
            <w:bookmarkEnd w:id="84"/>
          </w:p>
          <w:p w:rsidR="009D26A8" w:rsidRPr="009D26A8" w:rsidRDefault="009D26A8" w:rsidP="00B83528">
            <w:pPr>
              <w:spacing w:before="60" w:after="60"/>
              <w:ind w:left="792"/>
            </w:pPr>
            <w:r w:rsidRPr="009D26A8">
              <w:t xml:space="preserve">Any related </w:t>
            </w:r>
            <w:r w:rsidR="00B83528">
              <w:t>l</w:t>
            </w:r>
            <w:r w:rsidRPr="009D26A8">
              <w:t xml:space="preserve">ong </w:t>
            </w:r>
            <w:r w:rsidR="00B83528">
              <w:t>s</w:t>
            </w:r>
            <w:r w:rsidRPr="009D26A8">
              <w:t xml:space="preserve">ervice </w:t>
            </w:r>
            <w:r w:rsidR="00B83528">
              <w:t>l</w:t>
            </w:r>
            <w:r w:rsidRPr="009D26A8">
              <w:t xml:space="preserve">eave payout must be disconnected from the Separation Package (VDP or TSP) and accounted for separately as per the mandatory section in the </w:t>
            </w:r>
            <w:r w:rsidR="00B83528">
              <w:t>l</w:t>
            </w:r>
            <w:r w:rsidRPr="009D26A8">
              <w:t xml:space="preserve">ong </w:t>
            </w:r>
            <w:r w:rsidR="00B83528">
              <w:t>s</w:t>
            </w:r>
            <w:r w:rsidRPr="009D26A8">
              <w:t xml:space="preserve">ervice </w:t>
            </w:r>
            <w:r w:rsidR="00B83528">
              <w:t>l</w:t>
            </w:r>
            <w:r w:rsidRPr="009D26A8">
              <w:t>eave section.</w:t>
            </w:r>
          </w:p>
        </w:tc>
      </w:tr>
    </w:tbl>
    <w:p w:rsidR="009D26A8" w:rsidRDefault="009D26A8" w:rsidP="009D26A8">
      <w:pPr>
        <w:pStyle w:val="Heading4indent"/>
      </w:pPr>
      <w:r>
        <w:t>Guidance</w:t>
      </w:r>
    </w:p>
    <w:p w:rsidR="009D26A8" w:rsidRDefault="009D26A8" w:rsidP="009D26A8">
      <w:pPr>
        <w:pStyle w:val="NormalIndent"/>
      </w:pPr>
      <w:r>
        <w:t xml:space="preserve">Redundancy payments are operating expenses. </w:t>
      </w:r>
      <w:r w:rsidRPr="002D2771">
        <w:t>Therefore for budgeting purposes</w:t>
      </w:r>
      <w:r>
        <w:t>,</w:t>
      </w:r>
      <w:r w:rsidRPr="002D2771">
        <w:t xml:space="preserve"> the cost of planned separations of staff contributing to output delivery must be included in the costing of </w:t>
      </w:r>
      <w:r w:rsidR="0061303B">
        <w:t>the relevant</w:t>
      </w:r>
      <w:r w:rsidRPr="002D2771">
        <w:t xml:space="preserve"> outputs</w:t>
      </w:r>
      <w:r>
        <w:t>.</w:t>
      </w:r>
    </w:p>
    <w:p w:rsidR="009D26A8" w:rsidRDefault="009D26A8" w:rsidP="009D26A8">
      <w:pPr>
        <w:pStyle w:val="NormalIndent"/>
      </w:pPr>
      <w:r>
        <w:t xml:space="preserve">Redundancies, whether voluntary or targeted, must be implemented in accordance with Government employee relations policies and legislation. </w:t>
      </w:r>
      <w:r w:rsidRPr="002D2771">
        <w:t xml:space="preserve"> </w:t>
      </w:r>
    </w:p>
    <w:p w:rsidR="009D26A8" w:rsidRDefault="009D26A8" w:rsidP="009D26A8">
      <w:pPr>
        <w:pStyle w:val="NormalIndent"/>
      </w:pPr>
      <w:r>
        <w:t xml:space="preserve">Since </w:t>
      </w:r>
      <w:r w:rsidR="00B83528">
        <w:t>s</w:t>
      </w:r>
      <w:r>
        <w:t xml:space="preserve">eparation </w:t>
      </w:r>
      <w:r w:rsidR="00B83528">
        <w:t>p</w:t>
      </w:r>
      <w:r>
        <w:t>ayments do not give rise to any ongoing asset of the Department, they should be expensed through the operating statement rather than treated as an investment. If the amounts involved are sufficiently large to have a material effect on the Department’s operating result, note disclosures may be required.</w:t>
      </w:r>
    </w:p>
    <w:p w:rsidR="00F83A4A" w:rsidRDefault="00F83A4A" w:rsidP="00F83A4A">
      <w:pPr>
        <w:pStyle w:val="Heading4indent"/>
      </w:pPr>
      <w:r>
        <w:t>Relevant materials</w:t>
      </w:r>
    </w:p>
    <w:p w:rsidR="00F83A4A" w:rsidRDefault="00F83A4A" w:rsidP="00F83A4A">
      <w:pPr>
        <w:pStyle w:val="Heading5"/>
      </w:pPr>
      <w:r>
        <w:t>Budget Operations Framework</w:t>
      </w:r>
    </w:p>
    <w:p w:rsidR="00F83A4A" w:rsidRPr="00013786" w:rsidRDefault="00F83A4A" w:rsidP="009D26A8">
      <w:pPr>
        <w:pStyle w:val="Bulletindent"/>
      </w:pPr>
      <w:r w:rsidRPr="00013786">
        <w:t xml:space="preserve">BOF </w:t>
      </w:r>
      <w:r w:rsidR="00A00CA4">
        <w:t>S</w:t>
      </w:r>
      <w:r w:rsidRPr="00013786">
        <w:t xml:space="preserve">ection 2.3 – </w:t>
      </w:r>
      <w:r w:rsidRPr="00013786">
        <w:rPr>
          <w:i/>
        </w:rPr>
        <w:t>Long Service Leave and Long Service Leave equivalent</w:t>
      </w:r>
    </w:p>
    <w:p w:rsidR="009D26A8" w:rsidRDefault="009D26A8">
      <w:pPr>
        <w:spacing w:before="0" w:after="200"/>
      </w:pPr>
      <w:r>
        <w:br w:type="page"/>
      </w:r>
    </w:p>
    <w:p w:rsidR="009D26A8" w:rsidRDefault="009D26A8" w:rsidP="009D26A8">
      <w:pPr>
        <w:pStyle w:val="Heading2numbered"/>
      </w:pPr>
      <w:bookmarkStart w:id="85" w:name="_Toc476910346"/>
      <w:r>
        <w:lastRenderedPageBreak/>
        <w:t>Superannuation expenses and liabilities</w:t>
      </w:r>
      <w:bookmarkEnd w:id="85"/>
    </w:p>
    <w:tbl>
      <w:tblPr>
        <w:tblStyle w:val="Mandatory2"/>
        <w:tblW w:w="7483" w:type="dxa"/>
        <w:tblLook w:val="0620" w:firstRow="1" w:lastRow="0" w:firstColumn="0" w:lastColumn="0" w:noHBand="1" w:noVBand="1"/>
      </w:tblPr>
      <w:tblGrid>
        <w:gridCol w:w="7483"/>
      </w:tblGrid>
      <w:tr w:rsidR="009D26A8" w:rsidRPr="009D26A8" w:rsidTr="00967717">
        <w:trPr>
          <w:cnfStyle w:val="100000000000" w:firstRow="1" w:lastRow="0" w:firstColumn="0" w:lastColumn="0" w:oddVBand="0" w:evenVBand="0" w:oddHBand="0" w:evenHBand="0" w:firstRowFirstColumn="0" w:firstRowLastColumn="0" w:lastRowFirstColumn="0" w:lastRowLastColumn="0"/>
          <w:trHeight w:val="750"/>
        </w:trPr>
        <w:tc>
          <w:tcPr>
            <w:tcW w:w="7483" w:type="dxa"/>
          </w:tcPr>
          <w:p w:rsidR="009D26A8" w:rsidRPr="009D26A8" w:rsidRDefault="009D26A8" w:rsidP="009D26A8">
            <w:pPr>
              <w:spacing w:before="120" w:after="60"/>
              <w:jc w:val="center"/>
              <w:rPr>
                <w:b/>
                <w:sz w:val="20"/>
              </w:rPr>
            </w:pPr>
            <w:r w:rsidRPr="009D26A8">
              <w:rPr>
                <w:b/>
                <w:sz w:val="20"/>
              </w:rPr>
              <w:t xml:space="preserve">Mandatory requirements </w:t>
            </w:r>
            <w:r w:rsidRPr="009D26A8">
              <w:rPr>
                <w:b/>
                <w:sz w:val="20"/>
              </w:rPr>
              <w:br/>
              <w:t>SUPERANNUATION EXPENSES AND LIABILITIES</w:t>
            </w:r>
          </w:p>
        </w:tc>
      </w:tr>
      <w:tr w:rsidR="009D26A8" w:rsidRPr="009D26A8" w:rsidTr="00967717">
        <w:trPr>
          <w:trHeight w:val="589"/>
        </w:trPr>
        <w:tc>
          <w:tcPr>
            <w:tcW w:w="7483" w:type="dxa"/>
          </w:tcPr>
          <w:p w:rsidR="009D26A8" w:rsidRPr="009C70DB" w:rsidRDefault="009D26A8" w:rsidP="009C70DB">
            <w:pPr>
              <w:pStyle w:val="Heading3numbered"/>
            </w:pPr>
            <w:bookmarkStart w:id="86" w:name="_Toc445459776"/>
            <w:bookmarkStart w:id="87" w:name="_Toc456796113"/>
            <w:bookmarkStart w:id="88" w:name="_Toc476910347"/>
            <w:r w:rsidRPr="009D26A8">
              <w:t>Accounting for contributions to superannuation schemes</w:t>
            </w:r>
            <w:bookmarkEnd w:id="86"/>
            <w:bookmarkEnd w:id="87"/>
            <w:bookmarkEnd w:id="88"/>
          </w:p>
          <w:p w:rsidR="009D26A8" w:rsidRPr="009D26A8" w:rsidRDefault="009D26A8" w:rsidP="009D26A8">
            <w:pPr>
              <w:spacing w:before="60" w:after="60"/>
              <w:ind w:left="792"/>
            </w:pPr>
            <w:r w:rsidRPr="009D26A8">
              <w:t xml:space="preserve">Departments must budget for, and fully fund, employer and employee contributions to staff superannuation schemes. Any expenses relating to these contributions which have not been paid in cash by 30 June will constitute a liability (creditors). </w:t>
            </w:r>
          </w:p>
          <w:p w:rsidR="009D26A8" w:rsidRPr="009C70DB" w:rsidRDefault="009D26A8" w:rsidP="009C70DB">
            <w:pPr>
              <w:pStyle w:val="Heading3numbered"/>
            </w:pPr>
            <w:bookmarkStart w:id="89" w:name="_Toc445459777"/>
            <w:bookmarkStart w:id="90" w:name="_Toc456796114"/>
            <w:bookmarkStart w:id="91" w:name="_Toc476910348"/>
            <w:r w:rsidRPr="009D26A8">
              <w:t>Treatment of the accumulated superannuation liability incurred pre 1 July 1998</w:t>
            </w:r>
            <w:bookmarkEnd w:id="89"/>
            <w:bookmarkEnd w:id="90"/>
            <w:bookmarkEnd w:id="91"/>
          </w:p>
          <w:p w:rsidR="009D26A8" w:rsidRPr="009D26A8" w:rsidRDefault="009D26A8" w:rsidP="009D26A8">
            <w:pPr>
              <w:spacing w:before="60" w:after="60"/>
              <w:ind w:left="792"/>
            </w:pPr>
            <w:r w:rsidRPr="009D26A8">
              <w:t xml:space="preserve">Departments must </w:t>
            </w:r>
            <w:r w:rsidRPr="009D26A8">
              <w:rPr>
                <w:b/>
              </w:rPr>
              <w:t>not</w:t>
            </w:r>
            <w:r w:rsidRPr="009D26A8">
              <w:t xml:space="preserve"> include, in their balance sheets, the accumulated superannuation liability balances incurred in respect of the defined benefit schemes before 1 July 1998</w:t>
            </w:r>
            <w:r w:rsidRPr="009D26A8">
              <w:rPr>
                <w:vertAlign w:val="superscript"/>
              </w:rPr>
              <w:footnoteReference w:id="13"/>
            </w:r>
            <w:r w:rsidRPr="009D26A8">
              <w:t>.</w:t>
            </w:r>
            <w:r w:rsidR="0061303B">
              <w:t xml:space="preserve"> This liability is reported by DTF as an administered item.</w:t>
            </w:r>
          </w:p>
        </w:tc>
      </w:tr>
    </w:tbl>
    <w:p w:rsidR="009D26A8" w:rsidRDefault="009D26A8" w:rsidP="009D26A8">
      <w:pPr>
        <w:pStyle w:val="Heading4indent"/>
      </w:pPr>
      <w:r>
        <w:t>Guidance</w:t>
      </w:r>
    </w:p>
    <w:p w:rsidR="009D26A8" w:rsidRDefault="009D26A8" w:rsidP="009D26A8">
      <w:pPr>
        <w:pStyle w:val="NormalIndent"/>
      </w:pPr>
      <w:r>
        <w:t>Up until the mid-1990s, the VPS operated a d</w:t>
      </w:r>
      <w:r w:rsidRPr="00737450">
        <w:t xml:space="preserve">efined </w:t>
      </w:r>
      <w:r>
        <w:t xml:space="preserve">benefits superannuation scheme, which paid VPS employees on retirement a pension dependent on the number of years of service and other factors. </w:t>
      </w:r>
      <w:r w:rsidRPr="00737450">
        <w:t xml:space="preserve">This </w:t>
      </w:r>
      <w:r>
        <w:t xml:space="preserve">eventually </w:t>
      </w:r>
      <w:r w:rsidRPr="00737450">
        <w:t xml:space="preserve">led to the accumulation of a substantial unfunded superannuation liability for </w:t>
      </w:r>
      <w:r>
        <w:t>Government. This liability now sits in the accounts of DTF’s administered entity and is being actively managed by DTF.</w:t>
      </w:r>
    </w:p>
    <w:p w:rsidR="009D26A8" w:rsidRDefault="009D26A8" w:rsidP="009D26A8">
      <w:pPr>
        <w:pStyle w:val="NormalIndent"/>
      </w:pPr>
      <w:r>
        <w:t>Employees employed in the VPS subsequent to the closure of the defined benefit schemes have their employer Departments make contributions to defined contribution schemes. As these schemes sit outside of the VPS, Departments are only required to record a superannuation expense to the funds – no corresponding liability is recorded as the State has no liability to pay out superannuation to the employees – the obligation sits with the superannuation scheme.</w:t>
      </w:r>
    </w:p>
    <w:p w:rsidR="00482AE7" w:rsidRDefault="00482AE7" w:rsidP="00482AE7">
      <w:pPr>
        <w:pStyle w:val="Heading4indent"/>
      </w:pPr>
      <w:r>
        <w:t>Relevant materials</w:t>
      </w:r>
    </w:p>
    <w:p w:rsidR="00F83A4A" w:rsidRDefault="00F83A4A" w:rsidP="00F83A4A">
      <w:pPr>
        <w:pStyle w:val="Heading5"/>
      </w:pPr>
      <w:r>
        <w:t>Budget Operations Framework</w:t>
      </w:r>
    </w:p>
    <w:p w:rsidR="00F83A4A" w:rsidRPr="00013786" w:rsidRDefault="00F83A4A" w:rsidP="00F83A4A">
      <w:pPr>
        <w:pStyle w:val="Bulletindent"/>
      </w:pPr>
      <w:r w:rsidRPr="00013786">
        <w:t xml:space="preserve">BOF </w:t>
      </w:r>
      <w:r w:rsidR="00007FEA">
        <w:t>S</w:t>
      </w:r>
      <w:r w:rsidRPr="00013786">
        <w:t xml:space="preserve">ection 2.3 – </w:t>
      </w:r>
      <w:r w:rsidRPr="00013786">
        <w:rPr>
          <w:i/>
        </w:rPr>
        <w:t>Long Service Leave and Long Service Leave equivalent</w:t>
      </w:r>
    </w:p>
    <w:p w:rsidR="009D26A8" w:rsidRDefault="009D26A8" w:rsidP="00547CEA">
      <w:pPr>
        <w:pStyle w:val="NormalIndent"/>
      </w:pPr>
    </w:p>
    <w:p w:rsidR="009D26A8" w:rsidRDefault="009D26A8" w:rsidP="00547CEA">
      <w:pPr>
        <w:pStyle w:val="NormalIndent"/>
      </w:pPr>
    </w:p>
    <w:p w:rsidR="009D26A8" w:rsidRDefault="009D26A8" w:rsidP="00547CEA">
      <w:pPr>
        <w:pStyle w:val="NormalIndent"/>
      </w:pPr>
    </w:p>
    <w:p w:rsidR="009D26A8" w:rsidRDefault="009D26A8" w:rsidP="00547CEA">
      <w:pPr>
        <w:pStyle w:val="NormalIndent"/>
      </w:pPr>
    </w:p>
    <w:p w:rsidR="009D26A8" w:rsidRDefault="009D26A8">
      <w:pPr>
        <w:spacing w:before="0" w:after="200"/>
      </w:pPr>
      <w:r>
        <w:br w:type="page"/>
      </w:r>
    </w:p>
    <w:p w:rsidR="009D26A8" w:rsidRDefault="009D26A8" w:rsidP="009D26A8">
      <w:pPr>
        <w:pStyle w:val="Heading2numbered"/>
      </w:pPr>
      <w:bookmarkStart w:id="92" w:name="_Toc476910349"/>
      <w:r>
        <w:lastRenderedPageBreak/>
        <w:t xml:space="preserve">Annual </w:t>
      </w:r>
      <w:r w:rsidR="00B83528">
        <w:t>l</w:t>
      </w:r>
      <w:r>
        <w:t>eave</w:t>
      </w:r>
      <w:bookmarkEnd w:id="92"/>
    </w:p>
    <w:tbl>
      <w:tblPr>
        <w:tblStyle w:val="Mandatory"/>
        <w:tblW w:w="7483" w:type="dxa"/>
        <w:tblLook w:val="0620" w:firstRow="1" w:lastRow="0" w:firstColumn="0" w:lastColumn="0" w:noHBand="1" w:noVBand="1"/>
      </w:tblPr>
      <w:tblGrid>
        <w:gridCol w:w="7483"/>
      </w:tblGrid>
      <w:tr w:rsidR="00FA0690" w:rsidRPr="00BC5ACF" w:rsidTr="0008213F">
        <w:trPr>
          <w:cnfStyle w:val="100000000000" w:firstRow="1" w:lastRow="0" w:firstColumn="0" w:lastColumn="0" w:oddVBand="0" w:evenVBand="0" w:oddHBand="0" w:evenHBand="0" w:firstRowFirstColumn="0" w:firstRowLastColumn="0" w:lastRowFirstColumn="0" w:lastRowLastColumn="0"/>
        </w:trPr>
        <w:tc>
          <w:tcPr>
            <w:tcW w:w="7483" w:type="dxa"/>
          </w:tcPr>
          <w:p w:rsidR="00FA0690" w:rsidRPr="00BC5ACF" w:rsidRDefault="00FA0690" w:rsidP="00FA0690">
            <w:pPr>
              <w:pStyle w:val="Tableheader"/>
            </w:pPr>
            <w:r>
              <w:t>Mandatory requirements</w:t>
            </w:r>
            <w:r w:rsidRPr="00BC5ACF">
              <w:br/>
            </w:r>
            <w:r>
              <w:t>ANNUAL LEAVE</w:t>
            </w:r>
          </w:p>
        </w:tc>
      </w:tr>
      <w:tr w:rsidR="00FA0690" w:rsidRPr="00C6051F" w:rsidTr="0008213F">
        <w:trPr>
          <w:trHeight w:val="589"/>
        </w:trPr>
        <w:tc>
          <w:tcPr>
            <w:tcW w:w="7483" w:type="dxa"/>
          </w:tcPr>
          <w:p w:rsidR="00FA0690" w:rsidRDefault="00FA0690" w:rsidP="0008213F">
            <w:pPr>
              <w:pStyle w:val="Heading3numbered"/>
            </w:pPr>
            <w:bookmarkStart w:id="93" w:name="_Toc445459768"/>
            <w:bookmarkStart w:id="94" w:name="_Toc464556353"/>
            <w:bookmarkStart w:id="95" w:name="_Toc476910350"/>
            <w:r>
              <w:t>Transfer of annual leave balances between Departments</w:t>
            </w:r>
            <w:bookmarkEnd w:id="93"/>
            <w:bookmarkEnd w:id="94"/>
            <w:bookmarkEnd w:id="95"/>
          </w:p>
          <w:p w:rsidR="00FA0690" w:rsidRDefault="00FA0690" w:rsidP="009A6679">
            <w:pPr>
              <w:pStyle w:val="Tabletextnum"/>
            </w:pPr>
            <w:r>
              <w:t xml:space="preserve">When employees are transferred between Departments </w:t>
            </w:r>
            <w:r w:rsidRPr="002810AD">
              <w:rPr>
                <w:i/>
              </w:rPr>
              <w:t xml:space="preserve">as a result of a </w:t>
            </w:r>
            <w:r w:rsidR="00B83528">
              <w:rPr>
                <w:i/>
              </w:rPr>
              <w:t>m</w:t>
            </w:r>
            <w:r w:rsidRPr="002810AD">
              <w:rPr>
                <w:i/>
              </w:rPr>
              <w:t xml:space="preserve">achinery of </w:t>
            </w:r>
            <w:r w:rsidR="00B83528">
              <w:rPr>
                <w:i/>
              </w:rPr>
              <w:t>g</w:t>
            </w:r>
            <w:r w:rsidRPr="002810AD">
              <w:rPr>
                <w:i/>
              </w:rPr>
              <w:t>overnment change</w:t>
            </w:r>
            <w:r>
              <w:t xml:space="preserve">, the accumulated liability and any </w:t>
            </w:r>
            <w:r w:rsidR="00B83528">
              <w:t>State Administration Unit (</w:t>
            </w:r>
            <w:r>
              <w:t>SAU</w:t>
            </w:r>
            <w:r w:rsidR="00B83528">
              <w:t>)</w:t>
            </w:r>
            <w:r>
              <w:t xml:space="preserve"> balances associated with the annual leave </w:t>
            </w:r>
            <w:r w:rsidR="0008213F">
              <w:t xml:space="preserve">must be </w:t>
            </w:r>
            <w:r>
              <w:t>transferred between the two Departments.</w:t>
            </w:r>
            <w:r w:rsidR="009A6679">
              <w:rPr>
                <w:rStyle w:val="FootnoteReference"/>
              </w:rPr>
              <w:footnoteReference w:id="14"/>
            </w:r>
            <w:r w:rsidR="009A6679">
              <w:t xml:space="preserve"> </w:t>
            </w:r>
          </w:p>
          <w:p w:rsidR="003467BF" w:rsidRPr="00C6051F" w:rsidRDefault="003467BF" w:rsidP="00F82ABD">
            <w:pPr>
              <w:pStyle w:val="Tabletextnum"/>
            </w:pPr>
            <w:r w:rsidRPr="003467BF">
              <w:t>For all other transfers of employees between Departments (e.g. due to job transfers, promotions etc.</w:t>
            </w:r>
            <w:r w:rsidR="00F82ABD">
              <w:t>)</w:t>
            </w:r>
            <w:r w:rsidRPr="003467BF">
              <w:t>, only the accumulated liability is transferred b</w:t>
            </w:r>
            <w:r w:rsidR="00F82ABD">
              <w:t>etween the two Departments. SAU amounts associated with any annual leave balances</w:t>
            </w:r>
            <w:r w:rsidRPr="003467BF">
              <w:t xml:space="preserve"> </w:t>
            </w:r>
            <w:r w:rsidR="00F82ABD">
              <w:t>are</w:t>
            </w:r>
            <w:r w:rsidRPr="003467BF">
              <w:t xml:space="preserve"> not transferred.</w:t>
            </w:r>
          </w:p>
        </w:tc>
      </w:tr>
    </w:tbl>
    <w:p w:rsidR="009D26A8" w:rsidRDefault="009D26A8" w:rsidP="009D26A8">
      <w:pPr>
        <w:pStyle w:val="Heading3"/>
        <w:ind w:left="792"/>
      </w:pPr>
      <w:r>
        <w:t>Accrued leave versus provided leave</w:t>
      </w:r>
    </w:p>
    <w:p w:rsidR="009D26A8" w:rsidRDefault="009D26A8" w:rsidP="009D26A8">
      <w:pPr>
        <w:pStyle w:val="NormalIndent"/>
        <w:rPr>
          <w:lang w:eastAsia="en-US"/>
        </w:rPr>
      </w:pPr>
      <w:r>
        <w:rPr>
          <w:lang w:eastAsia="en-US"/>
        </w:rPr>
        <w:t xml:space="preserve">For financial reporting purposes, an employee’s annual leave should be accrued to reflect the service period served by the employee. Accrued leave may differ from provided leave if an entity provides the total annual leave entitlement to its employees in advance (e.g. at the beginning of the reporting period). </w:t>
      </w:r>
    </w:p>
    <w:p w:rsidR="009D26A8" w:rsidRDefault="009D26A8" w:rsidP="009D26A8">
      <w:pPr>
        <w:pStyle w:val="NormalIndent"/>
        <w:rPr>
          <w:lang w:eastAsia="en-US"/>
        </w:rPr>
      </w:pPr>
      <w:r>
        <w:rPr>
          <w:lang w:eastAsia="en-US"/>
        </w:rPr>
        <w:t>When an entity accrues annual leave, it should recognise an expense (employee benefits) and a liability (provision for annual leave). The annual leave accrual should be inclusive of the latest pay rate and any applicable leave loading. For part-time employees, the annual leave accrual may be calculated pro-rata of the full-time annual leave entitlement.</w:t>
      </w:r>
    </w:p>
    <w:p w:rsidR="009D26A8" w:rsidRDefault="009D26A8" w:rsidP="009D26A8">
      <w:pPr>
        <w:pStyle w:val="Heading3"/>
        <w:ind w:left="792"/>
      </w:pPr>
      <w:r>
        <w:t>On</w:t>
      </w:r>
      <w:r w:rsidR="001602DF">
        <w:t>-</w:t>
      </w:r>
      <w:r>
        <w:t>costs</w:t>
      </w:r>
    </w:p>
    <w:p w:rsidR="009D26A8" w:rsidRDefault="009D26A8" w:rsidP="009D26A8">
      <w:pPr>
        <w:pStyle w:val="NormalIndent"/>
        <w:rPr>
          <w:lang w:eastAsia="en-US"/>
        </w:rPr>
      </w:pPr>
      <w:r>
        <w:rPr>
          <w:lang w:eastAsia="en-US"/>
        </w:rPr>
        <w:t>Similarly, an entity should accrue for on-costs such as payroll tax and workers’ compensation insurance. On-costs should be recognised as liabilities, when the employment service to which they relate, has occurred. Note that provisions for on-costs are to be disclosed separately from provisions for employee benefits.</w:t>
      </w:r>
    </w:p>
    <w:p w:rsidR="00482AE7" w:rsidRDefault="00482AE7" w:rsidP="00482AE7">
      <w:pPr>
        <w:pStyle w:val="Heading4indent"/>
      </w:pPr>
      <w:r>
        <w:t>Relevant materials</w:t>
      </w:r>
    </w:p>
    <w:p w:rsidR="00482AE7" w:rsidRDefault="00482AE7" w:rsidP="00482AE7">
      <w:pPr>
        <w:pStyle w:val="Heading5"/>
      </w:pPr>
      <w:r>
        <w:t>Budget Operations Framework</w:t>
      </w:r>
    </w:p>
    <w:p w:rsidR="00482AE7" w:rsidRPr="00013786" w:rsidRDefault="00482AE7" w:rsidP="00482AE7">
      <w:pPr>
        <w:pStyle w:val="Bulletindent"/>
      </w:pPr>
      <w:r w:rsidRPr="00013786">
        <w:t xml:space="preserve">BOF </w:t>
      </w:r>
      <w:r w:rsidR="00007FEA">
        <w:t>S</w:t>
      </w:r>
      <w:r w:rsidRPr="00013786">
        <w:t xml:space="preserve">ection 2.3 – </w:t>
      </w:r>
      <w:r w:rsidRPr="00013786">
        <w:rPr>
          <w:i/>
        </w:rPr>
        <w:t>Long Service Leave and Long Service Leave equivalent</w:t>
      </w:r>
    </w:p>
    <w:p w:rsidR="009A6679" w:rsidRDefault="009A6679" w:rsidP="009A6679">
      <w:pPr>
        <w:pStyle w:val="Heading5"/>
      </w:pPr>
      <w:r>
        <w:t>VPS manuals</w:t>
      </w:r>
    </w:p>
    <w:p w:rsidR="009A6679" w:rsidRPr="0010781C" w:rsidRDefault="009A6679" w:rsidP="009A6679">
      <w:pPr>
        <w:pStyle w:val="Bulletindent"/>
        <w:rPr>
          <w:i/>
        </w:rPr>
      </w:pPr>
      <w:r w:rsidRPr="0010781C">
        <w:rPr>
          <w:i/>
        </w:rPr>
        <w:t>Victorian public sector operating manual on machinery of government changes</w:t>
      </w:r>
    </w:p>
    <w:p w:rsidR="009D26A8" w:rsidRPr="00482AE7" w:rsidRDefault="009D26A8" w:rsidP="00547CEA">
      <w:pPr>
        <w:pStyle w:val="NormalIndent"/>
        <w:rPr>
          <w:b/>
        </w:rPr>
      </w:pPr>
    </w:p>
    <w:p w:rsidR="00BB380C" w:rsidRDefault="00BB380C">
      <w:pPr>
        <w:spacing w:before="0" w:after="200"/>
        <w:rPr>
          <w:rFonts w:asciiTheme="majorHAnsi" w:eastAsiaTheme="majorEastAsia" w:hAnsiTheme="majorHAnsi" w:cstheme="majorBidi"/>
          <w:b/>
          <w:bCs/>
          <w:color w:val="201547"/>
          <w:spacing w:val="-1"/>
          <w:sz w:val="36"/>
          <w:szCs w:val="28"/>
        </w:rPr>
      </w:pPr>
      <w:bookmarkStart w:id="96" w:name="_Toc445470220"/>
      <w:r>
        <w:br w:type="page"/>
      </w:r>
    </w:p>
    <w:p w:rsidR="006C1DCD" w:rsidRDefault="006C1DCD" w:rsidP="00547CEA">
      <w:pPr>
        <w:pStyle w:val="Heading1numbered"/>
      </w:pPr>
      <w:bookmarkStart w:id="97" w:name="_Toc476910351"/>
      <w:r>
        <w:lastRenderedPageBreak/>
        <w:t xml:space="preserve">The Victorian Government </w:t>
      </w:r>
      <w:r w:rsidR="00B83528">
        <w:t>c</w:t>
      </w:r>
      <w:r>
        <w:t xml:space="preserve">hart of </w:t>
      </w:r>
      <w:r w:rsidR="00B83528">
        <w:t>a</w:t>
      </w:r>
      <w:r>
        <w:t>ccounts</w:t>
      </w:r>
      <w:bookmarkEnd w:id="97"/>
    </w:p>
    <w:tbl>
      <w:tblPr>
        <w:tblStyle w:val="Mandatory"/>
        <w:tblW w:w="7483" w:type="dxa"/>
        <w:tblLook w:val="0620" w:firstRow="1" w:lastRow="0" w:firstColumn="0" w:lastColumn="0" w:noHBand="1" w:noVBand="1"/>
      </w:tblPr>
      <w:tblGrid>
        <w:gridCol w:w="7483"/>
      </w:tblGrid>
      <w:tr w:rsidR="00AA6E9C" w:rsidRPr="00AA6E9C" w:rsidTr="0090614A">
        <w:trPr>
          <w:cnfStyle w:val="100000000000" w:firstRow="1" w:lastRow="0" w:firstColumn="0" w:lastColumn="0" w:oddVBand="0" w:evenVBand="0" w:oddHBand="0" w:evenHBand="0" w:firstRowFirstColumn="0" w:firstRowLastColumn="0" w:lastRowFirstColumn="0" w:lastRowLastColumn="0"/>
        </w:trPr>
        <w:tc>
          <w:tcPr>
            <w:tcW w:w="7483" w:type="dxa"/>
          </w:tcPr>
          <w:p w:rsidR="00AA6E9C" w:rsidRPr="00AA6E9C" w:rsidRDefault="00AA6E9C" w:rsidP="00C85E91">
            <w:pPr>
              <w:spacing w:before="120" w:after="60"/>
              <w:jc w:val="center"/>
              <w:rPr>
                <w:b/>
                <w:sz w:val="20"/>
              </w:rPr>
            </w:pPr>
            <w:r w:rsidRPr="00AA6E9C">
              <w:rPr>
                <w:b/>
                <w:sz w:val="20"/>
              </w:rPr>
              <w:t>Mandatory requirements</w:t>
            </w:r>
            <w:r w:rsidRPr="00AA6E9C">
              <w:rPr>
                <w:b/>
                <w:sz w:val="20"/>
              </w:rPr>
              <w:br/>
            </w:r>
            <w:r w:rsidR="0054341B">
              <w:rPr>
                <w:b/>
                <w:sz w:val="20"/>
              </w:rPr>
              <w:t xml:space="preserve">THE VICTORIAN GOVERNMENT </w:t>
            </w:r>
            <w:r>
              <w:rPr>
                <w:b/>
                <w:sz w:val="20"/>
              </w:rPr>
              <w:t>CHART OF ACCOUNTS</w:t>
            </w:r>
          </w:p>
        </w:tc>
      </w:tr>
      <w:tr w:rsidR="00AA6E9C" w:rsidRPr="00AA6E9C" w:rsidTr="0090614A">
        <w:trPr>
          <w:trHeight w:val="589"/>
        </w:trPr>
        <w:tc>
          <w:tcPr>
            <w:tcW w:w="7483" w:type="dxa"/>
          </w:tcPr>
          <w:p w:rsidR="002A084D" w:rsidRPr="008827BD" w:rsidRDefault="00F27BDB" w:rsidP="008827BD">
            <w:pPr>
              <w:pStyle w:val="Heading3numbered"/>
            </w:pPr>
            <w:bookmarkStart w:id="98" w:name="_Toc476910352"/>
            <w:r w:rsidRPr="008827BD">
              <w:t>The</w:t>
            </w:r>
            <w:r w:rsidR="002A084D" w:rsidRPr="008827BD">
              <w:t xml:space="preserve"> Victorian Government Chart of Accounts</w:t>
            </w:r>
            <w:bookmarkEnd w:id="98"/>
          </w:p>
          <w:p w:rsidR="002A084D" w:rsidRPr="009D26A8" w:rsidRDefault="002A084D" w:rsidP="00013786">
            <w:pPr>
              <w:spacing w:before="60" w:after="60"/>
              <w:ind w:left="792"/>
            </w:pPr>
            <w:r w:rsidRPr="009D26A8">
              <w:t xml:space="preserve">Departments </w:t>
            </w:r>
            <w:r>
              <w:t xml:space="preserve">are required to map their chart of accounts </w:t>
            </w:r>
            <w:r w:rsidR="004523BC">
              <w:t>to these segments in the Victorian Government Chart of Accounts in SRIMS</w:t>
            </w:r>
            <w:r>
              <w:t>:</w:t>
            </w:r>
          </w:p>
          <w:p w:rsidR="002A084D" w:rsidRPr="00AA6E9C" w:rsidRDefault="004523BC" w:rsidP="009C70DB">
            <w:pPr>
              <w:numPr>
                <w:ilvl w:val="0"/>
                <w:numId w:val="19"/>
              </w:numPr>
              <w:spacing w:before="120" w:line="252" w:lineRule="auto"/>
              <w:ind w:left="1655" w:hanging="357"/>
            </w:pPr>
            <w:r>
              <w:t>e</w:t>
            </w:r>
            <w:r w:rsidR="002A084D">
              <w:t>ntity</w:t>
            </w:r>
            <w:r>
              <w:t>,</w:t>
            </w:r>
          </w:p>
          <w:p w:rsidR="002A084D" w:rsidRPr="00AA6E9C" w:rsidRDefault="002A084D" w:rsidP="009C70DB">
            <w:pPr>
              <w:numPr>
                <w:ilvl w:val="0"/>
                <w:numId w:val="19"/>
              </w:numPr>
              <w:spacing w:before="120" w:line="252" w:lineRule="auto"/>
              <w:ind w:left="1655" w:hanging="357"/>
            </w:pPr>
            <w:r>
              <w:t>account</w:t>
            </w:r>
            <w:r w:rsidR="004523BC">
              <w:t>,</w:t>
            </w:r>
          </w:p>
          <w:p w:rsidR="002A084D" w:rsidRPr="00AA6E9C" w:rsidRDefault="002A084D" w:rsidP="009C70DB">
            <w:pPr>
              <w:numPr>
                <w:ilvl w:val="0"/>
                <w:numId w:val="19"/>
              </w:numPr>
              <w:spacing w:before="120" w:line="252" w:lineRule="auto"/>
              <w:ind w:left="1655" w:hanging="357"/>
            </w:pPr>
            <w:r>
              <w:t>authority</w:t>
            </w:r>
            <w:r w:rsidR="004523BC">
              <w:t>,</w:t>
            </w:r>
          </w:p>
          <w:p w:rsidR="002A084D" w:rsidRDefault="002A084D" w:rsidP="009C70DB">
            <w:pPr>
              <w:numPr>
                <w:ilvl w:val="0"/>
                <w:numId w:val="19"/>
              </w:numPr>
              <w:spacing w:before="120" w:line="252" w:lineRule="auto"/>
              <w:ind w:left="1655" w:hanging="357"/>
            </w:pPr>
            <w:r>
              <w:t>o</w:t>
            </w:r>
            <w:r w:rsidRPr="00AA6E9C">
              <w:t>utput</w:t>
            </w:r>
            <w:r w:rsidR="004523BC">
              <w:t>, and</w:t>
            </w:r>
          </w:p>
          <w:p w:rsidR="002A084D" w:rsidRPr="00013786" w:rsidRDefault="004523BC" w:rsidP="009C70DB">
            <w:pPr>
              <w:numPr>
                <w:ilvl w:val="0"/>
                <w:numId w:val="19"/>
              </w:numPr>
              <w:spacing w:before="120" w:line="252" w:lineRule="auto"/>
              <w:ind w:left="1655" w:hanging="357"/>
            </w:pPr>
            <w:r>
              <w:t>related party.</w:t>
            </w:r>
          </w:p>
          <w:p w:rsidR="00AA6E9C" w:rsidRPr="008827BD" w:rsidRDefault="0054341B" w:rsidP="008827BD">
            <w:pPr>
              <w:pStyle w:val="Heading3numbered"/>
            </w:pPr>
            <w:bookmarkStart w:id="99" w:name="_Toc476910353"/>
            <w:r w:rsidRPr="008827BD">
              <w:t xml:space="preserve">Mandated segments for direct mapping to </w:t>
            </w:r>
            <w:r w:rsidR="004523BC" w:rsidRPr="008827BD">
              <w:t xml:space="preserve">the new Victorian Government Chart of Accounts in </w:t>
            </w:r>
            <w:r w:rsidRPr="008827BD">
              <w:t>SRIMS</w:t>
            </w:r>
            <w:bookmarkEnd w:id="99"/>
          </w:p>
          <w:p w:rsidR="002010BC" w:rsidRPr="009D26A8" w:rsidRDefault="004523BC" w:rsidP="00013786">
            <w:pPr>
              <w:pStyle w:val="Tabletextnum"/>
            </w:pPr>
            <w:r>
              <w:t xml:space="preserve">As part of the Victorian Government Chart of Accounts project, </w:t>
            </w:r>
            <w:r w:rsidR="002010BC" w:rsidRPr="009D26A8">
              <w:t xml:space="preserve">Departments </w:t>
            </w:r>
            <w:r w:rsidR="00493FFD">
              <w:t xml:space="preserve">have agreed to, and </w:t>
            </w:r>
            <w:r w:rsidR="002010BC">
              <w:t xml:space="preserve">are required to adopt the following segments into </w:t>
            </w:r>
            <w:r w:rsidR="00F27BDB">
              <w:t>their own (Departmental)</w:t>
            </w:r>
            <w:r w:rsidR="002010BC">
              <w:t xml:space="preserve"> chart of accounts</w:t>
            </w:r>
            <w:r w:rsidR="00F27BDB">
              <w:t>,</w:t>
            </w:r>
            <w:r w:rsidR="00C85E91">
              <w:t xml:space="preserve"> </w:t>
            </w:r>
            <w:r w:rsidR="00F27BDB">
              <w:t>which then map</w:t>
            </w:r>
            <w:r w:rsidR="00C85E91">
              <w:t xml:space="preserve"> </w:t>
            </w:r>
            <w:r w:rsidR="00F27BDB">
              <w:t>in</w:t>
            </w:r>
            <w:r w:rsidR="00C85E91">
              <w:t xml:space="preserve">to </w:t>
            </w:r>
            <w:r w:rsidR="00F27BDB">
              <w:t xml:space="preserve">the Victorian Government Chart of Accounts in </w:t>
            </w:r>
            <w:r w:rsidR="00C85E91">
              <w:t>SRIMS</w:t>
            </w:r>
            <w:r w:rsidR="002010BC">
              <w:t>:</w:t>
            </w:r>
          </w:p>
          <w:p w:rsidR="00AA6E9C" w:rsidRPr="00AA6E9C" w:rsidRDefault="001602DF" w:rsidP="009C70DB">
            <w:pPr>
              <w:numPr>
                <w:ilvl w:val="0"/>
                <w:numId w:val="19"/>
              </w:numPr>
              <w:spacing w:before="120" w:line="252" w:lineRule="auto"/>
              <w:ind w:left="1655" w:hanging="357"/>
            </w:pPr>
            <w:r>
              <w:t>e</w:t>
            </w:r>
            <w:r w:rsidR="002010BC">
              <w:t>ntity</w:t>
            </w:r>
            <w:r>
              <w:t>,</w:t>
            </w:r>
          </w:p>
          <w:p w:rsidR="00AA6E9C" w:rsidRPr="00AA6E9C" w:rsidRDefault="001602DF" w:rsidP="009C70DB">
            <w:pPr>
              <w:numPr>
                <w:ilvl w:val="0"/>
                <w:numId w:val="19"/>
              </w:numPr>
              <w:spacing w:before="120" w:line="252" w:lineRule="auto"/>
              <w:ind w:left="1655" w:hanging="357"/>
            </w:pPr>
            <w:r>
              <w:t>a</w:t>
            </w:r>
            <w:r w:rsidR="002010BC">
              <w:t>ccount</w:t>
            </w:r>
            <w:r>
              <w:t>,</w:t>
            </w:r>
          </w:p>
          <w:p w:rsidR="00AA6E9C" w:rsidRPr="00AA6E9C" w:rsidRDefault="00BA1147" w:rsidP="009C70DB">
            <w:pPr>
              <w:numPr>
                <w:ilvl w:val="0"/>
                <w:numId w:val="19"/>
              </w:numPr>
              <w:spacing w:before="120" w:line="252" w:lineRule="auto"/>
              <w:ind w:left="1655" w:hanging="357"/>
            </w:pPr>
            <w:r>
              <w:t>a</w:t>
            </w:r>
            <w:r w:rsidR="002010BC">
              <w:t>uthority</w:t>
            </w:r>
            <w:r>
              <w:t>, and</w:t>
            </w:r>
          </w:p>
          <w:p w:rsidR="00AA6E9C" w:rsidRPr="00AA6E9C" w:rsidRDefault="00BA1147" w:rsidP="009C70DB">
            <w:pPr>
              <w:numPr>
                <w:ilvl w:val="0"/>
                <w:numId w:val="19"/>
              </w:numPr>
              <w:spacing w:before="120" w:line="252" w:lineRule="auto"/>
              <w:ind w:left="1655" w:hanging="357"/>
            </w:pPr>
            <w:r>
              <w:t>o</w:t>
            </w:r>
            <w:r w:rsidR="00AA6E9C" w:rsidRPr="00AA6E9C">
              <w:t>utput</w:t>
            </w:r>
            <w:r>
              <w:t>.</w:t>
            </w:r>
          </w:p>
          <w:p w:rsidR="00AA6E9C" w:rsidRPr="00AA6E9C" w:rsidRDefault="00AA6E9C" w:rsidP="00013786">
            <w:pPr>
              <w:pStyle w:val="Tabletextnum"/>
            </w:pPr>
            <w:r w:rsidRPr="00013786">
              <w:t>For each of the above mandated segments</w:t>
            </w:r>
            <w:r w:rsidR="00BA1147">
              <w:t xml:space="preserve">, Departments are required to include an </w:t>
            </w:r>
            <w:r w:rsidRPr="00013786">
              <w:t xml:space="preserve">additional </w:t>
            </w:r>
            <w:r w:rsidR="00493FFD">
              <w:t>element</w:t>
            </w:r>
            <w:r w:rsidR="002A084D">
              <w:t xml:space="preserve"> in</w:t>
            </w:r>
            <w:r w:rsidR="00BA1147">
              <w:t xml:space="preserve"> their </w:t>
            </w:r>
            <w:r w:rsidRPr="00013786">
              <w:t>chart of accounts</w:t>
            </w:r>
            <w:r w:rsidR="00BA1147">
              <w:t xml:space="preserve"> to be </w:t>
            </w:r>
            <w:r w:rsidRPr="00013786">
              <w:t xml:space="preserve">used to </w:t>
            </w:r>
            <w:r w:rsidR="00BA1147">
              <w:t>record</w:t>
            </w:r>
            <w:r w:rsidRPr="00013786">
              <w:t xml:space="preserve"> the SRIMS </w:t>
            </w:r>
            <w:r w:rsidR="00BA1147">
              <w:t>account</w:t>
            </w:r>
            <w:r w:rsidRPr="00013786">
              <w:t xml:space="preserve"> that the </w:t>
            </w:r>
            <w:r w:rsidR="00BA1147">
              <w:t>D</w:t>
            </w:r>
            <w:r w:rsidRPr="00013786">
              <w:t xml:space="preserve">epartmental </w:t>
            </w:r>
            <w:r w:rsidR="00BA1147">
              <w:t>segment</w:t>
            </w:r>
            <w:r w:rsidRPr="00013786">
              <w:t xml:space="preserve"> maps</w:t>
            </w:r>
            <w:r w:rsidR="00BA1147">
              <w:t xml:space="preserve"> to</w:t>
            </w:r>
            <w:r w:rsidRPr="00013786">
              <w:t xml:space="preserve">. The </w:t>
            </w:r>
            <w:r w:rsidR="00BA1147">
              <w:t>segment</w:t>
            </w:r>
            <w:r w:rsidRPr="00013786">
              <w:t xml:space="preserve"> is </w:t>
            </w:r>
            <w:r w:rsidR="00BA1147">
              <w:t xml:space="preserve">required </w:t>
            </w:r>
            <w:r w:rsidRPr="00013786">
              <w:t xml:space="preserve">to be set to </w:t>
            </w:r>
            <w:r w:rsidR="00BA1147">
              <w:t xml:space="preserve">a </w:t>
            </w:r>
            <w:r w:rsidRPr="00013786">
              <w:t>mandatory</w:t>
            </w:r>
            <w:r w:rsidR="00BA1147">
              <w:t xml:space="preserve"> setting</w:t>
            </w:r>
            <w:r w:rsidRPr="00013786">
              <w:t xml:space="preserve">, to ensure the SRIMS </w:t>
            </w:r>
            <w:r w:rsidR="00BA1147">
              <w:t>chart of accounts segment</w:t>
            </w:r>
            <w:r w:rsidRPr="00013786">
              <w:t xml:space="preserve"> is always populated when any new seg</w:t>
            </w:r>
            <w:r w:rsidR="00BA1147" w:rsidRPr="00013786">
              <w:t>men</w:t>
            </w:r>
            <w:r w:rsidR="00BA1147">
              <w:t xml:space="preserve">ts that map to the SRIMS chart </w:t>
            </w:r>
            <w:r w:rsidRPr="00013786">
              <w:t>are created.</w:t>
            </w:r>
          </w:p>
        </w:tc>
      </w:tr>
    </w:tbl>
    <w:p w:rsidR="00406234" w:rsidRDefault="00406234" w:rsidP="00406234">
      <w:pPr>
        <w:pStyle w:val="Heading4indent"/>
      </w:pPr>
      <w:r>
        <w:t>Guidance</w:t>
      </w:r>
    </w:p>
    <w:p w:rsidR="009160B0" w:rsidRDefault="00090DB6" w:rsidP="00013786">
      <w:pPr>
        <w:pStyle w:val="NormalIndent"/>
        <w:rPr>
          <w:lang w:eastAsia="en-US"/>
        </w:rPr>
      </w:pPr>
      <w:r>
        <w:rPr>
          <w:lang w:eastAsia="en-US"/>
        </w:rPr>
        <w:t>The Victorian Government Chart of Accounts (</w:t>
      </w:r>
      <w:proofErr w:type="spellStart"/>
      <w:r>
        <w:rPr>
          <w:lang w:eastAsia="en-US"/>
        </w:rPr>
        <w:t>VGCoA</w:t>
      </w:r>
      <w:proofErr w:type="spellEnd"/>
      <w:r>
        <w:rPr>
          <w:lang w:eastAsia="en-US"/>
        </w:rPr>
        <w:t xml:space="preserve">) </w:t>
      </w:r>
      <w:r w:rsidR="00DA689B">
        <w:rPr>
          <w:lang w:eastAsia="en-US"/>
        </w:rPr>
        <w:t xml:space="preserve">comprises a common set </w:t>
      </w:r>
      <w:r w:rsidR="009160B0">
        <w:rPr>
          <w:lang w:eastAsia="en-US"/>
        </w:rPr>
        <w:t xml:space="preserve">of </w:t>
      </w:r>
      <w:r w:rsidR="00CE3600">
        <w:rPr>
          <w:lang w:eastAsia="en-US"/>
        </w:rPr>
        <w:t>segment</w:t>
      </w:r>
      <w:r w:rsidR="007E7BDA">
        <w:rPr>
          <w:lang w:eastAsia="en-US"/>
        </w:rPr>
        <w:t>s</w:t>
      </w:r>
      <w:r w:rsidR="009160B0">
        <w:rPr>
          <w:lang w:eastAsia="en-US"/>
        </w:rPr>
        <w:t xml:space="preserve"> or </w:t>
      </w:r>
      <w:r w:rsidR="00CE3600">
        <w:rPr>
          <w:lang w:eastAsia="en-US"/>
        </w:rPr>
        <w:t>codes</w:t>
      </w:r>
      <w:r w:rsidR="009160B0">
        <w:rPr>
          <w:lang w:eastAsia="en-US"/>
        </w:rPr>
        <w:t xml:space="preserve"> </w:t>
      </w:r>
      <w:r w:rsidR="00DA689B">
        <w:rPr>
          <w:lang w:eastAsia="en-US"/>
        </w:rPr>
        <w:t xml:space="preserve">used </w:t>
      </w:r>
      <w:r w:rsidR="009160B0">
        <w:rPr>
          <w:lang w:eastAsia="en-US"/>
        </w:rPr>
        <w:t>in combination</w:t>
      </w:r>
      <w:r w:rsidR="00DA689B">
        <w:rPr>
          <w:lang w:eastAsia="en-US"/>
        </w:rPr>
        <w:t xml:space="preserve"> by government </w:t>
      </w:r>
      <w:r w:rsidR="007E7BDA">
        <w:rPr>
          <w:lang w:eastAsia="en-US"/>
        </w:rPr>
        <w:t>D</w:t>
      </w:r>
      <w:r w:rsidR="00DA689B">
        <w:rPr>
          <w:lang w:eastAsia="en-US"/>
        </w:rPr>
        <w:t xml:space="preserve">epartments and agencies in the submission of data to DTF. The collection of financial and performance data under the </w:t>
      </w:r>
      <w:proofErr w:type="spellStart"/>
      <w:r w:rsidR="00DA689B">
        <w:rPr>
          <w:lang w:eastAsia="en-US"/>
        </w:rPr>
        <w:t>VGCoA</w:t>
      </w:r>
      <w:proofErr w:type="spellEnd"/>
      <w:r w:rsidR="00DA689B">
        <w:rPr>
          <w:lang w:eastAsia="en-US"/>
        </w:rPr>
        <w:t xml:space="preserve"> </w:t>
      </w:r>
      <w:r w:rsidR="00CE3600">
        <w:rPr>
          <w:lang w:eastAsia="en-US"/>
        </w:rPr>
        <w:t xml:space="preserve">structure </w:t>
      </w:r>
      <w:r w:rsidR="00DA689B">
        <w:rPr>
          <w:lang w:eastAsia="en-US"/>
        </w:rPr>
        <w:t>supports consistent planning, monitoring and reporting across government.</w:t>
      </w:r>
    </w:p>
    <w:p w:rsidR="00CE3600" w:rsidRDefault="00CE3600" w:rsidP="00013786">
      <w:pPr>
        <w:pStyle w:val="NormalIndent"/>
        <w:rPr>
          <w:lang w:eastAsia="en-US"/>
        </w:rPr>
      </w:pPr>
      <w:r>
        <w:rPr>
          <w:lang w:eastAsia="en-US"/>
        </w:rPr>
        <w:t xml:space="preserve">The </w:t>
      </w:r>
      <w:proofErr w:type="spellStart"/>
      <w:r>
        <w:rPr>
          <w:lang w:eastAsia="en-US"/>
        </w:rPr>
        <w:t>VGCoA</w:t>
      </w:r>
      <w:proofErr w:type="spellEnd"/>
      <w:r>
        <w:rPr>
          <w:lang w:eastAsia="en-US"/>
        </w:rPr>
        <w:t xml:space="preserve"> is used in the State’s State Resource Management System (SRIMS).</w:t>
      </w:r>
    </w:p>
    <w:p w:rsidR="00DA689B" w:rsidRDefault="00F27BDB" w:rsidP="00013786">
      <w:pPr>
        <w:pStyle w:val="NormalIndent"/>
        <w:rPr>
          <w:lang w:eastAsia="en-US"/>
        </w:rPr>
      </w:pPr>
      <w:r>
        <w:rPr>
          <w:lang w:eastAsia="en-US"/>
        </w:rPr>
        <w:t>The</w:t>
      </w:r>
      <w:r w:rsidR="00DA689B">
        <w:rPr>
          <w:lang w:eastAsia="en-US"/>
        </w:rPr>
        <w:t xml:space="preserve"> </w:t>
      </w:r>
      <w:proofErr w:type="spellStart"/>
      <w:r w:rsidR="00DA689B">
        <w:rPr>
          <w:lang w:eastAsia="en-US"/>
        </w:rPr>
        <w:t>VGCoA</w:t>
      </w:r>
      <w:proofErr w:type="spellEnd"/>
      <w:r w:rsidR="00DA689B">
        <w:rPr>
          <w:lang w:eastAsia="en-US"/>
        </w:rPr>
        <w:t xml:space="preserve"> consists of the following five </w:t>
      </w:r>
      <w:r w:rsidR="00CE3600">
        <w:rPr>
          <w:lang w:eastAsia="en-US"/>
        </w:rPr>
        <w:t>segment</w:t>
      </w:r>
      <w:r w:rsidR="00DA689B">
        <w:rPr>
          <w:lang w:eastAsia="en-US"/>
        </w:rPr>
        <w:t>s:</w:t>
      </w:r>
    </w:p>
    <w:p w:rsidR="00957224" w:rsidRDefault="00A80724" w:rsidP="009C70DB">
      <w:pPr>
        <w:pStyle w:val="NormalIndent"/>
        <w:numPr>
          <w:ilvl w:val="0"/>
          <w:numId w:val="21"/>
        </w:numPr>
        <w:spacing w:before="120"/>
        <w:ind w:left="1508" w:hanging="357"/>
        <w:rPr>
          <w:lang w:eastAsia="en-US"/>
        </w:rPr>
      </w:pPr>
      <w:r w:rsidRPr="00013786">
        <w:rPr>
          <w:b/>
          <w:lang w:eastAsia="en-US"/>
        </w:rPr>
        <w:t>e</w:t>
      </w:r>
      <w:r w:rsidR="00957224" w:rsidRPr="00013786">
        <w:rPr>
          <w:b/>
          <w:lang w:eastAsia="en-US"/>
        </w:rPr>
        <w:t>ntity</w:t>
      </w:r>
      <w:r w:rsidR="00957224">
        <w:rPr>
          <w:lang w:eastAsia="en-US"/>
        </w:rPr>
        <w:t xml:space="preserve"> – identif</w:t>
      </w:r>
      <w:r w:rsidR="00335A67">
        <w:rPr>
          <w:lang w:eastAsia="en-US"/>
        </w:rPr>
        <w:t xml:space="preserve">ies the accounting or </w:t>
      </w:r>
      <w:r w:rsidR="00957224">
        <w:rPr>
          <w:lang w:eastAsia="en-US"/>
        </w:rPr>
        <w:t xml:space="preserve">individual legal </w:t>
      </w:r>
      <w:r w:rsidR="00335A67">
        <w:rPr>
          <w:lang w:eastAsia="en-US"/>
        </w:rPr>
        <w:t>entity</w:t>
      </w:r>
      <w:r w:rsidR="003554BF">
        <w:rPr>
          <w:lang w:eastAsia="en-US"/>
        </w:rPr>
        <w:t>.</w:t>
      </w:r>
      <w:r w:rsidR="005B4B08">
        <w:rPr>
          <w:lang w:eastAsia="en-US"/>
        </w:rPr>
        <w:t xml:space="preserve"> </w:t>
      </w:r>
      <w:r w:rsidR="003554BF">
        <w:rPr>
          <w:lang w:eastAsia="en-US"/>
        </w:rPr>
        <w:t>T</w:t>
      </w:r>
      <w:r w:rsidR="005B4B08">
        <w:rPr>
          <w:lang w:eastAsia="en-US"/>
        </w:rPr>
        <w:t>his segment provides for the ‘</w:t>
      </w:r>
      <w:proofErr w:type="spellStart"/>
      <w:r w:rsidR="005B4B08">
        <w:rPr>
          <w:lang w:eastAsia="en-US"/>
        </w:rPr>
        <w:t>sectorisation</w:t>
      </w:r>
      <w:proofErr w:type="spellEnd"/>
      <w:r w:rsidR="005B4B08">
        <w:rPr>
          <w:lang w:eastAsia="en-US"/>
        </w:rPr>
        <w:t>’ of transactions into government reporting groups (e.g.</w:t>
      </w:r>
      <w:r>
        <w:rPr>
          <w:lang w:eastAsia="en-US"/>
        </w:rPr>
        <w:t xml:space="preserve"> the General Government sector);</w:t>
      </w:r>
    </w:p>
    <w:p w:rsidR="00957224" w:rsidRDefault="00A80724" w:rsidP="009C70DB">
      <w:pPr>
        <w:pStyle w:val="NormalIndent"/>
        <w:numPr>
          <w:ilvl w:val="0"/>
          <w:numId w:val="21"/>
        </w:numPr>
        <w:spacing w:before="120"/>
        <w:ind w:left="1508" w:hanging="357"/>
        <w:rPr>
          <w:lang w:eastAsia="en-US"/>
        </w:rPr>
      </w:pPr>
      <w:r w:rsidRPr="00013786">
        <w:rPr>
          <w:b/>
          <w:lang w:eastAsia="en-US"/>
        </w:rPr>
        <w:lastRenderedPageBreak/>
        <w:t>a</w:t>
      </w:r>
      <w:r w:rsidR="00957224" w:rsidRPr="00013786">
        <w:rPr>
          <w:b/>
          <w:lang w:eastAsia="en-US"/>
        </w:rPr>
        <w:t xml:space="preserve">ccount </w:t>
      </w:r>
      <w:r w:rsidR="00957224">
        <w:rPr>
          <w:lang w:eastAsia="en-US"/>
        </w:rPr>
        <w:t xml:space="preserve">– </w:t>
      </w:r>
      <w:r w:rsidR="00335A67">
        <w:rPr>
          <w:lang w:eastAsia="en-US"/>
        </w:rPr>
        <w:t>i</w:t>
      </w:r>
      <w:r w:rsidR="00957224">
        <w:rPr>
          <w:lang w:eastAsia="en-US"/>
        </w:rPr>
        <w:t>dentif</w:t>
      </w:r>
      <w:r w:rsidR="00335A67">
        <w:rPr>
          <w:lang w:eastAsia="en-US"/>
        </w:rPr>
        <w:t>ies</w:t>
      </w:r>
      <w:r w:rsidR="00957224">
        <w:rPr>
          <w:lang w:eastAsia="en-US"/>
        </w:rPr>
        <w:t xml:space="preserve"> the transaction type</w:t>
      </w:r>
      <w:r w:rsidR="00335A67">
        <w:rPr>
          <w:lang w:eastAsia="en-US"/>
        </w:rPr>
        <w:t xml:space="preserve"> or nature of each transaction</w:t>
      </w:r>
      <w:r w:rsidR="003554BF">
        <w:rPr>
          <w:lang w:eastAsia="en-US"/>
        </w:rPr>
        <w:t>. T</w:t>
      </w:r>
      <w:r w:rsidR="00335A67">
        <w:rPr>
          <w:lang w:eastAsia="en-US"/>
        </w:rPr>
        <w:t xml:space="preserve">his segment forms the basis of financial </w:t>
      </w:r>
      <w:r w:rsidR="003554BF">
        <w:rPr>
          <w:lang w:eastAsia="en-US"/>
        </w:rPr>
        <w:t xml:space="preserve">(accounting) </w:t>
      </w:r>
      <w:r w:rsidR="00335A67">
        <w:rPr>
          <w:lang w:eastAsia="en-US"/>
        </w:rPr>
        <w:t>statements</w:t>
      </w:r>
      <w:r>
        <w:rPr>
          <w:lang w:eastAsia="en-US"/>
        </w:rPr>
        <w:t>;</w:t>
      </w:r>
    </w:p>
    <w:p w:rsidR="00957224" w:rsidRDefault="00A80724" w:rsidP="009C70DB">
      <w:pPr>
        <w:pStyle w:val="NormalIndent"/>
        <w:numPr>
          <w:ilvl w:val="0"/>
          <w:numId w:val="21"/>
        </w:numPr>
        <w:spacing w:before="120"/>
        <w:ind w:left="1508" w:hanging="357"/>
        <w:rPr>
          <w:lang w:eastAsia="en-US"/>
        </w:rPr>
      </w:pPr>
      <w:r w:rsidRPr="00013786">
        <w:rPr>
          <w:b/>
          <w:lang w:eastAsia="en-US"/>
        </w:rPr>
        <w:t>a</w:t>
      </w:r>
      <w:r w:rsidR="00957224" w:rsidRPr="00013786">
        <w:rPr>
          <w:b/>
          <w:lang w:eastAsia="en-US"/>
        </w:rPr>
        <w:t>uthority</w:t>
      </w:r>
      <w:r w:rsidR="00957224">
        <w:rPr>
          <w:lang w:eastAsia="en-US"/>
        </w:rPr>
        <w:t xml:space="preserve"> – identif</w:t>
      </w:r>
      <w:r w:rsidR="005B4B08">
        <w:rPr>
          <w:lang w:eastAsia="en-US"/>
        </w:rPr>
        <w:t>ies</w:t>
      </w:r>
      <w:r w:rsidR="00957224">
        <w:rPr>
          <w:lang w:eastAsia="en-US"/>
        </w:rPr>
        <w:t xml:space="preserve"> the </w:t>
      </w:r>
      <w:r w:rsidR="005B4B08">
        <w:rPr>
          <w:lang w:eastAsia="en-US"/>
        </w:rPr>
        <w:t xml:space="preserve">legal </w:t>
      </w:r>
      <w:r w:rsidR="00957224">
        <w:rPr>
          <w:lang w:eastAsia="en-US"/>
        </w:rPr>
        <w:t>authority</w:t>
      </w:r>
      <w:r w:rsidR="005B4B08">
        <w:rPr>
          <w:lang w:eastAsia="en-US"/>
        </w:rPr>
        <w:t xml:space="preserve"> for transactions </w:t>
      </w:r>
      <w:r w:rsidR="003554BF">
        <w:rPr>
          <w:lang w:eastAsia="en-US"/>
        </w:rPr>
        <w:t xml:space="preserve">(revenue or expenses) </w:t>
      </w:r>
      <w:r w:rsidR="005B4B08">
        <w:rPr>
          <w:lang w:eastAsia="en-US"/>
        </w:rPr>
        <w:t>within the Public Account (</w:t>
      </w:r>
      <w:r w:rsidR="003554BF">
        <w:rPr>
          <w:lang w:eastAsia="en-US"/>
        </w:rPr>
        <w:t xml:space="preserve">includes the </w:t>
      </w:r>
      <w:r w:rsidR="005B4B08">
        <w:rPr>
          <w:lang w:eastAsia="en-US"/>
        </w:rPr>
        <w:t xml:space="preserve">Consolidated Fund and </w:t>
      </w:r>
      <w:r w:rsidR="003554BF">
        <w:rPr>
          <w:lang w:eastAsia="en-US"/>
        </w:rPr>
        <w:t xml:space="preserve">the </w:t>
      </w:r>
      <w:r w:rsidR="005B4B08">
        <w:rPr>
          <w:lang w:eastAsia="en-US"/>
        </w:rPr>
        <w:t>Trust Fund).</w:t>
      </w:r>
      <w:r w:rsidR="00957224">
        <w:rPr>
          <w:lang w:eastAsia="en-US"/>
        </w:rPr>
        <w:t xml:space="preserve"> </w:t>
      </w:r>
      <w:r w:rsidR="003554BF">
        <w:rPr>
          <w:lang w:eastAsia="en-US"/>
        </w:rPr>
        <w:t xml:space="preserve">This segment forms the basis for </w:t>
      </w:r>
      <w:r>
        <w:rPr>
          <w:lang w:eastAsia="en-US"/>
        </w:rPr>
        <w:t>reporting on the Public Account;</w:t>
      </w:r>
    </w:p>
    <w:p w:rsidR="00DA689B" w:rsidRDefault="00A80724" w:rsidP="009C70DB">
      <w:pPr>
        <w:pStyle w:val="NormalIndent"/>
        <w:numPr>
          <w:ilvl w:val="0"/>
          <w:numId w:val="21"/>
        </w:numPr>
        <w:spacing w:before="120"/>
        <w:ind w:left="1508" w:hanging="357"/>
        <w:rPr>
          <w:lang w:eastAsia="en-US"/>
        </w:rPr>
      </w:pPr>
      <w:r w:rsidRPr="00013786">
        <w:rPr>
          <w:b/>
          <w:lang w:eastAsia="en-US"/>
        </w:rPr>
        <w:t>o</w:t>
      </w:r>
      <w:r w:rsidR="00957224" w:rsidRPr="00013786">
        <w:rPr>
          <w:b/>
          <w:lang w:eastAsia="en-US"/>
        </w:rPr>
        <w:t>utput</w:t>
      </w:r>
      <w:r w:rsidR="00957224">
        <w:rPr>
          <w:lang w:eastAsia="en-US"/>
        </w:rPr>
        <w:t xml:space="preserve"> – </w:t>
      </w:r>
      <w:r w:rsidR="005B4B08">
        <w:rPr>
          <w:lang w:eastAsia="en-US"/>
        </w:rPr>
        <w:t>iden</w:t>
      </w:r>
      <w:r w:rsidR="00957224">
        <w:rPr>
          <w:lang w:eastAsia="en-US"/>
        </w:rPr>
        <w:t>tif</w:t>
      </w:r>
      <w:r w:rsidR="005B4B08">
        <w:rPr>
          <w:lang w:eastAsia="en-US"/>
        </w:rPr>
        <w:t>ies the</w:t>
      </w:r>
      <w:r w:rsidR="00957224">
        <w:rPr>
          <w:lang w:eastAsia="en-US"/>
        </w:rPr>
        <w:t xml:space="preserve"> services or tasks being undertaken in</w:t>
      </w:r>
      <w:r w:rsidR="005B4B08">
        <w:rPr>
          <w:lang w:eastAsia="en-US"/>
        </w:rPr>
        <w:t xml:space="preserve"> the delivery of agreed</w:t>
      </w:r>
      <w:r w:rsidR="00957224">
        <w:rPr>
          <w:lang w:eastAsia="en-US"/>
        </w:rPr>
        <w:t xml:space="preserve"> outputs.</w:t>
      </w:r>
      <w:r w:rsidR="003554BF">
        <w:rPr>
          <w:lang w:eastAsia="en-US"/>
        </w:rPr>
        <w:t xml:space="preserve"> This segment provides information for performance and service delivery reporting requirements</w:t>
      </w:r>
      <w:r>
        <w:rPr>
          <w:lang w:eastAsia="en-US"/>
        </w:rPr>
        <w:t>; and</w:t>
      </w:r>
    </w:p>
    <w:p w:rsidR="00406234" w:rsidRDefault="00A80724" w:rsidP="009C70DB">
      <w:pPr>
        <w:pStyle w:val="NormalIndent"/>
        <w:numPr>
          <w:ilvl w:val="0"/>
          <w:numId w:val="21"/>
        </w:numPr>
        <w:spacing w:before="120"/>
        <w:ind w:left="1508" w:hanging="357"/>
        <w:rPr>
          <w:lang w:eastAsia="en-US"/>
        </w:rPr>
      </w:pPr>
      <w:r w:rsidRPr="00013786">
        <w:rPr>
          <w:b/>
          <w:lang w:eastAsia="en-US"/>
        </w:rPr>
        <w:t>r</w:t>
      </w:r>
      <w:r w:rsidR="002B0BBD" w:rsidRPr="00013786">
        <w:rPr>
          <w:b/>
          <w:lang w:eastAsia="en-US"/>
        </w:rPr>
        <w:t xml:space="preserve">elated </w:t>
      </w:r>
      <w:r w:rsidRPr="00013786">
        <w:rPr>
          <w:b/>
          <w:lang w:eastAsia="en-US"/>
        </w:rPr>
        <w:t>p</w:t>
      </w:r>
      <w:r w:rsidR="002B0BBD" w:rsidRPr="00013786">
        <w:rPr>
          <w:b/>
          <w:lang w:eastAsia="en-US"/>
        </w:rPr>
        <w:t>arty</w:t>
      </w:r>
      <w:r w:rsidR="002B0BBD">
        <w:rPr>
          <w:lang w:eastAsia="en-US"/>
        </w:rPr>
        <w:t xml:space="preserve"> – identifies the counterparty to a transaction </w:t>
      </w:r>
      <w:r w:rsidR="00DB1075">
        <w:rPr>
          <w:lang w:eastAsia="en-US"/>
        </w:rPr>
        <w:t>within</w:t>
      </w:r>
      <w:r w:rsidR="002B0BBD">
        <w:rPr>
          <w:lang w:eastAsia="en-US"/>
        </w:rPr>
        <w:t xml:space="preserve"> </w:t>
      </w:r>
      <w:r w:rsidR="00DB1075">
        <w:rPr>
          <w:lang w:eastAsia="en-US"/>
        </w:rPr>
        <w:t>government</w:t>
      </w:r>
      <w:r w:rsidR="002B0BBD">
        <w:rPr>
          <w:lang w:eastAsia="en-US"/>
        </w:rPr>
        <w:t>.</w:t>
      </w:r>
    </w:p>
    <w:p w:rsidR="009B76E1" w:rsidRDefault="009B76E1" w:rsidP="009B76E1">
      <w:pPr>
        <w:pStyle w:val="Heading4indent"/>
      </w:pPr>
      <w:r>
        <w:t>The Whole of Government Chart of Accounts project</w:t>
      </w:r>
    </w:p>
    <w:p w:rsidR="00DB1075" w:rsidRDefault="002010BC" w:rsidP="00013786">
      <w:pPr>
        <w:pStyle w:val="NormalIndent"/>
        <w:rPr>
          <w:lang w:eastAsia="en-US"/>
        </w:rPr>
      </w:pPr>
      <w:r>
        <w:rPr>
          <w:lang w:eastAsia="en-US"/>
        </w:rPr>
        <w:t xml:space="preserve">Most Departments have had their own separate and distinct charts of accounts, which </w:t>
      </w:r>
      <w:r w:rsidR="00122D91">
        <w:rPr>
          <w:lang w:eastAsia="en-US"/>
        </w:rPr>
        <w:t xml:space="preserve">have </w:t>
      </w:r>
      <w:r>
        <w:rPr>
          <w:lang w:eastAsia="en-US"/>
        </w:rPr>
        <w:t>map</w:t>
      </w:r>
      <w:r w:rsidR="00122D91">
        <w:rPr>
          <w:lang w:eastAsia="en-US"/>
        </w:rPr>
        <w:t>ped</w:t>
      </w:r>
      <w:r>
        <w:rPr>
          <w:lang w:eastAsia="en-US"/>
        </w:rPr>
        <w:t xml:space="preserve"> into the </w:t>
      </w:r>
      <w:proofErr w:type="spellStart"/>
      <w:r>
        <w:rPr>
          <w:lang w:eastAsia="en-US"/>
        </w:rPr>
        <w:t>VGCoA</w:t>
      </w:r>
      <w:proofErr w:type="spellEnd"/>
      <w:r w:rsidR="00122D91">
        <w:rPr>
          <w:lang w:eastAsia="en-US"/>
        </w:rPr>
        <w:t xml:space="preserve">. This approach has had its limitations, with the lack of consistency between Departments being a significant issue when machinery of government changes occur. The inconsistency also has </w:t>
      </w:r>
      <w:r w:rsidR="00083A12">
        <w:rPr>
          <w:lang w:eastAsia="en-US"/>
        </w:rPr>
        <w:t>meant additional training costs when fin</w:t>
      </w:r>
      <w:r w:rsidR="00122D91">
        <w:rPr>
          <w:lang w:eastAsia="en-US"/>
        </w:rPr>
        <w:t>ancial professionals move between Departments.</w:t>
      </w:r>
    </w:p>
    <w:p w:rsidR="009B76E1" w:rsidRDefault="00083A12" w:rsidP="00013786">
      <w:pPr>
        <w:pStyle w:val="NormalIndent"/>
        <w:rPr>
          <w:lang w:eastAsia="en-US"/>
        </w:rPr>
      </w:pPr>
      <w:r>
        <w:rPr>
          <w:lang w:eastAsia="en-US"/>
        </w:rPr>
        <w:t xml:space="preserve">After extensive consultation, final </w:t>
      </w:r>
      <w:r w:rsidR="009B76E1" w:rsidRPr="009B76E1">
        <w:rPr>
          <w:lang w:eastAsia="en-US"/>
        </w:rPr>
        <w:t xml:space="preserve">agreement was </w:t>
      </w:r>
      <w:r>
        <w:rPr>
          <w:lang w:eastAsia="en-US"/>
        </w:rPr>
        <w:t xml:space="preserve">reached in July 2016 </w:t>
      </w:r>
      <w:r w:rsidR="009B76E1" w:rsidRPr="009B76E1">
        <w:rPr>
          <w:lang w:eastAsia="en-US"/>
        </w:rPr>
        <w:t xml:space="preserve">by </w:t>
      </w:r>
      <w:r w:rsidR="00AD3261">
        <w:rPr>
          <w:lang w:eastAsia="en-US"/>
        </w:rPr>
        <w:t>D</w:t>
      </w:r>
      <w:r w:rsidR="009B76E1" w:rsidRPr="009B76E1">
        <w:rPr>
          <w:lang w:eastAsia="en-US"/>
        </w:rPr>
        <w:t>epartmental C</w:t>
      </w:r>
      <w:r w:rsidR="001074A0">
        <w:rPr>
          <w:lang w:eastAsia="en-US"/>
        </w:rPr>
        <w:t xml:space="preserve">hief </w:t>
      </w:r>
      <w:r w:rsidR="009B76E1" w:rsidRPr="009B76E1">
        <w:rPr>
          <w:lang w:eastAsia="en-US"/>
        </w:rPr>
        <w:t>F</w:t>
      </w:r>
      <w:r w:rsidR="001074A0">
        <w:rPr>
          <w:lang w:eastAsia="en-US"/>
        </w:rPr>
        <w:t xml:space="preserve">inance </w:t>
      </w:r>
      <w:r w:rsidR="009B76E1" w:rsidRPr="009B76E1">
        <w:rPr>
          <w:lang w:eastAsia="en-US"/>
        </w:rPr>
        <w:t>O</w:t>
      </w:r>
      <w:r w:rsidR="001074A0">
        <w:rPr>
          <w:lang w:eastAsia="en-US"/>
        </w:rPr>
        <w:t>fficer</w:t>
      </w:r>
      <w:r w:rsidR="009B76E1" w:rsidRPr="009B76E1">
        <w:rPr>
          <w:lang w:eastAsia="en-US"/>
        </w:rPr>
        <w:t xml:space="preserve">s on the </w:t>
      </w:r>
      <w:r>
        <w:rPr>
          <w:lang w:eastAsia="en-US"/>
        </w:rPr>
        <w:t>design and implementation of a</w:t>
      </w:r>
      <w:r w:rsidR="009B76E1" w:rsidRPr="009B76E1">
        <w:rPr>
          <w:lang w:eastAsia="en-US"/>
        </w:rPr>
        <w:t xml:space="preserve"> </w:t>
      </w:r>
      <w:r w:rsidR="00AD3261">
        <w:rPr>
          <w:lang w:eastAsia="en-US"/>
        </w:rPr>
        <w:t>c</w:t>
      </w:r>
      <w:r w:rsidR="009B76E1" w:rsidRPr="009B76E1">
        <w:rPr>
          <w:lang w:eastAsia="en-US"/>
        </w:rPr>
        <w:t>ommon Departmental Chart of Accounts</w:t>
      </w:r>
      <w:r w:rsidR="00AD3261">
        <w:rPr>
          <w:lang w:eastAsia="en-US"/>
        </w:rPr>
        <w:t xml:space="preserve">, mandating </w:t>
      </w:r>
      <w:r>
        <w:rPr>
          <w:lang w:eastAsia="en-US"/>
        </w:rPr>
        <w:t>the four segments of:</w:t>
      </w:r>
    </w:p>
    <w:p w:rsidR="00083A12" w:rsidRPr="00AA6E9C" w:rsidRDefault="00083A12" w:rsidP="009C70DB">
      <w:pPr>
        <w:numPr>
          <w:ilvl w:val="0"/>
          <w:numId w:val="19"/>
        </w:numPr>
        <w:spacing w:before="120" w:line="252" w:lineRule="auto"/>
        <w:ind w:left="1655" w:hanging="357"/>
      </w:pPr>
      <w:r>
        <w:t>entity</w:t>
      </w:r>
    </w:p>
    <w:p w:rsidR="00083A12" w:rsidRPr="00AA6E9C" w:rsidRDefault="00083A12" w:rsidP="009C70DB">
      <w:pPr>
        <w:numPr>
          <w:ilvl w:val="0"/>
          <w:numId w:val="19"/>
        </w:numPr>
        <w:spacing w:before="120" w:line="252" w:lineRule="auto"/>
        <w:ind w:left="1655" w:hanging="357"/>
      </w:pPr>
      <w:r>
        <w:t>account</w:t>
      </w:r>
    </w:p>
    <w:p w:rsidR="00083A12" w:rsidRPr="00AA6E9C" w:rsidRDefault="00F27BDB" w:rsidP="009C70DB">
      <w:pPr>
        <w:numPr>
          <w:ilvl w:val="0"/>
          <w:numId w:val="19"/>
        </w:numPr>
        <w:spacing w:before="120" w:line="252" w:lineRule="auto"/>
        <w:ind w:left="1655" w:hanging="357"/>
      </w:pPr>
      <w:r>
        <w:t>authority, and</w:t>
      </w:r>
    </w:p>
    <w:p w:rsidR="00083A12" w:rsidRPr="00AA6E9C" w:rsidRDefault="00083A12" w:rsidP="009C70DB">
      <w:pPr>
        <w:numPr>
          <w:ilvl w:val="0"/>
          <w:numId w:val="19"/>
        </w:numPr>
        <w:spacing w:before="120" w:line="252" w:lineRule="auto"/>
        <w:ind w:left="1655" w:hanging="357"/>
      </w:pPr>
      <w:r>
        <w:t>o</w:t>
      </w:r>
      <w:r w:rsidRPr="00AA6E9C">
        <w:t>utput</w:t>
      </w:r>
      <w:r>
        <w:t>.</w:t>
      </w:r>
    </w:p>
    <w:p w:rsidR="004F4803" w:rsidRPr="00AA6E9C" w:rsidRDefault="00AD3261" w:rsidP="004F4803">
      <w:pPr>
        <w:pStyle w:val="NormalIndent"/>
        <w:rPr>
          <w:lang w:eastAsia="en-US"/>
        </w:rPr>
      </w:pPr>
      <w:r>
        <w:rPr>
          <w:lang w:eastAsia="en-US"/>
        </w:rPr>
        <w:t xml:space="preserve">In addition, </w:t>
      </w:r>
      <w:r w:rsidR="004F4803">
        <w:rPr>
          <w:lang w:eastAsia="en-US"/>
        </w:rPr>
        <w:t>Departments</w:t>
      </w:r>
      <w:r w:rsidR="00775667">
        <w:rPr>
          <w:lang w:eastAsia="en-US"/>
        </w:rPr>
        <w:t xml:space="preserve"> are also required to adopt these </w:t>
      </w:r>
      <w:r>
        <w:rPr>
          <w:lang w:eastAsia="en-US"/>
        </w:rPr>
        <w:t xml:space="preserve">business-specific </w:t>
      </w:r>
      <w:r w:rsidR="00775667">
        <w:rPr>
          <w:lang w:eastAsia="en-US"/>
        </w:rPr>
        <w:t>segments:</w:t>
      </w:r>
    </w:p>
    <w:p w:rsidR="00AA6E9C" w:rsidRPr="00AA6E9C" w:rsidRDefault="00083A12" w:rsidP="009C70DB">
      <w:pPr>
        <w:numPr>
          <w:ilvl w:val="0"/>
          <w:numId w:val="20"/>
        </w:numPr>
        <w:spacing w:before="120" w:line="252" w:lineRule="auto"/>
        <w:ind w:left="1508" w:hanging="357"/>
        <w:rPr>
          <w:lang w:eastAsia="en-US"/>
        </w:rPr>
      </w:pPr>
      <w:r>
        <w:rPr>
          <w:lang w:eastAsia="en-US"/>
        </w:rPr>
        <w:t>cost centre</w:t>
      </w:r>
      <w:r w:rsidR="004F4803">
        <w:rPr>
          <w:lang w:eastAsia="en-US"/>
        </w:rPr>
        <w:t xml:space="preserve"> – identifies management / budget responsibility business units, or physical locations</w:t>
      </w:r>
      <w:r w:rsidR="00AE3F88">
        <w:rPr>
          <w:lang w:eastAsia="en-US"/>
        </w:rPr>
        <w:t>; and</w:t>
      </w:r>
    </w:p>
    <w:p w:rsidR="00AA6E9C" w:rsidRPr="00AA6E9C" w:rsidRDefault="00083A12" w:rsidP="009C70DB">
      <w:pPr>
        <w:numPr>
          <w:ilvl w:val="0"/>
          <w:numId w:val="20"/>
        </w:numPr>
        <w:spacing w:before="120" w:line="252" w:lineRule="auto"/>
        <w:ind w:left="1508" w:hanging="357"/>
        <w:rPr>
          <w:lang w:eastAsia="en-US"/>
        </w:rPr>
      </w:pPr>
      <w:r>
        <w:rPr>
          <w:lang w:eastAsia="en-US"/>
        </w:rPr>
        <w:t>p</w:t>
      </w:r>
      <w:r w:rsidR="00AA6E9C" w:rsidRPr="00AA6E9C">
        <w:rPr>
          <w:lang w:eastAsia="en-US"/>
        </w:rPr>
        <w:t xml:space="preserve">roject </w:t>
      </w:r>
      <w:r w:rsidR="004F4803">
        <w:rPr>
          <w:lang w:eastAsia="en-US"/>
        </w:rPr>
        <w:t>– identifies a temporary set of tasks or initiatives, may be used for asset projects in reporting to DTF</w:t>
      </w:r>
      <w:r w:rsidR="00AE3F88">
        <w:rPr>
          <w:lang w:eastAsia="en-US"/>
        </w:rPr>
        <w:t>.</w:t>
      </w:r>
    </w:p>
    <w:p w:rsidR="00AA6E9C" w:rsidRDefault="00775667" w:rsidP="00013786">
      <w:pPr>
        <w:pStyle w:val="NormalIndent"/>
        <w:rPr>
          <w:lang w:eastAsia="en-US"/>
        </w:rPr>
      </w:pPr>
      <w:r>
        <w:rPr>
          <w:lang w:eastAsia="en-US"/>
        </w:rPr>
        <w:t>T</w:t>
      </w:r>
      <w:r w:rsidR="00AA6E9C" w:rsidRPr="00AA6E9C">
        <w:rPr>
          <w:lang w:eastAsia="en-US"/>
        </w:rPr>
        <w:t>h</w:t>
      </w:r>
      <w:r w:rsidR="00083A12">
        <w:rPr>
          <w:lang w:eastAsia="en-US"/>
        </w:rPr>
        <w:t>ese segments are not required to be mapped in</w:t>
      </w:r>
      <w:r w:rsidR="00AA6E9C" w:rsidRPr="00AA6E9C">
        <w:rPr>
          <w:lang w:eastAsia="en-US"/>
        </w:rPr>
        <w:t xml:space="preserve"> SRIMS</w:t>
      </w:r>
      <w:r>
        <w:rPr>
          <w:lang w:eastAsia="en-US"/>
        </w:rPr>
        <w:t>. However</w:t>
      </w:r>
      <w:r w:rsidR="00083A12">
        <w:rPr>
          <w:lang w:eastAsia="en-US"/>
        </w:rPr>
        <w:t>,</w:t>
      </w:r>
      <w:r w:rsidR="00AA6E9C" w:rsidRPr="00AA6E9C">
        <w:rPr>
          <w:lang w:eastAsia="en-US"/>
        </w:rPr>
        <w:t xml:space="preserve"> these segments underpin </w:t>
      </w:r>
      <w:r w:rsidR="00083A12">
        <w:rPr>
          <w:lang w:eastAsia="en-US"/>
        </w:rPr>
        <w:t>D</w:t>
      </w:r>
      <w:r w:rsidR="00AA6E9C" w:rsidRPr="00AA6E9C">
        <w:rPr>
          <w:lang w:eastAsia="en-US"/>
        </w:rPr>
        <w:t>epartment</w:t>
      </w:r>
      <w:r w:rsidR="00083A12">
        <w:rPr>
          <w:lang w:eastAsia="en-US"/>
        </w:rPr>
        <w:t>al</w:t>
      </w:r>
      <w:r w:rsidR="00AA6E9C" w:rsidRPr="00AA6E9C">
        <w:rPr>
          <w:lang w:eastAsia="en-US"/>
        </w:rPr>
        <w:t xml:space="preserve"> management reporting</w:t>
      </w:r>
      <w:r>
        <w:rPr>
          <w:lang w:eastAsia="en-US"/>
        </w:rPr>
        <w:t xml:space="preserve">, and </w:t>
      </w:r>
      <w:r w:rsidR="00083A12">
        <w:rPr>
          <w:lang w:eastAsia="en-US"/>
        </w:rPr>
        <w:t>support</w:t>
      </w:r>
      <w:r>
        <w:rPr>
          <w:lang w:eastAsia="en-US"/>
        </w:rPr>
        <w:t>s</w:t>
      </w:r>
      <w:r w:rsidR="00083A12">
        <w:rPr>
          <w:lang w:eastAsia="en-US"/>
        </w:rPr>
        <w:t xml:space="preserve"> </w:t>
      </w:r>
      <w:r>
        <w:rPr>
          <w:lang w:eastAsia="en-US"/>
        </w:rPr>
        <w:t>easier</w:t>
      </w:r>
      <w:r w:rsidR="00083A12">
        <w:rPr>
          <w:lang w:eastAsia="en-US"/>
        </w:rPr>
        <w:t xml:space="preserve"> data transfers </w:t>
      </w:r>
      <w:r>
        <w:rPr>
          <w:lang w:eastAsia="en-US"/>
        </w:rPr>
        <w:t>in the event of an</w:t>
      </w:r>
      <w:r w:rsidR="00083A12">
        <w:rPr>
          <w:lang w:eastAsia="en-US"/>
        </w:rPr>
        <w:t>y machinery of government</w:t>
      </w:r>
      <w:r w:rsidR="00AA6E9C" w:rsidRPr="00AA6E9C">
        <w:rPr>
          <w:lang w:eastAsia="en-US"/>
        </w:rPr>
        <w:t xml:space="preserve"> changes</w:t>
      </w:r>
      <w:r>
        <w:rPr>
          <w:lang w:eastAsia="en-US"/>
        </w:rPr>
        <w:t>.</w:t>
      </w:r>
    </w:p>
    <w:p w:rsidR="00AA6E9C" w:rsidRPr="00013786" w:rsidRDefault="00775667" w:rsidP="00013786">
      <w:pPr>
        <w:pStyle w:val="NormalIndent"/>
        <w:rPr>
          <w:lang w:eastAsia="en-US"/>
        </w:rPr>
      </w:pPr>
      <w:r>
        <w:rPr>
          <w:lang w:eastAsia="en-US"/>
        </w:rPr>
        <w:t xml:space="preserve">The following table summarises the </w:t>
      </w:r>
      <w:r w:rsidR="00F27BDB">
        <w:rPr>
          <w:lang w:eastAsia="en-US"/>
        </w:rPr>
        <w:t>Whole of Government Chart of Accounts project</w:t>
      </w:r>
      <w:r>
        <w:rPr>
          <w:lang w:eastAsia="en-US"/>
        </w:rPr>
        <w:t>:</w:t>
      </w:r>
    </w:p>
    <w:tbl>
      <w:tblPr>
        <w:tblStyle w:val="TableGrid"/>
        <w:tblW w:w="7527" w:type="dxa"/>
        <w:jc w:val="center"/>
        <w:tblInd w:w="203" w:type="dxa"/>
        <w:tblBorders>
          <w:top w:val="single" w:sz="2" w:space="0" w:color="0063A6" w:themeColor="accent1"/>
          <w:left w:val="single" w:sz="2" w:space="0" w:color="0063A6" w:themeColor="accent1"/>
          <w:bottom w:val="single" w:sz="2" w:space="0" w:color="0063A6" w:themeColor="accent1"/>
          <w:right w:val="single" w:sz="2" w:space="0" w:color="0063A6" w:themeColor="accent1"/>
          <w:insideH w:val="single" w:sz="2" w:space="0" w:color="0063A6" w:themeColor="accent1"/>
          <w:insideV w:val="single" w:sz="2" w:space="0" w:color="0063A6" w:themeColor="accent1"/>
        </w:tblBorders>
        <w:tblLayout w:type="fixed"/>
        <w:tblLook w:val="04A0" w:firstRow="1" w:lastRow="0" w:firstColumn="1" w:lastColumn="0" w:noHBand="0" w:noVBand="1"/>
      </w:tblPr>
      <w:tblGrid>
        <w:gridCol w:w="1177"/>
        <w:gridCol w:w="2650"/>
        <w:gridCol w:w="1945"/>
        <w:gridCol w:w="1755"/>
      </w:tblGrid>
      <w:tr w:rsidR="00A80724" w:rsidRPr="00AA6E9C" w:rsidTr="00314B6A">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sidP="00AA6E9C">
            <w:pPr>
              <w:rPr>
                <w:b/>
              </w:rPr>
            </w:pPr>
            <w:r w:rsidRPr="00AA6E9C">
              <w:rPr>
                <w:b/>
              </w:rPr>
              <w:t>Segment</w:t>
            </w:r>
          </w:p>
        </w:tc>
        <w:tc>
          <w:tcPr>
            <w:tcW w:w="2650" w:type="dxa"/>
          </w:tcPr>
          <w:p w:rsidR="00775667" w:rsidRDefault="00775667" w:rsidP="00013786">
            <w:pPr>
              <w:jc w:val="center"/>
              <w:cnfStyle w:val="100000000000" w:firstRow="1" w:lastRow="0" w:firstColumn="0" w:lastColumn="0" w:oddVBand="0" w:evenVBand="0" w:oddHBand="0" w:evenHBand="0" w:firstRowFirstColumn="0" w:firstRowLastColumn="0" w:lastRowFirstColumn="0" w:lastRowLastColumn="0"/>
              <w:rPr>
                <w:b/>
              </w:rPr>
            </w:pPr>
            <w:r>
              <w:rPr>
                <w:b/>
              </w:rPr>
              <w:t>Segment length (characters)</w:t>
            </w:r>
          </w:p>
        </w:tc>
        <w:tc>
          <w:tcPr>
            <w:tcW w:w="1945" w:type="dxa"/>
          </w:tcPr>
          <w:p w:rsidR="00775667" w:rsidRPr="00AA6E9C" w:rsidRDefault="00775667" w:rsidP="00013786">
            <w:pPr>
              <w:jc w:val="center"/>
              <w:cnfStyle w:val="100000000000" w:firstRow="1" w:lastRow="0" w:firstColumn="0" w:lastColumn="0" w:oddVBand="0" w:evenVBand="0" w:oddHBand="0" w:evenHBand="0" w:firstRowFirstColumn="0" w:firstRowLastColumn="0" w:lastRowFirstColumn="0" w:lastRowLastColumn="0"/>
              <w:rPr>
                <w:b/>
              </w:rPr>
            </w:pPr>
            <w:r>
              <w:rPr>
                <w:b/>
              </w:rPr>
              <w:t>Requirement to adopt</w:t>
            </w:r>
          </w:p>
        </w:tc>
        <w:tc>
          <w:tcPr>
            <w:tcW w:w="1755" w:type="dxa"/>
          </w:tcPr>
          <w:p w:rsidR="00775667" w:rsidRPr="00AA6E9C" w:rsidRDefault="00775667" w:rsidP="00013786">
            <w:pPr>
              <w:jc w:val="center"/>
              <w:cnfStyle w:val="100000000000" w:firstRow="1" w:lastRow="0" w:firstColumn="0" w:lastColumn="0" w:oddVBand="0" w:evenVBand="0" w:oddHBand="0" w:evenHBand="0" w:firstRowFirstColumn="0" w:firstRowLastColumn="0" w:lastRowFirstColumn="0" w:lastRowLastColumn="0"/>
              <w:rPr>
                <w:b/>
              </w:rPr>
            </w:pPr>
            <w:r>
              <w:rPr>
                <w:b/>
              </w:rPr>
              <w:t>Mapping to SRIMS</w:t>
            </w:r>
          </w:p>
        </w:tc>
      </w:tr>
      <w:tr w:rsidR="00A80724" w:rsidRPr="00AA6E9C" w:rsidTr="00314B6A">
        <w:trPr>
          <w:trHeight w:val="20"/>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rsidRPr="00AA6E9C">
              <w:t>Entity</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3</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Mandatory</w:t>
            </w:r>
          </w:p>
        </w:tc>
      </w:tr>
      <w:tr w:rsidR="00A80724" w:rsidRPr="00AA6E9C" w:rsidTr="00314B6A">
        <w:trPr>
          <w:trHeight w:val="20"/>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rsidRPr="00AA6E9C">
              <w:t>Authority</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5</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Mandatory</w:t>
            </w:r>
          </w:p>
        </w:tc>
      </w:tr>
      <w:tr w:rsidR="00A80724" w:rsidRPr="00AA6E9C" w:rsidTr="00314B6A">
        <w:trPr>
          <w:trHeight w:val="20"/>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rsidRPr="00AA6E9C">
              <w:t>Account</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4</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Mandatory</w:t>
            </w:r>
          </w:p>
        </w:tc>
      </w:tr>
      <w:tr w:rsidR="00A80724" w:rsidRPr="00AA6E9C" w:rsidTr="00314B6A">
        <w:trPr>
          <w:trHeight w:val="117"/>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rsidRPr="00AA6E9C">
              <w:t>Output</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5</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Mandatory</w:t>
            </w:r>
          </w:p>
        </w:tc>
      </w:tr>
      <w:tr w:rsidR="00A80724" w:rsidRPr="00AA6E9C" w:rsidTr="00314B6A">
        <w:trPr>
          <w:trHeight w:val="20"/>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t>Cost Centre</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4</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Not required</w:t>
            </w:r>
          </w:p>
        </w:tc>
      </w:tr>
      <w:tr w:rsidR="00A80724" w:rsidRPr="00AA6E9C" w:rsidTr="00314B6A">
        <w:trPr>
          <w:trHeight w:val="57"/>
          <w:jc w:val="center"/>
        </w:trPr>
        <w:tc>
          <w:tcPr>
            <w:cnfStyle w:val="001000000000" w:firstRow="0" w:lastRow="0" w:firstColumn="1" w:lastColumn="0" w:oddVBand="0" w:evenVBand="0" w:oddHBand="0" w:evenHBand="0" w:firstRowFirstColumn="0" w:firstRowLastColumn="0" w:lastRowFirstColumn="0" w:lastRowLastColumn="0"/>
            <w:tcW w:w="1177" w:type="dxa"/>
          </w:tcPr>
          <w:p w:rsidR="00775667" w:rsidRPr="00AA6E9C" w:rsidRDefault="00775667">
            <w:r>
              <w:t>Project</w:t>
            </w:r>
          </w:p>
        </w:tc>
        <w:tc>
          <w:tcPr>
            <w:tcW w:w="2650" w:type="dxa"/>
          </w:tcPr>
          <w:p w:rsidR="00775667" w:rsidRDefault="00775667" w:rsidP="00013786">
            <w:pPr>
              <w:jc w:val="center"/>
              <w:cnfStyle w:val="000000000000" w:firstRow="0" w:lastRow="0" w:firstColumn="0" w:lastColumn="0" w:oddVBand="0" w:evenVBand="0" w:oddHBand="0" w:evenHBand="0" w:firstRowFirstColumn="0" w:firstRowLastColumn="0" w:lastRowFirstColumn="0" w:lastRowLastColumn="0"/>
            </w:pPr>
            <w:r>
              <w:t>5</w:t>
            </w:r>
          </w:p>
        </w:tc>
        <w:tc>
          <w:tcPr>
            <w:tcW w:w="1945" w:type="dxa"/>
          </w:tcPr>
          <w:p w:rsidR="00775667" w:rsidRPr="00AA6E9C" w:rsidRDefault="00775667">
            <w:pPr>
              <w:jc w:val="left"/>
              <w:cnfStyle w:val="000000000000" w:firstRow="0" w:lastRow="0" w:firstColumn="0" w:lastColumn="0" w:oddVBand="0" w:evenVBand="0" w:oddHBand="0" w:evenHBand="0" w:firstRowFirstColumn="0" w:firstRowLastColumn="0" w:lastRowFirstColumn="0" w:lastRowLastColumn="0"/>
            </w:pPr>
            <w:r>
              <w:t>Mandatory</w:t>
            </w:r>
          </w:p>
        </w:tc>
        <w:tc>
          <w:tcPr>
            <w:tcW w:w="1755" w:type="dxa"/>
          </w:tcPr>
          <w:p w:rsidR="00775667" w:rsidRPr="00AA6E9C" w:rsidRDefault="00775667" w:rsidP="00013786">
            <w:pPr>
              <w:jc w:val="left"/>
              <w:cnfStyle w:val="000000000000" w:firstRow="0" w:lastRow="0" w:firstColumn="0" w:lastColumn="0" w:oddVBand="0" w:evenVBand="0" w:oddHBand="0" w:evenHBand="0" w:firstRowFirstColumn="0" w:firstRowLastColumn="0" w:lastRowFirstColumn="0" w:lastRowLastColumn="0"/>
            </w:pPr>
            <w:r>
              <w:t>Not required</w:t>
            </w:r>
          </w:p>
        </w:tc>
      </w:tr>
    </w:tbl>
    <w:p w:rsidR="00547CEA" w:rsidRDefault="00547CEA" w:rsidP="00547CEA">
      <w:pPr>
        <w:pStyle w:val="Heading1numbered"/>
      </w:pPr>
      <w:bookmarkStart w:id="100" w:name="_Toc473905385"/>
      <w:bookmarkStart w:id="101" w:name="_Toc476910354"/>
      <w:bookmarkEnd w:id="100"/>
      <w:r>
        <w:lastRenderedPageBreak/>
        <w:t>Machinery of government</w:t>
      </w:r>
      <w:bookmarkEnd w:id="96"/>
      <w:bookmarkEnd w:id="101"/>
    </w:p>
    <w:p w:rsidR="00B960BF" w:rsidRDefault="00B960BF" w:rsidP="006C1DCD">
      <w:pPr>
        <w:pStyle w:val="NormalIndent"/>
      </w:pPr>
      <w:r>
        <w:t xml:space="preserve">This section </w:t>
      </w:r>
      <w:r w:rsidR="003A2419">
        <w:t xml:space="preserve">has now </w:t>
      </w:r>
      <w:r>
        <w:t>be</w:t>
      </w:r>
      <w:r w:rsidR="003A2419">
        <w:t>en</w:t>
      </w:r>
      <w:r>
        <w:t xml:space="preserve"> repealed </w:t>
      </w:r>
      <w:r w:rsidR="003A2419">
        <w:t xml:space="preserve">and replaced with </w:t>
      </w:r>
      <w:r w:rsidR="006C1DCD">
        <w:t xml:space="preserve">the </w:t>
      </w:r>
      <w:r w:rsidR="006C1DCD" w:rsidRPr="006C1DCD">
        <w:rPr>
          <w:i/>
        </w:rPr>
        <w:t>Victorian public sector operating manual on machinery of government changes</w:t>
      </w:r>
      <w:r w:rsidR="006C1DCD">
        <w:t xml:space="preserve"> issued October 2016</w:t>
      </w:r>
      <w:r>
        <w:t>.</w:t>
      </w:r>
      <w:r w:rsidR="006C1DCD">
        <w:t xml:space="preserve"> </w:t>
      </w:r>
      <w:r w:rsidR="009A6679">
        <w:t>R</w:t>
      </w:r>
      <w:r w:rsidR="006C1DCD">
        <w:t xml:space="preserve">efer to </w:t>
      </w:r>
      <w:r w:rsidR="00FC11DA">
        <w:t>‘</w:t>
      </w:r>
      <w:r w:rsidR="00BB0897">
        <w:t xml:space="preserve">Chapter 6: Accounting for </w:t>
      </w:r>
      <w:proofErr w:type="spellStart"/>
      <w:r w:rsidR="00BB0897">
        <w:t>MoG</w:t>
      </w:r>
      <w:proofErr w:type="spellEnd"/>
      <w:r w:rsidR="00BB0897">
        <w:t xml:space="preserve"> changes</w:t>
      </w:r>
      <w:r w:rsidR="00FC11DA">
        <w:t>’</w:t>
      </w:r>
      <w:r w:rsidR="00BB0897">
        <w:t xml:space="preserve"> in </w:t>
      </w:r>
      <w:r w:rsidR="006C1DCD">
        <w:t>th</w:t>
      </w:r>
      <w:r w:rsidR="009A6679">
        <w:t>e operating</w:t>
      </w:r>
      <w:r w:rsidR="006C1DCD">
        <w:t xml:space="preserve"> manual for </w:t>
      </w:r>
      <w:r w:rsidR="009A6679">
        <w:t xml:space="preserve">specific </w:t>
      </w:r>
      <w:r w:rsidR="00BB0897">
        <w:t>accounting and disclosure requirements</w:t>
      </w:r>
      <w:r w:rsidR="006C1DCD">
        <w:t>.</w:t>
      </w:r>
    </w:p>
    <w:p w:rsidR="00547CEA" w:rsidRDefault="00547CEA" w:rsidP="00547CEA">
      <w:pPr>
        <w:pStyle w:val="NormalIndent"/>
      </w:pPr>
    </w:p>
    <w:p w:rsidR="00547CEA" w:rsidRDefault="00547CEA" w:rsidP="00547CEA">
      <w:pPr>
        <w:pStyle w:val="NormalIndent"/>
      </w:pPr>
    </w:p>
    <w:p w:rsidR="00547CEA" w:rsidRDefault="00547CEA" w:rsidP="00547CEA">
      <w:pPr>
        <w:pStyle w:val="NormalIndent"/>
        <w:sectPr w:rsidR="00547CEA" w:rsidSect="008C452E">
          <w:headerReference w:type="even" r:id="rId33"/>
          <w:headerReference w:type="default" r:id="rId34"/>
          <w:footerReference w:type="even" r:id="rId35"/>
          <w:footerReference w:type="default" r:id="rId36"/>
          <w:headerReference w:type="first" r:id="rId37"/>
          <w:pgSz w:w="11906" w:h="16838" w:code="9"/>
          <w:pgMar w:top="2160" w:right="1440" w:bottom="1440" w:left="1440" w:header="706" w:footer="461" w:gutter="0"/>
          <w:cols w:space="708"/>
          <w:docGrid w:linePitch="360"/>
        </w:sectPr>
      </w:pPr>
    </w:p>
    <w:p w:rsidR="00BB380C" w:rsidRDefault="00BB380C" w:rsidP="00004E80">
      <w:pPr>
        <w:pStyle w:val="Heading1"/>
      </w:pPr>
      <w:bookmarkStart w:id="102" w:name="_Toc476910355"/>
      <w:r>
        <w:lastRenderedPageBreak/>
        <w:t>Attachments</w:t>
      </w:r>
      <w:bookmarkEnd w:id="102"/>
    </w:p>
    <w:p w:rsidR="00BB380C" w:rsidRDefault="00BB380C" w:rsidP="00004E80">
      <w:pPr>
        <w:pStyle w:val="Heading2"/>
      </w:pPr>
      <w:bookmarkStart w:id="103" w:name="_Toc476910356"/>
      <w:r>
        <w:t>Attachment 1: Template for cash and actuals reconciliation in SRIMS</w:t>
      </w:r>
      <w:bookmarkEnd w:id="103"/>
    </w:p>
    <w:p w:rsidR="00BB380C" w:rsidRDefault="00BB380C" w:rsidP="00BB380C">
      <w:r>
        <w:t>This template gives Departments the opportunity to show any reconciling items and should reflect the reconciliations currently undertaken by Departments.</w:t>
      </w:r>
    </w:p>
    <w:p w:rsidR="00BB380C" w:rsidRDefault="00BB380C" w:rsidP="00F6612C">
      <w:pPr>
        <w:pStyle w:val="Heading4"/>
      </w:pPr>
      <w:r>
        <w:t xml:space="preserve">Monthly </w:t>
      </w:r>
      <w:r w:rsidR="00B83528">
        <w:t>r</w:t>
      </w:r>
      <w:r>
        <w:t xml:space="preserve">econciliation between </w:t>
      </w:r>
      <w:r w:rsidR="00B83528">
        <w:t>c</w:t>
      </w:r>
      <w:r>
        <w:t xml:space="preserve">ash and </w:t>
      </w:r>
      <w:r w:rsidR="00B83528">
        <w:t>a</w:t>
      </w:r>
      <w:r>
        <w:t xml:space="preserve">ctuals </w:t>
      </w:r>
      <w:r w:rsidR="00B83528">
        <w:t>l</w:t>
      </w:r>
      <w:r>
        <w:t>edger in SRIMS</w:t>
      </w:r>
    </w:p>
    <w:p w:rsidR="00BB380C" w:rsidRDefault="00BB380C" w:rsidP="00BB380C">
      <w:r>
        <w:t>Department of _____________________________</w:t>
      </w:r>
    </w:p>
    <w:p w:rsidR="00547CEA" w:rsidRDefault="00BB380C" w:rsidP="00BB380C">
      <w:r>
        <w:t xml:space="preserve">Monthly </w:t>
      </w:r>
      <w:r w:rsidR="00B83528">
        <w:t>r</w:t>
      </w:r>
      <w:r>
        <w:t>econciliation as at _____/____________/20__</w:t>
      </w:r>
    </w:p>
    <w:tbl>
      <w:tblPr>
        <w:tblStyle w:val="TableGrid"/>
        <w:tblW w:w="0" w:type="auto"/>
        <w:tblLook w:val="0660" w:firstRow="1" w:lastRow="1" w:firstColumn="0" w:lastColumn="0" w:noHBand="1" w:noVBand="1"/>
      </w:tblPr>
      <w:tblGrid>
        <w:gridCol w:w="1571"/>
        <w:gridCol w:w="1571"/>
        <w:gridCol w:w="1572"/>
        <w:gridCol w:w="2085"/>
        <w:gridCol w:w="2085"/>
        <w:gridCol w:w="2086"/>
        <w:gridCol w:w="3102"/>
      </w:tblGrid>
      <w:tr w:rsidR="00BB380C" w:rsidRPr="00A7031E" w:rsidTr="00F6612C">
        <w:trPr>
          <w:cnfStyle w:val="100000000000" w:firstRow="1" w:lastRow="0" w:firstColumn="0" w:lastColumn="0" w:oddVBand="0" w:evenVBand="0" w:oddHBand="0" w:evenHBand="0" w:firstRowFirstColumn="0" w:firstRowLastColumn="0" w:lastRowFirstColumn="0" w:lastRowLastColumn="0"/>
          <w:cantSplit/>
          <w:tblHeader/>
        </w:trPr>
        <w:tc>
          <w:tcPr>
            <w:tcW w:w="1571" w:type="dxa"/>
            <w:vMerge w:val="restart"/>
          </w:tcPr>
          <w:p w:rsidR="00BB380C" w:rsidRPr="00A7031E" w:rsidRDefault="00BB380C" w:rsidP="00F6612C">
            <w:pPr>
              <w:pStyle w:val="Tableheader"/>
              <w:spacing w:before="60"/>
            </w:pPr>
            <w:r w:rsidRPr="00A7031E">
              <w:t>Entity</w:t>
            </w:r>
          </w:p>
        </w:tc>
        <w:tc>
          <w:tcPr>
            <w:tcW w:w="1571" w:type="dxa"/>
            <w:vMerge w:val="restart"/>
          </w:tcPr>
          <w:p w:rsidR="00BB380C" w:rsidRPr="00A7031E" w:rsidRDefault="00BB380C" w:rsidP="00F6612C">
            <w:pPr>
              <w:pStyle w:val="Tableheader"/>
              <w:spacing w:before="60"/>
            </w:pPr>
            <w:r w:rsidRPr="00A7031E">
              <w:t>Account</w:t>
            </w:r>
          </w:p>
        </w:tc>
        <w:tc>
          <w:tcPr>
            <w:tcW w:w="1572" w:type="dxa"/>
            <w:vMerge w:val="restart"/>
          </w:tcPr>
          <w:p w:rsidR="00BB380C" w:rsidRPr="00A7031E" w:rsidRDefault="00BB380C" w:rsidP="00F6612C">
            <w:pPr>
              <w:pStyle w:val="Tableheader"/>
              <w:spacing w:before="60"/>
            </w:pPr>
            <w:r w:rsidRPr="00A7031E">
              <w:t>Authority</w:t>
            </w:r>
          </w:p>
        </w:tc>
        <w:tc>
          <w:tcPr>
            <w:tcW w:w="2085" w:type="dxa"/>
          </w:tcPr>
          <w:p w:rsidR="00BB380C" w:rsidRPr="00A7031E" w:rsidRDefault="00BB380C" w:rsidP="00F6612C">
            <w:pPr>
              <w:pStyle w:val="Tableheader"/>
              <w:spacing w:before="60"/>
            </w:pPr>
            <w:r w:rsidRPr="00A7031E">
              <w:t>Actuals ledger</w:t>
            </w:r>
          </w:p>
        </w:tc>
        <w:tc>
          <w:tcPr>
            <w:tcW w:w="2085" w:type="dxa"/>
          </w:tcPr>
          <w:p w:rsidR="00BB380C" w:rsidRPr="00A7031E" w:rsidRDefault="00BB380C" w:rsidP="00F6612C">
            <w:pPr>
              <w:pStyle w:val="Tableheader"/>
              <w:spacing w:before="60"/>
            </w:pPr>
            <w:r w:rsidRPr="00A7031E">
              <w:t>Cash ledger</w:t>
            </w:r>
          </w:p>
        </w:tc>
        <w:tc>
          <w:tcPr>
            <w:tcW w:w="2086" w:type="dxa"/>
          </w:tcPr>
          <w:p w:rsidR="00BB380C" w:rsidRPr="00A7031E" w:rsidRDefault="00BB380C" w:rsidP="00F6612C">
            <w:pPr>
              <w:pStyle w:val="Tableheader"/>
              <w:spacing w:before="60"/>
            </w:pPr>
            <w:r w:rsidRPr="00A7031E">
              <w:t>Variance</w:t>
            </w:r>
          </w:p>
        </w:tc>
        <w:tc>
          <w:tcPr>
            <w:tcW w:w="0" w:type="auto"/>
            <w:vMerge w:val="restart"/>
          </w:tcPr>
          <w:p w:rsidR="00BB380C" w:rsidRPr="00A7031E" w:rsidRDefault="00BB380C" w:rsidP="00F6612C">
            <w:pPr>
              <w:pStyle w:val="Tableheader"/>
              <w:spacing w:before="60"/>
              <w:jc w:val="left"/>
            </w:pPr>
            <w:r w:rsidRPr="00A7031E">
              <w:t>Comment</w:t>
            </w:r>
          </w:p>
        </w:tc>
      </w:tr>
      <w:tr w:rsidR="00F6612C" w:rsidRPr="00A7031E" w:rsidTr="00F6612C">
        <w:trPr>
          <w:cnfStyle w:val="100000000000" w:firstRow="1" w:lastRow="0" w:firstColumn="0" w:lastColumn="0" w:oddVBand="0" w:evenVBand="0" w:oddHBand="0" w:evenHBand="0" w:firstRowFirstColumn="0" w:firstRowLastColumn="0" w:lastRowFirstColumn="0" w:lastRowLastColumn="0"/>
          <w:cantSplit/>
          <w:tblHeader/>
        </w:trPr>
        <w:tc>
          <w:tcPr>
            <w:tcW w:w="1571" w:type="dxa"/>
            <w:vMerge/>
          </w:tcPr>
          <w:p w:rsidR="00BB380C" w:rsidRPr="00A7031E" w:rsidRDefault="00BB380C" w:rsidP="00F6612C">
            <w:pPr>
              <w:pStyle w:val="Tableheader"/>
              <w:spacing w:before="60"/>
            </w:pPr>
          </w:p>
        </w:tc>
        <w:tc>
          <w:tcPr>
            <w:tcW w:w="1571" w:type="dxa"/>
            <w:vMerge/>
          </w:tcPr>
          <w:p w:rsidR="00BB380C" w:rsidRPr="00A7031E" w:rsidRDefault="00BB380C" w:rsidP="00F6612C">
            <w:pPr>
              <w:pStyle w:val="Tableheader"/>
              <w:spacing w:before="60"/>
            </w:pPr>
          </w:p>
        </w:tc>
        <w:tc>
          <w:tcPr>
            <w:tcW w:w="1572" w:type="dxa"/>
            <w:vMerge/>
          </w:tcPr>
          <w:p w:rsidR="00BB380C" w:rsidRPr="00A7031E" w:rsidRDefault="00BB380C" w:rsidP="00F6612C">
            <w:pPr>
              <w:pStyle w:val="Tableheader"/>
              <w:spacing w:before="60"/>
            </w:pPr>
          </w:p>
        </w:tc>
        <w:tc>
          <w:tcPr>
            <w:tcW w:w="2085" w:type="dxa"/>
          </w:tcPr>
          <w:p w:rsidR="00BB380C" w:rsidRPr="00F6612C" w:rsidRDefault="00B83528" w:rsidP="00F6612C">
            <w:pPr>
              <w:pStyle w:val="Tableheader"/>
              <w:spacing w:before="60"/>
            </w:pPr>
            <w:r>
              <w:t>a</w:t>
            </w:r>
            <w:r w:rsidR="00BB380C" w:rsidRPr="00F6612C">
              <w:t>mount</w:t>
            </w:r>
          </w:p>
        </w:tc>
        <w:tc>
          <w:tcPr>
            <w:tcW w:w="2085" w:type="dxa"/>
          </w:tcPr>
          <w:p w:rsidR="00BB380C" w:rsidRPr="00F6612C" w:rsidRDefault="00B83528" w:rsidP="00F6612C">
            <w:pPr>
              <w:pStyle w:val="Tableheader"/>
              <w:spacing w:before="60"/>
            </w:pPr>
            <w:r>
              <w:t>a</w:t>
            </w:r>
            <w:r w:rsidR="00BB380C" w:rsidRPr="00F6612C">
              <w:t>mount</w:t>
            </w:r>
          </w:p>
        </w:tc>
        <w:tc>
          <w:tcPr>
            <w:tcW w:w="2086" w:type="dxa"/>
          </w:tcPr>
          <w:p w:rsidR="00BB380C" w:rsidRPr="00F6612C" w:rsidRDefault="00B83528" w:rsidP="00F6612C">
            <w:pPr>
              <w:pStyle w:val="Tableheader"/>
              <w:spacing w:before="60"/>
            </w:pPr>
            <w:r>
              <w:t>a</w:t>
            </w:r>
            <w:r w:rsidR="00BB380C" w:rsidRPr="00F6612C">
              <w:t>mount</w:t>
            </w:r>
          </w:p>
        </w:tc>
        <w:tc>
          <w:tcPr>
            <w:tcW w:w="0" w:type="auto"/>
            <w:vMerge/>
          </w:tcPr>
          <w:p w:rsidR="00BB380C" w:rsidRPr="00A7031E" w:rsidRDefault="00BB380C" w:rsidP="00F6612C">
            <w:pPr>
              <w:pStyle w:val="Tableheader"/>
              <w:spacing w:before="60"/>
            </w:pPr>
          </w:p>
        </w:tc>
      </w:tr>
      <w:tr w:rsidR="00BB380C" w:rsidRPr="00A7031E" w:rsidTr="00F6612C">
        <w:trPr>
          <w:cantSplit/>
        </w:trPr>
        <w:tc>
          <w:tcPr>
            <w:tcW w:w="1571" w:type="dxa"/>
          </w:tcPr>
          <w:p w:rsidR="00BB380C" w:rsidRPr="00A7031E" w:rsidRDefault="00BB380C" w:rsidP="001659F2">
            <w:pPr>
              <w:pStyle w:val="Tabletext"/>
              <w:jc w:val="center"/>
            </w:pPr>
            <w:r w:rsidRPr="00A7031E">
              <w:t>XXXX</w:t>
            </w:r>
          </w:p>
        </w:tc>
        <w:tc>
          <w:tcPr>
            <w:tcW w:w="1571" w:type="dxa"/>
          </w:tcPr>
          <w:p w:rsidR="00BB380C" w:rsidRPr="00A7031E" w:rsidRDefault="00BB380C" w:rsidP="001659F2">
            <w:pPr>
              <w:pStyle w:val="Tabletext"/>
              <w:jc w:val="center"/>
            </w:pPr>
            <w:r w:rsidRPr="00A7031E">
              <w:t>XXXX</w:t>
            </w:r>
            <w:r>
              <w:t>X</w:t>
            </w:r>
          </w:p>
        </w:tc>
        <w:tc>
          <w:tcPr>
            <w:tcW w:w="1572" w:type="dxa"/>
          </w:tcPr>
          <w:p w:rsidR="00BB380C" w:rsidRPr="00A7031E" w:rsidRDefault="00BB380C" w:rsidP="001659F2">
            <w:pPr>
              <w:pStyle w:val="Tabletext"/>
              <w:jc w:val="center"/>
            </w:pPr>
            <w:r w:rsidRPr="00A7031E">
              <w:t>XXXX</w:t>
            </w:r>
          </w:p>
        </w:tc>
        <w:tc>
          <w:tcPr>
            <w:tcW w:w="2085" w:type="dxa"/>
          </w:tcPr>
          <w:p w:rsidR="00BB380C" w:rsidRPr="005A6A6F" w:rsidRDefault="00BB380C" w:rsidP="001659F2">
            <w:pPr>
              <w:pStyle w:val="Tabletext"/>
              <w:jc w:val="center"/>
            </w:pPr>
          </w:p>
        </w:tc>
        <w:tc>
          <w:tcPr>
            <w:tcW w:w="2085" w:type="dxa"/>
          </w:tcPr>
          <w:p w:rsidR="00BB380C" w:rsidRPr="00B23D86" w:rsidRDefault="00BB380C" w:rsidP="001659F2">
            <w:pPr>
              <w:pStyle w:val="Tabletext"/>
              <w:jc w:val="center"/>
            </w:pPr>
          </w:p>
        </w:tc>
        <w:tc>
          <w:tcPr>
            <w:tcW w:w="2086" w:type="dxa"/>
          </w:tcPr>
          <w:p w:rsidR="00BB380C" w:rsidRPr="00B009DB" w:rsidRDefault="00BB380C" w:rsidP="001659F2">
            <w:pPr>
              <w:pStyle w:val="Tabletext"/>
              <w:jc w:val="center"/>
            </w:pPr>
          </w:p>
        </w:tc>
        <w:tc>
          <w:tcPr>
            <w:tcW w:w="0" w:type="auto"/>
          </w:tcPr>
          <w:p w:rsidR="00BB380C" w:rsidRPr="00B4038A"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45000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45500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46000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47000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48001</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50010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50015</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50020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50030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50040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50127</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71050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71200</w:t>
            </w:r>
          </w:p>
        </w:tc>
        <w:tc>
          <w:tcPr>
            <w:tcW w:w="1572" w:type="dxa"/>
          </w:tcPr>
          <w:p w:rsidR="00BB380C" w:rsidRPr="005A6A6F" w:rsidRDefault="00BB380C" w:rsidP="001659F2">
            <w:pPr>
              <w:pStyle w:val="Tabletext"/>
              <w:jc w:val="center"/>
            </w:pPr>
          </w:p>
        </w:tc>
        <w:tc>
          <w:tcPr>
            <w:tcW w:w="2085" w:type="dxa"/>
          </w:tcPr>
          <w:p w:rsidR="00BB380C" w:rsidRPr="00B23D86" w:rsidRDefault="00BB380C" w:rsidP="001659F2">
            <w:pPr>
              <w:pStyle w:val="Tabletext"/>
              <w:jc w:val="center"/>
            </w:pPr>
          </w:p>
        </w:tc>
        <w:tc>
          <w:tcPr>
            <w:tcW w:w="2085" w:type="dxa"/>
          </w:tcPr>
          <w:p w:rsidR="00BB380C" w:rsidRPr="00B009DB" w:rsidRDefault="00BB380C" w:rsidP="001659F2">
            <w:pPr>
              <w:pStyle w:val="Tabletext"/>
              <w:jc w:val="center"/>
            </w:pPr>
          </w:p>
        </w:tc>
        <w:tc>
          <w:tcPr>
            <w:tcW w:w="2086" w:type="dxa"/>
          </w:tcPr>
          <w:p w:rsidR="00BB380C" w:rsidRPr="00B4038A" w:rsidRDefault="00BB380C" w:rsidP="001659F2">
            <w:pPr>
              <w:pStyle w:val="Tabletext"/>
              <w:jc w:val="center"/>
            </w:pPr>
          </w:p>
        </w:tc>
        <w:tc>
          <w:tcPr>
            <w:tcW w:w="0" w:type="auto"/>
          </w:tcPr>
          <w:p w:rsidR="00BB380C" w:rsidRPr="00B4038A"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71400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79900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90500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90800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11000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5A6A6F" w:rsidRDefault="00BB380C" w:rsidP="001659F2">
            <w:pPr>
              <w:pStyle w:val="Tabletext"/>
              <w:jc w:val="center"/>
            </w:pPr>
          </w:p>
        </w:tc>
        <w:tc>
          <w:tcPr>
            <w:tcW w:w="2086" w:type="dxa"/>
          </w:tcPr>
          <w:p w:rsidR="00BB380C" w:rsidRPr="00B23D86" w:rsidRDefault="00BB380C" w:rsidP="001659F2">
            <w:pPr>
              <w:pStyle w:val="Tabletext"/>
              <w:jc w:val="center"/>
            </w:pPr>
          </w:p>
        </w:tc>
        <w:tc>
          <w:tcPr>
            <w:tcW w:w="0" w:type="auto"/>
          </w:tcPr>
          <w:p w:rsidR="00BB380C" w:rsidRPr="00B009DB" w:rsidRDefault="00BB380C" w:rsidP="001659F2">
            <w:pPr>
              <w:pStyle w:val="Tabletext"/>
              <w:jc w:val="left"/>
            </w:pPr>
          </w:p>
        </w:tc>
      </w:tr>
      <w:tr w:rsidR="00BB380C" w:rsidRPr="00A7031E" w:rsidTr="00F6612C">
        <w:trPr>
          <w:cantSplit/>
        </w:trPr>
        <w:tc>
          <w:tcPr>
            <w:tcW w:w="1571" w:type="dxa"/>
          </w:tcPr>
          <w:p w:rsidR="00BB380C" w:rsidRPr="00A7031E" w:rsidRDefault="00BB380C" w:rsidP="001659F2">
            <w:pPr>
              <w:pStyle w:val="Tabletext"/>
              <w:jc w:val="center"/>
            </w:pPr>
          </w:p>
        </w:tc>
        <w:tc>
          <w:tcPr>
            <w:tcW w:w="1571" w:type="dxa"/>
          </w:tcPr>
          <w:p w:rsidR="00BB380C" w:rsidRPr="00A7031E" w:rsidRDefault="00BB380C" w:rsidP="001659F2">
            <w:pPr>
              <w:pStyle w:val="Tabletext"/>
              <w:jc w:val="center"/>
            </w:pPr>
            <w:r w:rsidRPr="00A7031E">
              <w:t>14100</w:t>
            </w:r>
          </w:p>
        </w:tc>
        <w:tc>
          <w:tcPr>
            <w:tcW w:w="1572"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5" w:type="dxa"/>
          </w:tcPr>
          <w:p w:rsidR="00BB380C" w:rsidRPr="00A7031E" w:rsidRDefault="00BB380C" w:rsidP="001659F2">
            <w:pPr>
              <w:pStyle w:val="Tabletext"/>
              <w:jc w:val="center"/>
            </w:pPr>
          </w:p>
        </w:tc>
        <w:tc>
          <w:tcPr>
            <w:tcW w:w="2086" w:type="dxa"/>
          </w:tcPr>
          <w:p w:rsidR="00BB380C" w:rsidRPr="00A7031E" w:rsidRDefault="00BB380C" w:rsidP="001659F2">
            <w:pPr>
              <w:pStyle w:val="Tabletext"/>
              <w:jc w:val="center"/>
            </w:pPr>
          </w:p>
        </w:tc>
        <w:tc>
          <w:tcPr>
            <w:tcW w:w="0" w:type="auto"/>
          </w:tcPr>
          <w:p w:rsidR="00BB380C" w:rsidRPr="00A7031E" w:rsidRDefault="00BB380C" w:rsidP="001659F2">
            <w:pPr>
              <w:pStyle w:val="Tabletext"/>
              <w:jc w:val="left"/>
            </w:pPr>
          </w:p>
        </w:tc>
      </w:tr>
      <w:tr w:rsidR="00BB380C" w:rsidRPr="001659F2" w:rsidTr="00F6612C">
        <w:trPr>
          <w:cantSplit/>
        </w:trPr>
        <w:tc>
          <w:tcPr>
            <w:tcW w:w="1571" w:type="dxa"/>
          </w:tcPr>
          <w:p w:rsidR="00BB380C" w:rsidRPr="001659F2" w:rsidRDefault="00BB380C" w:rsidP="001659F2">
            <w:pPr>
              <w:pStyle w:val="Tabletext"/>
              <w:jc w:val="center"/>
              <w:rPr>
                <w:b/>
              </w:rPr>
            </w:pPr>
          </w:p>
        </w:tc>
        <w:tc>
          <w:tcPr>
            <w:tcW w:w="1571" w:type="dxa"/>
          </w:tcPr>
          <w:p w:rsidR="00BB380C" w:rsidRPr="001659F2" w:rsidRDefault="00BB380C" w:rsidP="001659F2">
            <w:pPr>
              <w:pStyle w:val="Tabletext"/>
              <w:jc w:val="center"/>
              <w:rPr>
                <w:b/>
              </w:rPr>
            </w:pPr>
          </w:p>
        </w:tc>
        <w:tc>
          <w:tcPr>
            <w:tcW w:w="1572" w:type="dxa"/>
          </w:tcPr>
          <w:p w:rsidR="00BB380C" w:rsidRPr="001659F2" w:rsidRDefault="00BB380C" w:rsidP="001659F2">
            <w:pPr>
              <w:pStyle w:val="Tabletext"/>
              <w:jc w:val="center"/>
              <w:rPr>
                <w:b/>
              </w:rPr>
            </w:pPr>
            <w:r w:rsidRPr="001659F2">
              <w:rPr>
                <w:b/>
              </w:rPr>
              <w:t>TOTAL</w:t>
            </w:r>
          </w:p>
        </w:tc>
        <w:tc>
          <w:tcPr>
            <w:tcW w:w="2085" w:type="dxa"/>
          </w:tcPr>
          <w:p w:rsidR="00BB380C" w:rsidRPr="001659F2" w:rsidRDefault="00BB380C" w:rsidP="001659F2">
            <w:pPr>
              <w:pStyle w:val="Tabletext"/>
              <w:jc w:val="center"/>
              <w:rPr>
                <w:b/>
              </w:rPr>
            </w:pPr>
          </w:p>
        </w:tc>
        <w:tc>
          <w:tcPr>
            <w:tcW w:w="2085" w:type="dxa"/>
          </w:tcPr>
          <w:p w:rsidR="00BB380C" w:rsidRPr="001659F2" w:rsidRDefault="00BB380C" w:rsidP="001659F2">
            <w:pPr>
              <w:pStyle w:val="Tabletext"/>
              <w:jc w:val="center"/>
              <w:rPr>
                <w:b/>
              </w:rPr>
            </w:pPr>
          </w:p>
        </w:tc>
        <w:tc>
          <w:tcPr>
            <w:tcW w:w="2086" w:type="dxa"/>
          </w:tcPr>
          <w:p w:rsidR="00BB380C" w:rsidRPr="001659F2" w:rsidRDefault="00BB380C" w:rsidP="001659F2">
            <w:pPr>
              <w:pStyle w:val="Tabletext"/>
              <w:jc w:val="center"/>
              <w:rPr>
                <w:b/>
              </w:rPr>
            </w:pPr>
          </w:p>
        </w:tc>
        <w:tc>
          <w:tcPr>
            <w:tcW w:w="0" w:type="auto"/>
          </w:tcPr>
          <w:p w:rsidR="00BB380C" w:rsidRPr="001659F2" w:rsidRDefault="00BB380C" w:rsidP="001659F2">
            <w:pPr>
              <w:pStyle w:val="Tabletext"/>
              <w:jc w:val="left"/>
              <w:rPr>
                <w:b/>
              </w:rPr>
            </w:pPr>
          </w:p>
        </w:tc>
      </w:tr>
      <w:tr w:rsidR="00F6612C" w:rsidRPr="004F4742" w:rsidTr="00F6612C">
        <w:trPr>
          <w:cnfStyle w:val="010000000000" w:firstRow="0" w:lastRow="1" w:firstColumn="0" w:lastColumn="0" w:oddVBand="0" w:evenVBand="0" w:oddHBand="0" w:evenHBand="0" w:firstRowFirstColumn="0" w:firstRowLastColumn="0" w:lastRowFirstColumn="0" w:lastRowLastColumn="0"/>
          <w:cantSplit/>
        </w:trPr>
        <w:tc>
          <w:tcPr>
            <w:tcW w:w="6799" w:type="dxa"/>
            <w:gridSpan w:val="4"/>
            <w:shd w:val="clear" w:color="auto" w:fill="E3EBF4" w:themeFill="accent3" w:themeFillTint="33"/>
          </w:tcPr>
          <w:p w:rsidR="001659F2" w:rsidRDefault="001659F2" w:rsidP="00F6612C">
            <w:pPr>
              <w:spacing w:before="0" w:after="0"/>
              <w:jc w:val="center"/>
              <w:rPr>
                <w:szCs w:val="24"/>
              </w:rPr>
            </w:pPr>
          </w:p>
          <w:p w:rsidR="00F6612C" w:rsidRPr="004F4742" w:rsidRDefault="00F6612C" w:rsidP="00F6612C">
            <w:pPr>
              <w:spacing w:before="0" w:after="0"/>
              <w:jc w:val="center"/>
              <w:rPr>
                <w:szCs w:val="24"/>
              </w:rPr>
            </w:pPr>
            <w:r w:rsidRPr="004F4742">
              <w:rPr>
                <w:szCs w:val="24"/>
              </w:rPr>
              <w:br/>
              <w:t>______________________________</w:t>
            </w:r>
          </w:p>
          <w:p w:rsidR="00F6612C" w:rsidRPr="004F4742" w:rsidRDefault="00A1060E" w:rsidP="00F6612C">
            <w:pPr>
              <w:spacing w:before="0" w:after="0"/>
              <w:jc w:val="center"/>
              <w:rPr>
                <w:szCs w:val="24"/>
              </w:rPr>
            </w:pPr>
            <w:r>
              <w:rPr>
                <w:b w:val="0"/>
                <w:szCs w:val="24"/>
              </w:rPr>
              <w:t>Chief Finance</w:t>
            </w:r>
            <w:r w:rsidR="00F6612C" w:rsidRPr="004F4742">
              <w:rPr>
                <w:b w:val="0"/>
                <w:szCs w:val="24"/>
              </w:rPr>
              <w:t xml:space="preserve"> Officer </w:t>
            </w:r>
            <w:r w:rsidR="00F6612C" w:rsidRPr="004F4742">
              <w:rPr>
                <w:szCs w:val="24"/>
              </w:rPr>
              <w:t>(or delegate)</w:t>
            </w:r>
          </w:p>
          <w:p w:rsidR="00F6612C" w:rsidRPr="004F4742" w:rsidRDefault="00F6612C" w:rsidP="00F6612C">
            <w:pPr>
              <w:spacing w:before="0" w:after="0"/>
              <w:jc w:val="center"/>
              <w:rPr>
                <w:rFonts w:cs="Arial"/>
                <w:b w:val="0"/>
              </w:rPr>
            </w:pPr>
            <w:r w:rsidRPr="004F4742">
              <w:rPr>
                <w:szCs w:val="24"/>
              </w:rPr>
              <w:t>___/_____________/______</w:t>
            </w:r>
          </w:p>
        </w:tc>
        <w:tc>
          <w:tcPr>
            <w:tcW w:w="7273" w:type="dxa"/>
            <w:gridSpan w:val="3"/>
            <w:shd w:val="clear" w:color="auto" w:fill="E3EBF4" w:themeFill="accent3" w:themeFillTint="33"/>
          </w:tcPr>
          <w:p w:rsidR="001659F2" w:rsidRDefault="001659F2" w:rsidP="00F6612C">
            <w:pPr>
              <w:spacing w:before="0" w:after="60"/>
            </w:pPr>
          </w:p>
          <w:p w:rsidR="00F6612C" w:rsidRPr="003D200E" w:rsidRDefault="00F6612C" w:rsidP="00F6612C">
            <w:pPr>
              <w:spacing w:before="0" w:after="60"/>
            </w:pPr>
            <w:r>
              <w:br/>
            </w:r>
            <w:r w:rsidRPr="00BF10A6">
              <w:t>By the</w:t>
            </w:r>
            <w:r w:rsidR="00413A48">
              <w:t xml:space="preserve"> </w:t>
            </w:r>
            <w:r>
              <w:t>tenth</w:t>
            </w:r>
            <w:r w:rsidRPr="00BF10A6">
              <w:t xml:space="preserve"> business day of the new calendar month this reconciliation must be returned to DTF via email to cashmanagement@dtf.vic.gov.au </w:t>
            </w:r>
          </w:p>
        </w:tc>
      </w:tr>
    </w:tbl>
    <w:p w:rsidR="00BB380C" w:rsidRDefault="00BB380C" w:rsidP="00BB380C"/>
    <w:p w:rsidR="00BB380C" w:rsidRDefault="00BB380C">
      <w:pPr>
        <w:spacing w:before="0" w:after="200"/>
      </w:pPr>
      <w:r>
        <w:br w:type="page"/>
      </w:r>
    </w:p>
    <w:p w:rsidR="00BB380C" w:rsidRDefault="00BB380C" w:rsidP="00004E80">
      <w:pPr>
        <w:pStyle w:val="Heading2"/>
      </w:pPr>
      <w:bookmarkStart w:id="104" w:name="_Toc476910357"/>
      <w:r>
        <w:lastRenderedPageBreak/>
        <w:t xml:space="preserve">Attachment 2: </w:t>
      </w:r>
      <w:proofErr w:type="spellStart"/>
      <w:r w:rsidR="0022175E">
        <w:t>VicFleet</w:t>
      </w:r>
      <w:proofErr w:type="spellEnd"/>
      <w:r w:rsidR="0022175E">
        <w:t xml:space="preserve"> </w:t>
      </w:r>
      <w:r w:rsidR="00E93F5E">
        <w:t xml:space="preserve">lease </w:t>
      </w:r>
      <w:r w:rsidR="0022175E">
        <w:t>a</w:t>
      </w:r>
      <w:r>
        <w:t xml:space="preserve">ccounting </w:t>
      </w:r>
      <w:r w:rsidR="0022175E">
        <w:t>t</w:t>
      </w:r>
      <w:r>
        <w:t>ransactions</w:t>
      </w:r>
      <w:bookmarkEnd w:id="104"/>
    </w:p>
    <w:p w:rsidR="00BB380C" w:rsidRDefault="00BB380C" w:rsidP="00F6612C">
      <w:pPr>
        <w:pStyle w:val="Heading4"/>
      </w:pPr>
      <w:r>
        <w:t xml:space="preserve">Lessee – Initial </w:t>
      </w:r>
      <w:r w:rsidR="00F6612C">
        <w:t>take up and monthly expenditure</w:t>
      </w:r>
    </w:p>
    <w:p w:rsidR="00BB380C" w:rsidRDefault="00BB380C" w:rsidP="00BB380C">
      <w:r>
        <w:t>Applies to participating Departments/</w:t>
      </w:r>
      <w:r w:rsidR="00B83528">
        <w:t>a</w:t>
      </w:r>
      <w:r>
        <w:t>gencies. Authority and inter fund/entity transaction coding do</w:t>
      </w:r>
      <w:r w:rsidR="00E93F5E">
        <w:t>es</w:t>
      </w:r>
      <w:r>
        <w:t xml:space="preserve"> not apply to </w:t>
      </w:r>
      <w:r w:rsidR="00E93F5E">
        <w:t>a</w:t>
      </w:r>
      <w:r>
        <w:t xml:space="preserve">gencies </w:t>
      </w:r>
      <w:r w:rsidR="00E93F5E">
        <w:t xml:space="preserve">operating outside of the Public Account, </w:t>
      </w:r>
      <w:r>
        <w:t xml:space="preserve">or to </w:t>
      </w:r>
      <w:r w:rsidR="00E93F5E">
        <w:t>v</w:t>
      </w:r>
      <w:r>
        <w:t xml:space="preserve">ehicles taken up by other </w:t>
      </w:r>
      <w:r w:rsidR="00E93F5E">
        <w:t>t</w:t>
      </w:r>
      <w:r>
        <w:t xml:space="preserve">rust </w:t>
      </w:r>
      <w:r w:rsidR="00E93F5E">
        <w:t>f</w:t>
      </w:r>
      <w:r>
        <w:t xml:space="preserve">und </w:t>
      </w:r>
      <w:r w:rsidR="00E93F5E">
        <w:t>a</w:t>
      </w:r>
      <w:r>
        <w:t>ccounts.</w:t>
      </w:r>
    </w:p>
    <w:tbl>
      <w:tblPr>
        <w:tblStyle w:val="DTFtexttable"/>
        <w:tblW w:w="14007" w:type="dxa"/>
        <w:tblLayout w:type="fixed"/>
        <w:tblLook w:val="0220" w:firstRow="1" w:lastRow="0" w:firstColumn="0" w:lastColumn="0" w:noHBand="1" w:noVBand="0"/>
      </w:tblPr>
      <w:tblGrid>
        <w:gridCol w:w="6357"/>
        <w:gridCol w:w="2250"/>
        <w:gridCol w:w="2126"/>
        <w:gridCol w:w="3274"/>
      </w:tblGrid>
      <w:tr w:rsidR="00BB380C" w:rsidRPr="00F6612C" w:rsidTr="00F6612C">
        <w:trPr>
          <w:cnfStyle w:val="100000000000" w:firstRow="1" w:lastRow="0" w:firstColumn="0" w:lastColumn="0" w:oddVBand="0" w:evenVBand="0" w:oddHBand="0" w:evenHBand="0" w:firstRowFirstColumn="0" w:firstRowLastColumn="0" w:lastRowFirstColumn="0" w:lastRowLastColumn="0"/>
          <w:trHeight w:val="642"/>
        </w:trPr>
        <w:tc>
          <w:tcPr>
            <w:cnfStyle w:val="000010000000" w:firstRow="0" w:lastRow="0" w:firstColumn="0" w:lastColumn="0" w:oddVBand="1" w:evenVBand="0" w:oddHBand="0" w:evenHBand="0" w:firstRowFirstColumn="0" w:firstRowLastColumn="0" w:lastRowFirstColumn="0" w:lastRowLastColumn="0"/>
            <w:tcW w:w="6357" w:type="dxa"/>
          </w:tcPr>
          <w:p w:rsidR="00BB380C" w:rsidRPr="00F6612C" w:rsidRDefault="00BB380C" w:rsidP="00F6612C">
            <w:pPr>
              <w:pStyle w:val="Tableheader"/>
              <w:jc w:val="left"/>
              <w:rPr>
                <w:b/>
              </w:rPr>
            </w:pPr>
            <w:r w:rsidRPr="00F6612C">
              <w:rPr>
                <w:b/>
              </w:rPr>
              <w:t>Entry</w:t>
            </w:r>
          </w:p>
        </w:tc>
        <w:tc>
          <w:tcPr>
            <w:cnfStyle w:val="000001000000" w:firstRow="0" w:lastRow="0" w:firstColumn="0" w:lastColumn="0" w:oddVBand="0" w:evenVBand="1" w:oddHBand="0" w:evenHBand="0" w:firstRowFirstColumn="0" w:firstRowLastColumn="0" w:lastRowFirstColumn="0" w:lastRowLastColumn="0"/>
            <w:tcW w:w="2250" w:type="dxa"/>
          </w:tcPr>
          <w:p w:rsidR="00BB380C" w:rsidRPr="00F6612C" w:rsidRDefault="00261EA4" w:rsidP="00F6612C">
            <w:pPr>
              <w:pStyle w:val="Tableheader"/>
              <w:jc w:val="left"/>
              <w:rPr>
                <w:b/>
              </w:rPr>
            </w:pPr>
            <w:r>
              <w:rPr>
                <w:b/>
              </w:rPr>
              <w:t>Account</w:t>
            </w:r>
            <w:r w:rsidR="00BB380C" w:rsidRPr="00F6612C">
              <w:rPr>
                <w:b/>
              </w:rPr>
              <w:br/>
              <w:t>Code</w:t>
            </w:r>
          </w:p>
        </w:tc>
        <w:tc>
          <w:tcPr>
            <w:cnfStyle w:val="000010000000" w:firstRow="0" w:lastRow="0" w:firstColumn="0" w:lastColumn="0" w:oddVBand="1" w:evenVBand="0" w:oddHBand="0" w:evenHBand="0" w:firstRowFirstColumn="0" w:firstRowLastColumn="0" w:lastRowFirstColumn="0" w:lastRowLastColumn="0"/>
            <w:tcW w:w="2126" w:type="dxa"/>
          </w:tcPr>
          <w:p w:rsidR="00BB380C" w:rsidRPr="00F6612C" w:rsidRDefault="00261EA4" w:rsidP="00261EA4">
            <w:pPr>
              <w:pStyle w:val="Tableheader"/>
              <w:jc w:val="left"/>
              <w:rPr>
                <w:b/>
              </w:rPr>
            </w:pPr>
            <w:r>
              <w:rPr>
                <w:b/>
              </w:rPr>
              <w:t>A</w:t>
            </w:r>
            <w:r w:rsidR="00BB380C" w:rsidRPr="00F6612C">
              <w:rPr>
                <w:b/>
              </w:rPr>
              <w:t xml:space="preserve">uthority </w:t>
            </w:r>
            <w:r>
              <w:rPr>
                <w:b/>
              </w:rPr>
              <w:t>code</w:t>
            </w:r>
          </w:p>
        </w:tc>
        <w:tc>
          <w:tcPr>
            <w:cnfStyle w:val="000001000000" w:firstRow="0" w:lastRow="0" w:firstColumn="0" w:lastColumn="0" w:oddVBand="0" w:evenVBand="1" w:oddHBand="0" w:evenHBand="0" w:firstRowFirstColumn="0" w:firstRowLastColumn="0" w:lastRowFirstColumn="0" w:lastRowLastColumn="0"/>
            <w:tcW w:w="3274" w:type="dxa"/>
          </w:tcPr>
          <w:p w:rsidR="00BB380C" w:rsidRPr="00F6612C" w:rsidRDefault="00BB380C" w:rsidP="00F6612C">
            <w:pPr>
              <w:pStyle w:val="Tableheader"/>
              <w:jc w:val="left"/>
              <w:rPr>
                <w:b/>
              </w:rPr>
            </w:pPr>
            <w:r w:rsidRPr="00F6612C">
              <w:rPr>
                <w:b/>
              </w:rPr>
              <w:t>Category</w:t>
            </w: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F6612C" w:rsidRDefault="00BB380C" w:rsidP="00B83528">
            <w:pPr>
              <w:pStyle w:val="Tabletext"/>
              <w:rPr>
                <w:b/>
              </w:rPr>
            </w:pPr>
            <w:r w:rsidRPr="00F6612C">
              <w:rPr>
                <w:b/>
              </w:rPr>
              <w:t xml:space="preserve">Initial </w:t>
            </w:r>
            <w:r w:rsidR="00B83528">
              <w:rPr>
                <w:b/>
              </w:rPr>
              <w:t>t</w:t>
            </w:r>
            <w:r w:rsidRPr="00F6612C">
              <w:rPr>
                <w:b/>
              </w:rPr>
              <w:t>ake</w:t>
            </w:r>
            <w:r w:rsidR="00B83528">
              <w:rPr>
                <w:b/>
              </w:rPr>
              <w:t>-</w:t>
            </w:r>
            <w:r w:rsidRPr="00F6612C">
              <w:rPr>
                <w:b/>
              </w:rPr>
              <w:t xml:space="preserve">up of </w:t>
            </w:r>
            <w:r w:rsidR="00B83528">
              <w:rPr>
                <w:b/>
              </w:rPr>
              <w:t>v</w:t>
            </w:r>
            <w:r w:rsidRPr="00F6612C">
              <w:rPr>
                <w:b/>
              </w:rPr>
              <w:t xml:space="preserve">ehicle – </w:t>
            </w:r>
            <w:r w:rsidR="00B83528">
              <w:rPr>
                <w:b/>
              </w:rPr>
              <w:t>journal</w:t>
            </w:r>
            <w:r w:rsidRPr="00F6612C">
              <w:rPr>
                <w:b/>
              </w:rPr>
              <w:t xml:space="preserve"> provided by </w:t>
            </w:r>
            <w:proofErr w:type="spellStart"/>
            <w:r w:rsidRPr="00F6612C">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731E39" w:rsidRDefault="00BB380C" w:rsidP="00004E80">
            <w:pPr>
              <w:pStyle w:val="Tabletext"/>
            </w:pPr>
            <w:r w:rsidRPr="00731E39">
              <w:t xml:space="preserve">Dr Motor </w:t>
            </w:r>
            <w:r w:rsidR="00E93F5E">
              <w:t>v</w:t>
            </w:r>
            <w:r w:rsidRPr="00731E39">
              <w:t xml:space="preserve">ehicles </w:t>
            </w:r>
            <w:r w:rsidR="00E93F5E">
              <w:t>u</w:t>
            </w:r>
            <w:r w:rsidRPr="00731E39">
              <w:t xml:space="preserve">nder </w:t>
            </w:r>
            <w:proofErr w:type="spellStart"/>
            <w:r w:rsidRPr="00731E39">
              <w:t>VicFleet</w:t>
            </w:r>
            <w:proofErr w:type="spellEnd"/>
            <w:r w:rsidRPr="00731E39">
              <w:t xml:space="preserve"> </w:t>
            </w:r>
            <w:r w:rsidR="00657E81">
              <w:t>l</w:t>
            </w:r>
            <w:r w:rsidRPr="00731E39">
              <w:t>ease</w:t>
            </w:r>
          </w:p>
          <w:p w:rsidR="00BB380C" w:rsidRPr="00731E39" w:rsidRDefault="00BB380C" w:rsidP="00657E81">
            <w:pPr>
              <w:pStyle w:val="Tabletext"/>
            </w:pPr>
            <w:r w:rsidRPr="00731E39">
              <w:t xml:space="preserve">Cr </w:t>
            </w:r>
            <w:proofErr w:type="spellStart"/>
            <w:r w:rsidRPr="00731E39">
              <w:t>VicFleet</w:t>
            </w:r>
            <w:proofErr w:type="spellEnd"/>
            <w:r w:rsidRPr="00731E39">
              <w:t xml:space="preserve"> </w:t>
            </w:r>
            <w:r w:rsidR="00657E81">
              <w:t>motor vehicle</w:t>
            </w:r>
            <w:r w:rsidRPr="00731E39">
              <w:t xml:space="preserve"> </w:t>
            </w:r>
            <w:r w:rsidR="00657E81">
              <w:t>f</w:t>
            </w:r>
            <w:r w:rsidRPr="00731E39">
              <w:t xml:space="preserve">inance </w:t>
            </w:r>
            <w:r w:rsidR="00657E81">
              <w:t>l</w:t>
            </w:r>
            <w:r w:rsidRPr="00731E39">
              <w:t xml:space="preserve">ease </w:t>
            </w:r>
            <w:r w:rsidR="00657E81">
              <w:t>l</w:t>
            </w:r>
            <w:r w:rsidRPr="00731E39">
              <w:t>iability</w:t>
            </w:r>
            <w:r w:rsidRPr="00731E39">
              <w:rPr>
                <w:color w:val="008000"/>
              </w:rPr>
              <w:t xml:space="preserve"> – </w:t>
            </w:r>
            <w:r w:rsidR="00E93F5E">
              <w:rPr>
                <w:color w:val="008000"/>
              </w:rPr>
              <w:t>n</w:t>
            </w:r>
            <w:r w:rsidRPr="00F6612C">
              <w:rPr>
                <w:color w:val="0063A6" w:themeColor="accent1"/>
              </w:rPr>
              <w:t>ew leases</w:t>
            </w:r>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r w:rsidRPr="00731E39">
              <w:t>26912</w:t>
            </w:r>
            <w:r>
              <w:noBreakHyphen/>
            </w:r>
            <w:r w:rsidRPr="00731E39">
              <w:t>26920</w:t>
            </w:r>
          </w:p>
          <w:p w:rsidR="00BB380C" w:rsidRPr="00731E39" w:rsidRDefault="00BB380C" w:rsidP="00004E80">
            <w:pPr>
              <w:pStyle w:val="Tabletext"/>
              <w:rPr>
                <w:iCs/>
              </w:rPr>
            </w:pPr>
            <w:r w:rsidRPr="00731E39">
              <w:t>30915</w:t>
            </w:r>
            <w:r w:rsidR="00657E81">
              <w:t xml:space="preserve"> </w:t>
            </w:r>
            <w:r w:rsidRPr="00731E39">
              <w:t>/</w:t>
            </w:r>
            <w:r w:rsidR="00657E81">
              <w:t xml:space="preserve"> </w:t>
            </w:r>
            <w:r w:rsidRPr="00731E39">
              <w:t>41115</w:t>
            </w: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r w:rsidRPr="00731E39">
              <w:t>3</w:t>
            </w:r>
            <w:r>
              <w:t>1XX</w:t>
            </w:r>
          </w:p>
          <w:p w:rsidR="00BB380C" w:rsidRPr="00731E39" w:rsidRDefault="00BB380C" w:rsidP="00004E80">
            <w:pPr>
              <w:pStyle w:val="Tabletext"/>
            </w:pPr>
            <w:r w:rsidRPr="00731E39">
              <w:t>3</w:t>
            </w:r>
            <w:r>
              <w:t>1XX</w:t>
            </w: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rPr>
                <w:lang w:val="fr-FR"/>
              </w:rPr>
            </w:pPr>
            <w:r w:rsidRPr="00731E39">
              <w:rPr>
                <w:lang w:val="fr-FR"/>
              </w:rPr>
              <w:t>Non</w:t>
            </w:r>
            <w:r>
              <w:rPr>
                <w:lang w:val="fr-FR"/>
              </w:rPr>
              <w:noBreakHyphen/>
            </w:r>
            <w:r w:rsidR="00657E81">
              <w:rPr>
                <w:lang w:val="fr-FR"/>
              </w:rPr>
              <w:t>c</w:t>
            </w:r>
            <w:r w:rsidRPr="00731E39">
              <w:rPr>
                <w:lang w:val="fr-FR"/>
              </w:rPr>
              <w:t xml:space="preserve">urrent </w:t>
            </w:r>
            <w:r w:rsidR="00657E81">
              <w:rPr>
                <w:lang w:val="fr-FR"/>
              </w:rPr>
              <w:t>a</w:t>
            </w:r>
            <w:r w:rsidRPr="00731E39">
              <w:rPr>
                <w:lang w:val="fr-FR"/>
              </w:rPr>
              <w:t>sset</w:t>
            </w:r>
          </w:p>
          <w:p w:rsidR="00BB380C" w:rsidRPr="00731E39" w:rsidRDefault="00BB380C" w:rsidP="00657E81">
            <w:pPr>
              <w:pStyle w:val="Tabletext"/>
              <w:rPr>
                <w:lang w:val="fr-FR"/>
              </w:rPr>
            </w:pPr>
            <w:r w:rsidRPr="00731E39">
              <w:rPr>
                <w:lang w:val="fr-FR"/>
              </w:rPr>
              <w:t xml:space="preserve">Current or </w:t>
            </w:r>
            <w:r w:rsidR="00657E81">
              <w:rPr>
                <w:lang w:val="fr-FR"/>
              </w:rPr>
              <w:t>n</w:t>
            </w:r>
            <w:r>
              <w:rPr>
                <w:lang w:val="fr-FR"/>
              </w:rPr>
              <w:t>on</w:t>
            </w:r>
            <w:r>
              <w:rPr>
                <w:lang w:val="fr-FR"/>
              </w:rPr>
              <w:noBreakHyphen/>
            </w:r>
            <w:r w:rsidR="00657E81">
              <w:rPr>
                <w:lang w:val="fr-FR"/>
              </w:rPr>
              <w:t>c</w:t>
            </w:r>
            <w:r w:rsidRPr="00731E39">
              <w:rPr>
                <w:lang w:val="fr-FR"/>
              </w:rPr>
              <w:t xml:space="preserve">urrent </w:t>
            </w:r>
            <w:r w:rsidR="00657E81">
              <w:rPr>
                <w:lang w:val="fr-FR"/>
              </w:rPr>
              <w:t>l</w:t>
            </w:r>
            <w:r w:rsidRPr="00731E39">
              <w:rPr>
                <w:lang w:val="fr-FR"/>
              </w:rPr>
              <w:t>iability</w:t>
            </w: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F6612C" w:rsidRDefault="00BB380C" w:rsidP="00657E81">
            <w:pPr>
              <w:pStyle w:val="Tabletext"/>
              <w:rPr>
                <w:b/>
              </w:rPr>
            </w:pPr>
            <w:r w:rsidRPr="00F6612C">
              <w:rPr>
                <w:b/>
              </w:rPr>
              <w:t xml:space="preserve">Monthly </w:t>
            </w:r>
            <w:r w:rsidR="00657E81">
              <w:rPr>
                <w:b/>
              </w:rPr>
              <w:t>a</w:t>
            </w:r>
            <w:r w:rsidRPr="00F6612C">
              <w:rPr>
                <w:b/>
              </w:rPr>
              <w:t>m</w:t>
            </w:r>
            <w:r w:rsidR="00F6612C" w:rsidRPr="00F6612C">
              <w:rPr>
                <w:b/>
              </w:rPr>
              <w:t xml:space="preserve">ortisation – </w:t>
            </w:r>
            <w:r w:rsidR="00657E81">
              <w:rPr>
                <w:b/>
              </w:rPr>
              <w:t>j</w:t>
            </w:r>
            <w:r w:rsidR="00E93F5E">
              <w:rPr>
                <w:b/>
              </w:rPr>
              <w:t>ournal</w:t>
            </w:r>
            <w:r w:rsidR="00F6612C" w:rsidRPr="00F6612C">
              <w:rPr>
                <w:b/>
              </w:rPr>
              <w:t xml:space="preserve"> provided by </w:t>
            </w:r>
            <w:proofErr w:type="spellStart"/>
            <w:r w:rsidR="00E93F5E">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731E39" w:rsidRDefault="00BB380C" w:rsidP="00004E80">
            <w:pPr>
              <w:pStyle w:val="Tabletext"/>
            </w:pPr>
            <w:r w:rsidRPr="00731E39">
              <w:t xml:space="preserve">Dr Amortisation – </w:t>
            </w:r>
            <w:r w:rsidR="00657E81">
              <w:t>m</w:t>
            </w:r>
            <w:r w:rsidRPr="00731E39">
              <w:t xml:space="preserve">otor </w:t>
            </w:r>
            <w:r w:rsidR="00657E81">
              <w:t>v</w:t>
            </w:r>
            <w:r w:rsidRPr="00731E39">
              <w:t xml:space="preserve">ehicles under </w:t>
            </w:r>
            <w:proofErr w:type="spellStart"/>
            <w:r w:rsidRPr="00731E39">
              <w:t>VicFleet</w:t>
            </w:r>
            <w:proofErr w:type="spellEnd"/>
            <w:r w:rsidRPr="00731E39">
              <w:t xml:space="preserve"> </w:t>
            </w:r>
            <w:r w:rsidR="00657E81">
              <w:t>l</w:t>
            </w:r>
            <w:r w:rsidRPr="00731E39">
              <w:t>ease</w:t>
            </w:r>
          </w:p>
          <w:p w:rsidR="00BB380C" w:rsidRPr="00731E39" w:rsidRDefault="00657E81" w:rsidP="00657E81">
            <w:pPr>
              <w:pStyle w:val="Tabletext"/>
            </w:pPr>
            <w:r>
              <w:t>Cr Motor v</w:t>
            </w:r>
            <w:r w:rsidR="00BB380C" w:rsidRPr="00731E39">
              <w:t xml:space="preserve">ehicles under </w:t>
            </w:r>
            <w:proofErr w:type="spellStart"/>
            <w:r w:rsidR="00BB380C" w:rsidRPr="00731E39">
              <w:t>VicFleet</w:t>
            </w:r>
            <w:proofErr w:type="spellEnd"/>
            <w:r w:rsidR="00BB380C" w:rsidRPr="00731E39">
              <w:t xml:space="preserve"> </w:t>
            </w:r>
            <w:r>
              <w:t>lease a</w:t>
            </w:r>
            <w:r w:rsidR="00BB380C" w:rsidRPr="00731E39">
              <w:t xml:space="preserve">ccumulated </w:t>
            </w:r>
            <w:r>
              <w:t>a</w:t>
            </w:r>
            <w:r w:rsidR="00BB380C" w:rsidRPr="00731E39">
              <w:t>mortisation</w:t>
            </w:r>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r w:rsidRPr="00731E39">
              <w:t>81810</w:t>
            </w:r>
          </w:p>
          <w:p w:rsidR="00BB380C" w:rsidRPr="00731E39" w:rsidRDefault="00BB380C" w:rsidP="00004E80">
            <w:pPr>
              <w:pStyle w:val="Tabletext"/>
            </w:pPr>
            <w:r w:rsidRPr="00731E39">
              <w:t>26922</w:t>
            </w:r>
            <w:r>
              <w:noBreakHyphen/>
            </w:r>
            <w:r w:rsidRPr="00731E39">
              <w:t>26930</w:t>
            </w: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r w:rsidRPr="00731E39">
              <w:t>20XX</w:t>
            </w:r>
          </w:p>
          <w:p w:rsidR="00BB380C" w:rsidRPr="00731E39" w:rsidRDefault="00BB380C" w:rsidP="00004E80">
            <w:pPr>
              <w:pStyle w:val="Tabletext"/>
            </w:pPr>
            <w:r w:rsidRPr="00731E39">
              <w:t>3000</w:t>
            </w: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r w:rsidRPr="00731E39">
              <w:t xml:space="preserve">Operating </w:t>
            </w:r>
            <w:r w:rsidR="00657E81">
              <w:t>e</w:t>
            </w:r>
            <w:r w:rsidRPr="00731E39">
              <w:t>xpense</w:t>
            </w:r>
          </w:p>
          <w:p w:rsidR="00BB380C" w:rsidRPr="00731E39" w:rsidRDefault="00BB380C" w:rsidP="00657E81">
            <w:pPr>
              <w:pStyle w:val="Tabletext"/>
            </w:pPr>
            <w:r>
              <w:t>Non</w:t>
            </w:r>
            <w:r>
              <w:noBreakHyphen/>
            </w:r>
            <w:r w:rsidR="00657E81">
              <w:t>c</w:t>
            </w:r>
            <w:r w:rsidRPr="00731E39">
              <w:t xml:space="preserve">urrent </w:t>
            </w:r>
            <w:r w:rsidR="00657E81">
              <w:t>a</w:t>
            </w:r>
            <w:r w:rsidRPr="00731E39">
              <w:t>sset</w:t>
            </w: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F6612C" w:rsidRDefault="00BB380C" w:rsidP="00657E81">
            <w:pPr>
              <w:pStyle w:val="Tabletext"/>
              <w:rPr>
                <w:b/>
              </w:rPr>
            </w:pPr>
            <w:r w:rsidRPr="00F6612C">
              <w:rPr>
                <w:b/>
              </w:rPr>
              <w:t xml:space="preserve">Monthly </w:t>
            </w:r>
            <w:r w:rsidR="00657E81">
              <w:rPr>
                <w:b/>
              </w:rPr>
              <w:t>l</w:t>
            </w:r>
            <w:r w:rsidRPr="00F6612C">
              <w:rPr>
                <w:b/>
              </w:rPr>
              <w:t xml:space="preserve">ease </w:t>
            </w:r>
            <w:r w:rsidR="00657E81">
              <w:rPr>
                <w:b/>
              </w:rPr>
              <w:t>e</w:t>
            </w:r>
            <w:r w:rsidRPr="00F6612C">
              <w:rPr>
                <w:b/>
              </w:rPr>
              <w:t xml:space="preserve">xpense – </w:t>
            </w:r>
            <w:r w:rsidR="00657E81">
              <w:rPr>
                <w:b/>
              </w:rPr>
              <w:t>j</w:t>
            </w:r>
            <w:r w:rsidR="00E93F5E">
              <w:rPr>
                <w:b/>
              </w:rPr>
              <w:t>ournal</w:t>
            </w:r>
            <w:r w:rsidRPr="00F6612C">
              <w:rPr>
                <w:b/>
              </w:rPr>
              <w:t xml:space="preserve"> provided by </w:t>
            </w:r>
            <w:proofErr w:type="spellStart"/>
            <w:r w:rsidR="00E93F5E">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p>
        </w:tc>
      </w:tr>
      <w:tr w:rsidR="00BB380C" w:rsidRPr="00731E39" w:rsidTr="00F6612C">
        <w:tc>
          <w:tcPr>
            <w:cnfStyle w:val="000010000000" w:firstRow="0" w:lastRow="0" w:firstColumn="0" w:lastColumn="0" w:oddVBand="1" w:evenVBand="0" w:oddHBand="0" w:evenHBand="0" w:firstRowFirstColumn="0" w:firstRowLastColumn="0" w:lastRowFirstColumn="0" w:lastRowLastColumn="0"/>
            <w:tcW w:w="6357" w:type="dxa"/>
          </w:tcPr>
          <w:p w:rsidR="00BB380C" w:rsidRPr="00731E39" w:rsidRDefault="00BB380C" w:rsidP="00004E80">
            <w:pPr>
              <w:pStyle w:val="Tabletext"/>
            </w:pPr>
            <w:r w:rsidRPr="00731E39">
              <w:t xml:space="preserve">Dr Operating </w:t>
            </w:r>
            <w:r w:rsidR="00657E81">
              <w:t>s</w:t>
            </w:r>
            <w:r w:rsidRPr="00731E39">
              <w:t xml:space="preserve">upplies and </w:t>
            </w:r>
            <w:r w:rsidR="00657E81">
              <w:t>c</w:t>
            </w:r>
            <w:r w:rsidRPr="00731E39">
              <w:t>onsumables</w:t>
            </w:r>
          </w:p>
          <w:p w:rsidR="00BB380C" w:rsidRPr="00731E39" w:rsidRDefault="00BB380C" w:rsidP="00004E80">
            <w:pPr>
              <w:pStyle w:val="Tabletext"/>
            </w:pPr>
            <w:r w:rsidRPr="00731E39">
              <w:t xml:space="preserve">Dr Finance </w:t>
            </w:r>
            <w:r w:rsidR="00657E81">
              <w:t>l</w:t>
            </w:r>
            <w:r w:rsidRPr="00731E39">
              <w:t xml:space="preserve">ease </w:t>
            </w:r>
            <w:r w:rsidR="00657E81">
              <w:t>i</w:t>
            </w:r>
            <w:r w:rsidRPr="00731E39">
              <w:t xml:space="preserve">nterest – </w:t>
            </w:r>
            <w:proofErr w:type="spellStart"/>
            <w:r w:rsidRPr="00731E39">
              <w:t>VicFleet</w:t>
            </w:r>
            <w:proofErr w:type="spellEnd"/>
            <w:r w:rsidRPr="00731E39">
              <w:t xml:space="preserve"> </w:t>
            </w:r>
            <w:r w:rsidR="00657E81">
              <w:t>motor vehicle</w:t>
            </w:r>
            <w:r w:rsidRPr="00731E39">
              <w:t xml:space="preserve"> </w:t>
            </w:r>
            <w:r w:rsidR="00657E81">
              <w:t>l</w:t>
            </w:r>
            <w:r w:rsidRPr="00731E39">
              <w:t>ease</w:t>
            </w:r>
          </w:p>
          <w:p w:rsidR="00BB380C" w:rsidRPr="00731E39" w:rsidRDefault="00BB380C" w:rsidP="00004E80">
            <w:pPr>
              <w:pStyle w:val="Tabletext"/>
            </w:pPr>
            <w:r w:rsidRPr="00731E39">
              <w:t xml:space="preserve">Dr </w:t>
            </w:r>
            <w:proofErr w:type="spellStart"/>
            <w:r w:rsidRPr="00731E39">
              <w:t>VicFleet</w:t>
            </w:r>
            <w:proofErr w:type="spellEnd"/>
            <w:r w:rsidRPr="00731E39">
              <w:t xml:space="preserve"> </w:t>
            </w:r>
            <w:r w:rsidR="00657E81">
              <w:t>motor vehicle f</w:t>
            </w:r>
            <w:r w:rsidRPr="00731E39">
              <w:t xml:space="preserve">inance </w:t>
            </w:r>
            <w:r w:rsidR="00657E81">
              <w:t>l</w:t>
            </w:r>
            <w:r w:rsidRPr="00731E39">
              <w:t xml:space="preserve">ease </w:t>
            </w:r>
            <w:r w:rsidR="00657E81">
              <w:t>l</w:t>
            </w:r>
            <w:r w:rsidRPr="00731E39">
              <w:t xml:space="preserve">iability </w:t>
            </w:r>
          </w:p>
          <w:p w:rsidR="00BB380C" w:rsidRPr="00731E39" w:rsidRDefault="00BB380C" w:rsidP="00004E80">
            <w:pPr>
              <w:pStyle w:val="Tabletext"/>
            </w:pPr>
            <w:r w:rsidRPr="00731E39">
              <w:t xml:space="preserve">Dr </w:t>
            </w:r>
            <w:proofErr w:type="spellStart"/>
            <w:r w:rsidRPr="00731E39">
              <w:t>VicFleet</w:t>
            </w:r>
            <w:proofErr w:type="spellEnd"/>
            <w:r w:rsidRPr="00731E39">
              <w:t xml:space="preserve"> </w:t>
            </w:r>
            <w:r w:rsidR="00657E81">
              <w:t>motor vehicle l</w:t>
            </w:r>
            <w:r w:rsidRPr="00731E39">
              <w:t xml:space="preserve">ease </w:t>
            </w:r>
            <w:r w:rsidR="00657E81">
              <w:t>l</w:t>
            </w:r>
            <w:r w:rsidRPr="00731E39">
              <w:t xml:space="preserve">iability – </w:t>
            </w:r>
            <w:r w:rsidR="00657E81">
              <w:t>n</w:t>
            </w:r>
            <w:r w:rsidRPr="00731E39">
              <w:t xml:space="preserve">ew </w:t>
            </w:r>
            <w:r w:rsidR="00657E81">
              <w:t>l</w:t>
            </w:r>
            <w:r w:rsidRPr="00731E39">
              <w:t>eases</w:t>
            </w:r>
          </w:p>
          <w:p w:rsidR="00BB380C" w:rsidRPr="00731E39" w:rsidRDefault="00BB380C" w:rsidP="00657E81">
            <w:pPr>
              <w:pStyle w:val="Tabletext"/>
            </w:pPr>
            <w:r w:rsidRPr="00731E39">
              <w:t xml:space="preserve">Cr Accounts </w:t>
            </w:r>
            <w:r w:rsidR="00657E81">
              <w:t>p</w:t>
            </w:r>
            <w:r w:rsidRPr="00731E39">
              <w:t xml:space="preserve">ayable </w:t>
            </w:r>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r w:rsidRPr="00731E39">
              <w:t>86000</w:t>
            </w:r>
          </w:p>
          <w:p w:rsidR="00BB380C" w:rsidRPr="00731E39" w:rsidRDefault="00BB380C" w:rsidP="00004E80">
            <w:pPr>
              <w:pStyle w:val="Tabletext"/>
            </w:pPr>
            <w:r w:rsidRPr="00731E39">
              <w:t>82010</w:t>
            </w:r>
          </w:p>
          <w:p w:rsidR="00BB380C" w:rsidRPr="00731E39" w:rsidRDefault="00BB380C" w:rsidP="00004E80">
            <w:pPr>
              <w:pStyle w:val="Tabletext"/>
            </w:pPr>
            <w:r w:rsidRPr="00731E39">
              <w:t>30910</w:t>
            </w:r>
            <w:r w:rsidR="00657E81">
              <w:t xml:space="preserve"> </w:t>
            </w:r>
            <w:r w:rsidRPr="00731E39">
              <w:t>/</w:t>
            </w:r>
            <w:r w:rsidR="00657E81">
              <w:t xml:space="preserve"> </w:t>
            </w:r>
            <w:r w:rsidRPr="00731E39">
              <w:t>41110</w:t>
            </w:r>
          </w:p>
          <w:p w:rsidR="00BB380C" w:rsidRPr="00731E39" w:rsidRDefault="00BB380C" w:rsidP="00004E80">
            <w:pPr>
              <w:pStyle w:val="Tabletext"/>
            </w:pPr>
            <w:r w:rsidRPr="00731E39">
              <w:t>30915</w:t>
            </w:r>
            <w:r w:rsidR="00657E81">
              <w:t xml:space="preserve"> </w:t>
            </w:r>
            <w:r w:rsidRPr="00731E39">
              <w:t>/</w:t>
            </w:r>
            <w:r w:rsidR="00657E81">
              <w:t xml:space="preserve"> </w:t>
            </w:r>
            <w:r w:rsidRPr="00731E39">
              <w:t>41115</w:t>
            </w:r>
          </w:p>
          <w:p w:rsidR="00BB380C" w:rsidRPr="00731E39" w:rsidRDefault="00BB380C" w:rsidP="00004E80">
            <w:pPr>
              <w:pStyle w:val="Tabletext"/>
            </w:pPr>
            <w:r w:rsidRPr="00731E39">
              <w:t>301</w:t>
            </w:r>
            <w:r>
              <w:t>1</w:t>
            </w:r>
            <w:r w:rsidRPr="00731E39">
              <w:t>0</w:t>
            </w:r>
            <w:r w:rsidR="00657E81">
              <w:t xml:space="preserve"> </w:t>
            </w:r>
            <w:r w:rsidRPr="00731E39">
              <w:t>/</w:t>
            </w:r>
            <w:r w:rsidR="00657E81">
              <w:t xml:space="preserve"> </w:t>
            </w:r>
            <w:r w:rsidRPr="00731E39">
              <w:t>302</w:t>
            </w:r>
            <w:r>
              <w:t>1</w:t>
            </w:r>
            <w:r w:rsidRPr="00731E39">
              <w:t>0</w:t>
            </w: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r w:rsidRPr="00731E39">
              <w:t>20XX</w:t>
            </w:r>
          </w:p>
          <w:p w:rsidR="00BB380C" w:rsidRPr="00731E39" w:rsidRDefault="00BB380C" w:rsidP="00004E80">
            <w:pPr>
              <w:pStyle w:val="Tabletext"/>
            </w:pPr>
            <w:r w:rsidRPr="00731E39">
              <w:t>20XX</w:t>
            </w:r>
          </w:p>
          <w:p w:rsidR="00BB380C" w:rsidRPr="00731E39" w:rsidRDefault="00BB380C" w:rsidP="00004E80">
            <w:pPr>
              <w:pStyle w:val="Tabletext"/>
            </w:pPr>
            <w:r w:rsidRPr="00731E39">
              <w:t>31XX</w:t>
            </w:r>
          </w:p>
          <w:p w:rsidR="00BB380C" w:rsidRPr="00731E39" w:rsidRDefault="00BB380C" w:rsidP="00004E80">
            <w:pPr>
              <w:pStyle w:val="Tabletext"/>
            </w:pPr>
            <w:r w:rsidRPr="00731E39">
              <w:t>31XX</w:t>
            </w:r>
          </w:p>
          <w:p w:rsidR="00BB380C" w:rsidRPr="00731E39" w:rsidRDefault="00BB380C" w:rsidP="00004E80">
            <w:pPr>
              <w:pStyle w:val="Tabletext"/>
            </w:pPr>
            <w:r w:rsidRPr="00731E39">
              <w:t xml:space="preserve">3000 </w:t>
            </w: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r w:rsidRPr="00731E39">
              <w:t xml:space="preserve">Operating </w:t>
            </w:r>
            <w:r w:rsidR="00657E81">
              <w:t>e</w:t>
            </w:r>
            <w:r w:rsidRPr="00731E39">
              <w:t>xpense</w:t>
            </w:r>
          </w:p>
          <w:p w:rsidR="00BB380C" w:rsidRPr="00731E39" w:rsidRDefault="00657E81" w:rsidP="00004E80">
            <w:pPr>
              <w:pStyle w:val="Tabletext"/>
            </w:pPr>
            <w:r>
              <w:t>Operating e</w:t>
            </w:r>
            <w:r w:rsidR="00BB380C" w:rsidRPr="00731E39">
              <w:t>xpense</w:t>
            </w:r>
          </w:p>
          <w:p w:rsidR="00BB380C" w:rsidRPr="00731E39" w:rsidRDefault="00BB380C" w:rsidP="00004E80">
            <w:pPr>
              <w:pStyle w:val="Tabletext"/>
            </w:pPr>
            <w:r w:rsidRPr="00731E39">
              <w:t xml:space="preserve">Current or </w:t>
            </w:r>
            <w:r w:rsidR="00657E81">
              <w:t>n</w:t>
            </w:r>
            <w:r w:rsidRPr="00731E39">
              <w:t>on</w:t>
            </w:r>
            <w:r>
              <w:noBreakHyphen/>
            </w:r>
            <w:r w:rsidR="00657E81">
              <w:t>c</w:t>
            </w:r>
            <w:r w:rsidRPr="00731E39">
              <w:t xml:space="preserve">urrent </w:t>
            </w:r>
            <w:r w:rsidR="00657E81">
              <w:t>l</w:t>
            </w:r>
            <w:r w:rsidRPr="00731E39">
              <w:t>iability</w:t>
            </w:r>
          </w:p>
          <w:p w:rsidR="00BB380C" w:rsidRPr="00731E39" w:rsidRDefault="00BB380C" w:rsidP="00004E80">
            <w:pPr>
              <w:pStyle w:val="Tabletext"/>
            </w:pPr>
            <w:r w:rsidRPr="00731E39">
              <w:t xml:space="preserve">Current or </w:t>
            </w:r>
            <w:r w:rsidR="00657E81">
              <w:t>n</w:t>
            </w:r>
            <w:r w:rsidRPr="00731E39">
              <w:t>on</w:t>
            </w:r>
            <w:r>
              <w:noBreakHyphen/>
            </w:r>
            <w:r w:rsidR="00657E81">
              <w:t>c</w:t>
            </w:r>
            <w:r w:rsidRPr="00731E39">
              <w:t xml:space="preserve">urrent </w:t>
            </w:r>
            <w:r w:rsidR="00657E81">
              <w:t>l</w:t>
            </w:r>
            <w:r w:rsidRPr="00731E39">
              <w:t>iability</w:t>
            </w:r>
          </w:p>
          <w:p w:rsidR="00BB380C" w:rsidRPr="00731E39" w:rsidRDefault="00BB380C" w:rsidP="00657E81">
            <w:pPr>
              <w:pStyle w:val="Tabletext"/>
            </w:pPr>
            <w:r w:rsidRPr="00731E39">
              <w:t xml:space="preserve">Current </w:t>
            </w:r>
            <w:r w:rsidR="00657E81">
              <w:t>l</w:t>
            </w:r>
            <w:r w:rsidRPr="00731E39">
              <w:t>iability</w:t>
            </w:r>
          </w:p>
        </w:tc>
      </w:tr>
      <w:tr w:rsidR="00BB380C" w:rsidRPr="00731E39" w:rsidTr="00F6612C">
        <w:trPr>
          <w:trHeight w:val="90"/>
        </w:trPr>
        <w:tc>
          <w:tcPr>
            <w:cnfStyle w:val="000010000000" w:firstRow="0" w:lastRow="0" w:firstColumn="0" w:lastColumn="0" w:oddVBand="1" w:evenVBand="0" w:oddHBand="0" w:evenHBand="0" w:firstRowFirstColumn="0" w:firstRowLastColumn="0" w:lastRowFirstColumn="0" w:lastRowLastColumn="0"/>
            <w:tcW w:w="6357" w:type="dxa"/>
          </w:tcPr>
          <w:p w:rsidR="00BB380C" w:rsidRPr="00F6612C" w:rsidRDefault="00BB380C" w:rsidP="00004E80">
            <w:pPr>
              <w:pStyle w:val="Tabletext"/>
              <w:rPr>
                <w:b/>
              </w:rPr>
            </w:pPr>
            <w:r w:rsidRPr="00F6612C">
              <w:rPr>
                <w:b/>
              </w:rPr>
              <w:t xml:space="preserve">Payment of </w:t>
            </w:r>
            <w:r w:rsidR="00657E81">
              <w:rPr>
                <w:b/>
              </w:rPr>
              <w:t>i</w:t>
            </w:r>
            <w:r w:rsidRPr="00F6612C">
              <w:rPr>
                <w:b/>
              </w:rPr>
              <w:t>nvoice</w:t>
            </w:r>
          </w:p>
          <w:p w:rsidR="00BB380C" w:rsidRPr="00731E39" w:rsidRDefault="00BB380C" w:rsidP="00004E80">
            <w:pPr>
              <w:pStyle w:val="Tabletext"/>
            </w:pPr>
            <w:r w:rsidRPr="00731E39">
              <w:t xml:space="preserve">Dr Accounts </w:t>
            </w:r>
            <w:r w:rsidR="00657E81">
              <w:t>p</w:t>
            </w:r>
            <w:r w:rsidRPr="00731E39">
              <w:t>ayable</w:t>
            </w:r>
          </w:p>
          <w:p w:rsidR="00BB380C" w:rsidRPr="00731E39" w:rsidRDefault="00BB380C" w:rsidP="00004E80">
            <w:pPr>
              <w:pStyle w:val="Tabletext"/>
            </w:pPr>
            <w:r w:rsidRPr="00731E39">
              <w:t>Cr SAU Inter</w:t>
            </w:r>
            <w:r w:rsidR="00657E81">
              <w:t>-e</w:t>
            </w:r>
            <w:r w:rsidRPr="00731E39">
              <w:t xml:space="preserve">ntity </w:t>
            </w:r>
            <w:r w:rsidR="00657E81">
              <w:t>a</w:t>
            </w:r>
            <w:r w:rsidRPr="00731E39">
              <w:t>ccount*</w:t>
            </w:r>
          </w:p>
          <w:p w:rsidR="00BB380C" w:rsidRPr="00731E39" w:rsidRDefault="00BB380C" w:rsidP="00004E80">
            <w:pPr>
              <w:pStyle w:val="Tabletext"/>
              <w:rPr>
                <w:color w:val="008000"/>
              </w:rPr>
            </w:pPr>
            <w:r w:rsidRPr="00731E39">
              <w:t>(or for entities/agencies</w:t>
            </w:r>
            <w:r w:rsidR="00657E81">
              <w:t xml:space="preserve"> operating outside of the Public Account</w:t>
            </w:r>
            <w:r w:rsidRPr="00731E39">
              <w:t>)</w:t>
            </w:r>
          </w:p>
          <w:p w:rsidR="00BB380C" w:rsidRPr="00731E39" w:rsidRDefault="00657E81" w:rsidP="00004E80">
            <w:pPr>
              <w:pStyle w:val="Tabletext"/>
            </w:pPr>
            <w:r>
              <w:t>Cr Bank account – Cash on h</w:t>
            </w:r>
            <w:r w:rsidR="00BB380C" w:rsidRPr="00731E39">
              <w:t xml:space="preserve">and and other </w:t>
            </w:r>
            <w:r>
              <w:t>b</w:t>
            </w:r>
            <w:r w:rsidR="00BB380C" w:rsidRPr="00731E39">
              <w:t xml:space="preserve">ank </w:t>
            </w:r>
            <w:r>
              <w:t>a</w:t>
            </w:r>
            <w:r w:rsidR="00BB380C" w:rsidRPr="00731E39">
              <w:t>ccounts*</w:t>
            </w:r>
          </w:p>
          <w:p w:rsidR="00BB380C" w:rsidRPr="00731E39" w:rsidRDefault="00BB380C" w:rsidP="00657E81">
            <w:pPr>
              <w:pStyle w:val="NoteNormal"/>
            </w:pPr>
            <w:r w:rsidRPr="00731E39">
              <w:t xml:space="preserve">* Account 10400 is to be used by entities </w:t>
            </w:r>
            <w:r w:rsidR="00657E81">
              <w:t>operating outside the Public Account</w:t>
            </w:r>
            <w:r w:rsidRPr="00731E39">
              <w:t>. Only Public Account entities can use account 45000.</w:t>
            </w:r>
          </w:p>
        </w:tc>
        <w:tc>
          <w:tcPr>
            <w:cnfStyle w:val="000001000000" w:firstRow="0" w:lastRow="0" w:firstColumn="0" w:lastColumn="0" w:oddVBand="0" w:evenVBand="1" w:oddHBand="0" w:evenHBand="0" w:firstRowFirstColumn="0" w:firstRowLastColumn="0" w:lastRowFirstColumn="0" w:lastRowLastColumn="0"/>
            <w:tcW w:w="2250" w:type="dxa"/>
          </w:tcPr>
          <w:p w:rsidR="00BB380C" w:rsidRPr="00731E39" w:rsidRDefault="00BB380C" w:rsidP="00004E80">
            <w:pPr>
              <w:pStyle w:val="Tabletext"/>
            </w:pPr>
          </w:p>
          <w:p w:rsidR="00BB380C" w:rsidRPr="00731E39" w:rsidRDefault="00BB380C" w:rsidP="00004E80">
            <w:pPr>
              <w:pStyle w:val="Tabletext"/>
            </w:pPr>
            <w:r w:rsidRPr="00731E39">
              <w:t>301</w:t>
            </w:r>
            <w:r>
              <w:t>1</w:t>
            </w:r>
            <w:r w:rsidRPr="00731E39">
              <w:t>0</w:t>
            </w:r>
            <w:r w:rsidR="00657E81">
              <w:t xml:space="preserve"> </w:t>
            </w:r>
            <w:r w:rsidRPr="00731E39">
              <w:t>/</w:t>
            </w:r>
            <w:r w:rsidR="00657E81">
              <w:t xml:space="preserve"> </w:t>
            </w:r>
            <w:r w:rsidRPr="00731E39">
              <w:t>302</w:t>
            </w:r>
            <w:r>
              <w:t>1</w:t>
            </w:r>
            <w:r w:rsidRPr="00731E39">
              <w:t>0</w:t>
            </w:r>
          </w:p>
          <w:p w:rsidR="00BB380C" w:rsidRPr="00731E39" w:rsidRDefault="00BB380C" w:rsidP="00004E80">
            <w:pPr>
              <w:pStyle w:val="Tabletext"/>
            </w:pPr>
            <w:r w:rsidRPr="00731E39">
              <w:t>45000</w:t>
            </w:r>
          </w:p>
          <w:p w:rsidR="00BB380C" w:rsidRPr="00731E39" w:rsidRDefault="00BB380C" w:rsidP="00004E80">
            <w:pPr>
              <w:pStyle w:val="Tabletext"/>
            </w:pPr>
          </w:p>
          <w:p w:rsidR="00BB380C" w:rsidRPr="00731E39" w:rsidRDefault="00BB380C" w:rsidP="00004E80">
            <w:pPr>
              <w:pStyle w:val="Tabletext"/>
            </w:pPr>
            <w:r w:rsidRPr="00731E39">
              <w:t>10400</w:t>
            </w:r>
          </w:p>
        </w:tc>
        <w:tc>
          <w:tcPr>
            <w:cnfStyle w:val="000010000000" w:firstRow="0" w:lastRow="0" w:firstColumn="0" w:lastColumn="0" w:oddVBand="1" w:evenVBand="0" w:oddHBand="0" w:evenHBand="0" w:firstRowFirstColumn="0" w:firstRowLastColumn="0" w:lastRowFirstColumn="0" w:lastRowLastColumn="0"/>
            <w:tcW w:w="2126" w:type="dxa"/>
          </w:tcPr>
          <w:p w:rsidR="00BB380C" w:rsidRPr="00731E39" w:rsidRDefault="00BB380C" w:rsidP="00004E80">
            <w:pPr>
              <w:pStyle w:val="Tabletext"/>
            </w:pPr>
          </w:p>
          <w:p w:rsidR="00BB380C" w:rsidRPr="00731E39" w:rsidRDefault="00BB380C" w:rsidP="00004E80">
            <w:pPr>
              <w:pStyle w:val="Tabletext"/>
            </w:pPr>
            <w:r w:rsidRPr="00731E39">
              <w:t>3000</w:t>
            </w:r>
          </w:p>
          <w:p w:rsidR="00BB380C" w:rsidRPr="00731E39" w:rsidRDefault="00BB380C" w:rsidP="00004E80">
            <w:pPr>
              <w:pStyle w:val="Tabletext"/>
            </w:pPr>
            <w:r>
              <w:t xml:space="preserve">20XX or </w:t>
            </w:r>
            <w:r w:rsidRPr="00731E39">
              <w:t xml:space="preserve">31XX </w:t>
            </w:r>
          </w:p>
          <w:p w:rsidR="00BB380C" w:rsidRPr="00731E39" w:rsidRDefault="00BB380C" w:rsidP="00004E80">
            <w:pPr>
              <w:pStyle w:val="Tabletext"/>
            </w:pPr>
          </w:p>
          <w:p w:rsidR="00BB380C" w:rsidRPr="00731E39" w:rsidRDefault="00BB380C" w:rsidP="00004E80">
            <w:pPr>
              <w:pStyle w:val="Tabletext"/>
            </w:pPr>
            <w:r>
              <w:t>0000</w:t>
            </w:r>
          </w:p>
        </w:tc>
        <w:tc>
          <w:tcPr>
            <w:cnfStyle w:val="000001000000" w:firstRow="0" w:lastRow="0" w:firstColumn="0" w:lastColumn="0" w:oddVBand="0" w:evenVBand="1" w:oddHBand="0" w:evenHBand="0" w:firstRowFirstColumn="0" w:firstRowLastColumn="0" w:lastRowFirstColumn="0" w:lastRowLastColumn="0"/>
            <w:tcW w:w="3274" w:type="dxa"/>
          </w:tcPr>
          <w:p w:rsidR="00BB380C" w:rsidRPr="00731E39" w:rsidRDefault="00BB380C" w:rsidP="00004E80">
            <w:pPr>
              <w:pStyle w:val="Tabletext"/>
            </w:pPr>
          </w:p>
          <w:p w:rsidR="00BB380C" w:rsidRPr="00731E39" w:rsidRDefault="00BB380C" w:rsidP="00004E80">
            <w:pPr>
              <w:pStyle w:val="Tabletext"/>
            </w:pPr>
            <w:r w:rsidRPr="00731E39">
              <w:t xml:space="preserve">Current </w:t>
            </w:r>
            <w:r w:rsidR="00657E81">
              <w:t>l</w:t>
            </w:r>
            <w:r w:rsidRPr="00731E39">
              <w:t xml:space="preserve">iability </w:t>
            </w:r>
          </w:p>
          <w:p w:rsidR="00BB380C" w:rsidRPr="00731E39" w:rsidRDefault="00BB380C" w:rsidP="00004E80">
            <w:pPr>
              <w:pStyle w:val="Tabletext"/>
            </w:pPr>
            <w:r w:rsidRPr="00731E39">
              <w:t>Asset</w:t>
            </w:r>
          </w:p>
          <w:p w:rsidR="00BB380C" w:rsidRPr="00731E39" w:rsidRDefault="00BB380C" w:rsidP="00004E80">
            <w:pPr>
              <w:pStyle w:val="Tabletext"/>
            </w:pPr>
          </w:p>
          <w:p w:rsidR="00BB380C" w:rsidRPr="00731E39" w:rsidRDefault="00BB380C" w:rsidP="00004E80">
            <w:pPr>
              <w:pStyle w:val="Tabletext"/>
            </w:pPr>
            <w:r>
              <w:t>Asset</w:t>
            </w:r>
          </w:p>
        </w:tc>
      </w:tr>
    </w:tbl>
    <w:p w:rsidR="00BB380C" w:rsidRPr="0021170C" w:rsidRDefault="00BB380C" w:rsidP="00BB380C">
      <w:pPr>
        <w:pStyle w:val="Tabletext"/>
      </w:pPr>
      <w:r w:rsidRPr="0021170C">
        <w:t xml:space="preserve">Lessee – Sale of </w:t>
      </w:r>
      <w:r w:rsidR="00657E81">
        <w:t>v</w:t>
      </w:r>
      <w:r w:rsidRPr="0021170C">
        <w:t xml:space="preserve">ehicle </w:t>
      </w:r>
      <w:r w:rsidR="00657E81">
        <w:t>j</w:t>
      </w:r>
      <w:r w:rsidRPr="0021170C">
        <w:t>ournal entries required at the end of the life of the vehicle lease</w:t>
      </w:r>
    </w:p>
    <w:p w:rsidR="00BB380C" w:rsidRPr="00731E39" w:rsidRDefault="00BB380C" w:rsidP="00BB380C">
      <w:pPr>
        <w:pStyle w:val="Tabletext"/>
        <w:rPr>
          <w:b/>
          <w:bCs/>
        </w:rPr>
      </w:pPr>
      <w:r w:rsidRPr="00731E39">
        <w:rPr>
          <w:b/>
          <w:bCs/>
        </w:rPr>
        <w:t>Note</w:t>
      </w:r>
      <w:r w:rsidRPr="00731E39">
        <w:t xml:space="preserve">: The asset and liability accounts relating to the motor vehicle to be sold must be transferred to </w:t>
      </w:r>
      <w:proofErr w:type="spellStart"/>
      <w:r w:rsidRPr="00731E39">
        <w:t>VicFleet</w:t>
      </w:r>
      <w:proofErr w:type="spellEnd"/>
      <w:r w:rsidRPr="00731E39">
        <w:t xml:space="preserve"> Trust to enable the </w:t>
      </w:r>
      <w:r>
        <w:t>D</w:t>
      </w:r>
      <w:r w:rsidRPr="00731E39">
        <w:t xml:space="preserve">epartment to access profit </w:t>
      </w:r>
      <w:r w:rsidR="00657E81">
        <w:t>from</w:t>
      </w:r>
      <w:r w:rsidRPr="00731E39">
        <w:t xml:space="preserve"> the sale. If the</w:t>
      </w:r>
      <w:r w:rsidR="00657E81">
        <w:t xml:space="preserve"> motor vehicle sells for a </w:t>
      </w:r>
      <w:r w:rsidRPr="00731E39">
        <w:t>loss, the Vehicle Lease Trust must be supplemented</w:t>
      </w:r>
      <w:r w:rsidRPr="00A00CA4">
        <w:rPr>
          <w:bCs/>
        </w:rPr>
        <w:t>.</w:t>
      </w:r>
      <w:r w:rsidRPr="00731E39">
        <w:rPr>
          <w:b/>
          <w:bCs/>
        </w:rPr>
        <w:t xml:space="preserve"> Authority and inter</w:t>
      </w:r>
      <w:r>
        <w:rPr>
          <w:b/>
          <w:bCs/>
        </w:rPr>
        <w:noBreakHyphen/>
      </w:r>
      <w:r w:rsidRPr="00731E39">
        <w:rPr>
          <w:b/>
          <w:bCs/>
        </w:rPr>
        <w:t>fund/entity transaction coding do</w:t>
      </w:r>
      <w:r w:rsidR="00657E81">
        <w:rPr>
          <w:b/>
          <w:bCs/>
        </w:rPr>
        <w:t>es</w:t>
      </w:r>
      <w:r w:rsidRPr="00731E39">
        <w:rPr>
          <w:b/>
          <w:bCs/>
        </w:rPr>
        <w:t xml:space="preserve"> not apply to </w:t>
      </w:r>
      <w:r w:rsidR="00657E81">
        <w:rPr>
          <w:b/>
          <w:bCs/>
        </w:rPr>
        <w:t xml:space="preserve">entities / agencies operating outside of the </w:t>
      </w:r>
      <w:r w:rsidRPr="00731E39">
        <w:rPr>
          <w:b/>
          <w:bCs/>
        </w:rPr>
        <w:t>Public Account.</w:t>
      </w:r>
    </w:p>
    <w:p w:rsidR="00BB380C" w:rsidRDefault="00BB380C" w:rsidP="00BB380C">
      <w:pPr>
        <w:pStyle w:val="Spacer"/>
      </w:pPr>
    </w:p>
    <w:tbl>
      <w:tblPr>
        <w:tblStyle w:val="DTFtexttable"/>
        <w:tblW w:w="14007" w:type="dxa"/>
        <w:tblLayout w:type="fixed"/>
        <w:tblLook w:val="0220" w:firstRow="1" w:lastRow="0" w:firstColumn="0" w:lastColumn="0" w:noHBand="1" w:noVBand="0"/>
      </w:tblPr>
      <w:tblGrid>
        <w:gridCol w:w="6578"/>
        <w:gridCol w:w="2029"/>
        <w:gridCol w:w="2160"/>
        <w:gridCol w:w="3240"/>
      </w:tblGrid>
      <w:tr w:rsidR="00BB380C" w:rsidRPr="00F6612C" w:rsidTr="00314B6A">
        <w:trPr>
          <w:cnfStyle w:val="100000000000" w:firstRow="1" w:lastRow="0" w:firstColumn="0" w:lastColumn="0" w:oddVBand="0" w:evenVBand="0" w:oddHBand="0" w:evenHBand="0" w:firstRowFirstColumn="0" w:firstRowLastColumn="0" w:lastRowFirstColumn="0" w:lastRowLastColumn="0"/>
          <w:trHeight w:val="350"/>
          <w:tblHeader/>
        </w:trPr>
        <w:tc>
          <w:tcPr>
            <w:cnfStyle w:val="000010000000" w:firstRow="0" w:lastRow="0" w:firstColumn="0" w:lastColumn="0" w:oddVBand="1" w:evenVBand="0" w:oddHBand="0" w:evenHBand="0" w:firstRowFirstColumn="0" w:firstRowLastColumn="0" w:lastRowFirstColumn="0" w:lastRowLastColumn="0"/>
            <w:tcW w:w="6578" w:type="dxa"/>
          </w:tcPr>
          <w:p w:rsidR="00BB380C" w:rsidRPr="00F6612C" w:rsidRDefault="00BB380C" w:rsidP="00F6612C">
            <w:pPr>
              <w:pStyle w:val="Tableheader"/>
              <w:jc w:val="left"/>
              <w:rPr>
                <w:b/>
              </w:rPr>
            </w:pPr>
            <w:r w:rsidRPr="00F6612C">
              <w:rPr>
                <w:b/>
              </w:rPr>
              <w:lastRenderedPageBreak/>
              <w:t>Entry</w:t>
            </w:r>
          </w:p>
        </w:tc>
        <w:tc>
          <w:tcPr>
            <w:cnfStyle w:val="000001000000" w:firstRow="0" w:lastRow="0" w:firstColumn="0" w:lastColumn="0" w:oddVBand="0" w:evenVBand="1" w:oddHBand="0" w:evenHBand="0" w:firstRowFirstColumn="0" w:firstRowLastColumn="0" w:lastRowFirstColumn="0" w:lastRowLastColumn="0"/>
            <w:tcW w:w="2029" w:type="dxa"/>
          </w:tcPr>
          <w:p w:rsidR="00BB380C" w:rsidRPr="00F6612C" w:rsidRDefault="00132E0D" w:rsidP="00132E0D">
            <w:pPr>
              <w:pStyle w:val="Tableheader"/>
              <w:jc w:val="left"/>
              <w:rPr>
                <w:b/>
              </w:rPr>
            </w:pPr>
            <w:r>
              <w:rPr>
                <w:b/>
              </w:rPr>
              <w:t>Account</w:t>
            </w:r>
            <w:r w:rsidR="00BB380C" w:rsidRPr="00F6612C">
              <w:rPr>
                <w:b/>
              </w:rPr>
              <w:t xml:space="preserve"> </w:t>
            </w:r>
            <w:r>
              <w:rPr>
                <w:b/>
              </w:rPr>
              <w:t>c</w:t>
            </w:r>
            <w:r w:rsidR="00BB380C" w:rsidRPr="00F6612C">
              <w:rPr>
                <w:b/>
              </w:rPr>
              <w:t>ode</w:t>
            </w:r>
          </w:p>
        </w:tc>
        <w:tc>
          <w:tcPr>
            <w:cnfStyle w:val="000010000000" w:firstRow="0" w:lastRow="0" w:firstColumn="0" w:lastColumn="0" w:oddVBand="1" w:evenVBand="0" w:oddHBand="0" w:evenHBand="0" w:firstRowFirstColumn="0" w:firstRowLastColumn="0" w:lastRowFirstColumn="0" w:lastRowLastColumn="0"/>
            <w:tcW w:w="2160" w:type="dxa"/>
          </w:tcPr>
          <w:p w:rsidR="00BB380C" w:rsidRPr="00F6612C" w:rsidRDefault="00BB380C" w:rsidP="00F6612C">
            <w:pPr>
              <w:pStyle w:val="Tableheader"/>
              <w:jc w:val="left"/>
              <w:rPr>
                <w:b/>
              </w:rPr>
            </w:pPr>
            <w:r w:rsidRPr="00F6612C">
              <w:rPr>
                <w:b/>
              </w:rPr>
              <w:t xml:space="preserve">Authority </w:t>
            </w:r>
            <w:r w:rsidR="00132E0D">
              <w:rPr>
                <w:b/>
              </w:rPr>
              <w:t>code</w:t>
            </w:r>
          </w:p>
        </w:tc>
        <w:tc>
          <w:tcPr>
            <w:cnfStyle w:val="000001000000" w:firstRow="0" w:lastRow="0" w:firstColumn="0" w:lastColumn="0" w:oddVBand="0" w:evenVBand="1" w:oddHBand="0" w:evenHBand="0" w:firstRowFirstColumn="0" w:firstRowLastColumn="0" w:lastRowFirstColumn="0" w:lastRowLastColumn="0"/>
            <w:tcW w:w="3240" w:type="dxa"/>
          </w:tcPr>
          <w:p w:rsidR="00BB380C" w:rsidRPr="00F6612C" w:rsidRDefault="00BB380C" w:rsidP="00F6612C">
            <w:pPr>
              <w:pStyle w:val="Tableheader"/>
              <w:jc w:val="left"/>
              <w:rPr>
                <w:b/>
              </w:rPr>
            </w:pPr>
            <w:r w:rsidRPr="00F6612C">
              <w:rPr>
                <w:b/>
              </w:rPr>
              <w:t>Category</w:t>
            </w:r>
          </w:p>
        </w:tc>
      </w:tr>
      <w:tr w:rsidR="00BB380C" w:rsidRPr="00F6612C" w:rsidTr="00F6612C">
        <w:trPr>
          <w:trHeight w:val="240"/>
        </w:trPr>
        <w:tc>
          <w:tcPr>
            <w:cnfStyle w:val="000010000000" w:firstRow="0" w:lastRow="0" w:firstColumn="0" w:lastColumn="0" w:oddVBand="1" w:evenVBand="0" w:oddHBand="0" w:evenHBand="0" w:firstRowFirstColumn="0" w:firstRowLastColumn="0" w:lastRowFirstColumn="0" w:lastRowLastColumn="0"/>
            <w:tcW w:w="14007" w:type="dxa"/>
            <w:gridSpan w:val="4"/>
          </w:tcPr>
          <w:p w:rsidR="00BB380C" w:rsidRPr="00F6612C" w:rsidRDefault="00BB380C" w:rsidP="00F6612C">
            <w:pPr>
              <w:pStyle w:val="Tabletext"/>
              <w:rPr>
                <w:b/>
              </w:rPr>
            </w:pPr>
            <w:r w:rsidRPr="00F6612C">
              <w:rPr>
                <w:b/>
              </w:rPr>
              <w:t xml:space="preserve">Transfer of asset into the Vehicle Lease Trust – </w:t>
            </w:r>
            <w:r w:rsidR="00772F0A">
              <w:rPr>
                <w:b/>
              </w:rPr>
              <w:t>j</w:t>
            </w:r>
            <w:r w:rsidR="007C49BD">
              <w:rPr>
                <w:b/>
              </w:rPr>
              <w:t>ourna</w:t>
            </w:r>
            <w:r w:rsidR="0093568E">
              <w:rPr>
                <w:b/>
              </w:rPr>
              <w:t xml:space="preserve">l provided by </w:t>
            </w:r>
            <w:proofErr w:type="spellStart"/>
            <w:r w:rsidR="0093568E">
              <w:rPr>
                <w:b/>
              </w:rPr>
              <w:t>VicFl</w:t>
            </w:r>
            <w:r w:rsidRPr="00F6612C">
              <w:rPr>
                <w:b/>
              </w:rPr>
              <w:t>eet</w:t>
            </w:r>
            <w:proofErr w:type="spellEnd"/>
            <w:r w:rsidRPr="00F6612C">
              <w:rPr>
                <w:b/>
              </w:rPr>
              <w:t xml:space="preserve"> (</w:t>
            </w:r>
            <w:r w:rsidR="00772F0A">
              <w:rPr>
                <w:b/>
              </w:rPr>
              <w:t>d</w:t>
            </w:r>
            <w:r w:rsidRPr="00F6612C">
              <w:rPr>
                <w:b/>
              </w:rPr>
              <w:t xml:space="preserve">oes not apply to </w:t>
            </w:r>
            <w:r w:rsidR="00736E97">
              <w:rPr>
                <w:b/>
              </w:rPr>
              <w:t>entities outside of the Public Account</w:t>
            </w:r>
            <w:r w:rsidRPr="00F6612C">
              <w:rPr>
                <w:b/>
              </w:rPr>
              <w:t xml:space="preserve"> or other </w:t>
            </w:r>
            <w:r w:rsidR="00772F0A">
              <w:rPr>
                <w:b/>
              </w:rPr>
              <w:t>t</w:t>
            </w:r>
            <w:r w:rsidRPr="00F6612C">
              <w:rPr>
                <w:b/>
              </w:rPr>
              <w:t xml:space="preserve">rust </w:t>
            </w:r>
            <w:r w:rsidR="00772F0A">
              <w:rPr>
                <w:b/>
              </w:rPr>
              <w:t>f</w:t>
            </w:r>
            <w:r w:rsidRPr="00F6612C">
              <w:rPr>
                <w:b/>
              </w:rPr>
              <w:t xml:space="preserve">und </w:t>
            </w:r>
            <w:r w:rsidR="00736E97">
              <w:rPr>
                <w:b/>
              </w:rPr>
              <w:t>a</w:t>
            </w:r>
            <w:r w:rsidR="0093568E">
              <w:rPr>
                <w:b/>
              </w:rPr>
              <w:t>ccounts</w:t>
            </w:r>
            <w:r w:rsidRPr="00F6612C">
              <w:rPr>
                <w:b/>
              </w:rPr>
              <w:t>)</w:t>
            </w:r>
          </w:p>
          <w:p w:rsidR="00BB380C" w:rsidRPr="00F6612C" w:rsidRDefault="0093568E" w:rsidP="00F6612C">
            <w:pPr>
              <w:pStyle w:val="Tabletext"/>
              <w:rPr>
                <w:b/>
              </w:rPr>
            </w:pPr>
            <w:r>
              <w:rPr>
                <w:b/>
              </w:rPr>
              <w:t xml:space="preserve">Assumes the </w:t>
            </w:r>
            <w:r w:rsidR="00BB380C" w:rsidRPr="00F6612C">
              <w:rPr>
                <w:b/>
              </w:rPr>
              <w:t xml:space="preserve">Department is transferring the asset into the </w:t>
            </w:r>
            <w:proofErr w:type="spellStart"/>
            <w:r w:rsidR="00BB380C" w:rsidRPr="00F6612C">
              <w:rPr>
                <w:b/>
              </w:rPr>
              <w:t>VicFleet</w:t>
            </w:r>
            <w:proofErr w:type="spellEnd"/>
            <w:r w:rsidR="00BB380C" w:rsidRPr="00F6612C">
              <w:rPr>
                <w:b/>
              </w:rPr>
              <w:t xml:space="preserve"> Trust:</w:t>
            </w:r>
          </w:p>
        </w:tc>
      </w:tr>
      <w:tr w:rsidR="00BB380C" w:rsidRPr="00731E39" w:rsidTr="00314B6A">
        <w:tc>
          <w:tcPr>
            <w:cnfStyle w:val="000010000000" w:firstRow="0" w:lastRow="0" w:firstColumn="0" w:lastColumn="0" w:oddVBand="1" w:evenVBand="0" w:oddHBand="0" w:evenHBand="0" w:firstRowFirstColumn="0" w:firstRowLastColumn="0" w:lastRowFirstColumn="0" w:lastRowLastColumn="0"/>
            <w:tcW w:w="6578" w:type="dxa"/>
          </w:tcPr>
          <w:p w:rsidR="00BB380C" w:rsidRPr="00731E39" w:rsidRDefault="00BB380C" w:rsidP="00F6612C">
            <w:pPr>
              <w:pStyle w:val="Tabletext"/>
            </w:pPr>
            <w:r w:rsidRPr="00731E39">
              <w:t>Dr</w:t>
            </w:r>
            <w:r>
              <w:t>/Cr</w:t>
            </w:r>
            <w:r w:rsidRPr="00731E39">
              <w:t xml:space="preserve"> Motor </w:t>
            </w:r>
            <w:r w:rsidR="0093568E">
              <w:t>v</w:t>
            </w:r>
            <w:r w:rsidRPr="00731E39">
              <w:t xml:space="preserve">ehicles </w:t>
            </w:r>
            <w:r w:rsidR="0093568E">
              <w:t>u</w:t>
            </w:r>
            <w:r w:rsidRPr="00731E39">
              <w:t xml:space="preserve">nder </w:t>
            </w:r>
            <w:proofErr w:type="spellStart"/>
            <w:r w:rsidRPr="00731E39">
              <w:t>VicFleet</w:t>
            </w:r>
            <w:proofErr w:type="spellEnd"/>
            <w:r w:rsidRPr="00731E39">
              <w:t xml:space="preserve"> </w:t>
            </w:r>
            <w:r w:rsidR="0093568E">
              <w:t>l</w:t>
            </w:r>
            <w:r w:rsidRPr="00731E39">
              <w:t>ease</w:t>
            </w:r>
          </w:p>
          <w:p w:rsidR="00BB380C" w:rsidRPr="00731E39" w:rsidRDefault="00BB380C" w:rsidP="00F6612C">
            <w:pPr>
              <w:pStyle w:val="Tabletext"/>
            </w:pPr>
            <w:r w:rsidRPr="00731E39">
              <w:t>Dr</w:t>
            </w:r>
            <w:r>
              <w:t>/Cr</w:t>
            </w:r>
            <w:r w:rsidR="0093568E">
              <w:t xml:space="preserve"> Motor vehicles under </w:t>
            </w:r>
            <w:proofErr w:type="spellStart"/>
            <w:r w:rsidR="0093568E">
              <w:t>VicFleet</w:t>
            </w:r>
            <w:proofErr w:type="spellEnd"/>
            <w:r w:rsidR="0093568E">
              <w:t xml:space="preserve"> l</w:t>
            </w:r>
            <w:r w:rsidRPr="00731E39">
              <w:t xml:space="preserve">ease </w:t>
            </w:r>
            <w:r w:rsidR="0093568E">
              <w:t>a</w:t>
            </w:r>
            <w:r w:rsidRPr="00731E39">
              <w:t xml:space="preserve">ccumulated </w:t>
            </w:r>
            <w:r w:rsidR="0093568E">
              <w:t>a</w:t>
            </w:r>
            <w:r w:rsidRPr="00731E39">
              <w:t>mortisation</w:t>
            </w:r>
          </w:p>
          <w:p w:rsidR="00BB380C" w:rsidRPr="00731E39" w:rsidRDefault="00BB380C" w:rsidP="00F6612C">
            <w:pPr>
              <w:pStyle w:val="Tabletext"/>
            </w:pPr>
            <w:r w:rsidRPr="00731E39">
              <w:t>Dr</w:t>
            </w:r>
            <w:r>
              <w:t>/Cr</w:t>
            </w:r>
            <w:r w:rsidRPr="00731E39">
              <w:t xml:space="preserve"> </w:t>
            </w:r>
            <w:proofErr w:type="spellStart"/>
            <w:r w:rsidRPr="00731E39">
              <w:t>VicFleet</w:t>
            </w:r>
            <w:proofErr w:type="spellEnd"/>
            <w:r w:rsidRPr="00731E39">
              <w:t xml:space="preserve"> </w:t>
            </w:r>
            <w:r w:rsidR="0093568E">
              <w:t>motor vehicle f</w:t>
            </w:r>
            <w:r w:rsidRPr="00731E39">
              <w:t xml:space="preserve">inance </w:t>
            </w:r>
            <w:r w:rsidR="0093568E">
              <w:t>l</w:t>
            </w:r>
            <w:r w:rsidRPr="00731E39">
              <w:t xml:space="preserve">ease </w:t>
            </w:r>
            <w:r w:rsidR="0093568E">
              <w:t>l</w:t>
            </w:r>
            <w:r w:rsidRPr="00731E39">
              <w:t>iability</w:t>
            </w:r>
          </w:p>
          <w:p w:rsidR="00BB380C" w:rsidRPr="00731E39" w:rsidRDefault="00BB380C" w:rsidP="00F6612C">
            <w:pPr>
              <w:pStyle w:val="Tabletext"/>
            </w:pPr>
            <w:r w:rsidRPr="00731E39">
              <w:t xml:space="preserve">Dr </w:t>
            </w:r>
            <w:proofErr w:type="spellStart"/>
            <w:r w:rsidRPr="00731E39">
              <w:t>VicFleet</w:t>
            </w:r>
            <w:proofErr w:type="spellEnd"/>
            <w:r w:rsidR="0093568E">
              <w:t xml:space="preserve"> motor vehicle f</w:t>
            </w:r>
            <w:r w:rsidRPr="00731E39">
              <w:t xml:space="preserve">inance </w:t>
            </w:r>
            <w:r w:rsidR="0093568E">
              <w:t>l</w:t>
            </w:r>
            <w:r w:rsidRPr="00731E39">
              <w:t xml:space="preserve">ease </w:t>
            </w:r>
            <w:r w:rsidR="0093568E">
              <w:t>l</w:t>
            </w:r>
            <w:r w:rsidRPr="00731E39">
              <w:t xml:space="preserve">iability – </w:t>
            </w:r>
            <w:r w:rsidR="0093568E">
              <w:t>n</w:t>
            </w:r>
            <w:r w:rsidRPr="00731E39">
              <w:t xml:space="preserve">ew </w:t>
            </w:r>
            <w:r w:rsidR="0093568E">
              <w:t>l</w:t>
            </w:r>
            <w:r w:rsidRPr="00731E39">
              <w:t>eases</w:t>
            </w:r>
          </w:p>
          <w:p w:rsidR="00BB380C" w:rsidRPr="00731E39" w:rsidRDefault="00BB380C" w:rsidP="0093568E">
            <w:pPr>
              <w:pStyle w:val="Tabletext"/>
            </w:pPr>
            <w:r>
              <w:t xml:space="preserve">Dr/Cr Operating </w:t>
            </w:r>
            <w:r w:rsidR="0093568E">
              <w:t>s</w:t>
            </w:r>
            <w:r>
              <w:t xml:space="preserve">upplies and </w:t>
            </w:r>
            <w:r w:rsidR="0093568E">
              <w:t>c</w:t>
            </w:r>
            <w:r>
              <w:t>onsumables (for under</w:t>
            </w:r>
            <w:r w:rsidR="00132E0D">
              <w:t xml:space="preserve"> </w:t>
            </w:r>
            <w:r>
              <w:t>/</w:t>
            </w:r>
            <w:r w:rsidR="00132E0D">
              <w:t xml:space="preserve"> </w:t>
            </w:r>
            <w:r>
              <w:t>over variance</w:t>
            </w:r>
            <w:r w:rsidR="002D02F5">
              <w:t xml:space="preserve"> of lease liability – manual calculation</w:t>
            </w:r>
            <w:r>
              <w:t>)</w:t>
            </w:r>
          </w:p>
        </w:tc>
        <w:tc>
          <w:tcPr>
            <w:cnfStyle w:val="000001000000" w:firstRow="0" w:lastRow="0" w:firstColumn="0" w:lastColumn="0" w:oddVBand="0" w:evenVBand="1" w:oddHBand="0" w:evenHBand="0" w:firstRowFirstColumn="0" w:firstRowLastColumn="0" w:lastRowFirstColumn="0" w:lastRowLastColumn="0"/>
            <w:tcW w:w="2029" w:type="dxa"/>
          </w:tcPr>
          <w:p w:rsidR="00BB380C" w:rsidRPr="00731E39" w:rsidRDefault="00BB380C" w:rsidP="00F6612C">
            <w:pPr>
              <w:pStyle w:val="Tabletext"/>
            </w:pPr>
            <w:r w:rsidRPr="00731E39">
              <w:t>26912</w:t>
            </w:r>
            <w:r>
              <w:noBreakHyphen/>
            </w:r>
            <w:r w:rsidRPr="00731E39">
              <w:t>26920</w:t>
            </w:r>
          </w:p>
          <w:p w:rsidR="00BB380C" w:rsidRPr="00731E39" w:rsidRDefault="00BB380C" w:rsidP="00F6612C">
            <w:pPr>
              <w:pStyle w:val="Tabletext"/>
            </w:pPr>
            <w:r w:rsidRPr="00731E39">
              <w:t>26922</w:t>
            </w:r>
            <w:r>
              <w:noBreakHyphen/>
            </w:r>
            <w:r w:rsidRPr="00731E39">
              <w:t>26930</w:t>
            </w:r>
          </w:p>
          <w:p w:rsidR="00BB380C" w:rsidRPr="00731E39" w:rsidRDefault="00BB380C" w:rsidP="00F6612C">
            <w:pPr>
              <w:pStyle w:val="Tabletext"/>
            </w:pPr>
            <w:r w:rsidRPr="00731E39">
              <w:t>30910</w:t>
            </w:r>
            <w:r w:rsidR="0093568E">
              <w:t xml:space="preserve"> </w:t>
            </w:r>
            <w:r w:rsidRPr="00731E39">
              <w:t>/</w:t>
            </w:r>
            <w:r w:rsidR="0093568E">
              <w:t xml:space="preserve"> </w:t>
            </w:r>
            <w:r w:rsidRPr="00731E39">
              <w:t>41110</w:t>
            </w:r>
          </w:p>
          <w:p w:rsidR="00BB380C" w:rsidRPr="00731E39" w:rsidRDefault="00BB380C" w:rsidP="00F6612C">
            <w:pPr>
              <w:pStyle w:val="Tabletext"/>
            </w:pPr>
            <w:r w:rsidRPr="00731E39">
              <w:t>30915</w:t>
            </w:r>
            <w:r w:rsidR="0093568E">
              <w:t xml:space="preserve"> </w:t>
            </w:r>
            <w:r w:rsidRPr="00731E39">
              <w:t>/</w:t>
            </w:r>
            <w:r w:rsidR="0093568E">
              <w:t xml:space="preserve"> </w:t>
            </w:r>
            <w:r w:rsidRPr="00731E39">
              <w:t>41115</w:t>
            </w:r>
          </w:p>
          <w:p w:rsidR="00BB380C" w:rsidRPr="00731E39" w:rsidRDefault="00BF5437" w:rsidP="00F6612C">
            <w:pPr>
              <w:pStyle w:val="Tabletext"/>
            </w:pPr>
            <w:r>
              <w:br/>
            </w:r>
            <w:r w:rsidR="00BB380C">
              <w:t>86000</w:t>
            </w:r>
          </w:p>
        </w:tc>
        <w:tc>
          <w:tcPr>
            <w:cnfStyle w:val="000010000000" w:firstRow="0" w:lastRow="0" w:firstColumn="0" w:lastColumn="0" w:oddVBand="1" w:evenVBand="0" w:oddHBand="0" w:evenHBand="0" w:firstRowFirstColumn="0" w:firstRowLastColumn="0" w:lastRowFirstColumn="0" w:lastRowLastColumn="0"/>
            <w:tcW w:w="2160" w:type="dxa"/>
          </w:tcPr>
          <w:p w:rsidR="00BB380C" w:rsidRPr="00731E39" w:rsidRDefault="00BB380C" w:rsidP="00F6612C">
            <w:pPr>
              <w:pStyle w:val="Tabletext"/>
            </w:pPr>
            <w:r>
              <w:t>0000</w:t>
            </w:r>
          </w:p>
          <w:p w:rsidR="00BB380C" w:rsidRPr="00731E39" w:rsidRDefault="00BB380C" w:rsidP="00F6612C">
            <w:pPr>
              <w:pStyle w:val="Tabletext"/>
            </w:pPr>
            <w:r>
              <w:t>0000</w:t>
            </w:r>
          </w:p>
          <w:p w:rsidR="00BB380C" w:rsidRPr="00731E39" w:rsidRDefault="00BB380C" w:rsidP="00F6612C">
            <w:pPr>
              <w:pStyle w:val="Tabletext"/>
            </w:pPr>
            <w:r>
              <w:t>0000</w:t>
            </w:r>
          </w:p>
          <w:p w:rsidR="00BB380C" w:rsidRPr="00731E39" w:rsidRDefault="00BB380C" w:rsidP="00F6612C">
            <w:pPr>
              <w:pStyle w:val="Tabletext"/>
            </w:pPr>
            <w:r>
              <w:t>0000</w:t>
            </w:r>
          </w:p>
          <w:p w:rsidR="00BB380C" w:rsidRPr="00731E39" w:rsidRDefault="00BF5437" w:rsidP="00F6612C">
            <w:pPr>
              <w:pStyle w:val="Tabletext"/>
            </w:pPr>
            <w:r>
              <w:br/>
            </w:r>
            <w:r w:rsidR="00BB380C">
              <w:t>0000</w:t>
            </w:r>
          </w:p>
        </w:tc>
        <w:tc>
          <w:tcPr>
            <w:cnfStyle w:val="000001000000" w:firstRow="0" w:lastRow="0" w:firstColumn="0" w:lastColumn="0" w:oddVBand="0" w:evenVBand="1" w:oddHBand="0" w:evenHBand="0" w:firstRowFirstColumn="0" w:firstRowLastColumn="0" w:lastRowFirstColumn="0" w:lastRowLastColumn="0"/>
            <w:tcW w:w="3240" w:type="dxa"/>
          </w:tcPr>
          <w:p w:rsidR="00BB380C" w:rsidRPr="00731E39" w:rsidRDefault="00BB380C" w:rsidP="00F6612C">
            <w:pPr>
              <w:pStyle w:val="Tabletext"/>
              <w:rPr>
                <w:lang w:val="fr-FR"/>
              </w:rPr>
            </w:pPr>
            <w:r>
              <w:rPr>
                <w:lang w:val="fr-FR"/>
              </w:rPr>
              <w:t>Non</w:t>
            </w:r>
            <w:r>
              <w:rPr>
                <w:lang w:val="fr-FR"/>
              </w:rPr>
              <w:noBreakHyphen/>
            </w:r>
            <w:r w:rsidR="0093568E">
              <w:rPr>
                <w:lang w:val="fr-FR"/>
              </w:rPr>
              <w:t>c</w:t>
            </w:r>
            <w:r w:rsidRPr="00731E39">
              <w:rPr>
                <w:lang w:val="fr-FR"/>
              </w:rPr>
              <w:t xml:space="preserve">urrent </w:t>
            </w:r>
            <w:r w:rsidR="0093568E">
              <w:rPr>
                <w:lang w:val="fr-FR"/>
              </w:rPr>
              <w:t>a</w:t>
            </w:r>
            <w:r w:rsidRPr="00731E39">
              <w:rPr>
                <w:lang w:val="fr-FR"/>
              </w:rPr>
              <w:t>sset</w:t>
            </w:r>
          </w:p>
          <w:p w:rsidR="00BB380C" w:rsidRPr="00731E39" w:rsidRDefault="00BB380C" w:rsidP="00F6612C">
            <w:pPr>
              <w:pStyle w:val="Tabletext"/>
              <w:rPr>
                <w:lang w:val="fr-FR"/>
              </w:rPr>
            </w:pPr>
            <w:r>
              <w:rPr>
                <w:lang w:val="fr-FR"/>
              </w:rPr>
              <w:t>Non</w:t>
            </w:r>
            <w:r>
              <w:rPr>
                <w:lang w:val="fr-FR"/>
              </w:rPr>
              <w:noBreakHyphen/>
            </w:r>
            <w:r w:rsidR="0093568E">
              <w:rPr>
                <w:lang w:val="fr-FR"/>
              </w:rPr>
              <w:t>c</w:t>
            </w:r>
            <w:r w:rsidRPr="00731E39">
              <w:rPr>
                <w:lang w:val="fr-FR"/>
              </w:rPr>
              <w:t xml:space="preserve">urrent </w:t>
            </w:r>
            <w:r w:rsidR="0093568E">
              <w:rPr>
                <w:lang w:val="fr-FR"/>
              </w:rPr>
              <w:t>a</w:t>
            </w:r>
            <w:r w:rsidRPr="00731E39">
              <w:rPr>
                <w:lang w:val="fr-FR"/>
              </w:rPr>
              <w:t>sset</w:t>
            </w:r>
          </w:p>
          <w:p w:rsidR="00BB380C" w:rsidRPr="00731E39" w:rsidRDefault="00BB380C" w:rsidP="00F6612C">
            <w:pPr>
              <w:pStyle w:val="Tabletext"/>
            </w:pPr>
            <w:r w:rsidRPr="00731E39">
              <w:t>Liability</w:t>
            </w:r>
          </w:p>
          <w:p w:rsidR="00BB380C" w:rsidRPr="00731E39" w:rsidRDefault="00BB380C" w:rsidP="00F6612C">
            <w:pPr>
              <w:pStyle w:val="Tabletext"/>
            </w:pPr>
            <w:r w:rsidRPr="00731E39">
              <w:t>Liability</w:t>
            </w:r>
          </w:p>
          <w:p w:rsidR="00BB380C" w:rsidRPr="00731E39" w:rsidRDefault="00BF5437" w:rsidP="00F6612C">
            <w:pPr>
              <w:pStyle w:val="Tabletext"/>
            </w:pPr>
            <w:r>
              <w:br/>
            </w:r>
            <w:r w:rsidR="00BB380C">
              <w:t>Expense</w:t>
            </w:r>
          </w:p>
        </w:tc>
      </w:tr>
      <w:tr w:rsidR="00BB380C" w:rsidRPr="00F6612C" w:rsidTr="00F6612C">
        <w:trPr>
          <w:trHeight w:val="283"/>
        </w:trPr>
        <w:tc>
          <w:tcPr>
            <w:cnfStyle w:val="000010000000" w:firstRow="0" w:lastRow="0" w:firstColumn="0" w:lastColumn="0" w:oddVBand="1" w:evenVBand="0" w:oddHBand="0" w:evenHBand="0" w:firstRowFirstColumn="0" w:firstRowLastColumn="0" w:lastRowFirstColumn="0" w:lastRowLastColumn="0"/>
            <w:tcW w:w="14007" w:type="dxa"/>
            <w:gridSpan w:val="4"/>
          </w:tcPr>
          <w:p w:rsidR="00BB380C" w:rsidRPr="00F6612C" w:rsidRDefault="00BB380C" w:rsidP="0093568E">
            <w:pPr>
              <w:pStyle w:val="Tabletext"/>
              <w:rPr>
                <w:b/>
              </w:rPr>
            </w:pPr>
            <w:r w:rsidRPr="00F6612C">
              <w:rPr>
                <w:b/>
              </w:rPr>
              <w:t>Sale of asset</w:t>
            </w:r>
            <w:r w:rsidR="00736E97">
              <w:rPr>
                <w:b/>
              </w:rPr>
              <w:t xml:space="preserve"> </w:t>
            </w:r>
            <w:r w:rsidRPr="00F6612C">
              <w:rPr>
                <w:b/>
              </w:rPr>
              <w:t xml:space="preserve">– </w:t>
            </w:r>
            <w:r w:rsidR="0093568E">
              <w:rPr>
                <w:b/>
              </w:rPr>
              <w:t>j</w:t>
            </w:r>
            <w:r w:rsidR="00E93F5E">
              <w:rPr>
                <w:b/>
              </w:rPr>
              <w:t>ournal</w:t>
            </w:r>
            <w:r w:rsidR="00BA4826">
              <w:rPr>
                <w:b/>
              </w:rPr>
              <w:t xml:space="preserve"> provided by </w:t>
            </w:r>
            <w:proofErr w:type="spellStart"/>
            <w:r w:rsidR="00BA4826">
              <w:rPr>
                <w:b/>
              </w:rPr>
              <w:t>VicFleet</w:t>
            </w:r>
            <w:proofErr w:type="spellEnd"/>
            <w:r w:rsidR="00BA4826">
              <w:rPr>
                <w:b/>
              </w:rPr>
              <w:t xml:space="preserve"> </w:t>
            </w:r>
            <w:r w:rsidRPr="00F6612C">
              <w:rPr>
                <w:b/>
              </w:rPr>
              <w:t xml:space="preserve">(Departments </w:t>
            </w:r>
            <w:r w:rsidR="0093568E">
              <w:rPr>
                <w:b/>
              </w:rPr>
              <w:t>must u</w:t>
            </w:r>
            <w:r w:rsidRPr="00F6612C">
              <w:rPr>
                <w:b/>
              </w:rPr>
              <w:t xml:space="preserve">se </w:t>
            </w:r>
            <w:r w:rsidR="0093568E">
              <w:rPr>
                <w:b/>
              </w:rPr>
              <w:t>the trust a</w:t>
            </w:r>
            <w:r w:rsidRPr="00F6612C">
              <w:rPr>
                <w:b/>
              </w:rPr>
              <w:t>uthority</w:t>
            </w:r>
            <w:r w:rsidR="0093568E">
              <w:rPr>
                <w:b/>
              </w:rPr>
              <w:t xml:space="preserve"> segment</w:t>
            </w:r>
            <w:r w:rsidRPr="00F6612C">
              <w:rPr>
                <w:b/>
              </w:rPr>
              <w:t>)</w:t>
            </w:r>
          </w:p>
        </w:tc>
      </w:tr>
      <w:tr w:rsidR="00BB380C" w:rsidRPr="00731E39" w:rsidTr="00314B6A">
        <w:trPr>
          <w:trHeight w:val="1384"/>
        </w:trPr>
        <w:tc>
          <w:tcPr>
            <w:cnfStyle w:val="000010000000" w:firstRow="0" w:lastRow="0" w:firstColumn="0" w:lastColumn="0" w:oddVBand="1" w:evenVBand="0" w:oddHBand="0" w:evenHBand="0" w:firstRowFirstColumn="0" w:firstRowLastColumn="0" w:lastRowFirstColumn="0" w:lastRowLastColumn="0"/>
            <w:tcW w:w="6578" w:type="dxa"/>
          </w:tcPr>
          <w:p w:rsidR="00BB380C" w:rsidRPr="00731E39" w:rsidRDefault="00BB380C" w:rsidP="00F6612C">
            <w:pPr>
              <w:pStyle w:val="Tabletext"/>
            </w:pPr>
            <w:r w:rsidRPr="00731E39">
              <w:t xml:space="preserve">Dr Gross </w:t>
            </w:r>
            <w:r w:rsidR="0093568E">
              <w:t>v</w:t>
            </w:r>
            <w:r w:rsidRPr="00731E39">
              <w:t xml:space="preserve">alue of </w:t>
            </w:r>
            <w:r w:rsidR="00132E0D">
              <w:t>a</w:t>
            </w:r>
            <w:r w:rsidRPr="00731E39">
              <w:t xml:space="preserve">ssets </w:t>
            </w:r>
            <w:r w:rsidR="00132E0D">
              <w:t>d</w:t>
            </w:r>
            <w:r w:rsidRPr="00731E39">
              <w:t xml:space="preserve">isposed – </w:t>
            </w:r>
            <w:r w:rsidR="00132E0D">
              <w:t>p</w:t>
            </w:r>
            <w:r w:rsidRPr="00731E39">
              <w:t>lant</w:t>
            </w:r>
            <w:r w:rsidR="00132E0D">
              <w:t>,</w:t>
            </w:r>
            <w:r w:rsidRPr="00731E39">
              <w:t xml:space="preserve"> </w:t>
            </w:r>
            <w:r w:rsidR="00132E0D">
              <w:t>e</w:t>
            </w:r>
            <w:r w:rsidRPr="00731E39">
              <w:t xml:space="preserve">quipment and </w:t>
            </w:r>
            <w:r w:rsidR="00132E0D">
              <w:t>m</w:t>
            </w:r>
            <w:r w:rsidRPr="00731E39">
              <w:t xml:space="preserve">otor </w:t>
            </w:r>
            <w:r w:rsidR="00132E0D">
              <w:t>v</w:t>
            </w:r>
            <w:r w:rsidRPr="00731E39">
              <w:t>ehicles</w:t>
            </w:r>
          </w:p>
          <w:p w:rsidR="00BB380C" w:rsidRPr="00731E39" w:rsidRDefault="00BB380C" w:rsidP="00F6612C">
            <w:pPr>
              <w:pStyle w:val="Tabletext"/>
            </w:pPr>
            <w:r w:rsidRPr="00731E39">
              <w:t xml:space="preserve">Cr </w:t>
            </w:r>
            <w:r w:rsidR="00132E0D">
              <w:t>A</w:t>
            </w:r>
            <w:r w:rsidRPr="00731E39">
              <w:t xml:space="preserve">ccumulated </w:t>
            </w:r>
            <w:r w:rsidR="00132E0D">
              <w:t>d</w:t>
            </w:r>
            <w:r w:rsidRPr="00731E39">
              <w:t xml:space="preserve">epreciation </w:t>
            </w:r>
            <w:r w:rsidR="00132E0D">
              <w:t>a</w:t>
            </w:r>
            <w:r w:rsidRPr="00731E39">
              <w:t xml:space="preserve">ssets </w:t>
            </w:r>
            <w:r w:rsidR="00132E0D">
              <w:t>d</w:t>
            </w:r>
            <w:r w:rsidRPr="00731E39">
              <w:t>isposed</w:t>
            </w:r>
          </w:p>
          <w:p w:rsidR="00BB380C" w:rsidRPr="00731E39" w:rsidRDefault="00BB380C" w:rsidP="00F6612C">
            <w:pPr>
              <w:pStyle w:val="Tabletext"/>
            </w:pPr>
            <w:r w:rsidRPr="00731E39">
              <w:t xml:space="preserve">Cr Gross </w:t>
            </w:r>
            <w:r w:rsidR="00132E0D">
              <w:t>s</w:t>
            </w:r>
            <w:r w:rsidRPr="00731E39">
              <w:t xml:space="preserve">ale </w:t>
            </w:r>
            <w:r w:rsidR="00132E0D">
              <w:t>p</w:t>
            </w:r>
            <w:r w:rsidRPr="00731E39">
              <w:t xml:space="preserve">roceeds – </w:t>
            </w:r>
            <w:r w:rsidR="00132E0D">
              <w:t>p</w:t>
            </w:r>
            <w:r w:rsidRPr="00731E39">
              <w:t>lant</w:t>
            </w:r>
            <w:r w:rsidR="00132E0D">
              <w:t>,</w:t>
            </w:r>
            <w:r w:rsidRPr="00731E39">
              <w:t xml:space="preserve"> </w:t>
            </w:r>
            <w:r w:rsidR="00132E0D">
              <w:t>e</w:t>
            </w:r>
            <w:r w:rsidRPr="00731E39">
              <w:t xml:space="preserve">quipment and </w:t>
            </w:r>
            <w:r w:rsidR="00132E0D">
              <w:t>m</w:t>
            </w:r>
            <w:r w:rsidRPr="00731E39">
              <w:t xml:space="preserve">otor </w:t>
            </w:r>
            <w:r w:rsidR="00132E0D">
              <w:t>v</w:t>
            </w:r>
            <w:r w:rsidRPr="00731E39">
              <w:t>ehicles</w:t>
            </w:r>
          </w:p>
          <w:p w:rsidR="00BB380C" w:rsidRPr="00731E39" w:rsidRDefault="00132E0D" w:rsidP="00F6612C">
            <w:pPr>
              <w:pStyle w:val="Tabletext"/>
            </w:pPr>
            <w:r>
              <w:t xml:space="preserve">Dr </w:t>
            </w:r>
            <w:proofErr w:type="spellStart"/>
            <w:r>
              <w:t>VicFleet</w:t>
            </w:r>
            <w:proofErr w:type="spellEnd"/>
            <w:r>
              <w:t xml:space="preserve"> motor vehicle</w:t>
            </w:r>
            <w:r w:rsidR="00BB380C" w:rsidRPr="00731E39">
              <w:t xml:space="preserve"> </w:t>
            </w:r>
            <w:r>
              <w:t>f</w:t>
            </w:r>
            <w:r w:rsidR="00BB380C" w:rsidRPr="00731E39">
              <w:t xml:space="preserve">inance </w:t>
            </w:r>
            <w:r>
              <w:t>l</w:t>
            </w:r>
            <w:r w:rsidR="00BB380C" w:rsidRPr="00731E39">
              <w:t xml:space="preserve">ease </w:t>
            </w:r>
            <w:r>
              <w:t>l</w:t>
            </w:r>
            <w:r w:rsidR="00BB380C" w:rsidRPr="00731E39">
              <w:t>iability</w:t>
            </w:r>
          </w:p>
          <w:p w:rsidR="00BB380C" w:rsidRDefault="007A2755" w:rsidP="00F6612C">
            <w:pPr>
              <w:pStyle w:val="Tabletext"/>
            </w:pPr>
            <w:r>
              <w:t xml:space="preserve">Dr/Cr Operating </w:t>
            </w:r>
            <w:r w:rsidR="00132E0D">
              <w:t>s</w:t>
            </w:r>
            <w:r>
              <w:t xml:space="preserve">upplies and </w:t>
            </w:r>
            <w:r w:rsidR="00132E0D">
              <w:t>c</w:t>
            </w:r>
            <w:r>
              <w:t>onsumables (for under/over</w:t>
            </w:r>
            <w:r w:rsidR="00132E0D">
              <w:t xml:space="preserve"> variance of lease liability – m</w:t>
            </w:r>
            <w:r>
              <w:t>anual calculation)</w:t>
            </w:r>
          </w:p>
          <w:p w:rsidR="00990373" w:rsidRDefault="00990373" w:rsidP="00990373">
            <w:pPr>
              <w:pStyle w:val="Tabletext"/>
            </w:pPr>
            <w:r>
              <w:t xml:space="preserve">Dr/Cr Trust </w:t>
            </w:r>
            <w:r w:rsidR="00132E0D">
              <w:t>f</w:t>
            </w:r>
            <w:r>
              <w:t xml:space="preserve">und </w:t>
            </w:r>
            <w:r w:rsidR="00132E0D">
              <w:t>i</w:t>
            </w:r>
            <w:r>
              <w:t>nter-</w:t>
            </w:r>
            <w:r w:rsidR="00132E0D">
              <w:t>e</w:t>
            </w:r>
            <w:r>
              <w:t>ntity</w:t>
            </w:r>
            <w:r w:rsidR="00132E0D">
              <w:t xml:space="preserve"> account</w:t>
            </w:r>
          </w:p>
          <w:p w:rsidR="00990373" w:rsidRDefault="00990373" w:rsidP="00990373">
            <w:pPr>
              <w:pStyle w:val="Tabletext"/>
            </w:pPr>
            <w:r>
              <w:t xml:space="preserve">Dr/Cr Accounts </w:t>
            </w:r>
            <w:r w:rsidR="00132E0D">
              <w:t>p</w:t>
            </w:r>
            <w:r>
              <w:t>ayable</w:t>
            </w:r>
          </w:p>
          <w:p w:rsidR="00990373" w:rsidRPr="00731E39" w:rsidRDefault="00990373" w:rsidP="00132E0D">
            <w:pPr>
              <w:pStyle w:val="Tabletext"/>
            </w:pPr>
            <w:r>
              <w:t xml:space="preserve">Dr/Cr SAU </w:t>
            </w:r>
            <w:r w:rsidR="00132E0D">
              <w:t>i</w:t>
            </w:r>
            <w:r>
              <w:t>nter</w:t>
            </w:r>
            <w:r w:rsidR="00132E0D">
              <w:t>-e</w:t>
            </w:r>
            <w:r>
              <w:t>ntity</w:t>
            </w:r>
            <w:r w:rsidR="00132E0D">
              <w:t xml:space="preserve"> account</w:t>
            </w:r>
          </w:p>
        </w:tc>
        <w:tc>
          <w:tcPr>
            <w:cnfStyle w:val="000001000000" w:firstRow="0" w:lastRow="0" w:firstColumn="0" w:lastColumn="0" w:oddVBand="0" w:evenVBand="1" w:oddHBand="0" w:evenHBand="0" w:firstRowFirstColumn="0" w:firstRowLastColumn="0" w:lastRowFirstColumn="0" w:lastRowLastColumn="0"/>
            <w:tcW w:w="2029" w:type="dxa"/>
          </w:tcPr>
          <w:p w:rsidR="00BB380C" w:rsidRPr="00731E39" w:rsidRDefault="00BB380C" w:rsidP="00F6612C">
            <w:pPr>
              <w:pStyle w:val="Tabletext"/>
            </w:pPr>
            <w:r w:rsidRPr="00731E39">
              <w:t>77300</w:t>
            </w:r>
          </w:p>
          <w:p w:rsidR="00BB380C" w:rsidRPr="00731E39" w:rsidRDefault="00BB380C" w:rsidP="00F6612C">
            <w:pPr>
              <w:pStyle w:val="Tabletext"/>
            </w:pPr>
            <w:r w:rsidRPr="00731E39">
              <w:t>77350</w:t>
            </w:r>
          </w:p>
          <w:p w:rsidR="00BB380C" w:rsidRPr="00731E39" w:rsidRDefault="00BB380C" w:rsidP="00F6612C">
            <w:pPr>
              <w:pStyle w:val="Tabletext"/>
            </w:pPr>
            <w:r w:rsidRPr="00731E39">
              <w:t>76500</w:t>
            </w:r>
          </w:p>
          <w:p w:rsidR="00BB380C" w:rsidRPr="00731E39" w:rsidRDefault="00BB380C" w:rsidP="00F6612C">
            <w:pPr>
              <w:pStyle w:val="Tabletext"/>
            </w:pPr>
            <w:r w:rsidRPr="00731E39">
              <w:t>30910</w:t>
            </w:r>
            <w:r w:rsidR="00132E0D">
              <w:t xml:space="preserve"> </w:t>
            </w:r>
            <w:r w:rsidRPr="00731E39">
              <w:t>/</w:t>
            </w:r>
            <w:r w:rsidR="00132E0D">
              <w:t xml:space="preserve"> </w:t>
            </w:r>
            <w:r w:rsidRPr="00731E39">
              <w:t>41110</w:t>
            </w:r>
          </w:p>
          <w:p w:rsidR="007A2755" w:rsidRDefault="00BF5437" w:rsidP="007A2755">
            <w:pPr>
              <w:pStyle w:val="Tabletext"/>
            </w:pPr>
            <w:r>
              <w:br/>
              <w:t>86000</w:t>
            </w:r>
          </w:p>
          <w:p w:rsidR="007A2755" w:rsidRDefault="007A2755" w:rsidP="007A2755">
            <w:pPr>
              <w:pStyle w:val="Tabletext"/>
            </w:pPr>
            <w:r>
              <w:t>45500</w:t>
            </w:r>
          </w:p>
          <w:p w:rsidR="007A2755" w:rsidRDefault="007A2755" w:rsidP="007A2755">
            <w:pPr>
              <w:pStyle w:val="Tabletext"/>
            </w:pPr>
            <w:r>
              <w:t>30110</w:t>
            </w:r>
          </w:p>
          <w:p w:rsidR="00BB380C" w:rsidRPr="00731E39" w:rsidRDefault="007A2755" w:rsidP="007A2755">
            <w:pPr>
              <w:pStyle w:val="Tabletext"/>
            </w:pPr>
            <w:r>
              <w:t>45000</w:t>
            </w:r>
          </w:p>
        </w:tc>
        <w:tc>
          <w:tcPr>
            <w:cnfStyle w:val="000010000000" w:firstRow="0" w:lastRow="0" w:firstColumn="0" w:lastColumn="0" w:oddVBand="1" w:evenVBand="0" w:oddHBand="0" w:evenHBand="0" w:firstRowFirstColumn="0" w:firstRowLastColumn="0" w:lastRowFirstColumn="0" w:lastRowLastColumn="0"/>
            <w:tcW w:w="2160" w:type="dxa"/>
          </w:tcPr>
          <w:p w:rsidR="00BB380C" w:rsidRPr="00731E39" w:rsidRDefault="00BB380C" w:rsidP="00F6612C">
            <w:pPr>
              <w:pStyle w:val="Tabletext"/>
            </w:pPr>
            <w:r>
              <w:t>4602</w:t>
            </w:r>
          </w:p>
          <w:p w:rsidR="00BB380C" w:rsidRPr="00731E39" w:rsidRDefault="00BB380C" w:rsidP="00F6612C">
            <w:pPr>
              <w:pStyle w:val="Tabletext"/>
            </w:pPr>
            <w:r>
              <w:t>4602</w:t>
            </w:r>
          </w:p>
          <w:p w:rsidR="00BB380C" w:rsidRPr="00731E39" w:rsidRDefault="00BB380C" w:rsidP="00F6612C">
            <w:pPr>
              <w:pStyle w:val="Tabletext"/>
            </w:pPr>
            <w:r>
              <w:t>4602</w:t>
            </w:r>
          </w:p>
          <w:p w:rsidR="00BB380C" w:rsidRPr="00731E39" w:rsidRDefault="00BB380C" w:rsidP="00F6612C">
            <w:pPr>
              <w:pStyle w:val="Tabletext"/>
            </w:pPr>
            <w:r>
              <w:t>4602</w:t>
            </w:r>
          </w:p>
          <w:p w:rsidR="00BB380C" w:rsidRDefault="00BF5437" w:rsidP="00F6612C">
            <w:pPr>
              <w:pStyle w:val="Tabletext"/>
            </w:pPr>
            <w:r>
              <w:br/>
            </w:r>
            <w:r w:rsidR="00BB380C">
              <w:t>4602</w:t>
            </w:r>
          </w:p>
          <w:p w:rsidR="00D64488" w:rsidRDefault="00D64488" w:rsidP="00D64488">
            <w:pPr>
              <w:pStyle w:val="Tabletext"/>
            </w:pPr>
            <w:r>
              <w:t>4602</w:t>
            </w:r>
          </w:p>
          <w:p w:rsidR="00D64488" w:rsidRDefault="00D64488" w:rsidP="00D64488">
            <w:pPr>
              <w:pStyle w:val="Tabletext"/>
            </w:pPr>
            <w:r>
              <w:t>3000</w:t>
            </w:r>
          </w:p>
          <w:p w:rsidR="00D64488" w:rsidRPr="00731E39" w:rsidRDefault="00D64488" w:rsidP="00D64488">
            <w:pPr>
              <w:pStyle w:val="Tabletext"/>
            </w:pPr>
            <w:r>
              <w:t>3000</w:t>
            </w:r>
          </w:p>
        </w:tc>
        <w:tc>
          <w:tcPr>
            <w:cnfStyle w:val="000001000000" w:firstRow="0" w:lastRow="0" w:firstColumn="0" w:lastColumn="0" w:oddVBand="0" w:evenVBand="1" w:oddHBand="0" w:evenHBand="0" w:firstRowFirstColumn="0" w:firstRowLastColumn="0" w:lastRowFirstColumn="0" w:lastRowLastColumn="0"/>
            <w:tcW w:w="3240" w:type="dxa"/>
          </w:tcPr>
          <w:p w:rsidR="00BB380C" w:rsidRPr="00731E39" w:rsidRDefault="00BB380C" w:rsidP="00F6612C">
            <w:pPr>
              <w:pStyle w:val="Tabletext"/>
            </w:pPr>
            <w:r w:rsidRPr="00731E39">
              <w:t>Revenue</w:t>
            </w:r>
          </w:p>
          <w:p w:rsidR="00BB380C" w:rsidRPr="00731E39" w:rsidRDefault="00BB380C" w:rsidP="00F6612C">
            <w:pPr>
              <w:pStyle w:val="Tabletext"/>
            </w:pPr>
            <w:r w:rsidRPr="00731E39">
              <w:t>Revenue</w:t>
            </w:r>
          </w:p>
          <w:p w:rsidR="00BB380C" w:rsidRPr="00731E39" w:rsidRDefault="00BB380C" w:rsidP="00F6612C">
            <w:pPr>
              <w:pStyle w:val="Tabletext"/>
            </w:pPr>
            <w:r w:rsidRPr="00731E39">
              <w:t>Revenue</w:t>
            </w:r>
          </w:p>
          <w:p w:rsidR="00BB380C" w:rsidRPr="00731E39" w:rsidRDefault="00BB380C" w:rsidP="00F6612C">
            <w:pPr>
              <w:pStyle w:val="Tabletext"/>
            </w:pPr>
            <w:r w:rsidRPr="00731E39">
              <w:t>Liability</w:t>
            </w:r>
          </w:p>
          <w:p w:rsidR="00BB380C" w:rsidRDefault="00BF5437" w:rsidP="00F6612C">
            <w:pPr>
              <w:pStyle w:val="Tabletext"/>
            </w:pPr>
            <w:r>
              <w:br/>
            </w:r>
            <w:r w:rsidR="007A2755">
              <w:t>Expense</w:t>
            </w:r>
          </w:p>
          <w:p w:rsidR="00D64488" w:rsidRDefault="00D64488" w:rsidP="00D64488">
            <w:pPr>
              <w:pStyle w:val="Tabletext"/>
            </w:pPr>
            <w:r>
              <w:t>Liability</w:t>
            </w:r>
          </w:p>
          <w:p w:rsidR="00D64488" w:rsidRDefault="00D64488" w:rsidP="00D64488">
            <w:pPr>
              <w:pStyle w:val="Tabletext"/>
            </w:pPr>
            <w:r>
              <w:t>Liability</w:t>
            </w:r>
          </w:p>
          <w:p w:rsidR="00D64488" w:rsidRPr="00731E39" w:rsidRDefault="00D64488" w:rsidP="00D64488">
            <w:pPr>
              <w:pStyle w:val="Tabletext"/>
            </w:pPr>
            <w:r>
              <w:t>Liability</w:t>
            </w:r>
          </w:p>
        </w:tc>
      </w:tr>
      <w:tr w:rsidR="00BB380C" w:rsidRPr="00F6612C" w:rsidTr="00314B6A">
        <w:trPr>
          <w:trHeight w:val="312"/>
        </w:trPr>
        <w:tc>
          <w:tcPr>
            <w:cnfStyle w:val="000010000000" w:firstRow="0" w:lastRow="0" w:firstColumn="0" w:lastColumn="0" w:oddVBand="1" w:evenVBand="0" w:oddHBand="0" w:evenHBand="0" w:firstRowFirstColumn="0" w:firstRowLastColumn="0" w:lastRowFirstColumn="0" w:lastRowLastColumn="0"/>
            <w:tcW w:w="6578" w:type="dxa"/>
          </w:tcPr>
          <w:p w:rsidR="00BB380C" w:rsidRPr="00F6612C" w:rsidRDefault="00BB380C" w:rsidP="00F6612C">
            <w:pPr>
              <w:pStyle w:val="Tabletext"/>
              <w:rPr>
                <w:b/>
              </w:rPr>
            </w:pPr>
            <w:r w:rsidRPr="00F6612C">
              <w:rPr>
                <w:b/>
              </w:rPr>
              <w:t xml:space="preserve">Recognising </w:t>
            </w:r>
            <w:r w:rsidR="006E217D" w:rsidRPr="00F6612C">
              <w:rPr>
                <w:b/>
              </w:rPr>
              <w:t>under</w:t>
            </w:r>
            <w:r w:rsidR="00BA4826">
              <w:rPr>
                <w:b/>
              </w:rPr>
              <w:t xml:space="preserve"> </w:t>
            </w:r>
            <w:r w:rsidR="006E217D" w:rsidRPr="00F6612C">
              <w:rPr>
                <w:b/>
              </w:rPr>
              <w:t>/</w:t>
            </w:r>
            <w:r w:rsidR="00BA4826">
              <w:rPr>
                <w:b/>
              </w:rPr>
              <w:t xml:space="preserve"> </w:t>
            </w:r>
            <w:r w:rsidR="006E217D" w:rsidRPr="00F6612C">
              <w:rPr>
                <w:b/>
              </w:rPr>
              <w:t xml:space="preserve">over </w:t>
            </w:r>
            <w:r w:rsidR="00D64488">
              <w:rPr>
                <w:b/>
              </w:rPr>
              <w:t xml:space="preserve">operating </w:t>
            </w:r>
            <w:r w:rsidRPr="00F6612C">
              <w:rPr>
                <w:b/>
              </w:rPr>
              <w:t>costs over the life of the leased vehicle</w:t>
            </w:r>
          </w:p>
        </w:tc>
        <w:tc>
          <w:tcPr>
            <w:cnfStyle w:val="000001000000" w:firstRow="0" w:lastRow="0" w:firstColumn="0" w:lastColumn="0" w:oddVBand="0" w:evenVBand="1" w:oddHBand="0" w:evenHBand="0" w:firstRowFirstColumn="0" w:firstRowLastColumn="0" w:lastRowFirstColumn="0" w:lastRowLastColumn="0"/>
            <w:tcW w:w="2029" w:type="dxa"/>
          </w:tcPr>
          <w:p w:rsidR="00BB380C" w:rsidRPr="00F6612C" w:rsidRDefault="00BB380C" w:rsidP="00F6612C">
            <w:pPr>
              <w:pStyle w:val="Tabletext"/>
              <w:rPr>
                <w:b/>
              </w:rPr>
            </w:pPr>
          </w:p>
        </w:tc>
        <w:tc>
          <w:tcPr>
            <w:cnfStyle w:val="000010000000" w:firstRow="0" w:lastRow="0" w:firstColumn="0" w:lastColumn="0" w:oddVBand="1" w:evenVBand="0" w:oddHBand="0" w:evenHBand="0" w:firstRowFirstColumn="0" w:firstRowLastColumn="0" w:lastRowFirstColumn="0" w:lastRowLastColumn="0"/>
            <w:tcW w:w="2160" w:type="dxa"/>
          </w:tcPr>
          <w:p w:rsidR="00BB380C" w:rsidRPr="00F6612C" w:rsidRDefault="00BB380C" w:rsidP="00F6612C">
            <w:pPr>
              <w:pStyle w:val="Tabletext"/>
              <w:rPr>
                <w:b/>
              </w:rPr>
            </w:pPr>
          </w:p>
        </w:tc>
        <w:tc>
          <w:tcPr>
            <w:cnfStyle w:val="000001000000" w:firstRow="0" w:lastRow="0" w:firstColumn="0" w:lastColumn="0" w:oddVBand="0" w:evenVBand="1" w:oddHBand="0" w:evenHBand="0" w:firstRowFirstColumn="0" w:firstRowLastColumn="0" w:lastRowFirstColumn="0" w:lastRowLastColumn="0"/>
            <w:tcW w:w="3240" w:type="dxa"/>
          </w:tcPr>
          <w:p w:rsidR="00BB380C" w:rsidRPr="00F6612C" w:rsidRDefault="00BB380C" w:rsidP="00F6612C">
            <w:pPr>
              <w:pStyle w:val="Tabletext"/>
              <w:rPr>
                <w:b/>
              </w:rPr>
            </w:pPr>
          </w:p>
        </w:tc>
      </w:tr>
      <w:tr w:rsidR="00BB380C" w:rsidRPr="00731E39" w:rsidTr="00314B6A">
        <w:trPr>
          <w:trHeight w:val="398"/>
        </w:trPr>
        <w:tc>
          <w:tcPr>
            <w:cnfStyle w:val="000010000000" w:firstRow="0" w:lastRow="0" w:firstColumn="0" w:lastColumn="0" w:oddVBand="1" w:evenVBand="0" w:oddHBand="0" w:evenHBand="0" w:firstRowFirstColumn="0" w:firstRowLastColumn="0" w:lastRowFirstColumn="0" w:lastRowLastColumn="0"/>
            <w:tcW w:w="6578" w:type="dxa"/>
          </w:tcPr>
          <w:p w:rsidR="00BB380C" w:rsidRDefault="00BB380C" w:rsidP="00F6612C">
            <w:pPr>
              <w:pStyle w:val="Tabletext"/>
              <w:rPr>
                <w:b/>
                <w:bCs/>
              </w:rPr>
            </w:pPr>
            <w:r w:rsidRPr="00731E39">
              <w:t xml:space="preserve">Dr/Cr Accounts </w:t>
            </w:r>
            <w:r w:rsidR="00BA4826">
              <w:t>p</w:t>
            </w:r>
            <w:r w:rsidRPr="00731E39">
              <w:t>ayable</w:t>
            </w:r>
            <w:r w:rsidRPr="00731E39">
              <w:rPr>
                <w:b/>
                <w:bCs/>
              </w:rPr>
              <w:t xml:space="preserve"> </w:t>
            </w:r>
          </w:p>
          <w:p w:rsidR="00D64488" w:rsidRPr="00387A01" w:rsidRDefault="005B7A5A" w:rsidP="00F6612C">
            <w:pPr>
              <w:pStyle w:val="Tabletext"/>
              <w:rPr>
                <w:bCs/>
              </w:rPr>
            </w:pPr>
            <w:r w:rsidRPr="00387A01">
              <w:rPr>
                <w:bCs/>
              </w:rPr>
              <w:t xml:space="preserve">Dr/Cr SAU </w:t>
            </w:r>
            <w:r w:rsidR="00BA4826">
              <w:rPr>
                <w:bCs/>
              </w:rPr>
              <w:t>i</w:t>
            </w:r>
            <w:r w:rsidRPr="00387A01">
              <w:rPr>
                <w:bCs/>
              </w:rPr>
              <w:t>nter-</w:t>
            </w:r>
            <w:r w:rsidR="00BA4826">
              <w:rPr>
                <w:bCs/>
              </w:rPr>
              <w:t>e</w:t>
            </w:r>
            <w:r w:rsidRPr="00387A01">
              <w:rPr>
                <w:bCs/>
              </w:rPr>
              <w:t>ntity</w:t>
            </w:r>
          </w:p>
          <w:p w:rsidR="00BB380C" w:rsidRDefault="00BB380C" w:rsidP="00F6612C">
            <w:pPr>
              <w:pStyle w:val="Tabletext"/>
            </w:pPr>
            <w:r w:rsidRPr="00731E39">
              <w:t xml:space="preserve">Dr/Cr Operating </w:t>
            </w:r>
            <w:r w:rsidR="00BA4826">
              <w:t>s</w:t>
            </w:r>
            <w:r w:rsidRPr="00731E39">
              <w:t xml:space="preserve">upplies and </w:t>
            </w:r>
            <w:r w:rsidR="00BA4826">
              <w:t>c</w:t>
            </w:r>
            <w:r w:rsidRPr="00731E39">
              <w:t>onsumables</w:t>
            </w:r>
            <w:r w:rsidR="00413A48">
              <w:t xml:space="preserve"> </w:t>
            </w:r>
            <w:r w:rsidRPr="00731E39">
              <w:t>(for under</w:t>
            </w:r>
            <w:r w:rsidR="00BA4826">
              <w:t xml:space="preserve"> </w:t>
            </w:r>
            <w:r w:rsidRPr="00731E39">
              <w:t>/</w:t>
            </w:r>
            <w:r w:rsidR="00BA4826">
              <w:t xml:space="preserve"> </w:t>
            </w:r>
            <w:r w:rsidRPr="00731E39">
              <w:t>over variance)</w:t>
            </w:r>
          </w:p>
          <w:p w:rsidR="005B7A5A" w:rsidRPr="00731E39" w:rsidRDefault="005B7A5A" w:rsidP="00BA4826">
            <w:pPr>
              <w:pStyle w:val="Tabletext"/>
            </w:pPr>
            <w:r>
              <w:t xml:space="preserve">Dr/Cr Trust </w:t>
            </w:r>
            <w:r w:rsidR="00BA4826">
              <w:t>f</w:t>
            </w:r>
            <w:r>
              <w:t xml:space="preserve">und </w:t>
            </w:r>
            <w:r w:rsidR="00BA4826">
              <w:t>i</w:t>
            </w:r>
            <w:r>
              <w:t>nter-</w:t>
            </w:r>
            <w:r w:rsidR="00BA4826">
              <w:t>e</w:t>
            </w:r>
            <w:r>
              <w:t>ntity</w:t>
            </w:r>
          </w:p>
        </w:tc>
        <w:tc>
          <w:tcPr>
            <w:cnfStyle w:val="000001000000" w:firstRow="0" w:lastRow="0" w:firstColumn="0" w:lastColumn="0" w:oddVBand="0" w:evenVBand="1" w:oddHBand="0" w:evenHBand="0" w:firstRowFirstColumn="0" w:firstRowLastColumn="0" w:lastRowFirstColumn="0" w:lastRowLastColumn="0"/>
            <w:tcW w:w="2029" w:type="dxa"/>
          </w:tcPr>
          <w:p w:rsidR="00BB380C" w:rsidRPr="00731E39" w:rsidRDefault="00BB380C" w:rsidP="00F6612C">
            <w:pPr>
              <w:pStyle w:val="Tabletext"/>
            </w:pPr>
            <w:r w:rsidRPr="00731E39">
              <w:t>301</w:t>
            </w:r>
            <w:r>
              <w:t>1</w:t>
            </w:r>
            <w:r w:rsidRPr="00731E39">
              <w:t>0</w:t>
            </w:r>
          </w:p>
          <w:p w:rsidR="005B7A5A" w:rsidRDefault="005B7A5A" w:rsidP="00F6612C">
            <w:pPr>
              <w:pStyle w:val="Tabletext"/>
            </w:pPr>
            <w:r>
              <w:t>45000</w:t>
            </w:r>
          </w:p>
          <w:p w:rsidR="00BB380C" w:rsidRDefault="00BB380C" w:rsidP="00F6612C">
            <w:pPr>
              <w:pStyle w:val="Tabletext"/>
            </w:pPr>
            <w:r w:rsidRPr="00731E39">
              <w:t>86000</w:t>
            </w:r>
          </w:p>
          <w:p w:rsidR="005B7A5A" w:rsidRPr="00731E39" w:rsidRDefault="005B7A5A" w:rsidP="00F6612C">
            <w:pPr>
              <w:pStyle w:val="Tabletext"/>
            </w:pPr>
            <w:r>
              <w:t>45500</w:t>
            </w:r>
          </w:p>
        </w:tc>
        <w:tc>
          <w:tcPr>
            <w:cnfStyle w:val="000010000000" w:firstRow="0" w:lastRow="0" w:firstColumn="0" w:lastColumn="0" w:oddVBand="1" w:evenVBand="0" w:oddHBand="0" w:evenHBand="0" w:firstRowFirstColumn="0" w:firstRowLastColumn="0" w:lastRowFirstColumn="0" w:lastRowLastColumn="0"/>
            <w:tcW w:w="2160" w:type="dxa"/>
          </w:tcPr>
          <w:p w:rsidR="00D64488" w:rsidRDefault="00D64488" w:rsidP="00F6612C">
            <w:pPr>
              <w:pStyle w:val="Tabletext"/>
            </w:pPr>
            <w:r>
              <w:t>3000</w:t>
            </w:r>
          </w:p>
          <w:p w:rsidR="005B7A5A" w:rsidRDefault="005B7A5A" w:rsidP="00F6612C">
            <w:pPr>
              <w:pStyle w:val="Tabletext"/>
            </w:pPr>
            <w:r>
              <w:t>3000</w:t>
            </w:r>
          </w:p>
          <w:p w:rsidR="00BB380C" w:rsidRPr="00731E39" w:rsidRDefault="00BB380C" w:rsidP="00F6612C">
            <w:pPr>
              <w:pStyle w:val="Tabletext"/>
            </w:pPr>
            <w:r>
              <w:t>4602</w:t>
            </w:r>
          </w:p>
          <w:p w:rsidR="00BB380C" w:rsidRPr="00731E39" w:rsidRDefault="00BB380C" w:rsidP="00F6612C">
            <w:pPr>
              <w:pStyle w:val="Tabletext"/>
            </w:pPr>
            <w:r>
              <w:t>4602</w:t>
            </w:r>
          </w:p>
        </w:tc>
        <w:tc>
          <w:tcPr>
            <w:cnfStyle w:val="000001000000" w:firstRow="0" w:lastRow="0" w:firstColumn="0" w:lastColumn="0" w:oddVBand="0" w:evenVBand="1" w:oddHBand="0" w:evenHBand="0" w:firstRowFirstColumn="0" w:firstRowLastColumn="0" w:lastRowFirstColumn="0" w:lastRowLastColumn="0"/>
            <w:tcW w:w="3240" w:type="dxa"/>
          </w:tcPr>
          <w:p w:rsidR="00BB380C" w:rsidRPr="00731E39" w:rsidRDefault="00BB380C" w:rsidP="00F6612C">
            <w:pPr>
              <w:pStyle w:val="Tabletext"/>
            </w:pPr>
            <w:r w:rsidRPr="00731E39">
              <w:t>Liability</w:t>
            </w:r>
          </w:p>
          <w:p w:rsidR="00BB380C" w:rsidRDefault="00BB380C" w:rsidP="00F6612C">
            <w:pPr>
              <w:pStyle w:val="Tabletext"/>
            </w:pPr>
            <w:r w:rsidRPr="00731E39">
              <w:t>Expense</w:t>
            </w:r>
          </w:p>
          <w:p w:rsidR="005B7A5A" w:rsidRDefault="005B7A5A" w:rsidP="00F6612C">
            <w:pPr>
              <w:pStyle w:val="Tabletext"/>
            </w:pPr>
            <w:r w:rsidRPr="00731E39">
              <w:t>Expense</w:t>
            </w:r>
          </w:p>
          <w:p w:rsidR="005B7A5A" w:rsidRPr="00731E39" w:rsidRDefault="005B7A5A" w:rsidP="00F6612C">
            <w:pPr>
              <w:pStyle w:val="Tabletext"/>
            </w:pPr>
            <w:r>
              <w:t>Liability</w:t>
            </w:r>
          </w:p>
        </w:tc>
      </w:tr>
      <w:tr w:rsidR="006E217D" w:rsidRPr="006E217D" w:rsidTr="00314B6A">
        <w:tblPrEx>
          <w:tblLook w:val="0620" w:firstRow="1" w:lastRow="0" w:firstColumn="0" w:lastColumn="0" w:noHBand="1" w:noVBand="1"/>
        </w:tblPrEx>
        <w:trPr>
          <w:cantSplit/>
        </w:trPr>
        <w:tc>
          <w:tcPr>
            <w:tcW w:w="6578" w:type="dxa"/>
          </w:tcPr>
          <w:p w:rsidR="006E217D" w:rsidRPr="006E217D" w:rsidRDefault="006E217D" w:rsidP="00BA4826">
            <w:pPr>
              <w:pStyle w:val="Tabletext"/>
              <w:keepNext/>
              <w:rPr>
                <w:b/>
              </w:rPr>
            </w:pPr>
            <w:r w:rsidRPr="006E217D">
              <w:rPr>
                <w:b/>
              </w:rPr>
              <w:t xml:space="preserve">Trust </w:t>
            </w:r>
            <w:r w:rsidR="00BA4826">
              <w:rPr>
                <w:b/>
              </w:rPr>
              <w:t>t</w:t>
            </w:r>
            <w:r w:rsidRPr="006E217D">
              <w:rPr>
                <w:b/>
              </w:rPr>
              <w:t>op</w:t>
            </w:r>
            <w:r w:rsidRPr="006E217D">
              <w:rPr>
                <w:b/>
              </w:rPr>
              <w:noBreakHyphen/>
              <w:t>up</w:t>
            </w:r>
          </w:p>
        </w:tc>
        <w:tc>
          <w:tcPr>
            <w:tcW w:w="2029" w:type="dxa"/>
          </w:tcPr>
          <w:p w:rsidR="006E217D" w:rsidRPr="006E217D" w:rsidRDefault="006E217D" w:rsidP="00F6612C">
            <w:pPr>
              <w:pStyle w:val="Tabletext"/>
              <w:rPr>
                <w:b/>
                <w:highlight w:val="green"/>
              </w:rPr>
            </w:pPr>
          </w:p>
        </w:tc>
        <w:tc>
          <w:tcPr>
            <w:tcW w:w="2160" w:type="dxa"/>
          </w:tcPr>
          <w:p w:rsidR="006E217D" w:rsidRPr="006E217D" w:rsidRDefault="006E217D" w:rsidP="00F6612C">
            <w:pPr>
              <w:pStyle w:val="Tabletext"/>
              <w:rPr>
                <w:b/>
              </w:rPr>
            </w:pPr>
          </w:p>
        </w:tc>
        <w:tc>
          <w:tcPr>
            <w:tcW w:w="3240" w:type="dxa"/>
          </w:tcPr>
          <w:p w:rsidR="006E217D" w:rsidRPr="006E217D" w:rsidRDefault="006E217D" w:rsidP="00F6612C">
            <w:pPr>
              <w:pStyle w:val="Tabletext"/>
              <w:rPr>
                <w:b/>
              </w:rPr>
            </w:pPr>
          </w:p>
        </w:tc>
      </w:tr>
      <w:tr w:rsidR="006E217D" w:rsidRPr="00731E39" w:rsidTr="00314B6A">
        <w:tblPrEx>
          <w:tblLook w:val="0620" w:firstRow="1" w:lastRow="0" w:firstColumn="0" w:lastColumn="0" w:noHBand="1" w:noVBand="1"/>
        </w:tblPrEx>
        <w:trPr>
          <w:cantSplit/>
        </w:trPr>
        <w:tc>
          <w:tcPr>
            <w:tcW w:w="6578" w:type="dxa"/>
          </w:tcPr>
          <w:p w:rsidR="006E217D" w:rsidRDefault="006E217D">
            <w:pPr>
              <w:pStyle w:val="Tabletext"/>
            </w:pPr>
            <w:r w:rsidRPr="00731E39">
              <w:t xml:space="preserve">Cr SAU </w:t>
            </w:r>
            <w:r w:rsidR="00BA4826">
              <w:t>i</w:t>
            </w:r>
            <w:r w:rsidRPr="00731E39">
              <w:t>nter</w:t>
            </w:r>
            <w:r>
              <w:noBreakHyphen/>
            </w:r>
            <w:r w:rsidR="00BA4826">
              <w:t>e</w:t>
            </w:r>
            <w:r w:rsidRPr="00731E39">
              <w:t xml:space="preserve">ntity </w:t>
            </w:r>
            <w:r w:rsidR="00BA4826">
              <w:t>a</w:t>
            </w:r>
            <w:r w:rsidRPr="00731E39">
              <w:t>ccount</w:t>
            </w:r>
          </w:p>
          <w:p w:rsidR="00BF5437" w:rsidRDefault="00BA4826">
            <w:pPr>
              <w:pStyle w:val="Tabletext"/>
            </w:pPr>
            <w:r>
              <w:t>Dr T</w:t>
            </w:r>
            <w:r w:rsidR="00BF5437" w:rsidRPr="00731E39">
              <w:t xml:space="preserve">ransfer </w:t>
            </w:r>
            <w:r>
              <w:t>b</w:t>
            </w:r>
            <w:r w:rsidR="00BF5437" w:rsidRPr="00731E39">
              <w:t xml:space="preserve">etween </w:t>
            </w:r>
            <w:r>
              <w:t>f</w:t>
            </w:r>
            <w:r w:rsidR="00BF5437" w:rsidRPr="00731E39">
              <w:t>unds</w:t>
            </w:r>
          </w:p>
          <w:p w:rsidR="00BF5437" w:rsidRDefault="00BF5437">
            <w:pPr>
              <w:pStyle w:val="Tabletext"/>
            </w:pPr>
            <w:r w:rsidRPr="00731E39">
              <w:t>Cr Transfer between funds</w:t>
            </w:r>
          </w:p>
          <w:p w:rsidR="00BF5437" w:rsidRPr="00731E39" w:rsidRDefault="00BF5437" w:rsidP="00BA4826">
            <w:pPr>
              <w:pStyle w:val="Tabletext"/>
            </w:pPr>
            <w:r w:rsidRPr="00731E39">
              <w:t xml:space="preserve">Dr SAU </w:t>
            </w:r>
            <w:r w:rsidR="00BA4826">
              <w:t>i</w:t>
            </w:r>
            <w:r w:rsidRPr="00731E39">
              <w:t>nter</w:t>
            </w:r>
            <w:r>
              <w:noBreakHyphen/>
            </w:r>
            <w:r w:rsidR="00BA4826">
              <w:t>e</w:t>
            </w:r>
            <w:r w:rsidRPr="00731E39">
              <w:t xml:space="preserve">ntity </w:t>
            </w:r>
            <w:r w:rsidR="00BA4826">
              <w:t>a</w:t>
            </w:r>
            <w:r w:rsidRPr="00731E39">
              <w:t>ccount</w:t>
            </w:r>
          </w:p>
        </w:tc>
        <w:tc>
          <w:tcPr>
            <w:tcW w:w="2029" w:type="dxa"/>
          </w:tcPr>
          <w:p w:rsidR="006E217D" w:rsidRDefault="006E217D" w:rsidP="00F6612C">
            <w:pPr>
              <w:pStyle w:val="Tabletext"/>
            </w:pPr>
            <w:r w:rsidRPr="00731E39">
              <w:t>47000</w:t>
            </w:r>
          </w:p>
          <w:p w:rsidR="00BF5437" w:rsidRDefault="00BF5437" w:rsidP="00F6612C">
            <w:pPr>
              <w:pStyle w:val="Tabletext"/>
            </w:pPr>
            <w:r w:rsidRPr="00731E39">
              <w:t>90800</w:t>
            </w:r>
          </w:p>
          <w:p w:rsidR="00BF5437" w:rsidRDefault="00BF5437" w:rsidP="00F6612C">
            <w:pPr>
              <w:pStyle w:val="Tabletext"/>
            </w:pPr>
            <w:r w:rsidRPr="00731E39">
              <w:t>79900</w:t>
            </w:r>
          </w:p>
          <w:p w:rsidR="00BF5437" w:rsidRPr="00731E39" w:rsidRDefault="00BF5437" w:rsidP="00F6612C">
            <w:pPr>
              <w:pStyle w:val="Tabletext"/>
            </w:pPr>
            <w:r w:rsidRPr="00731E39">
              <w:t>47000</w:t>
            </w:r>
          </w:p>
        </w:tc>
        <w:tc>
          <w:tcPr>
            <w:tcW w:w="2160" w:type="dxa"/>
          </w:tcPr>
          <w:p w:rsidR="006E217D" w:rsidRDefault="006E217D" w:rsidP="00F6612C">
            <w:pPr>
              <w:pStyle w:val="Tabletext"/>
            </w:pPr>
            <w:r>
              <w:t>3000</w:t>
            </w:r>
          </w:p>
          <w:p w:rsidR="00BF5437" w:rsidRDefault="00BF5437" w:rsidP="00F6612C">
            <w:pPr>
              <w:pStyle w:val="Tabletext"/>
            </w:pPr>
            <w:r w:rsidRPr="00731E39">
              <w:t>20XX</w:t>
            </w:r>
          </w:p>
          <w:p w:rsidR="00BF5437" w:rsidRDefault="00BF5437" w:rsidP="00F6612C">
            <w:pPr>
              <w:pStyle w:val="Tabletext"/>
            </w:pPr>
            <w:r>
              <w:t>4602</w:t>
            </w:r>
          </w:p>
          <w:p w:rsidR="00BF5437" w:rsidRPr="00731E39" w:rsidRDefault="00BF5437" w:rsidP="00F6612C">
            <w:pPr>
              <w:pStyle w:val="Tabletext"/>
            </w:pPr>
            <w:r>
              <w:t>4602</w:t>
            </w:r>
          </w:p>
        </w:tc>
        <w:tc>
          <w:tcPr>
            <w:tcW w:w="3240" w:type="dxa"/>
          </w:tcPr>
          <w:p w:rsidR="006E217D" w:rsidRDefault="006E217D" w:rsidP="00F6612C">
            <w:pPr>
              <w:pStyle w:val="Tabletext"/>
            </w:pPr>
            <w:r w:rsidRPr="00731E39">
              <w:t>Asset</w:t>
            </w:r>
          </w:p>
          <w:p w:rsidR="00BF5437" w:rsidRDefault="00BF5437" w:rsidP="00F6612C">
            <w:pPr>
              <w:pStyle w:val="Tabletext"/>
            </w:pPr>
            <w:r>
              <w:t>Expense</w:t>
            </w:r>
          </w:p>
          <w:p w:rsidR="00BF5437" w:rsidRDefault="00BF5437" w:rsidP="00F6612C">
            <w:pPr>
              <w:pStyle w:val="Tabletext"/>
            </w:pPr>
            <w:r>
              <w:t>Revenue</w:t>
            </w:r>
          </w:p>
          <w:p w:rsidR="00BF5437" w:rsidRPr="00731E39" w:rsidRDefault="00BF5437" w:rsidP="00F6612C">
            <w:pPr>
              <w:pStyle w:val="Tabletext"/>
            </w:pPr>
            <w:r>
              <w:t>Asset</w:t>
            </w:r>
          </w:p>
        </w:tc>
      </w:tr>
    </w:tbl>
    <w:p w:rsidR="00BB380C" w:rsidRPr="00731E39" w:rsidRDefault="00BB380C" w:rsidP="006E217D">
      <w:pPr>
        <w:pStyle w:val="Heading3"/>
      </w:pPr>
      <w:r w:rsidRPr="00731E39">
        <w:lastRenderedPageBreak/>
        <w:t>End</w:t>
      </w:r>
      <w:r>
        <w:noBreakHyphen/>
      </w:r>
      <w:r w:rsidRPr="00731E39">
        <w:t>of</w:t>
      </w:r>
      <w:r>
        <w:noBreakHyphen/>
      </w:r>
      <w:r w:rsidRPr="00731E39">
        <w:t>year rollover process</w:t>
      </w:r>
    </w:p>
    <w:p w:rsidR="00BB380C" w:rsidRPr="00731E39" w:rsidRDefault="00BB380C" w:rsidP="006E217D">
      <w:r w:rsidRPr="00731E39">
        <w:t>As part of DTF</w:t>
      </w:r>
      <w:r>
        <w:t>’</w:t>
      </w:r>
      <w:r w:rsidRPr="00731E39">
        <w:t>s end</w:t>
      </w:r>
      <w:r>
        <w:noBreakHyphen/>
      </w:r>
      <w:r w:rsidRPr="00731E39">
        <w:t>of</w:t>
      </w:r>
      <w:r>
        <w:noBreakHyphen/>
      </w:r>
      <w:r w:rsidRPr="00731E39">
        <w:t>year rollover process, DTF will roll the balances of the</w:t>
      </w:r>
      <w:r w:rsidRPr="00731E39">
        <w:rPr>
          <w:b/>
        </w:rPr>
        <w:t xml:space="preserve"> </w:t>
      </w:r>
      <w:proofErr w:type="spellStart"/>
      <w:r w:rsidRPr="00BA4826">
        <w:rPr>
          <w:i/>
        </w:rPr>
        <w:t>VicFleet</w:t>
      </w:r>
      <w:proofErr w:type="spellEnd"/>
      <w:r w:rsidRPr="00BA4826">
        <w:rPr>
          <w:i/>
        </w:rPr>
        <w:t xml:space="preserve"> </w:t>
      </w:r>
      <w:r w:rsidR="00BA4826" w:rsidRPr="00BA4826">
        <w:rPr>
          <w:i/>
        </w:rPr>
        <w:t>motor vehicle</w:t>
      </w:r>
      <w:r w:rsidRPr="00BA4826">
        <w:rPr>
          <w:i/>
        </w:rPr>
        <w:t xml:space="preserve"> </w:t>
      </w:r>
      <w:r w:rsidR="00BA4826" w:rsidRPr="00BA4826">
        <w:rPr>
          <w:i/>
        </w:rPr>
        <w:t>f</w:t>
      </w:r>
      <w:r w:rsidRPr="00BA4826">
        <w:rPr>
          <w:i/>
        </w:rPr>
        <w:t xml:space="preserve">inance </w:t>
      </w:r>
      <w:r w:rsidR="00BA4826" w:rsidRPr="00BA4826">
        <w:rPr>
          <w:i/>
        </w:rPr>
        <w:t>l</w:t>
      </w:r>
      <w:r w:rsidRPr="00BA4826">
        <w:rPr>
          <w:i/>
        </w:rPr>
        <w:t xml:space="preserve">ease </w:t>
      </w:r>
      <w:r w:rsidR="00BA4826" w:rsidRPr="00BA4826">
        <w:rPr>
          <w:i/>
        </w:rPr>
        <w:t>l</w:t>
      </w:r>
      <w:r w:rsidRPr="00BA4826">
        <w:rPr>
          <w:i/>
        </w:rPr>
        <w:t xml:space="preserve">iability – </w:t>
      </w:r>
      <w:r w:rsidR="00BA4826" w:rsidRPr="00BA4826">
        <w:rPr>
          <w:i/>
        </w:rPr>
        <w:t>n</w:t>
      </w:r>
      <w:r w:rsidRPr="00BA4826">
        <w:rPr>
          <w:i/>
        </w:rPr>
        <w:t xml:space="preserve">ew </w:t>
      </w:r>
      <w:r w:rsidR="00BA4826" w:rsidRPr="00BA4826">
        <w:rPr>
          <w:i/>
        </w:rPr>
        <w:t>l</w:t>
      </w:r>
      <w:r w:rsidRPr="00BA4826">
        <w:rPr>
          <w:i/>
        </w:rPr>
        <w:t>eases</w:t>
      </w:r>
      <w:r w:rsidRPr="00731E39">
        <w:t xml:space="preserve"> accounts into the original accounts. </w:t>
      </w:r>
    </w:p>
    <w:p w:rsidR="00BB380C" w:rsidRPr="00731E39" w:rsidRDefault="00BB380C" w:rsidP="006E217D">
      <w:r w:rsidRPr="00731E39">
        <w:t xml:space="preserve">This ensures the accounts for new finance leases </w:t>
      </w:r>
      <w:r w:rsidR="00BA4826">
        <w:t>are</w:t>
      </w:r>
      <w:r w:rsidRPr="00731E39">
        <w:t xml:space="preserve"> cleared to zero </w:t>
      </w:r>
      <w:r w:rsidR="00BA4826">
        <w:t xml:space="preserve">for the following financial year, </w:t>
      </w:r>
      <w:r w:rsidRPr="00731E39">
        <w:t>and only the value of finance leases entered into in the new financial year will be seen in these accounts. The rollover process will work as follows:</w:t>
      </w:r>
    </w:p>
    <w:p w:rsidR="00BB380C" w:rsidRPr="00731E39" w:rsidRDefault="00BB380C" w:rsidP="006E217D">
      <w:pPr>
        <w:pStyle w:val="Bullet1"/>
      </w:pPr>
      <w:r w:rsidRPr="00731E39">
        <w:t xml:space="preserve">Balances in </w:t>
      </w:r>
      <w:r w:rsidRPr="00D9140E">
        <w:t>account</w:t>
      </w:r>
      <w:r w:rsidRPr="00731E39">
        <w:t xml:space="preserve"> 39015 will be rolled to account 30910</w:t>
      </w:r>
      <w:r w:rsidR="00BA4826">
        <w:t>; and</w:t>
      </w:r>
    </w:p>
    <w:p w:rsidR="00BB380C" w:rsidRDefault="00BB380C" w:rsidP="006E217D">
      <w:pPr>
        <w:pStyle w:val="Bullet1"/>
      </w:pPr>
      <w:r w:rsidRPr="00731E39">
        <w:t>Balances in account 41115 will be rolled to account 41110</w:t>
      </w:r>
      <w:r w:rsidR="00BA4826">
        <w:t>.</w:t>
      </w:r>
    </w:p>
    <w:p w:rsidR="00BB380C" w:rsidRDefault="00BB380C" w:rsidP="00BB380C"/>
    <w:p w:rsidR="00547CEA" w:rsidRDefault="00547CEA" w:rsidP="00547CEA">
      <w:pPr>
        <w:pStyle w:val="NormalIndent"/>
      </w:pPr>
    </w:p>
    <w:p w:rsidR="00547CEA" w:rsidRDefault="00547CEA" w:rsidP="00547CEA">
      <w:pPr>
        <w:pStyle w:val="NormalIndent"/>
        <w:sectPr w:rsidR="00547CEA" w:rsidSect="001659F2">
          <w:headerReference w:type="even" r:id="rId38"/>
          <w:headerReference w:type="default" r:id="rId39"/>
          <w:footerReference w:type="even" r:id="rId40"/>
          <w:footerReference w:type="default" r:id="rId41"/>
          <w:headerReference w:type="first" r:id="rId42"/>
          <w:pgSz w:w="16838" w:h="11906" w:orient="landscape" w:code="9"/>
          <w:pgMar w:top="1350" w:right="1440" w:bottom="1080" w:left="1440" w:header="706" w:footer="461" w:gutter="0"/>
          <w:cols w:space="708"/>
          <w:docGrid w:linePitch="360"/>
        </w:sectPr>
      </w:pPr>
    </w:p>
    <w:p w:rsidR="00BB380C" w:rsidRDefault="00BB380C" w:rsidP="00004E80">
      <w:pPr>
        <w:pStyle w:val="Heading2"/>
      </w:pPr>
      <w:bookmarkStart w:id="105" w:name="_Toc476910358"/>
      <w:r>
        <w:lastRenderedPageBreak/>
        <w:t xml:space="preserve">Attachment </w:t>
      </w:r>
      <w:r w:rsidR="00A4375C">
        <w:t>3</w:t>
      </w:r>
      <w:r>
        <w:t>: Contributed capital scenarios and examples</w:t>
      </w:r>
      <w:bookmarkEnd w:id="105"/>
    </w:p>
    <w:p w:rsidR="00BB380C" w:rsidRDefault="00BB380C" w:rsidP="006E217D">
      <w:pPr>
        <w:pStyle w:val="Heading3"/>
      </w:pPr>
      <w:r>
        <w:t>Guidance</w:t>
      </w:r>
    </w:p>
    <w:p w:rsidR="00BB380C" w:rsidRDefault="00BB380C" w:rsidP="00BB380C">
      <w:r>
        <w:t xml:space="preserve">This attachment lists a number of scenarios </w:t>
      </w:r>
      <w:r w:rsidR="009E7E79">
        <w:t xml:space="preserve">and examples </w:t>
      </w:r>
      <w:r>
        <w:t>covering the main types of investments and adjustments to equity investments</w:t>
      </w:r>
      <w:r w:rsidR="00DA213A">
        <w:t xml:space="preserve"> </w:t>
      </w:r>
      <w:r>
        <w:t>/</w:t>
      </w:r>
      <w:r w:rsidR="00DA213A">
        <w:t xml:space="preserve"> </w:t>
      </w:r>
      <w:r>
        <w:t xml:space="preserve">contributed capital. </w:t>
      </w:r>
    </w:p>
    <w:p w:rsidR="00BB380C" w:rsidRPr="000E661F" w:rsidRDefault="006E217D" w:rsidP="00314B6A">
      <w:pPr>
        <w:pStyle w:val="Heading4"/>
      </w:pPr>
      <w:r>
        <w:t>Scenario</w:t>
      </w:r>
      <w:r w:rsidR="000E661F">
        <w:t xml:space="preserve"> 1 - </w:t>
      </w:r>
      <w:r w:rsidR="00BB380C" w:rsidRPr="000E661F">
        <w:t>Transfers between Departments and their agencies</w:t>
      </w:r>
    </w:p>
    <w:p w:rsidR="00BB380C" w:rsidRDefault="00BA4826" w:rsidP="00800AE4">
      <w:pPr>
        <w:pStyle w:val="NormalIndent"/>
        <w:ind w:left="360"/>
      </w:pPr>
      <w:r>
        <w:t>T</w:t>
      </w:r>
      <w:r w:rsidR="00BB380C">
        <w:t>he transfer of contributed capital</w:t>
      </w:r>
      <w:r>
        <w:t xml:space="preserve">, arising from </w:t>
      </w:r>
      <w:r w:rsidR="000E661F">
        <w:t>a</w:t>
      </w:r>
      <w:r w:rsidR="00BB380C">
        <w:t xml:space="preserve">ppropriations for </w:t>
      </w:r>
      <w:r>
        <w:t>Additions to the Net Asset Base, are the most common form of transfers between Departments and their agencies.</w:t>
      </w:r>
      <w:r w:rsidR="00BB380C">
        <w:t xml:space="preserve"> </w:t>
      </w:r>
      <w:r>
        <w:t xml:space="preserve">The Department records the government’s </w:t>
      </w:r>
      <w:r w:rsidR="00BB380C">
        <w:t xml:space="preserve">equity investment in the agency in </w:t>
      </w:r>
      <w:r>
        <w:t>its</w:t>
      </w:r>
      <w:r w:rsidR="00BB380C">
        <w:t xml:space="preserve"> administered entity</w:t>
      </w:r>
      <w:r w:rsidR="00E50EC4">
        <w:t>. The agency recognises the c</w:t>
      </w:r>
      <w:r w:rsidR="00BB380C">
        <w:t xml:space="preserve">ontributed capital </w:t>
      </w:r>
      <w:r w:rsidR="00E50EC4">
        <w:t>received.</w:t>
      </w:r>
    </w:p>
    <w:p w:rsidR="00DA213A" w:rsidRDefault="000E661F" w:rsidP="00314B6A">
      <w:pPr>
        <w:pStyle w:val="NormalIndent"/>
        <w:ind w:left="360"/>
      </w:pPr>
      <w:r w:rsidRPr="00314B6A">
        <w:rPr>
          <w:b/>
        </w:rPr>
        <w:t>Example:</w:t>
      </w:r>
      <w:r w:rsidR="00DA213A">
        <w:t xml:space="preserve"> a </w:t>
      </w:r>
      <w:r>
        <w:t>D</w:t>
      </w:r>
      <w:r w:rsidR="00DA213A">
        <w:t xml:space="preserve">epartment transfers equity of $120 comprising $100 other net assets and $20 fixed assets to </w:t>
      </w:r>
      <w:r>
        <w:t>an age</w:t>
      </w:r>
      <w:r w:rsidR="00DA213A">
        <w:t>nc</w:t>
      </w:r>
      <w:r>
        <w:t>y within its portfolio</w:t>
      </w:r>
      <w:r w:rsidR="00DA213A">
        <w:t xml:space="preserve">. </w:t>
      </w:r>
    </w:p>
    <w:p w:rsidR="00DA213A" w:rsidRDefault="00DA213A" w:rsidP="00314B6A">
      <w:pPr>
        <w:pStyle w:val="Heading4"/>
        <w:spacing w:before="240" w:after="120"/>
        <w:ind w:left="360"/>
      </w:pPr>
      <w:r>
        <w:t xml:space="preserve">Step A - </w:t>
      </w:r>
      <w:r w:rsidRPr="00DA213A">
        <w:t>Department receives contribute</w:t>
      </w:r>
      <w:r>
        <w:t>d capital via appropriation</w:t>
      </w:r>
      <w:r w:rsidR="00757A17">
        <w:t>, and then transfers the contributed capital plus the fixed assets out of its controlled entity.</w:t>
      </w:r>
    </w:p>
    <w:tbl>
      <w:tblPr>
        <w:tblStyle w:val="DTFtexttable"/>
        <w:tblW w:w="7522" w:type="dxa"/>
        <w:tblInd w:w="864" w:type="dxa"/>
        <w:tblLayout w:type="fixed"/>
        <w:tblLook w:val="0620" w:firstRow="1" w:lastRow="0" w:firstColumn="0" w:lastColumn="0" w:noHBand="1" w:noVBand="1"/>
      </w:tblPr>
      <w:tblGrid>
        <w:gridCol w:w="5731"/>
        <w:gridCol w:w="1791"/>
      </w:tblGrid>
      <w:tr w:rsidR="00DA213A"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DA213A" w:rsidRDefault="00DA213A" w:rsidP="003C3537">
            <w:pPr>
              <w:pStyle w:val="Tableheader"/>
              <w:spacing w:line="240" w:lineRule="auto"/>
              <w:rPr>
                <w:rFonts w:eastAsia="Arial Unicode MS"/>
              </w:rPr>
            </w:pPr>
            <w:r>
              <w:rPr>
                <w:b/>
              </w:rPr>
              <w:t>Department - Controlled</w:t>
            </w:r>
          </w:p>
        </w:tc>
      </w:tr>
      <w:tr w:rsidR="00DA213A" w:rsidRPr="00731E39" w:rsidTr="003C3537">
        <w:trPr>
          <w:cantSplit/>
        </w:trPr>
        <w:tc>
          <w:tcPr>
            <w:tcW w:w="5731" w:type="dxa"/>
          </w:tcPr>
          <w:p w:rsidR="00DA213A" w:rsidRPr="00731E39" w:rsidRDefault="00DA213A" w:rsidP="000E661F">
            <w:pPr>
              <w:pStyle w:val="Tabletext"/>
              <w:rPr>
                <w:rFonts w:eastAsia="Arial Unicode MS"/>
              </w:rPr>
            </w:pPr>
            <w:r>
              <w:rPr>
                <w:rFonts w:eastAsia="Arial Unicode MS"/>
              </w:rPr>
              <w:t xml:space="preserve">DR </w:t>
            </w:r>
            <w:r w:rsidRPr="00A62FFF">
              <w:t xml:space="preserve">Equity </w:t>
            </w:r>
            <w:r w:rsidR="000E661F">
              <w:t>t</w:t>
            </w:r>
            <w:r w:rsidRPr="00A62FFF">
              <w:t xml:space="preserve">ransfers to </w:t>
            </w:r>
            <w:r w:rsidR="000E661F">
              <w:t>o</w:t>
            </w:r>
            <w:r w:rsidRPr="00A62FFF">
              <w:t xml:space="preserve">ther </w:t>
            </w:r>
            <w:r w:rsidR="000E661F">
              <w:t>g</w:t>
            </w:r>
            <w:r w:rsidRPr="00A62FFF">
              <w:t xml:space="preserve">overnment </w:t>
            </w:r>
            <w:r w:rsidR="000E661F">
              <w:t>e</w:t>
            </w:r>
            <w:r w:rsidRPr="00A62FFF">
              <w:t>ntities (Other Net Assets)</w:t>
            </w:r>
          </w:p>
        </w:tc>
        <w:tc>
          <w:tcPr>
            <w:tcW w:w="1791"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C3537">
        <w:trPr>
          <w:cantSplit/>
        </w:trPr>
        <w:tc>
          <w:tcPr>
            <w:tcW w:w="5731" w:type="dxa"/>
          </w:tcPr>
          <w:p w:rsidR="00DA213A" w:rsidRPr="00731E39" w:rsidRDefault="00DA213A" w:rsidP="000E661F">
            <w:pPr>
              <w:pStyle w:val="Tabletext"/>
              <w:rPr>
                <w:rFonts w:eastAsia="Arial Unicode MS"/>
              </w:rPr>
            </w:pPr>
            <w:r>
              <w:rPr>
                <w:rFonts w:eastAsia="Arial Unicode MS"/>
              </w:rPr>
              <w:t xml:space="preserve">CR </w:t>
            </w:r>
            <w:r w:rsidRPr="004C5801">
              <w:rPr>
                <w:rFonts w:eastAsia="Arial Unicode MS"/>
              </w:rPr>
              <w:t xml:space="preserve">Contributed </w:t>
            </w:r>
            <w:r w:rsidR="000E661F">
              <w:rPr>
                <w:rFonts w:eastAsia="Arial Unicode MS"/>
              </w:rPr>
              <w:t>c</w:t>
            </w:r>
            <w:r w:rsidRPr="004C5801">
              <w:rPr>
                <w:rFonts w:eastAsia="Arial Unicode MS"/>
              </w:rPr>
              <w:t xml:space="preserve">apital </w:t>
            </w:r>
            <w:r w:rsidR="000E661F">
              <w:rPr>
                <w:rFonts w:eastAsia="Arial Unicode MS"/>
              </w:rPr>
              <w:t>–</w:t>
            </w:r>
            <w:r w:rsidRPr="004C5801">
              <w:rPr>
                <w:rFonts w:eastAsia="Arial Unicode MS"/>
              </w:rPr>
              <w:t xml:space="preserve"> </w:t>
            </w:r>
            <w:r w:rsidR="000E661F">
              <w:rPr>
                <w:rFonts w:eastAsia="Arial Unicode MS"/>
              </w:rPr>
              <w:t>Additions to the Net Asset Base (ATNAB)</w:t>
            </w:r>
          </w:p>
        </w:tc>
        <w:tc>
          <w:tcPr>
            <w:tcW w:w="1791"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C3537">
        <w:trPr>
          <w:cantSplit/>
        </w:trPr>
        <w:tc>
          <w:tcPr>
            <w:tcW w:w="5731" w:type="dxa"/>
          </w:tcPr>
          <w:p w:rsidR="00DA213A" w:rsidRPr="00731E39" w:rsidRDefault="00DA213A" w:rsidP="000E661F">
            <w:pPr>
              <w:pStyle w:val="Tabletext"/>
              <w:rPr>
                <w:rFonts w:eastAsia="Arial Unicode MS"/>
              </w:rPr>
            </w:pPr>
            <w:r>
              <w:rPr>
                <w:rFonts w:eastAsia="Arial Unicode MS"/>
              </w:rPr>
              <w:t xml:space="preserve">DR </w:t>
            </w:r>
            <w:r w:rsidRPr="004C5801">
              <w:rPr>
                <w:rFonts w:eastAsia="Arial Unicode MS"/>
              </w:rPr>
              <w:t xml:space="preserve">Equity </w:t>
            </w:r>
            <w:r w:rsidR="000E661F">
              <w:rPr>
                <w:rFonts w:eastAsia="Arial Unicode MS"/>
              </w:rPr>
              <w:t>t</w:t>
            </w:r>
            <w:r w:rsidRPr="004C5801">
              <w:rPr>
                <w:rFonts w:eastAsia="Arial Unicode MS"/>
              </w:rPr>
              <w:t xml:space="preserve">ransfers to </w:t>
            </w:r>
            <w:r w:rsidR="000E661F">
              <w:rPr>
                <w:rFonts w:eastAsia="Arial Unicode MS"/>
              </w:rPr>
              <w:t>o</w:t>
            </w:r>
            <w:r w:rsidRPr="004C5801">
              <w:rPr>
                <w:rFonts w:eastAsia="Arial Unicode MS"/>
              </w:rPr>
              <w:t xml:space="preserve">ther </w:t>
            </w:r>
            <w:r w:rsidR="000E661F">
              <w:rPr>
                <w:rFonts w:eastAsia="Arial Unicode MS"/>
              </w:rPr>
              <w:t>g</w:t>
            </w:r>
            <w:r w:rsidRPr="004C5801">
              <w:rPr>
                <w:rFonts w:eastAsia="Arial Unicode MS"/>
              </w:rPr>
              <w:t xml:space="preserve">overnment </w:t>
            </w:r>
            <w:r w:rsidR="000E661F">
              <w:rPr>
                <w:rFonts w:eastAsia="Arial Unicode MS"/>
              </w:rPr>
              <w:t>e</w:t>
            </w:r>
            <w:r w:rsidRPr="004C5801">
              <w:rPr>
                <w:rFonts w:eastAsia="Arial Unicode MS"/>
              </w:rPr>
              <w:t>ntities (Fixed Assets)</w:t>
            </w:r>
          </w:p>
        </w:tc>
        <w:tc>
          <w:tcPr>
            <w:tcW w:w="1791"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r w:rsidR="00DA213A" w:rsidRPr="00731E39" w:rsidTr="003C3537">
        <w:trPr>
          <w:cantSplit/>
        </w:trPr>
        <w:tc>
          <w:tcPr>
            <w:tcW w:w="5731" w:type="dxa"/>
          </w:tcPr>
          <w:p w:rsidR="00DA213A" w:rsidRPr="00731E39" w:rsidRDefault="00DA213A" w:rsidP="00E50EC4">
            <w:pPr>
              <w:pStyle w:val="Tabletext"/>
              <w:rPr>
                <w:rFonts w:eastAsia="Arial Unicode MS"/>
              </w:rPr>
            </w:pPr>
            <w:r>
              <w:rPr>
                <w:rFonts w:eastAsia="Arial Unicode MS"/>
              </w:rPr>
              <w:t xml:space="preserve">CR </w:t>
            </w:r>
            <w:r w:rsidR="00E50EC4">
              <w:rPr>
                <w:rFonts w:eastAsia="Arial Unicode MS"/>
              </w:rPr>
              <w:t>Fixed assets</w:t>
            </w:r>
          </w:p>
        </w:tc>
        <w:tc>
          <w:tcPr>
            <w:tcW w:w="1791"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bl>
    <w:p w:rsidR="00DA213A" w:rsidRPr="00757A17" w:rsidRDefault="00757A17" w:rsidP="00314B6A">
      <w:pPr>
        <w:pStyle w:val="Heading4"/>
        <w:spacing w:before="240" w:after="120"/>
        <w:ind w:left="360"/>
      </w:pPr>
      <w:r>
        <w:t xml:space="preserve">Step B – Department recognises the investment in its agency in its </w:t>
      </w:r>
      <w:r w:rsidRPr="00DA213A">
        <w:t>administered entity</w:t>
      </w:r>
      <w:r>
        <w:t>.</w:t>
      </w:r>
    </w:p>
    <w:tbl>
      <w:tblPr>
        <w:tblStyle w:val="DTFtexttable"/>
        <w:tblW w:w="7522" w:type="dxa"/>
        <w:tblInd w:w="864" w:type="dxa"/>
        <w:tblLayout w:type="fixed"/>
        <w:tblLook w:val="0620" w:firstRow="1" w:lastRow="0" w:firstColumn="0" w:lastColumn="0" w:noHBand="1" w:noVBand="1"/>
      </w:tblPr>
      <w:tblGrid>
        <w:gridCol w:w="5731"/>
        <w:gridCol w:w="1791"/>
      </w:tblGrid>
      <w:tr w:rsidR="00757A1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757A17" w:rsidRDefault="00757A17" w:rsidP="00757A17">
            <w:pPr>
              <w:pStyle w:val="Tableheader"/>
              <w:spacing w:line="240" w:lineRule="auto"/>
              <w:rPr>
                <w:rFonts w:eastAsia="Arial Unicode MS"/>
              </w:rPr>
            </w:pPr>
            <w:r>
              <w:rPr>
                <w:b/>
              </w:rPr>
              <w:t>Department - Administered</w:t>
            </w:r>
          </w:p>
        </w:tc>
      </w:tr>
      <w:tr w:rsidR="00757A17" w:rsidRPr="001602DF" w:rsidTr="003C3537">
        <w:trPr>
          <w:cantSplit/>
        </w:trPr>
        <w:tc>
          <w:tcPr>
            <w:tcW w:w="5731" w:type="dxa"/>
          </w:tcPr>
          <w:p w:rsidR="00757A17" w:rsidRPr="00731E39" w:rsidRDefault="00757A17" w:rsidP="000E661F">
            <w:pPr>
              <w:pStyle w:val="Tabletext"/>
              <w:rPr>
                <w:rFonts w:eastAsia="Arial Unicode MS"/>
              </w:rPr>
            </w:pPr>
            <w:r>
              <w:rPr>
                <w:rFonts w:eastAsia="Arial Unicode MS"/>
              </w:rPr>
              <w:t xml:space="preserve">DR </w:t>
            </w:r>
            <w:r w:rsidRPr="00A62FFF">
              <w:t xml:space="preserve">Equity </w:t>
            </w:r>
            <w:r w:rsidR="000E661F">
              <w:t>i</w:t>
            </w:r>
            <w:r>
              <w:t>nvestment in GG, PNFC or PFC</w:t>
            </w:r>
            <w:r w:rsidRPr="00A62FFF">
              <w:t xml:space="preserve"> (Other Net Assets)</w:t>
            </w:r>
          </w:p>
        </w:tc>
        <w:tc>
          <w:tcPr>
            <w:tcW w:w="1791" w:type="dxa"/>
          </w:tcPr>
          <w:p w:rsidR="00757A17" w:rsidRPr="001602DF" w:rsidRDefault="00757A17" w:rsidP="003C3537">
            <w:pPr>
              <w:pStyle w:val="Tabletext"/>
              <w:jc w:val="right"/>
              <w:rPr>
                <w:rFonts w:eastAsia="Arial Unicode MS"/>
              </w:rPr>
            </w:pPr>
            <w:r w:rsidRPr="001602DF">
              <w:rPr>
                <w:rFonts w:eastAsia="Arial Unicode MS"/>
              </w:rPr>
              <w:t>100</w:t>
            </w:r>
          </w:p>
        </w:tc>
      </w:tr>
      <w:tr w:rsidR="00757A17" w:rsidRPr="00731E39" w:rsidTr="003C3537">
        <w:trPr>
          <w:cantSplit/>
        </w:trPr>
        <w:tc>
          <w:tcPr>
            <w:tcW w:w="5731" w:type="dxa"/>
          </w:tcPr>
          <w:p w:rsidR="00757A17" w:rsidRPr="00731E39" w:rsidRDefault="00757A17" w:rsidP="000E661F">
            <w:pPr>
              <w:pStyle w:val="Tabletext"/>
              <w:rPr>
                <w:rFonts w:eastAsia="Arial Unicode MS"/>
              </w:rPr>
            </w:pPr>
            <w:r>
              <w:rPr>
                <w:rFonts w:eastAsia="Arial Unicode MS"/>
              </w:rPr>
              <w:t xml:space="preserve">CR Equity </w:t>
            </w:r>
            <w:r w:rsidR="000E661F">
              <w:rPr>
                <w:rFonts w:eastAsia="Arial Unicode MS"/>
              </w:rPr>
              <w:t>t</w:t>
            </w:r>
            <w:r>
              <w:rPr>
                <w:rFonts w:eastAsia="Arial Unicode MS"/>
              </w:rPr>
              <w:t xml:space="preserve">ransfers from </w:t>
            </w:r>
            <w:r w:rsidR="000E661F">
              <w:rPr>
                <w:rFonts w:eastAsia="Arial Unicode MS"/>
              </w:rPr>
              <w:t>o</w:t>
            </w:r>
            <w:r>
              <w:rPr>
                <w:rFonts w:eastAsia="Arial Unicode MS"/>
              </w:rPr>
              <w:t xml:space="preserve">ther </w:t>
            </w:r>
            <w:r w:rsidR="000E661F">
              <w:rPr>
                <w:rFonts w:eastAsia="Arial Unicode MS"/>
              </w:rPr>
              <w:t>g</w:t>
            </w:r>
            <w:r>
              <w:rPr>
                <w:rFonts w:eastAsia="Arial Unicode MS"/>
              </w:rPr>
              <w:t xml:space="preserve">overnment </w:t>
            </w:r>
            <w:r w:rsidR="000E661F">
              <w:rPr>
                <w:rFonts w:eastAsia="Arial Unicode MS"/>
              </w:rPr>
              <w:t>e</w:t>
            </w:r>
            <w:r>
              <w:rPr>
                <w:rFonts w:eastAsia="Arial Unicode MS"/>
              </w:rPr>
              <w:t>ntities (Other Net Assets)</w:t>
            </w:r>
          </w:p>
        </w:tc>
        <w:tc>
          <w:tcPr>
            <w:tcW w:w="1791" w:type="dxa"/>
          </w:tcPr>
          <w:p w:rsidR="00757A17" w:rsidRPr="00731E39" w:rsidRDefault="00757A17" w:rsidP="003C3537">
            <w:pPr>
              <w:pStyle w:val="Tabletext"/>
              <w:jc w:val="right"/>
              <w:rPr>
                <w:rFonts w:eastAsia="Arial Unicode MS"/>
              </w:rPr>
            </w:pPr>
            <w:r>
              <w:rPr>
                <w:rFonts w:eastAsia="Arial Unicode MS"/>
              </w:rPr>
              <w:t>100</w:t>
            </w:r>
          </w:p>
        </w:tc>
      </w:tr>
      <w:tr w:rsidR="00757A17" w:rsidRPr="001602DF" w:rsidTr="003C3537">
        <w:trPr>
          <w:cantSplit/>
        </w:trPr>
        <w:tc>
          <w:tcPr>
            <w:tcW w:w="5731" w:type="dxa"/>
          </w:tcPr>
          <w:p w:rsidR="00757A17" w:rsidRPr="00731E39" w:rsidRDefault="000E661F" w:rsidP="000E661F">
            <w:pPr>
              <w:pStyle w:val="Tabletext"/>
              <w:rPr>
                <w:rFonts w:eastAsia="Arial Unicode MS"/>
              </w:rPr>
            </w:pPr>
            <w:r>
              <w:rPr>
                <w:rFonts w:eastAsia="Arial Unicode MS"/>
              </w:rPr>
              <w:t xml:space="preserve">DR </w:t>
            </w:r>
            <w:r w:rsidRPr="00A62FFF">
              <w:t xml:space="preserve">Equity </w:t>
            </w:r>
            <w:r>
              <w:t>investment in GG, PNFC or PFC</w:t>
            </w:r>
            <w:r w:rsidRPr="00A62FFF">
              <w:t xml:space="preserve"> </w:t>
            </w:r>
            <w:r w:rsidR="00757A17" w:rsidRPr="004C5801">
              <w:rPr>
                <w:rFonts w:eastAsia="Arial Unicode MS"/>
              </w:rPr>
              <w:t>(Fixed Assets)</w:t>
            </w:r>
          </w:p>
        </w:tc>
        <w:tc>
          <w:tcPr>
            <w:tcW w:w="1791" w:type="dxa"/>
          </w:tcPr>
          <w:p w:rsidR="00757A17" w:rsidRPr="001602DF" w:rsidRDefault="00757A17" w:rsidP="003C3537">
            <w:pPr>
              <w:pStyle w:val="Tabletext"/>
              <w:jc w:val="right"/>
              <w:rPr>
                <w:rFonts w:eastAsia="Arial Unicode MS"/>
              </w:rPr>
            </w:pPr>
            <w:r w:rsidRPr="001602DF">
              <w:rPr>
                <w:rFonts w:eastAsia="Arial Unicode MS"/>
              </w:rPr>
              <w:t>20</w:t>
            </w:r>
          </w:p>
        </w:tc>
      </w:tr>
      <w:tr w:rsidR="00757A17" w:rsidRPr="00731E39" w:rsidTr="003C3537">
        <w:trPr>
          <w:cantSplit/>
        </w:trPr>
        <w:tc>
          <w:tcPr>
            <w:tcW w:w="5731" w:type="dxa"/>
          </w:tcPr>
          <w:p w:rsidR="00757A17" w:rsidRPr="00731E39" w:rsidRDefault="00757A17" w:rsidP="000E661F">
            <w:pPr>
              <w:pStyle w:val="Tabletext"/>
              <w:rPr>
                <w:rFonts w:eastAsia="Arial Unicode MS"/>
              </w:rPr>
            </w:pPr>
            <w:r>
              <w:rPr>
                <w:rFonts w:eastAsia="Arial Unicode MS"/>
              </w:rPr>
              <w:t xml:space="preserve">CR </w:t>
            </w:r>
            <w:r w:rsidR="000E661F" w:rsidRPr="004C5801">
              <w:rPr>
                <w:rFonts w:eastAsia="Arial Unicode MS"/>
              </w:rPr>
              <w:t xml:space="preserve">Equity </w:t>
            </w:r>
            <w:r w:rsidR="000E661F">
              <w:rPr>
                <w:rFonts w:eastAsia="Arial Unicode MS"/>
              </w:rPr>
              <w:t>t</w:t>
            </w:r>
            <w:r w:rsidR="000E661F" w:rsidRPr="004C5801">
              <w:rPr>
                <w:rFonts w:eastAsia="Arial Unicode MS"/>
              </w:rPr>
              <w:t xml:space="preserve">ransfers </w:t>
            </w:r>
            <w:r w:rsidR="000E661F">
              <w:rPr>
                <w:rFonts w:eastAsia="Arial Unicode MS"/>
              </w:rPr>
              <w:t>from other government entities</w:t>
            </w:r>
            <w:r w:rsidR="000E661F" w:rsidRPr="004C5801">
              <w:rPr>
                <w:rFonts w:eastAsia="Arial Unicode MS"/>
              </w:rPr>
              <w:t xml:space="preserve"> (Fixed Assets)</w:t>
            </w:r>
          </w:p>
        </w:tc>
        <w:tc>
          <w:tcPr>
            <w:tcW w:w="1791" w:type="dxa"/>
          </w:tcPr>
          <w:p w:rsidR="00757A17" w:rsidRPr="00731E39" w:rsidRDefault="00757A17" w:rsidP="003C3537">
            <w:pPr>
              <w:pStyle w:val="Tabletext"/>
              <w:jc w:val="right"/>
              <w:rPr>
                <w:rFonts w:eastAsia="Arial Unicode MS"/>
              </w:rPr>
            </w:pPr>
            <w:r>
              <w:rPr>
                <w:rFonts w:eastAsia="Arial Unicode MS"/>
              </w:rPr>
              <w:t>2</w:t>
            </w:r>
            <w:r w:rsidRPr="00731E39">
              <w:rPr>
                <w:rFonts w:eastAsia="Arial Unicode MS"/>
              </w:rPr>
              <w:t>0</w:t>
            </w:r>
          </w:p>
        </w:tc>
      </w:tr>
    </w:tbl>
    <w:p w:rsidR="00800AE4" w:rsidRPr="00757A17" w:rsidRDefault="00800AE4" w:rsidP="00314B6A">
      <w:pPr>
        <w:pStyle w:val="Heading4"/>
        <w:spacing w:before="240" w:after="120"/>
        <w:ind w:left="360"/>
      </w:pPr>
      <w:r>
        <w:t xml:space="preserve">Step </w:t>
      </w:r>
      <w:r w:rsidR="00E50EC4">
        <w:t>C</w:t>
      </w:r>
      <w:r>
        <w:t xml:space="preserve"> – </w:t>
      </w:r>
      <w:r w:rsidR="00E50EC4">
        <w:t>Agency recognises</w:t>
      </w:r>
      <w:r>
        <w:t xml:space="preserve"> the contributed capital transfers of both fixed and other net assets</w:t>
      </w:r>
      <w:r w:rsidR="00E50EC4">
        <w:t xml:space="preserve"> received </w:t>
      </w:r>
      <w:r>
        <w:t>from the Department.</w:t>
      </w:r>
    </w:p>
    <w:tbl>
      <w:tblPr>
        <w:tblStyle w:val="DTFtexttable"/>
        <w:tblW w:w="7522" w:type="dxa"/>
        <w:tblInd w:w="864" w:type="dxa"/>
        <w:tblLayout w:type="fixed"/>
        <w:tblLook w:val="0620" w:firstRow="1" w:lastRow="0" w:firstColumn="0" w:lastColumn="0" w:noHBand="1" w:noVBand="1"/>
      </w:tblPr>
      <w:tblGrid>
        <w:gridCol w:w="5731"/>
        <w:gridCol w:w="1791"/>
      </w:tblGrid>
      <w:tr w:rsidR="00DA213A"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DA213A" w:rsidRPr="00314B6A" w:rsidRDefault="00DA213A" w:rsidP="00314B6A">
            <w:pPr>
              <w:pStyle w:val="Tableheader"/>
              <w:spacing w:line="240" w:lineRule="auto"/>
              <w:rPr>
                <w:b/>
              </w:rPr>
            </w:pPr>
            <w:r w:rsidRPr="00673D01">
              <w:rPr>
                <w:b/>
              </w:rPr>
              <w:t>A</w:t>
            </w:r>
            <w:r>
              <w:rPr>
                <w:b/>
              </w:rPr>
              <w:t>gency</w:t>
            </w:r>
          </w:p>
        </w:tc>
      </w:tr>
      <w:tr w:rsidR="00DA213A" w:rsidRPr="00731E39" w:rsidTr="003C3537">
        <w:trPr>
          <w:cantSplit/>
        </w:trPr>
        <w:tc>
          <w:tcPr>
            <w:tcW w:w="5731" w:type="dxa"/>
          </w:tcPr>
          <w:p w:rsidR="00DA213A" w:rsidRPr="00731E39" w:rsidRDefault="00DA213A" w:rsidP="003C3537">
            <w:pPr>
              <w:pStyle w:val="Tabletext"/>
              <w:rPr>
                <w:rFonts w:eastAsia="Arial Unicode MS"/>
              </w:rPr>
            </w:pPr>
            <w:r>
              <w:rPr>
                <w:rFonts w:eastAsia="Arial Unicode MS"/>
              </w:rPr>
              <w:t>DR Bank</w:t>
            </w:r>
          </w:p>
        </w:tc>
        <w:tc>
          <w:tcPr>
            <w:tcW w:w="1791"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C3537">
        <w:trPr>
          <w:cantSplit/>
        </w:trPr>
        <w:tc>
          <w:tcPr>
            <w:tcW w:w="5731" w:type="dxa"/>
          </w:tcPr>
          <w:p w:rsidR="00DA213A" w:rsidRPr="00731E39" w:rsidRDefault="00DA213A" w:rsidP="00800AE4">
            <w:pPr>
              <w:pStyle w:val="Tabletext"/>
              <w:rPr>
                <w:rFonts w:eastAsia="Arial Unicode MS"/>
              </w:rPr>
            </w:pPr>
            <w:r>
              <w:rPr>
                <w:rFonts w:eastAsia="Arial Unicode MS"/>
              </w:rPr>
              <w:t xml:space="preserve">CR </w:t>
            </w:r>
            <w:r w:rsidRPr="00AC78FF">
              <w:rPr>
                <w:rFonts w:eastAsia="Arial Unicode MS"/>
              </w:rPr>
              <w:t xml:space="preserve">Equity </w:t>
            </w:r>
            <w:r w:rsidR="00800AE4">
              <w:rPr>
                <w:rFonts w:eastAsia="Arial Unicode MS"/>
              </w:rPr>
              <w:t>t</w:t>
            </w:r>
            <w:r w:rsidRPr="00AC78FF">
              <w:rPr>
                <w:rFonts w:eastAsia="Arial Unicode MS"/>
              </w:rPr>
              <w:t xml:space="preserve">ransfers from </w:t>
            </w:r>
            <w:r w:rsidR="00800AE4">
              <w:rPr>
                <w:rFonts w:eastAsia="Arial Unicode MS"/>
              </w:rPr>
              <w:t>o</w:t>
            </w:r>
            <w:r w:rsidRPr="00AC78FF">
              <w:rPr>
                <w:rFonts w:eastAsia="Arial Unicode MS"/>
              </w:rPr>
              <w:t xml:space="preserve">ther </w:t>
            </w:r>
            <w:r w:rsidR="00800AE4">
              <w:rPr>
                <w:rFonts w:eastAsia="Arial Unicode MS"/>
              </w:rPr>
              <w:t>g</w:t>
            </w:r>
            <w:r w:rsidRPr="00AC78FF">
              <w:rPr>
                <w:rFonts w:eastAsia="Arial Unicode MS"/>
              </w:rPr>
              <w:t xml:space="preserve">overnment </w:t>
            </w:r>
            <w:r w:rsidR="00800AE4">
              <w:rPr>
                <w:rFonts w:eastAsia="Arial Unicode MS"/>
              </w:rPr>
              <w:t>e</w:t>
            </w:r>
            <w:r w:rsidRPr="00AC78FF">
              <w:rPr>
                <w:rFonts w:eastAsia="Arial Unicode MS"/>
              </w:rPr>
              <w:t>ntities (Other Net Assets)</w:t>
            </w:r>
          </w:p>
        </w:tc>
        <w:tc>
          <w:tcPr>
            <w:tcW w:w="1791"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C3537">
        <w:trPr>
          <w:cantSplit/>
        </w:trPr>
        <w:tc>
          <w:tcPr>
            <w:tcW w:w="5731" w:type="dxa"/>
          </w:tcPr>
          <w:p w:rsidR="00DA213A" w:rsidRPr="00731E39" w:rsidRDefault="00DA213A" w:rsidP="00E50EC4">
            <w:pPr>
              <w:pStyle w:val="Tabletext"/>
              <w:rPr>
                <w:rFonts w:eastAsia="Arial Unicode MS"/>
              </w:rPr>
            </w:pPr>
            <w:r>
              <w:rPr>
                <w:rFonts w:eastAsia="Arial Unicode MS"/>
              </w:rPr>
              <w:t xml:space="preserve">DR </w:t>
            </w:r>
            <w:r w:rsidR="00E50EC4">
              <w:rPr>
                <w:rFonts w:eastAsia="Arial Unicode MS"/>
              </w:rPr>
              <w:t>Fixed assets</w:t>
            </w:r>
          </w:p>
        </w:tc>
        <w:tc>
          <w:tcPr>
            <w:tcW w:w="1791"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r w:rsidR="00DA213A" w:rsidRPr="00731E39" w:rsidTr="003C3537">
        <w:trPr>
          <w:cantSplit/>
        </w:trPr>
        <w:tc>
          <w:tcPr>
            <w:tcW w:w="5731" w:type="dxa"/>
          </w:tcPr>
          <w:p w:rsidR="00DA213A" w:rsidRPr="00731E39" w:rsidRDefault="00DA213A" w:rsidP="00800AE4">
            <w:pPr>
              <w:pStyle w:val="Tabletext"/>
              <w:rPr>
                <w:rFonts w:eastAsia="Arial Unicode MS"/>
              </w:rPr>
            </w:pPr>
            <w:r>
              <w:rPr>
                <w:rFonts w:eastAsia="Arial Unicode MS"/>
              </w:rPr>
              <w:t xml:space="preserve">CR </w:t>
            </w:r>
            <w:r w:rsidRPr="00AC78FF">
              <w:rPr>
                <w:rFonts w:eastAsia="Arial Unicode MS"/>
              </w:rPr>
              <w:t xml:space="preserve">Equity </w:t>
            </w:r>
            <w:r w:rsidR="00800AE4">
              <w:rPr>
                <w:rFonts w:eastAsia="Arial Unicode MS"/>
              </w:rPr>
              <w:t>t</w:t>
            </w:r>
            <w:r w:rsidRPr="00AC78FF">
              <w:rPr>
                <w:rFonts w:eastAsia="Arial Unicode MS"/>
              </w:rPr>
              <w:t xml:space="preserve">ransfers from </w:t>
            </w:r>
            <w:r w:rsidR="00800AE4">
              <w:rPr>
                <w:rFonts w:eastAsia="Arial Unicode MS"/>
              </w:rPr>
              <w:t>o</w:t>
            </w:r>
            <w:r w:rsidRPr="00AC78FF">
              <w:rPr>
                <w:rFonts w:eastAsia="Arial Unicode MS"/>
              </w:rPr>
              <w:t xml:space="preserve">ther </w:t>
            </w:r>
            <w:r w:rsidR="00800AE4">
              <w:rPr>
                <w:rFonts w:eastAsia="Arial Unicode MS"/>
              </w:rPr>
              <w:t>g</w:t>
            </w:r>
            <w:r w:rsidRPr="00AC78FF">
              <w:rPr>
                <w:rFonts w:eastAsia="Arial Unicode MS"/>
              </w:rPr>
              <w:t xml:space="preserve">overnment </w:t>
            </w:r>
            <w:r w:rsidR="00800AE4">
              <w:rPr>
                <w:rFonts w:eastAsia="Arial Unicode MS"/>
              </w:rPr>
              <w:t>e</w:t>
            </w:r>
            <w:r w:rsidRPr="00AC78FF">
              <w:rPr>
                <w:rFonts w:eastAsia="Arial Unicode MS"/>
              </w:rPr>
              <w:t>ntities (Fixed Assets)</w:t>
            </w:r>
          </w:p>
        </w:tc>
        <w:tc>
          <w:tcPr>
            <w:tcW w:w="1791"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bl>
    <w:p w:rsidR="00DA213A" w:rsidRDefault="00DA213A" w:rsidP="00DA213A">
      <w:pPr>
        <w:pStyle w:val="NormalIndent"/>
        <w:ind w:left="360"/>
      </w:pPr>
    </w:p>
    <w:p w:rsidR="00800AE4" w:rsidRPr="000E661F" w:rsidRDefault="00800AE4" w:rsidP="00800AE4">
      <w:pPr>
        <w:pStyle w:val="Heading4"/>
      </w:pPr>
      <w:r>
        <w:lastRenderedPageBreak/>
        <w:t xml:space="preserve">Scenario 2 - </w:t>
      </w:r>
      <w:r w:rsidRPr="000E661F">
        <w:t xml:space="preserve">Transfers between </w:t>
      </w:r>
      <w:r>
        <w:t>agencies in different portfolios</w:t>
      </w:r>
    </w:p>
    <w:p w:rsidR="00BB380C" w:rsidRDefault="00BB380C" w:rsidP="006E217D">
      <w:pPr>
        <w:pStyle w:val="NormalIndent"/>
        <w:ind w:left="360"/>
      </w:pPr>
      <w:r>
        <w:t xml:space="preserve">Transfers may arise between </w:t>
      </w:r>
      <w:r w:rsidR="003A1B1A">
        <w:t>agencies</w:t>
      </w:r>
      <w:r>
        <w:t>. These transfers may also result in a move between Departmental portfolios requiring adjustment at both the agency and Departmental level.</w:t>
      </w:r>
    </w:p>
    <w:p w:rsidR="00800AE4" w:rsidRDefault="00800AE4" w:rsidP="00314B6A">
      <w:pPr>
        <w:pStyle w:val="NormalIndent"/>
        <w:ind w:left="360"/>
      </w:pPr>
      <w:r>
        <w:rPr>
          <w:b/>
        </w:rPr>
        <w:t>E</w:t>
      </w:r>
      <w:r w:rsidR="00BB380C" w:rsidRPr="006E217D">
        <w:rPr>
          <w:b/>
        </w:rPr>
        <w:t>xample</w:t>
      </w:r>
      <w:r>
        <w:rPr>
          <w:b/>
        </w:rPr>
        <w:t>:</w:t>
      </w:r>
      <w:r w:rsidR="00BB380C">
        <w:t xml:space="preserve"> </w:t>
      </w:r>
      <w:r w:rsidR="002E5B41">
        <w:t>An</w:t>
      </w:r>
      <w:r w:rsidRPr="007C0A66">
        <w:t xml:space="preserve"> agency transfers </w:t>
      </w:r>
      <w:r w:rsidR="00E50EC4">
        <w:t>fixed assets</w:t>
      </w:r>
      <w:r w:rsidRPr="007C0A66">
        <w:t xml:space="preserve"> at a carrying amount of $20 to another agency.</w:t>
      </w:r>
    </w:p>
    <w:p w:rsidR="00800AE4" w:rsidRDefault="00800AE4" w:rsidP="00314B6A">
      <w:pPr>
        <w:pStyle w:val="Heading4"/>
        <w:spacing w:before="240" w:after="120"/>
        <w:ind w:left="360"/>
      </w:pPr>
      <w:r>
        <w:t xml:space="preserve">Step A – </w:t>
      </w:r>
      <w:r w:rsidR="002E5B41">
        <w:t>The agency (Agency A) transfers the asset out of its accounts, back to its Department.</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800AE4" w:rsidP="003C3537">
            <w:pPr>
              <w:pStyle w:val="Tableheader"/>
              <w:rPr>
                <w:rFonts w:eastAsia="Arial Unicode MS"/>
              </w:rPr>
            </w:pPr>
            <w:r w:rsidRPr="00673D01">
              <w:rPr>
                <w:b/>
              </w:rPr>
              <w:t>A</w:t>
            </w:r>
            <w:r>
              <w:rPr>
                <w:b/>
              </w:rPr>
              <w:t>gency</w:t>
            </w:r>
            <w:r w:rsidR="002E5B41">
              <w:rPr>
                <w:b/>
              </w:rPr>
              <w:t xml:space="preserve"> A</w:t>
            </w:r>
          </w:p>
        </w:tc>
      </w:tr>
      <w:tr w:rsidR="00800AE4" w:rsidRPr="00731E39" w:rsidTr="003C3537">
        <w:trPr>
          <w:cantSplit/>
        </w:trPr>
        <w:tc>
          <w:tcPr>
            <w:tcW w:w="5731" w:type="dxa"/>
          </w:tcPr>
          <w:p w:rsidR="00800AE4" w:rsidRPr="00731E39" w:rsidRDefault="00800AE4" w:rsidP="003C3537">
            <w:pPr>
              <w:pStyle w:val="Tabletext"/>
              <w:rPr>
                <w:rFonts w:eastAsia="Arial Unicode MS"/>
              </w:rPr>
            </w:pPr>
            <w:r>
              <w:rPr>
                <w:rFonts w:eastAsia="Arial Unicode MS"/>
              </w:rPr>
              <w:t xml:space="preserve">DR </w:t>
            </w:r>
            <w:r w:rsidR="002F7A0C" w:rsidRPr="004C5801">
              <w:rPr>
                <w:rFonts w:eastAsia="Arial Unicode MS"/>
              </w:rPr>
              <w:t xml:space="preserve">Equity </w:t>
            </w:r>
            <w:r w:rsidR="002F7A0C">
              <w:rPr>
                <w:rFonts w:eastAsia="Arial Unicode MS"/>
              </w:rPr>
              <w:t>t</w:t>
            </w:r>
            <w:r w:rsidR="002F7A0C" w:rsidRPr="004C5801">
              <w:rPr>
                <w:rFonts w:eastAsia="Arial Unicode MS"/>
              </w:rPr>
              <w:t xml:space="preserve">ransfers to </w:t>
            </w:r>
            <w:r w:rsidR="002F7A0C">
              <w:rPr>
                <w:rFonts w:eastAsia="Arial Unicode MS"/>
              </w:rPr>
              <w:t>o</w:t>
            </w:r>
            <w:r w:rsidR="002F7A0C" w:rsidRPr="004C5801">
              <w:rPr>
                <w:rFonts w:eastAsia="Arial Unicode MS"/>
              </w:rPr>
              <w:t xml:space="preserve">ther </w:t>
            </w:r>
            <w:r w:rsidR="002F7A0C">
              <w:rPr>
                <w:rFonts w:eastAsia="Arial Unicode MS"/>
              </w:rPr>
              <w:t>g</w:t>
            </w:r>
            <w:r w:rsidR="002F7A0C" w:rsidRPr="004C5801">
              <w:rPr>
                <w:rFonts w:eastAsia="Arial Unicode MS"/>
              </w:rPr>
              <w:t xml:space="preserve">overnment </w:t>
            </w:r>
            <w:r w:rsidR="002F7A0C">
              <w:rPr>
                <w:rFonts w:eastAsia="Arial Unicode MS"/>
              </w:rPr>
              <w:t>e</w:t>
            </w:r>
            <w:r w:rsidR="002F7A0C" w:rsidRPr="004C5801">
              <w:rPr>
                <w:rFonts w:eastAsia="Arial Unicode MS"/>
              </w:rPr>
              <w:t xml:space="preserve">ntities </w:t>
            </w:r>
            <w:r w:rsidRPr="00C91080">
              <w:rPr>
                <w:rFonts w:eastAsia="Arial Unicode MS"/>
              </w:rPr>
              <w:t>(Fixed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rPr>
          <w:cantSplit/>
        </w:trPr>
        <w:tc>
          <w:tcPr>
            <w:tcW w:w="5731" w:type="dxa"/>
          </w:tcPr>
          <w:p w:rsidR="00800AE4" w:rsidRPr="00731E39" w:rsidRDefault="00800AE4" w:rsidP="002F7A0C">
            <w:pPr>
              <w:pStyle w:val="Tabletext"/>
              <w:rPr>
                <w:rFonts w:eastAsia="Arial Unicode MS"/>
              </w:rPr>
            </w:pPr>
            <w:r>
              <w:rPr>
                <w:rFonts w:eastAsia="Arial Unicode MS"/>
              </w:rPr>
              <w:t xml:space="preserve">CR </w:t>
            </w:r>
            <w:r w:rsidR="002F7A0C">
              <w:rPr>
                <w:rFonts w:eastAsia="Arial Unicode MS"/>
              </w:rPr>
              <w:t>Fixed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800AE4" w:rsidRPr="00800AE4" w:rsidRDefault="00800AE4" w:rsidP="00314B6A">
      <w:pPr>
        <w:pStyle w:val="Heading4"/>
        <w:spacing w:before="240" w:after="120"/>
        <w:ind w:left="360"/>
      </w:pPr>
      <w:r w:rsidRPr="00800AE4">
        <w:t xml:space="preserve">Step B – </w:t>
      </w:r>
      <w:r w:rsidR="002E5B41" w:rsidRPr="002E5B41">
        <w:t xml:space="preserve">Agency A’s </w:t>
      </w:r>
      <w:r w:rsidRPr="00800AE4">
        <w:t>Department</w:t>
      </w:r>
      <w:r w:rsidR="002E5B41" w:rsidRPr="002E5B41">
        <w:t xml:space="preserve"> (Department A) receives the asset</w:t>
      </w:r>
      <w:r w:rsidR="002F7A0C">
        <w:t>s</w:t>
      </w:r>
      <w:r w:rsidR="002E5B41" w:rsidRPr="002E5B41">
        <w:t xml:space="preserve"> back from </w:t>
      </w:r>
      <w:r w:rsidR="002F7A0C">
        <w:t>Agency A</w:t>
      </w:r>
      <w:r w:rsidR="002E5B41" w:rsidRPr="002E5B41">
        <w:t>, then transfers it to the Department receiving the assets (Department B).</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2E5B41" w:rsidP="002E5B41">
            <w:pPr>
              <w:pStyle w:val="Tableheader"/>
              <w:rPr>
                <w:rFonts w:eastAsia="Arial Unicode MS"/>
              </w:rPr>
            </w:pPr>
            <w:r>
              <w:rPr>
                <w:b/>
              </w:rPr>
              <w:t>Department A – Administered</w:t>
            </w:r>
          </w:p>
        </w:tc>
      </w:tr>
      <w:tr w:rsidR="00800AE4" w:rsidRPr="00731E39" w:rsidTr="003C3537">
        <w:trPr>
          <w:cantSplit/>
        </w:trPr>
        <w:tc>
          <w:tcPr>
            <w:tcW w:w="5731" w:type="dxa"/>
          </w:tcPr>
          <w:p w:rsidR="00800AE4" w:rsidRPr="00731E39" w:rsidRDefault="00800AE4" w:rsidP="002E5B41">
            <w:pPr>
              <w:pStyle w:val="Tabletext"/>
              <w:rPr>
                <w:rFonts w:eastAsia="Arial Unicode MS"/>
              </w:rPr>
            </w:pPr>
            <w:r>
              <w:rPr>
                <w:rFonts w:eastAsia="Arial Unicode MS"/>
              </w:rPr>
              <w:t xml:space="preserve">DR </w:t>
            </w:r>
            <w:r w:rsidRPr="00C91080">
              <w:rPr>
                <w:rFonts w:eastAsia="Arial Unicode MS"/>
              </w:rPr>
              <w:t xml:space="preserve">Fixed </w:t>
            </w:r>
            <w:r w:rsidR="002E5B41">
              <w:rPr>
                <w:rFonts w:eastAsia="Arial Unicode MS"/>
              </w:rPr>
              <w:t>a</w:t>
            </w:r>
            <w:r w:rsidRPr="00C91080">
              <w:rPr>
                <w:rFonts w:eastAsia="Arial Unicode MS"/>
              </w:rPr>
              <w:t>sse</w:t>
            </w:r>
            <w:r w:rsidR="002E5B41">
              <w:rPr>
                <w:rFonts w:eastAsia="Arial Unicode MS"/>
              </w:rPr>
              <w:t>t</w:t>
            </w:r>
            <w:r w:rsidR="002F7A0C">
              <w:rPr>
                <w:rFonts w:eastAsia="Arial Unicode MS"/>
              </w:rPr>
              <w: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rPr>
          <w:cantSplit/>
        </w:trPr>
        <w:tc>
          <w:tcPr>
            <w:tcW w:w="5731" w:type="dxa"/>
          </w:tcPr>
          <w:p w:rsidR="00800AE4" w:rsidRPr="00731E39" w:rsidRDefault="00800AE4" w:rsidP="002E5B41">
            <w:pPr>
              <w:pStyle w:val="Tabletext"/>
              <w:rPr>
                <w:rFonts w:eastAsia="Arial Unicode MS"/>
              </w:rPr>
            </w:pPr>
            <w:r>
              <w:rPr>
                <w:rFonts w:eastAsia="Arial Unicode MS"/>
              </w:rPr>
              <w:t xml:space="preserve">CR </w:t>
            </w:r>
            <w:r w:rsidR="002E5B41" w:rsidRPr="00AC78FF">
              <w:rPr>
                <w:rFonts w:eastAsia="Arial Unicode MS"/>
              </w:rPr>
              <w:t xml:space="preserve">Equity </w:t>
            </w:r>
            <w:r w:rsidR="002E5B41">
              <w:rPr>
                <w:rFonts w:eastAsia="Arial Unicode MS"/>
              </w:rPr>
              <w:t>t</w:t>
            </w:r>
            <w:r w:rsidR="002E5B41" w:rsidRPr="00AC78FF">
              <w:rPr>
                <w:rFonts w:eastAsia="Arial Unicode MS"/>
              </w:rPr>
              <w:t xml:space="preserve">ransfers from </w:t>
            </w:r>
            <w:r w:rsidR="002E5B41">
              <w:rPr>
                <w:rFonts w:eastAsia="Arial Unicode MS"/>
              </w:rPr>
              <w:t>o</w:t>
            </w:r>
            <w:r w:rsidR="002E5B41" w:rsidRPr="00AC78FF">
              <w:rPr>
                <w:rFonts w:eastAsia="Arial Unicode MS"/>
              </w:rPr>
              <w:t xml:space="preserve">ther </w:t>
            </w:r>
            <w:r w:rsidR="002E5B41">
              <w:rPr>
                <w:rFonts w:eastAsia="Arial Unicode MS"/>
              </w:rPr>
              <w:t>g</w:t>
            </w:r>
            <w:r w:rsidR="002E5B41" w:rsidRPr="00AC78FF">
              <w:rPr>
                <w:rFonts w:eastAsia="Arial Unicode MS"/>
              </w:rPr>
              <w:t xml:space="preserve">overnment </w:t>
            </w:r>
            <w:r w:rsidR="002E5B41">
              <w:rPr>
                <w:rFonts w:eastAsia="Arial Unicode MS"/>
              </w:rPr>
              <w:t>e</w:t>
            </w:r>
            <w:r w:rsidR="002E5B41" w:rsidRPr="00AC78FF">
              <w:rPr>
                <w:rFonts w:eastAsia="Arial Unicode MS"/>
              </w:rPr>
              <w:t xml:space="preserve">ntities </w:t>
            </w:r>
            <w:r w:rsidRPr="00AC78FF">
              <w:rPr>
                <w:rFonts w:eastAsia="Arial Unicode MS"/>
              </w:rPr>
              <w:t>(</w:t>
            </w:r>
            <w:r>
              <w:rPr>
                <w:rFonts w:eastAsia="Arial Unicode MS"/>
              </w:rPr>
              <w:t>Fixed</w:t>
            </w:r>
            <w:r w:rsidRPr="00AC78FF">
              <w:rPr>
                <w:rFonts w:eastAsia="Arial Unicode MS"/>
              </w:rPr>
              <w:t xml:space="preserve">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rPr>
          <w:cantSplit/>
        </w:trPr>
        <w:tc>
          <w:tcPr>
            <w:tcW w:w="5731" w:type="dxa"/>
          </w:tcPr>
          <w:p w:rsidR="00800AE4" w:rsidRPr="00731E39" w:rsidRDefault="00800AE4" w:rsidP="003C3537">
            <w:pPr>
              <w:pStyle w:val="Tabletext"/>
              <w:rPr>
                <w:rFonts w:eastAsia="Arial Unicode MS"/>
              </w:rPr>
            </w:pPr>
            <w:r>
              <w:rPr>
                <w:rFonts w:eastAsia="Arial Unicode MS"/>
              </w:rPr>
              <w:t xml:space="preserve">DR </w:t>
            </w:r>
            <w:r w:rsidR="002E5B41" w:rsidRPr="00AC78FF">
              <w:rPr>
                <w:rFonts w:eastAsia="Arial Unicode MS"/>
              </w:rPr>
              <w:t xml:space="preserve">Equity </w:t>
            </w:r>
            <w:r w:rsidR="002E5B41">
              <w:rPr>
                <w:rFonts w:eastAsia="Arial Unicode MS"/>
              </w:rPr>
              <w:t>transfers to</w:t>
            </w:r>
            <w:r w:rsidR="002E5B41" w:rsidRPr="00AC78FF">
              <w:rPr>
                <w:rFonts w:eastAsia="Arial Unicode MS"/>
              </w:rPr>
              <w:t xml:space="preserve"> </w:t>
            </w:r>
            <w:r w:rsidR="002E5B41">
              <w:rPr>
                <w:rFonts w:eastAsia="Arial Unicode MS"/>
              </w:rPr>
              <w:t>o</w:t>
            </w:r>
            <w:r w:rsidR="002E5B41" w:rsidRPr="00AC78FF">
              <w:rPr>
                <w:rFonts w:eastAsia="Arial Unicode MS"/>
              </w:rPr>
              <w:t xml:space="preserve">ther </w:t>
            </w:r>
            <w:r w:rsidR="002E5B41">
              <w:rPr>
                <w:rFonts w:eastAsia="Arial Unicode MS"/>
              </w:rPr>
              <w:t>g</w:t>
            </w:r>
            <w:r w:rsidR="002E5B41" w:rsidRPr="00AC78FF">
              <w:rPr>
                <w:rFonts w:eastAsia="Arial Unicode MS"/>
              </w:rPr>
              <w:t xml:space="preserve">overnment </w:t>
            </w:r>
            <w:r w:rsidR="002E5B41">
              <w:rPr>
                <w:rFonts w:eastAsia="Arial Unicode MS"/>
              </w:rPr>
              <w:t>e</w:t>
            </w:r>
            <w:r w:rsidR="002E5B41" w:rsidRPr="00AC78FF">
              <w:rPr>
                <w:rFonts w:eastAsia="Arial Unicode MS"/>
              </w:rPr>
              <w:t xml:space="preserve">ntities </w:t>
            </w:r>
            <w:r w:rsidRPr="00AC78FF">
              <w:rPr>
                <w:rFonts w:eastAsia="Arial Unicode MS"/>
              </w:rPr>
              <w:t>(</w:t>
            </w:r>
            <w:r>
              <w:rPr>
                <w:rFonts w:eastAsia="Arial Unicode MS"/>
              </w:rPr>
              <w:t>Fixed</w:t>
            </w:r>
            <w:r w:rsidRPr="00AC78FF">
              <w:rPr>
                <w:rFonts w:eastAsia="Arial Unicode MS"/>
              </w:rPr>
              <w:t xml:space="preserve"> Assets)</w:t>
            </w:r>
          </w:p>
        </w:tc>
        <w:tc>
          <w:tcPr>
            <w:tcW w:w="1791" w:type="dxa"/>
          </w:tcPr>
          <w:p w:rsidR="00800AE4" w:rsidRPr="00731E39" w:rsidRDefault="00800AE4" w:rsidP="003C3537">
            <w:pPr>
              <w:pStyle w:val="Tabletext"/>
              <w:jc w:val="right"/>
              <w:rPr>
                <w:rFonts w:eastAsia="Arial Unicode MS"/>
              </w:rPr>
            </w:pPr>
            <w:r>
              <w:rPr>
                <w:rFonts w:eastAsia="Arial Unicode MS"/>
              </w:rPr>
              <w:t>2</w:t>
            </w:r>
            <w:r w:rsidRPr="00731E39">
              <w:rPr>
                <w:rFonts w:eastAsia="Arial Unicode MS"/>
              </w:rPr>
              <w:t>0</w:t>
            </w:r>
          </w:p>
        </w:tc>
      </w:tr>
      <w:tr w:rsidR="00800AE4" w:rsidRPr="00731E39" w:rsidTr="003C3537">
        <w:trPr>
          <w:cantSplit/>
        </w:trPr>
        <w:tc>
          <w:tcPr>
            <w:tcW w:w="5731" w:type="dxa"/>
          </w:tcPr>
          <w:p w:rsidR="00800AE4" w:rsidRPr="00731E39" w:rsidRDefault="00800AE4" w:rsidP="002E5B41">
            <w:pPr>
              <w:pStyle w:val="Tabletext"/>
              <w:rPr>
                <w:rFonts w:eastAsia="Arial Unicode MS"/>
              </w:rPr>
            </w:pPr>
            <w:r>
              <w:rPr>
                <w:rFonts w:eastAsia="Arial Unicode MS"/>
              </w:rPr>
              <w:t xml:space="preserve">CR </w:t>
            </w:r>
            <w:r w:rsidRPr="00C91080">
              <w:rPr>
                <w:rFonts w:eastAsia="Arial Unicode MS"/>
              </w:rPr>
              <w:t xml:space="preserve">Fixed </w:t>
            </w:r>
            <w:r w:rsidR="002E5B41">
              <w:rPr>
                <w:rFonts w:eastAsia="Arial Unicode MS"/>
              </w:rPr>
              <w:t>a</w:t>
            </w:r>
            <w:r w:rsidRPr="00C91080">
              <w:rPr>
                <w:rFonts w:eastAsia="Arial Unicode MS"/>
              </w:rPr>
              <w:t>sset</w:t>
            </w:r>
            <w:r w:rsidR="002F7A0C">
              <w:rPr>
                <w:rFonts w:eastAsia="Arial Unicode MS"/>
              </w:rPr>
              <w:t>s</w:t>
            </w:r>
          </w:p>
        </w:tc>
        <w:tc>
          <w:tcPr>
            <w:tcW w:w="1791" w:type="dxa"/>
          </w:tcPr>
          <w:p w:rsidR="00800AE4" w:rsidRPr="00731E39" w:rsidRDefault="00800AE4" w:rsidP="003C3537">
            <w:pPr>
              <w:pStyle w:val="Tabletext"/>
              <w:jc w:val="right"/>
              <w:rPr>
                <w:rFonts w:eastAsia="Arial Unicode MS"/>
              </w:rPr>
            </w:pPr>
            <w:r>
              <w:rPr>
                <w:rFonts w:eastAsia="Arial Unicode MS"/>
              </w:rPr>
              <w:t>2</w:t>
            </w:r>
            <w:r w:rsidRPr="00731E39">
              <w:rPr>
                <w:rFonts w:eastAsia="Arial Unicode MS"/>
              </w:rPr>
              <w:t>0</w:t>
            </w:r>
          </w:p>
        </w:tc>
      </w:tr>
    </w:tbl>
    <w:p w:rsidR="00800AE4" w:rsidRDefault="002E5B41" w:rsidP="00314B6A">
      <w:pPr>
        <w:pStyle w:val="Heading4"/>
        <w:spacing w:before="240" w:after="120"/>
        <w:ind w:left="360"/>
      </w:pPr>
      <w:r>
        <w:t xml:space="preserve">Step </w:t>
      </w:r>
      <w:r w:rsidR="001834DF">
        <w:t>C</w:t>
      </w:r>
      <w:r w:rsidRPr="00800AE4">
        <w:t xml:space="preserve"> –</w:t>
      </w:r>
      <w:r>
        <w:t xml:space="preserve"> </w:t>
      </w:r>
      <w:r w:rsidRPr="002E5B41">
        <w:t>Department A</w:t>
      </w:r>
      <w:r>
        <w:t xml:space="preserve"> reduces its investment in its agency.</w:t>
      </w:r>
    </w:p>
    <w:tbl>
      <w:tblPr>
        <w:tblStyle w:val="DTFtexttable"/>
        <w:tblW w:w="7522" w:type="dxa"/>
        <w:tblInd w:w="864" w:type="dxa"/>
        <w:tblLayout w:type="fixed"/>
        <w:tblLook w:val="0620" w:firstRow="1" w:lastRow="0" w:firstColumn="0" w:lastColumn="0" w:noHBand="1" w:noVBand="1"/>
      </w:tblPr>
      <w:tblGrid>
        <w:gridCol w:w="5731"/>
        <w:gridCol w:w="1791"/>
      </w:tblGrid>
      <w:tr w:rsidR="002E5B41"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2E5B41" w:rsidRDefault="002E5B41" w:rsidP="003C3537">
            <w:pPr>
              <w:pStyle w:val="Tableheader"/>
              <w:rPr>
                <w:rFonts w:eastAsia="Arial Unicode MS"/>
              </w:rPr>
            </w:pPr>
            <w:r>
              <w:rPr>
                <w:b/>
              </w:rPr>
              <w:t>Department A – Administered</w:t>
            </w:r>
          </w:p>
        </w:tc>
      </w:tr>
      <w:tr w:rsidR="002E5B41" w:rsidRPr="00731E39" w:rsidTr="003C3537">
        <w:trPr>
          <w:cantSplit/>
        </w:trPr>
        <w:tc>
          <w:tcPr>
            <w:tcW w:w="5731" w:type="dxa"/>
          </w:tcPr>
          <w:p w:rsidR="002E5B41" w:rsidRPr="00731E39" w:rsidRDefault="002E5B41" w:rsidP="003C3537">
            <w:pPr>
              <w:pStyle w:val="Tabletext"/>
              <w:rPr>
                <w:rFonts w:eastAsia="Arial Unicode MS"/>
              </w:rPr>
            </w:pPr>
            <w:r>
              <w:rPr>
                <w:rFonts w:eastAsia="Arial Unicode MS"/>
              </w:rPr>
              <w:t xml:space="preserve">DR </w:t>
            </w:r>
            <w:r w:rsidR="001834DF" w:rsidRPr="00AC78FF">
              <w:rPr>
                <w:rFonts w:eastAsia="Arial Unicode MS"/>
              </w:rPr>
              <w:t xml:space="preserve">Equity </w:t>
            </w:r>
            <w:r w:rsidR="001834DF">
              <w:rPr>
                <w:rFonts w:eastAsia="Arial Unicode MS"/>
              </w:rPr>
              <w:t>transfers to</w:t>
            </w:r>
            <w:r w:rsidR="001834DF" w:rsidRPr="00AC78FF">
              <w:rPr>
                <w:rFonts w:eastAsia="Arial Unicode MS"/>
              </w:rPr>
              <w:t xml:space="preserve">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 xml:space="preserve">ntities </w:t>
            </w:r>
            <w:r w:rsidRPr="00AC78FF">
              <w:rPr>
                <w:rFonts w:eastAsia="Arial Unicode MS"/>
              </w:rPr>
              <w:t>(Fixed Assets)</w:t>
            </w:r>
          </w:p>
        </w:tc>
        <w:tc>
          <w:tcPr>
            <w:tcW w:w="1791" w:type="dxa"/>
          </w:tcPr>
          <w:p w:rsidR="002E5B41" w:rsidRPr="00731E39" w:rsidRDefault="002E5B41" w:rsidP="003C3537">
            <w:pPr>
              <w:pStyle w:val="Tabletext"/>
              <w:jc w:val="right"/>
              <w:rPr>
                <w:rFonts w:eastAsia="Arial Unicode MS"/>
              </w:rPr>
            </w:pPr>
            <w:r>
              <w:rPr>
                <w:rFonts w:eastAsia="Arial Unicode MS"/>
              </w:rPr>
              <w:t>2</w:t>
            </w:r>
            <w:r w:rsidRPr="00731E39">
              <w:rPr>
                <w:rFonts w:eastAsia="Arial Unicode MS"/>
              </w:rPr>
              <w:t>0</w:t>
            </w:r>
          </w:p>
        </w:tc>
      </w:tr>
      <w:tr w:rsidR="002E5B41" w:rsidRPr="00731E39" w:rsidTr="003C3537">
        <w:trPr>
          <w:cantSplit/>
        </w:trPr>
        <w:tc>
          <w:tcPr>
            <w:tcW w:w="5731" w:type="dxa"/>
          </w:tcPr>
          <w:p w:rsidR="002E5B41" w:rsidRPr="00731E39" w:rsidRDefault="002E5B41" w:rsidP="003C3537">
            <w:pPr>
              <w:pStyle w:val="Tabletext"/>
              <w:rPr>
                <w:rFonts w:eastAsia="Arial Unicode MS"/>
              </w:rPr>
            </w:pPr>
            <w:r>
              <w:rPr>
                <w:rFonts w:eastAsia="Arial Unicode MS"/>
              </w:rPr>
              <w:t xml:space="preserve">CR </w:t>
            </w:r>
            <w:r w:rsidR="001834DF" w:rsidRPr="00A62FFF">
              <w:t xml:space="preserve">Equity </w:t>
            </w:r>
            <w:r w:rsidR="001834DF">
              <w:t>investment in GG, PNFC or PFC</w:t>
            </w:r>
          </w:p>
        </w:tc>
        <w:tc>
          <w:tcPr>
            <w:tcW w:w="1791" w:type="dxa"/>
          </w:tcPr>
          <w:p w:rsidR="002E5B41" w:rsidRPr="00731E39" w:rsidRDefault="002E5B41" w:rsidP="003C3537">
            <w:pPr>
              <w:pStyle w:val="Tabletext"/>
              <w:jc w:val="right"/>
              <w:rPr>
                <w:rFonts w:eastAsia="Arial Unicode MS"/>
              </w:rPr>
            </w:pPr>
            <w:r>
              <w:rPr>
                <w:rFonts w:eastAsia="Arial Unicode MS"/>
              </w:rPr>
              <w:t>2</w:t>
            </w:r>
            <w:r w:rsidRPr="00731E39">
              <w:rPr>
                <w:rFonts w:eastAsia="Arial Unicode MS"/>
              </w:rPr>
              <w:t>0</w:t>
            </w:r>
          </w:p>
        </w:tc>
      </w:tr>
    </w:tbl>
    <w:p w:rsidR="00800AE4" w:rsidRPr="00800AE4" w:rsidRDefault="00800AE4" w:rsidP="00314B6A">
      <w:pPr>
        <w:pStyle w:val="Heading4"/>
        <w:spacing w:before="240" w:after="120"/>
        <w:ind w:left="360"/>
      </w:pPr>
      <w:r>
        <w:t>S</w:t>
      </w:r>
      <w:r w:rsidR="001834DF">
        <w:t>tep D</w:t>
      </w:r>
      <w:r w:rsidRPr="00800AE4">
        <w:t xml:space="preserve"> – </w:t>
      </w:r>
      <w:r w:rsidR="001834DF">
        <w:t>The receiving Department (</w:t>
      </w:r>
      <w:r w:rsidRPr="00800AE4">
        <w:t>Department B</w:t>
      </w:r>
      <w:r w:rsidR="001834DF">
        <w:t>) records the receipt of the asset through the recognition of the investment in its agency (Agency B).</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Pr="00525E52" w:rsidRDefault="00800AE4" w:rsidP="001834DF">
            <w:pPr>
              <w:pStyle w:val="Tableheader"/>
              <w:rPr>
                <w:b/>
              </w:rPr>
            </w:pPr>
            <w:r w:rsidRPr="00525E52">
              <w:rPr>
                <w:b/>
              </w:rPr>
              <w:t xml:space="preserve">Department </w:t>
            </w:r>
            <w:r>
              <w:rPr>
                <w:b/>
              </w:rPr>
              <w:t>B – Administered</w:t>
            </w:r>
          </w:p>
        </w:tc>
      </w:tr>
      <w:tr w:rsidR="00800AE4" w:rsidRPr="00731E39" w:rsidTr="003C3537">
        <w:trPr>
          <w:cantSplit/>
        </w:trPr>
        <w:tc>
          <w:tcPr>
            <w:tcW w:w="5731" w:type="dxa"/>
          </w:tcPr>
          <w:p w:rsidR="00800AE4" w:rsidRPr="00731E39" w:rsidRDefault="00800AE4" w:rsidP="003C3537">
            <w:pPr>
              <w:pStyle w:val="Tabletext"/>
              <w:rPr>
                <w:rFonts w:eastAsia="Arial Unicode MS"/>
              </w:rPr>
            </w:pPr>
            <w:r>
              <w:rPr>
                <w:rFonts w:eastAsia="Arial Unicode MS"/>
              </w:rPr>
              <w:t xml:space="preserve">DR </w:t>
            </w:r>
            <w:r w:rsidR="001834DF" w:rsidRPr="00A62FFF">
              <w:t xml:space="preserve">Equity </w:t>
            </w:r>
            <w:r w:rsidR="001834DF">
              <w:t>investment in GG, PNFC or PFC</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rPr>
          <w:cantSplit/>
        </w:trPr>
        <w:tc>
          <w:tcPr>
            <w:tcW w:w="5731" w:type="dxa"/>
          </w:tcPr>
          <w:p w:rsidR="00800AE4" w:rsidRPr="00731E39" w:rsidRDefault="00800AE4" w:rsidP="003C3537">
            <w:pPr>
              <w:pStyle w:val="Tabletext"/>
              <w:rPr>
                <w:rFonts w:eastAsia="Arial Unicode MS"/>
              </w:rPr>
            </w:pPr>
            <w:r>
              <w:rPr>
                <w:rFonts w:eastAsia="Arial Unicode MS"/>
              </w:rPr>
              <w:t xml:space="preserve">CR </w:t>
            </w:r>
            <w:r w:rsidR="001834DF" w:rsidRPr="00AC78FF">
              <w:rPr>
                <w:rFonts w:eastAsia="Arial Unicode MS"/>
              </w:rPr>
              <w:t xml:space="preserve">Equity </w:t>
            </w:r>
            <w:r w:rsidR="001834DF">
              <w:rPr>
                <w:rFonts w:eastAsia="Arial Unicode MS"/>
              </w:rPr>
              <w:t>t</w:t>
            </w:r>
            <w:r w:rsidR="001834DF" w:rsidRPr="00AC78FF">
              <w:rPr>
                <w:rFonts w:eastAsia="Arial Unicode MS"/>
              </w:rPr>
              <w:t xml:space="preserve">ransfers from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 xml:space="preserve">ntities </w:t>
            </w:r>
            <w:r w:rsidRPr="00AC78FF">
              <w:rPr>
                <w:rFonts w:eastAsia="Arial Unicode MS"/>
              </w:rPr>
              <w:t>(Fixed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1834DF" w:rsidRPr="00800AE4" w:rsidRDefault="001834DF" w:rsidP="001834DF">
      <w:pPr>
        <w:pStyle w:val="Heading4"/>
        <w:spacing w:before="240" w:after="120"/>
        <w:ind w:left="360"/>
      </w:pPr>
      <w:r>
        <w:t>Step E</w:t>
      </w:r>
      <w:r w:rsidRPr="00800AE4">
        <w:t xml:space="preserve"> – </w:t>
      </w:r>
      <w:r>
        <w:t>The receiving agency (Agency B) records the receipt of the asset.</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800AE4" w:rsidP="002F7A0C">
            <w:pPr>
              <w:pStyle w:val="Tableheader"/>
              <w:rPr>
                <w:rFonts w:eastAsia="Arial Unicode MS"/>
              </w:rPr>
            </w:pPr>
            <w:r w:rsidRPr="00673D01">
              <w:rPr>
                <w:b/>
              </w:rPr>
              <w:t>A</w:t>
            </w:r>
            <w:r w:rsidR="002F7A0C">
              <w:rPr>
                <w:b/>
              </w:rPr>
              <w:t>gency B</w:t>
            </w:r>
          </w:p>
        </w:tc>
      </w:tr>
      <w:tr w:rsidR="00800AE4" w:rsidRPr="00731E39" w:rsidTr="003C3537">
        <w:trPr>
          <w:cantSplit/>
        </w:trPr>
        <w:tc>
          <w:tcPr>
            <w:tcW w:w="5731" w:type="dxa"/>
          </w:tcPr>
          <w:p w:rsidR="00800AE4" w:rsidRPr="00731E39" w:rsidRDefault="00800AE4" w:rsidP="001834DF">
            <w:pPr>
              <w:pStyle w:val="Tabletext"/>
              <w:rPr>
                <w:rFonts w:eastAsia="Arial Unicode MS"/>
              </w:rPr>
            </w:pPr>
            <w:r>
              <w:rPr>
                <w:rFonts w:eastAsia="Arial Unicode MS"/>
              </w:rPr>
              <w:t xml:space="preserve">DR </w:t>
            </w:r>
            <w:r w:rsidR="001834DF">
              <w:rPr>
                <w:rFonts w:eastAsia="Arial Unicode MS"/>
              </w:rPr>
              <w:t>Fixed assets</w:t>
            </w:r>
            <w:r w:rsidRPr="00C91080">
              <w:rPr>
                <w:rFonts w:eastAsia="Arial Unicode MS"/>
              </w:rPr>
              <w:t xml:space="preserve"> </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rPr>
          <w:cantSplit/>
        </w:trPr>
        <w:tc>
          <w:tcPr>
            <w:tcW w:w="5731" w:type="dxa"/>
          </w:tcPr>
          <w:p w:rsidR="00800AE4" w:rsidRPr="00731E39" w:rsidRDefault="00800AE4" w:rsidP="003C3537">
            <w:pPr>
              <w:pStyle w:val="Tabletext"/>
              <w:rPr>
                <w:rFonts w:eastAsia="Arial Unicode MS"/>
              </w:rPr>
            </w:pPr>
            <w:r>
              <w:rPr>
                <w:rFonts w:eastAsia="Arial Unicode MS"/>
              </w:rPr>
              <w:t xml:space="preserve">CR </w:t>
            </w:r>
            <w:r w:rsidR="001834DF" w:rsidRPr="00AC78FF">
              <w:rPr>
                <w:rFonts w:eastAsia="Arial Unicode MS"/>
              </w:rPr>
              <w:t xml:space="preserve">Equity </w:t>
            </w:r>
            <w:r w:rsidR="001834DF">
              <w:rPr>
                <w:rFonts w:eastAsia="Arial Unicode MS"/>
              </w:rPr>
              <w:t>t</w:t>
            </w:r>
            <w:r w:rsidR="001834DF" w:rsidRPr="00AC78FF">
              <w:rPr>
                <w:rFonts w:eastAsia="Arial Unicode MS"/>
              </w:rPr>
              <w:t xml:space="preserve">ransfers from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ntities</w:t>
            </w:r>
            <w:r w:rsidRPr="00C91080">
              <w:rPr>
                <w:rFonts w:eastAsia="Arial Unicode MS"/>
              </w:rPr>
              <w:t xml:space="preserve"> (Fixed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800AE4" w:rsidRDefault="00800AE4" w:rsidP="00314B6A">
      <w:pPr>
        <w:pStyle w:val="Numpara"/>
        <w:numPr>
          <w:ilvl w:val="0"/>
          <w:numId w:val="0"/>
        </w:numPr>
        <w:ind w:left="357"/>
        <w:contextualSpacing w:val="0"/>
        <w:rPr>
          <w:b/>
        </w:rPr>
      </w:pPr>
    </w:p>
    <w:p w:rsidR="001834DF" w:rsidRPr="001834DF" w:rsidRDefault="001834DF" w:rsidP="001834DF">
      <w:pPr>
        <w:pStyle w:val="Heading4"/>
      </w:pPr>
      <w:r>
        <w:lastRenderedPageBreak/>
        <w:t xml:space="preserve">Scenario </w:t>
      </w:r>
      <w:r w:rsidR="002F7A0C">
        <w:t>3</w:t>
      </w:r>
      <w:r>
        <w:t xml:space="preserve"> – </w:t>
      </w:r>
      <w:r w:rsidRPr="001834DF">
        <w:t xml:space="preserve">Adjustments resulting from </w:t>
      </w:r>
      <w:r w:rsidR="00734E4D">
        <w:t>m</w:t>
      </w:r>
      <w:r w:rsidRPr="001834DF">
        <w:t xml:space="preserve">ergers and </w:t>
      </w:r>
      <w:r w:rsidR="00734E4D">
        <w:t>s</w:t>
      </w:r>
      <w:r w:rsidRPr="001834DF">
        <w:t xml:space="preserve">plits - </w:t>
      </w:r>
      <w:r w:rsidR="00A25A72">
        <w:t>an</w:t>
      </w:r>
      <w:r w:rsidRPr="001834DF">
        <w:t xml:space="preserve"> </w:t>
      </w:r>
      <w:r w:rsidR="004122AE">
        <w:t>a</w:t>
      </w:r>
      <w:r w:rsidRPr="001834DF">
        <w:t xml:space="preserve">gency merges with another and remains within the same </w:t>
      </w:r>
      <w:r>
        <w:t>D</w:t>
      </w:r>
      <w:r w:rsidRPr="001834DF">
        <w:t>epartmental portfolio.</w:t>
      </w:r>
    </w:p>
    <w:p w:rsidR="001834DF" w:rsidRDefault="001834DF" w:rsidP="00314B6A">
      <w:pPr>
        <w:pStyle w:val="NormalIndent"/>
        <w:ind w:left="360"/>
      </w:pPr>
      <w:r w:rsidRPr="004122AE">
        <w:rPr>
          <w:b/>
        </w:rPr>
        <w:t>Example:</w:t>
      </w:r>
      <w:r>
        <w:t xml:space="preserve"> an agency </w:t>
      </w:r>
      <w:r w:rsidR="00A90630">
        <w:t xml:space="preserve">(Agency A) </w:t>
      </w:r>
      <w:r>
        <w:t>merges with another</w:t>
      </w:r>
      <w:r w:rsidR="00A90630">
        <w:t xml:space="preserve"> agency (Agency B)</w:t>
      </w:r>
      <w:r>
        <w:t xml:space="preserve"> but remains within the same </w:t>
      </w:r>
      <w:r w:rsidR="00A90630">
        <w:t xml:space="preserve">Departmental </w:t>
      </w:r>
      <w:r>
        <w:t>portfolio with equal and opposite contributed capital transactions.</w:t>
      </w:r>
    </w:p>
    <w:p w:rsidR="001834DF" w:rsidRDefault="001834DF" w:rsidP="00314B6A">
      <w:pPr>
        <w:pStyle w:val="NormalIndent"/>
        <w:ind w:left="360"/>
      </w:pPr>
      <w:r>
        <w:t>When the transactions are equal and opposite and remain within the Departmental portfolio then the equity investment in the Department's administered entity does not change. However, the reconciliation of the equity investment needs to reflect the change in the equity investment in its agencies i.e. the merge</w:t>
      </w:r>
      <w:r w:rsidR="002F7A0C">
        <w:t>d agency</w:t>
      </w:r>
      <w:r>
        <w:t>.</w:t>
      </w:r>
    </w:p>
    <w:p w:rsidR="004122AE" w:rsidRDefault="004122AE" w:rsidP="00314B6A">
      <w:pPr>
        <w:pStyle w:val="Heading4"/>
        <w:spacing w:before="240" w:after="120"/>
        <w:ind w:left="360"/>
      </w:pPr>
      <w:r>
        <w:t xml:space="preserve">Step A – Agency A </w:t>
      </w:r>
      <w:r w:rsidR="00A90630">
        <w:t xml:space="preserve">reduces its </w:t>
      </w:r>
      <w:r w:rsidR="00CE0437">
        <w:t>assets</w:t>
      </w:r>
      <w:r w:rsidR="00A90630">
        <w:t xml:space="preserve"> in recognition of the merger with Agency B.</w:t>
      </w:r>
    </w:p>
    <w:tbl>
      <w:tblPr>
        <w:tblStyle w:val="DTFtexttable"/>
        <w:tblW w:w="7522" w:type="dxa"/>
        <w:tblInd w:w="864" w:type="dxa"/>
        <w:tblLayout w:type="fixed"/>
        <w:tblLook w:val="0620" w:firstRow="1" w:lastRow="0" w:firstColumn="0" w:lastColumn="0" w:noHBand="1" w:noVBand="1"/>
      </w:tblPr>
      <w:tblGrid>
        <w:gridCol w:w="5731"/>
        <w:gridCol w:w="1791"/>
      </w:tblGrid>
      <w:tr w:rsidR="004122AE"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4122AE" w:rsidRDefault="004122AE" w:rsidP="003C3537">
            <w:pPr>
              <w:pStyle w:val="Tableheader"/>
              <w:rPr>
                <w:rFonts w:eastAsia="Arial Unicode MS"/>
              </w:rPr>
            </w:pPr>
            <w:r w:rsidRPr="00673D01">
              <w:rPr>
                <w:b/>
              </w:rPr>
              <w:t>A</w:t>
            </w:r>
            <w:r>
              <w:rPr>
                <w:b/>
              </w:rPr>
              <w:t xml:space="preserve">gency A </w:t>
            </w:r>
          </w:p>
        </w:tc>
      </w:tr>
      <w:tr w:rsidR="004122AE" w:rsidRPr="00731E39" w:rsidTr="003C3537">
        <w:trPr>
          <w:cantSplit/>
        </w:trPr>
        <w:tc>
          <w:tcPr>
            <w:tcW w:w="5731" w:type="dxa"/>
          </w:tcPr>
          <w:p w:rsidR="004122AE" w:rsidRPr="00731E39" w:rsidRDefault="004122AE" w:rsidP="004122AE">
            <w:pPr>
              <w:pStyle w:val="Tabletext"/>
              <w:rPr>
                <w:rFonts w:eastAsia="Arial Unicode MS"/>
              </w:rPr>
            </w:pPr>
            <w:r>
              <w:rPr>
                <w:rFonts w:eastAsia="Arial Unicode MS"/>
              </w:rPr>
              <w:t xml:space="preserve">DR </w:t>
            </w:r>
            <w:r w:rsidRPr="00233BF0">
              <w:rPr>
                <w:rFonts w:eastAsia="Arial Unicode MS"/>
              </w:rPr>
              <w:t xml:space="preserve">Contributed </w:t>
            </w:r>
            <w:r>
              <w:rPr>
                <w:rFonts w:eastAsia="Arial Unicode MS"/>
              </w:rPr>
              <w:t>c</w:t>
            </w:r>
            <w:r w:rsidRPr="00233BF0">
              <w:rPr>
                <w:rFonts w:eastAsia="Arial Unicode MS"/>
              </w:rPr>
              <w:t>apital</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r w:rsidR="004122AE" w:rsidRPr="00731E39" w:rsidTr="003C3537">
        <w:trPr>
          <w:cantSplit/>
        </w:trPr>
        <w:tc>
          <w:tcPr>
            <w:tcW w:w="5731" w:type="dxa"/>
          </w:tcPr>
          <w:p w:rsidR="004122AE" w:rsidRPr="00731E39" w:rsidRDefault="004122AE" w:rsidP="004122AE">
            <w:pPr>
              <w:pStyle w:val="Tabletext"/>
              <w:rPr>
                <w:rFonts w:eastAsia="Arial Unicode MS"/>
              </w:rPr>
            </w:pPr>
            <w:r>
              <w:rPr>
                <w:rFonts w:eastAsia="Arial Unicode MS"/>
              </w:rPr>
              <w:t>CR Fixed assets</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bl>
    <w:p w:rsidR="004122AE" w:rsidRPr="004122AE" w:rsidRDefault="004122AE" w:rsidP="00314B6A">
      <w:pPr>
        <w:pStyle w:val="Heading4"/>
        <w:spacing w:before="240" w:after="120"/>
        <w:ind w:left="360"/>
      </w:pPr>
      <w:r w:rsidRPr="004122AE">
        <w:t xml:space="preserve">Step B – </w:t>
      </w:r>
      <w:r w:rsidR="00A90630">
        <w:t>Entry recording the m</w:t>
      </w:r>
      <w:r w:rsidRPr="004122AE">
        <w:t>erg</w:t>
      </w:r>
      <w:r w:rsidR="00A90630">
        <w:t>ing</w:t>
      </w:r>
      <w:r w:rsidRPr="004122AE">
        <w:t xml:space="preserve"> of Agency A with Agency B</w:t>
      </w:r>
    </w:p>
    <w:tbl>
      <w:tblPr>
        <w:tblStyle w:val="DTFtexttable"/>
        <w:tblW w:w="7522" w:type="dxa"/>
        <w:tblInd w:w="864" w:type="dxa"/>
        <w:tblLayout w:type="fixed"/>
        <w:tblLook w:val="0620" w:firstRow="1" w:lastRow="0" w:firstColumn="0" w:lastColumn="0" w:noHBand="1" w:noVBand="1"/>
      </w:tblPr>
      <w:tblGrid>
        <w:gridCol w:w="5731"/>
        <w:gridCol w:w="1791"/>
      </w:tblGrid>
      <w:tr w:rsidR="004122AE"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4122AE" w:rsidRDefault="00A90630" w:rsidP="003C3537">
            <w:pPr>
              <w:pStyle w:val="Tableheader"/>
              <w:rPr>
                <w:rFonts w:eastAsia="Arial Unicode MS"/>
              </w:rPr>
            </w:pPr>
            <w:r>
              <w:rPr>
                <w:b/>
              </w:rPr>
              <w:t>New merged agency (</w:t>
            </w:r>
            <w:r w:rsidR="004122AE" w:rsidRPr="00673D01">
              <w:rPr>
                <w:b/>
              </w:rPr>
              <w:t>A</w:t>
            </w:r>
            <w:r w:rsidR="004122AE">
              <w:rPr>
                <w:b/>
              </w:rPr>
              <w:t>gency A</w:t>
            </w:r>
            <w:r>
              <w:rPr>
                <w:b/>
              </w:rPr>
              <w:t>+B</w:t>
            </w:r>
            <w:r w:rsidR="004122AE">
              <w:rPr>
                <w:b/>
              </w:rPr>
              <w:t xml:space="preserve"> </w:t>
            </w:r>
            <w:r>
              <w:rPr>
                <w:b/>
              </w:rPr>
              <w:t>)</w:t>
            </w:r>
          </w:p>
        </w:tc>
      </w:tr>
      <w:tr w:rsidR="004122AE" w:rsidRPr="00731E39" w:rsidTr="003C3537">
        <w:trPr>
          <w:cantSplit/>
        </w:trPr>
        <w:tc>
          <w:tcPr>
            <w:tcW w:w="5731" w:type="dxa"/>
          </w:tcPr>
          <w:p w:rsidR="004122AE" w:rsidRPr="00731E39" w:rsidRDefault="004122AE" w:rsidP="003C3537">
            <w:pPr>
              <w:pStyle w:val="Tabletext"/>
              <w:rPr>
                <w:rFonts w:eastAsia="Arial Unicode MS"/>
              </w:rPr>
            </w:pPr>
            <w:r>
              <w:rPr>
                <w:rFonts w:eastAsia="Arial Unicode MS"/>
              </w:rPr>
              <w:t xml:space="preserve">DR </w:t>
            </w:r>
            <w:r w:rsidR="00A90630">
              <w:rPr>
                <w:rFonts w:eastAsia="Arial Unicode MS"/>
              </w:rPr>
              <w:t>Fixed assets</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r w:rsidR="004122AE" w:rsidRPr="00731E39" w:rsidTr="003C3537">
        <w:trPr>
          <w:cantSplit/>
        </w:trPr>
        <w:tc>
          <w:tcPr>
            <w:tcW w:w="5731" w:type="dxa"/>
          </w:tcPr>
          <w:p w:rsidR="004122AE" w:rsidRPr="00731E39" w:rsidRDefault="004122AE" w:rsidP="003C3537">
            <w:pPr>
              <w:pStyle w:val="Tabletext"/>
              <w:rPr>
                <w:rFonts w:eastAsia="Arial Unicode MS"/>
              </w:rPr>
            </w:pPr>
            <w:r>
              <w:rPr>
                <w:rFonts w:eastAsia="Arial Unicode MS"/>
              </w:rPr>
              <w:t xml:space="preserve">CR </w:t>
            </w:r>
            <w:r w:rsidR="00A90630" w:rsidRPr="00233BF0">
              <w:rPr>
                <w:rFonts w:eastAsia="Arial Unicode MS"/>
              </w:rPr>
              <w:t xml:space="preserve">Contributed </w:t>
            </w:r>
            <w:r w:rsidR="00A90630">
              <w:rPr>
                <w:rFonts w:eastAsia="Arial Unicode MS"/>
              </w:rPr>
              <w:t>c</w:t>
            </w:r>
            <w:r w:rsidR="00A90630" w:rsidRPr="00233BF0">
              <w:rPr>
                <w:rFonts w:eastAsia="Arial Unicode MS"/>
              </w:rPr>
              <w:t>apital</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bl>
    <w:p w:rsidR="001834DF" w:rsidRDefault="001834DF" w:rsidP="00314B6A">
      <w:pPr>
        <w:pStyle w:val="Numpara"/>
        <w:numPr>
          <w:ilvl w:val="0"/>
          <w:numId w:val="0"/>
        </w:numPr>
        <w:ind w:left="357"/>
        <w:contextualSpacing w:val="0"/>
        <w:rPr>
          <w:b/>
        </w:rPr>
      </w:pPr>
    </w:p>
    <w:p w:rsidR="00A90630" w:rsidRPr="001834DF" w:rsidRDefault="00A90630" w:rsidP="00A90630">
      <w:pPr>
        <w:pStyle w:val="Heading4"/>
      </w:pPr>
      <w:r>
        <w:t xml:space="preserve">Scenario </w:t>
      </w:r>
      <w:r w:rsidR="002F7A0C">
        <w:t>4</w:t>
      </w:r>
      <w:r>
        <w:t xml:space="preserve"> – </w:t>
      </w:r>
      <w:r w:rsidRPr="001834DF">
        <w:t xml:space="preserve">Adjustments resulting from </w:t>
      </w:r>
      <w:r>
        <w:t>m</w:t>
      </w:r>
      <w:r w:rsidRPr="001834DF">
        <w:t xml:space="preserve">ergers and </w:t>
      </w:r>
      <w:r>
        <w:t>s</w:t>
      </w:r>
      <w:r w:rsidRPr="001834DF">
        <w:t xml:space="preserve">plits - </w:t>
      </w:r>
      <w:r w:rsidR="00A25A72">
        <w:t>an</w:t>
      </w:r>
      <w:r w:rsidRPr="001834DF">
        <w:t xml:space="preserve"> </w:t>
      </w:r>
      <w:r>
        <w:t>a</w:t>
      </w:r>
      <w:r w:rsidRPr="001834DF">
        <w:t xml:space="preserve">gency merges with another </w:t>
      </w:r>
      <w:r>
        <w:t>which results in a move to a different</w:t>
      </w:r>
      <w:r w:rsidRPr="001834DF">
        <w:t xml:space="preserve"> </w:t>
      </w:r>
      <w:r>
        <w:t>D</w:t>
      </w:r>
      <w:r w:rsidRPr="001834DF">
        <w:t>epartmental portfolio.</w:t>
      </w:r>
    </w:p>
    <w:p w:rsidR="00A90630" w:rsidRDefault="00A90630" w:rsidP="00A90630">
      <w:pPr>
        <w:pStyle w:val="NormalIndent"/>
        <w:ind w:left="360"/>
      </w:pPr>
      <w:r w:rsidRPr="004122AE">
        <w:rPr>
          <w:b/>
        </w:rPr>
        <w:t>Example:</w:t>
      </w:r>
      <w:r>
        <w:t xml:space="preserve"> an agency (Agency A) merges with another agency (Agency B) in another Departmental portfolio.</w:t>
      </w:r>
    </w:p>
    <w:p w:rsidR="00A90630" w:rsidRDefault="00A90630" w:rsidP="00A90630">
      <w:pPr>
        <w:pStyle w:val="Heading4"/>
        <w:spacing w:before="240" w:after="120"/>
        <w:ind w:left="360"/>
      </w:pPr>
      <w:r>
        <w:t>Step A – Agency A transfers its assets back to its portfolio Department (Department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A90630">
            <w:pPr>
              <w:pStyle w:val="Tableheader"/>
              <w:rPr>
                <w:rFonts w:eastAsia="Arial Unicode MS"/>
              </w:rPr>
            </w:pPr>
            <w:r w:rsidRPr="00673D01">
              <w:rPr>
                <w:b/>
              </w:rPr>
              <w:t>A</w:t>
            </w:r>
            <w:r>
              <w:rPr>
                <w:b/>
              </w:rPr>
              <w:t>gency A (within Department A)</w:t>
            </w:r>
          </w:p>
        </w:tc>
      </w:tr>
      <w:tr w:rsidR="00A90630" w:rsidRPr="00731E39" w:rsidTr="003C3537">
        <w:trPr>
          <w:cantSplit/>
        </w:trPr>
        <w:tc>
          <w:tcPr>
            <w:tcW w:w="5731" w:type="dxa"/>
          </w:tcPr>
          <w:p w:rsidR="00A90630" w:rsidRPr="00731E39" w:rsidRDefault="00A90630" w:rsidP="00CB7410">
            <w:pPr>
              <w:pStyle w:val="Tabletext"/>
              <w:rPr>
                <w:rFonts w:eastAsia="Arial Unicode MS"/>
              </w:rPr>
            </w:pPr>
            <w:r>
              <w:rPr>
                <w:rFonts w:eastAsia="Arial Unicode MS"/>
              </w:rPr>
              <w:t xml:space="preserve">DR </w:t>
            </w:r>
            <w:r w:rsidRPr="00F636F2">
              <w:rPr>
                <w:rFonts w:eastAsia="Arial Unicode MS"/>
              </w:rPr>
              <w:t xml:space="preserve">Equity </w:t>
            </w:r>
            <w:r w:rsidR="00CB7410">
              <w:rPr>
                <w:rFonts w:eastAsia="Arial Unicode MS"/>
              </w:rPr>
              <w:t>t</w:t>
            </w:r>
            <w:r w:rsidRPr="00F636F2">
              <w:rPr>
                <w:rFonts w:eastAsia="Arial Unicode MS"/>
              </w:rPr>
              <w:t xml:space="preserve">ransfers to </w:t>
            </w:r>
            <w:r w:rsidR="00CB7410">
              <w:rPr>
                <w:rFonts w:eastAsia="Arial Unicode MS"/>
              </w:rPr>
              <w:t>o</w:t>
            </w:r>
            <w:r w:rsidRPr="00F636F2">
              <w:rPr>
                <w:rFonts w:eastAsia="Arial Unicode MS"/>
              </w:rPr>
              <w:t xml:space="preserve">ther </w:t>
            </w:r>
            <w:r w:rsidR="00CB7410">
              <w:rPr>
                <w:rFonts w:eastAsia="Arial Unicode MS"/>
              </w:rPr>
              <w:t>g</w:t>
            </w:r>
            <w:r w:rsidRPr="00F636F2">
              <w:rPr>
                <w:rFonts w:eastAsia="Arial Unicode MS"/>
              </w:rPr>
              <w:t xml:space="preserve">overnment </w:t>
            </w:r>
            <w:r w:rsidR="00CB7410">
              <w:rPr>
                <w:rFonts w:eastAsia="Arial Unicode MS"/>
              </w:rPr>
              <w:t>e</w:t>
            </w:r>
            <w:r w:rsidRPr="00F636F2">
              <w:rPr>
                <w:rFonts w:eastAsia="Arial Unicode MS"/>
              </w:rPr>
              <w:t>ntities (Fixed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CR </w:t>
            </w:r>
            <w:r w:rsidR="00CB7410">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8C7254" w:rsidRDefault="008C7254" w:rsidP="00314B6A">
      <w:pPr>
        <w:pStyle w:val="Heading4"/>
        <w:spacing w:before="240" w:after="120"/>
        <w:ind w:left="360"/>
      </w:pPr>
    </w:p>
    <w:p w:rsidR="008C7254" w:rsidRDefault="008C7254" w:rsidP="008C7254">
      <w:pPr>
        <w:pStyle w:val="Subtitle"/>
        <w:rPr>
          <w:rFonts w:eastAsiaTheme="majorEastAsia" w:cstheme="majorBidi"/>
          <w:color w:val="53565A"/>
        </w:rPr>
      </w:pPr>
      <w:r>
        <w:br w:type="page"/>
      </w:r>
    </w:p>
    <w:p w:rsidR="00A90630" w:rsidRPr="00CB7410" w:rsidRDefault="00A90630" w:rsidP="00314B6A">
      <w:pPr>
        <w:pStyle w:val="Heading4"/>
        <w:spacing w:before="240" w:after="120"/>
        <w:ind w:left="360"/>
      </w:pPr>
      <w:r w:rsidRPr="00CB7410">
        <w:lastRenderedPageBreak/>
        <w:t xml:space="preserve">Step B – </w:t>
      </w:r>
      <w:r w:rsidR="00CB7410">
        <w:t>Department A records the receiving of Agency A’s assets</w:t>
      </w:r>
      <w:r w:rsidR="00E07BF3">
        <w:t xml:space="preserve"> in its administered entity, and de</w:t>
      </w:r>
      <w:r w:rsidR="00E07BF3">
        <w:noBreakHyphen/>
      </w:r>
      <w:r w:rsidR="00CB7410">
        <w:t>recogni</w:t>
      </w:r>
      <w:r w:rsidR="00E07BF3">
        <w:t>ses</w:t>
      </w:r>
      <w:r w:rsidR="00CB7410">
        <w:t xml:space="preserve"> its investment in Agency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Pr>
                <w:b/>
              </w:rPr>
              <w:t>Department A – Administered</w:t>
            </w:r>
          </w:p>
        </w:tc>
      </w:tr>
      <w:tr w:rsidR="00CB7410" w:rsidRPr="00731E39" w:rsidTr="003C3537">
        <w:trPr>
          <w:cantSplit/>
        </w:trPr>
        <w:tc>
          <w:tcPr>
            <w:tcW w:w="7522" w:type="dxa"/>
            <w:gridSpan w:val="2"/>
            <w:shd w:val="clear" w:color="auto" w:fill="D9D9D9" w:themeFill="background1" w:themeFillShade="D9"/>
          </w:tcPr>
          <w:p w:rsidR="00CB7410" w:rsidRDefault="00CB7410" w:rsidP="008859F9">
            <w:pPr>
              <w:pStyle w:val="Tabletext"/>
              <w:rPr>
                <w:rFonts w:eastAsia="Arial Unicode MS"/>
              </w:rPr>
            </w:pPr>
            <w:r w:rsidRPr="00D06D48">
              <w:rPr>
                <w:rFonts w:eastAsia="Arial Unicode MS"/>
                <w:szCs w:val="17"/>
              </w:rPr>
              <w:t>Transfer carrying value of asset</w:t>
            </w:r>
            <w:r>
              <w:rPr>
                <w:rFonts w:eastAsia="Arial Unicode MS"/>
                <w:szCs w:val="17"/>
              </w:rPr>
              <w:t>s</w:t>
            </w:r>
            <w:r w:rsidR="008859F9">
              <w:rPr>
                <w:rFonts w:eastAsia="Arial Unicode MS"/>
                <w:szCs w:val="17"/>
              </w:rPr>
              <w:t xml:space="preserve"> back to Department A’s a</w:t>
            </w:r>
            <w:r w:rsidRPr="00D06D48">
              <w:rPr>
                <w:rFonts w:eastAsia="Arial Unicode MS"/>
                <w:szCs w:val="17"/>
              </w:rPr>
              <w:t xml:space="preserve">dministered entity from </w:t>
            </w:r>
            <w:r>
              <w:rPr>
                <w:rFonts w:eastAsia="Arial Unicode MS"/>
                <w:szCs w:val="17"/>
              </w:rPr>
              <w:t>A</w:t>
            </w:r>
            <w:r w:rsidRPr="00D06D48">
              <w:rPr>
                <w:rFonts w:eastAsia="Arial Unicode MS"/>
                <w:szCs w:val="17"/>
              </w:rPr>
              <w:t>gency</w:t>
            </w:r>
            <w:r>
              <w:rPr>
                <w:rFonts w:eastAsia="Arial Unicode MS"/>
                <w:szCs w:val="17"/>
              </w:rPr>
              <w:t xml:space="preserve"> A</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DR </w:t>
            </w:r>
            <w:r w:rsidR="00CB7410">
              <w:rPr>
                <w:rFonts w:eastAsia="Arial Unicode MS"/>
              </w:rPr>
              <w:t>Fixed a</w:t>
            </w:r>
            <w:r w:rsidRPr="00C91080">
              <w:rPr>
                <w:rFonts w:eastAsia="Arial Unicode MS"/>
              </w:rPr>
              <w:t>sset</w:t>
            </w:r>
            <w:r w:rsidR="00CB7410">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CB7410">
            <w:pPr>
              <w:pStyle w:val="Tabletext"/>
              <w:rPr>
                <w:rFonts w:eastAsia="Arial Unicode MS"/>
              </w:rPr>
            </w:pPr>
            <w:r>
              <w:rPr>
                <w:rFonts w:eastAsia="Arial Unicode MS"/>
              </w:rPr>
              <w:t xml:space="preserve">CR </w:t>
            </w:r>
            <w:r w:rsidRPr="00AC78FF">
              <w:rPr>
                <w:rFonts w:eastAsia="Arial Unicode MS"/>
              </w:rPr>
              <w:t xml:space="preserve">Equity </w:t>
            </w:r>
            <w:r w:rsidR="00CB7410">
              <w:rPr>
                <w:rFonts w:eastAsia="Arial Unicode MS"/>
              </w:rPr>
              <w:t>t</w:t>
            </w:r>
            <w:r w:rsidRPr="00AC78FF">
              <w:rPr>
                <w:rFonts w:eastAsia="Arial Unicode MS"/>
              </w:rPr>
              <w:t xml:space="preserve">ransfers from </w:t>
            </w:r>
            <w:r w:rsidR="00CB7410">
              <w:rPr>
                <w:rFonts w:eastAsia="Arial Unicode MS"/>
              </w:rPr>
              <w:t>o</w:t>
            </w:r>
            <w:r w:rsidRPr="00AC78FF">
              <w:rPr>
                <w:rFonts w:eastAsia="Arial Unicode MS"/>
              </w:rPr>
              <w:t xml:space="preserve">ther </w:t>
            </w:r>
            <w:r w:rsidR="00CB7410">
              <w:rPr>
                <w:rFonts w:eastAsia="Arial Unicode MS"/>
              </w:rPr>
              <w:t>g</w:t>
            </w:r>
            <w:r w:rsidRPr="00AC78FF">
              <w:rPr>
                <w:rFonts w:eastAsia="Arial Unicode MS"/>
              </w:rPr>
              <w:t xml:space="preserve">overnment </w:t>
            </w:r>
            <w:r w:rsidR="00CB7410">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7522" w:type="dxa"/>
            <w:gridSpan w:val="2"/>
            <w:shd w:val="clear" w:color="auto" w:fill="D9D9D9" w:themeFill="background1" w:themeFillShade="D9"/>
          </w:tcPr>
          <w:p w:rsidR="00A90630" w:rsidRDefault="00A90630" w:rsidP="00CB7410">
            <w:pPr>
              <w:pStyle w:val="Tabletext"/>
              <w:rPr>
                <w:rFonts w:eastAsia="Arial Unicode MS"/>
              </w:rPr>
            </w:pPr>
            <w:r w:rsidRPr="00D06D48">
              <w:rPr>
                <w:rFonts w:eastAsia="Arial Unicode MS"/>
              </w:rPr>
              <w:t>Transfer carrying value of asset</w:t>
            </w:r>
            <w:r w:rsidR="00CB7410">
              <w:rPr>
                <w:rFonts w:eastAsia="Arial Unicode MS"/>
              </w:rPr>
              <w:t>s from Department A’s a</w:t>
            </w:r>
            <w:r w:rsidRPr="00D06D48">
              <w:rPr>
                <w:rFonts w:eastAsia="Arial Unicode MS"/>
              </w:rPr>
              <w:t xml:space="preserve">dministered entity to </w:t>
            </w:r>
            <w:r w:rsidR="00CB7410">
              <w:rPr>
                <w:rFonts w:eastAsia="Arial Unicode MS"/>
              </w:rPr>
              <w:t>its</w:t>
            </w:r>
            <w:r w:rsidRPr="00D06D48">
              <w:rPr>
                <w:rFonts w:eastAsia="Arial Unicode MS"/>
              </w:rPr>
              <w:t xml:space="preserve"> </w:t>
            </w:r>
            <w:r w:rsidR="00CB7410">
              <w:rPr>
                <w:rFonts w:eastAsia="Arial Unicode MS"/>
              </w:rPr>
              <w:t>c</w:t>
            </w:r>
            <w:r w:rsidRPr="00D06D48">
              <w:rPr>
                <w:rFonts w:eastAsia="Arial Unicode MS"/>
              </w:rPr>
              <w:t xml:space="preserve">ontrolled </w:t>
            </w:r>
            <w:r>
              <w:rPr>
                <w:rFonts w:eastAsia="Arial Unicode MS"/>
              </w:rPr>
              <w:t>entity</w:t>
            </w:r>
          </w:p>
        </w:tc>
      </w:tr>
      <w:tr w:rsidR="00A90630" w:rsidRPr="00731E39" w:rsidTr="003C3537">
        <w:trPr>
          <w:cantSplit/>
        </w:trPr>
        <w:tc>
          <w:tcPr>
            <w:tcW w:w="5731" w:type="dxa"/>
          </w:tcPr>
          <w:p w:rsidR="00A90630" w:rsidRPr="00731E39" w:rsidRDefault="00A90630" w:rsidP="00CB7410">
            <w:pPr>
              <w:pStyle w:val="Tabletext"/>
              <w:rPr>
                <w:rFonts w:eastAsia="Arial Unicode MS"/>
              </w:rPr>
            </w:pPr>
            <w:r>
              <w:rPr>
                <w:rFonts w:eastAsia="Arial Unicode MS"/>
              </w:rPr>
              <w:t xml:space="preserve">DR </w:t>
            </w:r>
            <w:r w:rsidRPr="00AC78FF">
              <w:rPr>
                <w:rFonts w:eastAsia="Arial Unicode MS"/>
              </w:rPr>
              <w:t xml:space="preserve">Equity </w:t>
            </w:r>
            <w:r w:rsidR="00CB7410">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CB7410">
              <w:rPr>
                <w:rFonts w:eastAsia="Arial Unicode MS"/>
              </w:rPr>
              <w:t>o</w:t>
            </w:r>
            <w:r w:rsidRPr="00AC78FF">
              <w:rPr>
                <w:rFonts w:eastAsia="Arial Unicode MS"/>
              </w:rPr>
              <w:t xml:space="preserve">ther </w:t>
            </w:r>
            <w:r w:rsidR="00CB7410">
              <w:rPr>
                <w:rFonts w:eastAsia="Arial Unicode MS"/>
              </w:rPr>
              <w:t>g</w:t>
            </w:r>
            <w:r w:rsidRPr="00AC78FF">
              <w:rPr>
                <w:rFonts w:eastAsia="Arial Unicode MS"/>
              </w:rPr>
              <w:t xml:space="preserve">overnment </w:t>
            </w:r>
            <w:r w:rsidR="00CB7410">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rPr>
          <w:cantSplit/>
        </w:trPr>
        <w:tc>
          <w:tcPr>
            <w:tcW w:w="5731" w:type="dxa"/>
          </w:tcPr>
          <w:p w:rsidR="00A90630" w:rsidRPr="00731E39" w:rsidRDefault="00A90630" w:rsidP="00CB7410">
            <w:pPr>
              <w:pStyle w:val="Tabletext"/>
              <w:rPr>
                <w:rFonts w:eastAsia="Arial Unicode MS"/>
              </w:rPr>
            </w:pPr>
            <w:r>
              <w:rPr>
                <w:rFonts w:eastAsia="Arial Unicode MS"/>
              </w:rPr>
              <w:t xml:space="preserve">CR </w:t>
            </w:r>
            <w:r w:rsidRPr="00C91080">
              <w:rPr>
                <w:rFonts w:eastAsia="Arial Unicode MS"/>
              </w:rPr>
              <w:t xml:space="preserve">Fixed </w:t>
            </w:r>
            <w:r w:rsidR="00CB7410">
              <w:rPr>
                <w:rFonts w:eastAsia="Arial Unicode MS"/>
              </w:rPr>
              <w:t>a</w:t>
            </w:r>
            <w:r w:rsidRPr="00C91080">
              <w:rPr>
                <w:rFonts w:eastAsia="Arial Unicode MS"/>
              </w:rPr>
              <w:t>sset</w:t>
            </w:r>
            <w:r w:rsidR="00CB7410">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rPr>
          <w:cantSplit/>
        </w:trPr>
        <w:tc>
          <w:tcPr>
            <w:tcW w:w="5731" w:type="dxa"/>
            <w:shd w:val="clear" w:color="auto" w:fill="D9D9D9" w:themeFill="background1" w:themeFillShade="D9"/>
          </w:tcPr>
          <w:p w:rsidR="00A90630" w:rsidRDefault="00A90630" w:rsidP="00CB7410">
            <w:pPr>
              <w:pStyle w:val="Tabletext"/>
              <w:rPr>
                <w:rFonts w:eastAsia="Arial Unicode MS"/>
              </w:rPr>
            </w:pPr>
            <w:r>
              <w:rPr>
                <w:rFonts w:eastAsia="Arial Unicode MS"/>
              </w:rPr>
              <w:t xml:space="preserve">Department </w:t>
            </w:r>
            <w:r w:rsidR="00CB7410">
              <w:rPr>
                <w:rFonts w:eastAsia="Arial Unicode MS"/>
              </w:rPr>
              <w:t>A de-recognises</w:t>
            </w:r>
            <w:r>
              <w:rPr>
                <w:rFonts w:eastAsia="Arial Unicode MS"/>
              </w:rPr>
              <w:t xml:space="preserve"> </w:t>
            </w:r>
            <w:r w:rsidR="00CB7410">
              <w:rPr>
                <w:rFonts w:eastAsia="Arial Unicode MS"/>
              </w:rPr>
              <w:t xml:space="preserve">its </w:t>
            </w:r>
            <w:r>
              <w:rPr>
                <w:rFonts w:eastAsia="Arial Unicode MS"/>
              </w:rPr>
              <w:t xml:space="preserve">investment in </w:t>
            </w:r>
            <w:r w:rsidR="00CB7410">
              <w:rPr>
                <w:rFonts w:eastAsia="Arial Unicode MS"/>
              </w:rPr>
              <w:t>A</w:t>
            </w:r>
            <w:r>
              <w:rPr>
                <w:rFonts w:eastAsia="Arial Unicode MS"/>
              </w:rPr>
              <w:t>gency</w:t>
            </w:r>
            <w:r w:rsidR="00CB7410">
              <w:rPr>
                <w:rFonts w:eastAsia="Arial Unicode MS"/>
              </w:rPr>
              <w:t xml:space="preserve"> A</w:t>
            </w:r>
          </w:p>
        </w:tc>
        <w:tc>
          <w:tcPr>
            <w:tcW w:w="1791" w:type="dxa"/>
            <w:shd w:val="clear" w:color="auto" w:fill="D9D9D9" w:themeFill="background1" w:themeFillShade="D9"/>
          </w:tcPr>
          <w:p w:rsidR="00A90630" w:rsidRDefault="00A90630" w:rsidP="003C3537">
            <w:pPr>
              <w:pStyle w:val="Tabletext"/>
              <w:jc w:val="right"/>
              <w:rPr>
                <w:rFonts w:eastAsia="Arial Unicode MS"/>
              </w:rPr>
            </w:pPr>
          </w:p>
        </w:tc>
      </w:tr>
      <w:tr w:rsidR="00A90630" w:rsidRPr="00731E39" w:rsidTr="003C3537">
        <w:trPr>
          <w:cantSplit/>
        </w:trPr>
        <w:tc>
          <w:tcPr>
            <w:tcW w:w="5731" w:type="dxa"/>
          </w:tcPr>
          <w:p w:rsidR="00A90630" w:rsidRPr="00731E39" w:rsidRDefault="00A90630" w:rsidP="00E07BF3">
            <w:pPr>
              <w:pStyle w:val="Tabletext"/>
              <w:rPr>
                <w:rFonts w:eastAsia="Arial Unicode MS"/>
              </w:rPr>
            </w:pPr>
            <w:r>
              <w:rPr>
                <w:rFonts w:eastAsia="Arial Unicode MS"/>
              </w:rPr>
              <w:t xml:space="preserve">DR </w:t>
            </w:r>
            <w:r w:rsidR="00CB7410">
              <w:rPr>
                <w:rFonts w:eastAsia="Arial Unicode MS"/>
              </w:rPr>
              <w:t>Equity t</w:t>
            </w:r>
            <w:r w:rsidRPr="00F636F2">
              <w:rPr>
                <w:rFonts w:eastAsia="Arial Unicode MS"/>
              </w:rPr>
              <w:t xml:space="preserve">ransfers to </w:t>
            </w:r>
            <w:r w:rsidR="00CB7410">
              <w:rPr>
                <w:rFonts w:eastAsia="Arial Unicode MS"/>
              </w:rPr>
              <w:t>o</w:t>
            </w:r>
            <w:r w:rsidRPr="00F636F2">
              <w:rPr>
                <w:rFonts w:eastAsia="Arial Unicode MS"/>
              </w:rPr>
              <w:t xml:space="preserve">ther </w:t>
            </w:r>
            <w:r w:rsidR="00CB7410">
              <w:rPr>
                <w:rFonts w:eastAsia="Arial Unicode MS"/>
              </w:rPr>
              <w:t>g</w:t>
            </w:r>
            <w:r w:rsidRPr="00F636F2">
              <w:rPr>
                <w:rFonts w:eastAsia="Arial Unicode MS"/>
              </w:rPr>
              <w:t xml:space="preserve">overnment </w:t>
            </w:r>
            <w:r w:rsidR="00CB7410">
              <w:rPr>
                <w:rFonts w:eastAsia="Arial Unicode MS"/>
              </w:rPr>
              <w:t>e</w:t>
            </w:r>
            <w:r w:rsidRPr="00F636F2">
              <w:rPr>
                <w:rFonts w:eastAsia="Arial Unicode MS"/>
              </w:rPr>
              <w:t>ntities (Fixed Assets)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rPr>
          <w:cantSplit/>
        </w:trPr>
        <w:tc>
          <w:tcPr>
            <w:tcW w:w="5731" w:type="dxa"/>
          </w:tcPr>
          <w:p w:rsidR="00A90630" w:rsidRPr="00731E39" w:rsidRDefault="00A90630" w:rsidP="00CB7410">
            <w:pPr>
              <w:pStyle w:val="Tabletext"/>
              <w:rPr>
                <w:rFonts w:eastAsia="Arial Unicode MS"/>
              </w:rPr>
            </w:pPr>
            <w:r>
              <w:rPr>
                <w:rFonts w:eastAsia="Arial Unicode MS"/>
              </w:rPr>
              <w:t xml:space="preserve">CR </w:t>
            </w:r>
            <w:r w:rsidRPr="00F636F2">
              <w:rPr>
                <w:rFonts w:eastAsia="Arial Unicode MS"/>
              </w:rPr>
              <w:t xml:space="preserve">Equity Investment in </w:t>
            </w:r>
            <w:r w:rsidR="00CB7410">
              <w:rPr>
                <w:rFonts w:eastAsia="Arial Unicode MS"/>
              </w:rPr>
              <w:t xml:space="preserve">GG, </w:t>
            </w:r>
            <w:r w:rsidRPr="00F636F2">
              <w:rPr>
                <w:rFonts w:eastAsia="Arial Unicode MS"/>
              </w:rPr>
              <w:t>PNFC</w:t>
            </w:r>
            <w:r w:rsidR="00CB7410">
              <w:rPr>
                <w:rFonts w:eastAsia="Arial Unicode MS"/>
              </w:rPr>
              <w:t>, or PFC</w:t>
            </w:r>
            <w:r w:rsidRPr="00F636F2">
              <w:rPr>
                <w:rFonts w:eastAsia="Arial Unicode MS"/>
              </w:rPr>
              <w:t xml:space="preserve"> (Fixed Asset Transfers)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41128D" w:rsidRDefault="0041128D" w:rsidP="00314B6A">
      <w:pPr>
        <w:pStyle w:val="Heading4"/>
        <w:spacing w:before="240" w:after="120"/>
        <w:ind w:left="360"/>
      </w:pPr>
      <w:r w:rsidRPr="00CB7410">
        <w:t xml:space="preserve">Step </w:t>
      </w:r>
      <w:r>
        <w:t>C</w:t>
      </w:r>
      <w:r w:rsidRPr="00CB7410">
        <w:t xml:space="preserve"> – </w:t>
      </w:r>
      <w:r>
        <w:t xml:space="preserve">Department A </w:t>
      </w:r>
      <w:r w:rsidR="00E07BF3">
        <w:t xml:space="preserve">transfers </w:t>
      </w:r>
      <w:r>
        <w:t>Agency A’s assets</w:t>
      </w:r>
      <w:r w:rsidR="00E07BF3">
        <w:t xml:space="preserve"> to its controlled entity and then transfers the assets to the other Department (Department B)</w:t>
      </w:r>
      <w:r>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Pr>
                <w:b/>
              </w:rPr>
              <w:t>Department A – Controlled</w:t>
            </w:r>
          </w:p>
        </w:tc>
      </w:tr>
      <w:tr w:rsidR="00A90630" w:rsidRPr="00731E39" w:rsidTr="003C3537">
        <w:trPr>
          <w:cantSplit/>
        </w:trPr>
        <w:tc>
          <w:tcPr>
            <w:tcW w:w="7522" w:type="dxa"/>
            <w:gridSpan w:val="2"/>
            <w:shd w:val="clear" w:color="auto" w:fill="D9D9D9" w:themeFill="background1" w:themeFillShade="D9"/>
          </w:tcPr>
          <w:p w:rsidR="00A90630" w:rsidRDefault="00A90630" w:rsidP="00E07BF3">
            <w:pPr>
              <w:pStyle w:val="Tabletext"/>
              <w:rPr>
                <w:rFonts w:eastAsia="Arial Unicode MS"/>
              </w:rPr>
            </w:pPr>
            <w:r w:rsidRPr="00A061FB">
              <w:rPr>
                <w:rFonts w:eastAsia="Arial Unicode MS"/>
                <w:szCs w:val="17"/>
              </w:rPr>
              <w:t>Transfer carrying value of asset</w:t>
            </w:r>
            <w:r w:rsidR="00E07BF3">
              <w:rPr>
                <w:rFonts w:eastAsia="Arial Unicode MS"/>
                <w:szCs w:val="17"/>
              </w:rPr>
              <w:t>s</w:t>
            </w:r>
            <w:r w:rsidRPr="00A061FB">
              <w:rPr>
                <w:rFonts w:eastAsia="Arial Unicode MS"/>
                <w:szCs w:val="17"/>
              </w:rPr>
              <w:t xml:space="preserve"> from Department A</w:t>
            </w:r>
            <w:r w:rsidR="00E07BF3">
              <w:rPr>
                <w:rFonts w:eastAsia="Arial Unicode MS"/>
                <w:szCs w:val="17"/>
              </w:rPr>
              <w:t>’s administered entity to its</w:t>
            </w:r>
            <w:r w:rsidRPr="00A061FB">
              <w:rPr>
                <w:rFonts w:eastAsia="Arial Unicode MS"/>
                <w:szCs w:val="17"/>
              </w:rPr>
              <w:t xml:space="preserve"> controlled entity</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DR </w:t>
            </w:r>
            <w:r w:rsidR="00C00C5D">
              <w:rPr>
                <w:rFonts w:eastAsia="Arial Unicode MS"/>
              </w:rPr>
              <w:t>Fixed a</w:t>
            </w:r>
            <w:r w:rsidRPr="00C91080">
              <w:rPr>
                <w:rFonts w:eastAsia="Arial Unicode MS"/>
              </w:rPr>
              <w:t>sset</w:t>
            </w:r>
            <w:r w:rsidR="00C00C5D">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C00C5D">
            <w:pPr>
              <w:pStyle w:val="Tabletext"/>
              <w:rPr>
                <w:rFonts w:eastAsia="Arial Unicode MS"/>
              </w:rPr>
            </w:pPr>
            <w:r>
              <w:rPr>
                <w:rFonts w:eastAsia="Arial Unicode MS"/>
              </w:rPr>
              <w:t xml:space="preserve">CR </w:t>
            </w:r>
            <w:r w:rsidRPr="00AC78FF">
              <w:rPr>
                <w:rFonts w:eastAsia="Arial Unicode MS"/>
              </w:rPr>
              <w:t xml:space="preserve">Equity </w:t>
            </w:r>
            <w:r w:rsidR="00C00C5D">
              <w:rPr>
                <w:rFonts w:eastAsia="Arial Unicode MS"/>
              </w:rPr>
              <w:t>t</w:t>
            </w:r>
            <w:r w:rsidRPr="00AC78FF">
              <w:rPr>
                <w:rFonts w:eastAsia="Arial Unicode MS"/>
              </w:rPr>
              <w:t xml:space="preserve">ransfers from </w:t>
            </w:r>
            <w:r w:rsidR="00C00C5D">
              <w:rPr>
                <w:rFonts w:eastAsia="Arial Unicode MS"/>
              </w:rPr>
              <w:t>o</w:t>
            </w:r>
            <w:r w:rsidRPr="00AC78FF">
              <w:rPr>
                <w:rFonts w:eastAsia="Arial Unicode MS"/>
              </w:rPr>
              <w:t xml:space="preserve">ther </w:t>
            </w:r>
            <w:r w:rsidR="00C00C5D">
              <w:rPr>
                <w:rFonts w:eastAsia="Arial Unicode MS"/>
              </w:rPr>
              <w:t>g</w:t>
            </w:r>
            <w:r w:rsidRPr="00AC78FF">
              <w:rPr>
                <w:rFonts w:eastAsia="Arial Unicode MS"/>
              </w:rPr>
              <w:t xml:space="preserve">overnment </w:t>
            </w:r>
            <w:r w:rsidR="00C00C5D">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7522" w:type="dxa"/>
            <w:gridSpan w:val="2"/>
            <w:shd w:val="clear" w:color="auto" w:fill="D9D9D9" w:themeFill="background1" w:themeFillShade="D9"/>
          </w:tcPr>
          <w:p w:rsidR="00A90630" w:rsidRDefault="00E07BF3" w:rsidP="00E07BF3">
            <w:pPr>
              <w:pStyle w:val="Tabletext"/>
              <w:rPr>
                <w:rFonts w:eastAsia="Arial Unicode MS"/>
              </w:rPr>
            </w:pPr>
            <w:r>
              <w:rPr>
                <w:rFonts w:eastAsia="Arial Unicode MS"/>
              </w:rPr>
              <w:t>T</w:t>
            </w:r>
            <w:r w:rsidR="00A90630" w:rsidRPr="00A061FB">
              <w:rPr>
                <w:rFonts w:eastAsia="Arial Unicode MS"/>
              </w:rPr>
              <w:t>ransfer</w:t>
            </w:r>
            <w:r>
              <w:rPr>
                <w:rFonts w:eastAsia="Arial Unicode MS"/>
              </w:rPr>
              <w:t xml:space="preserve"> of assets</w:t>
            </w:r>
            <w:r w:rsidR="00A90630" w:rsidRPr="00A061FB">
              <w:rPr>
                <w:rFonts w:eastAsia="Arial Unicode MS"/>
              </w:rPr>
              <w:t xml:space="preserve"> from Department A to Department B</w:t>
            </w:r>
            <w:r w:rsidR="00A90630">
              <w:rPr>
                <w:rFonts w:eastAsia="Arial Unicode MS"/>
              </w:rPr>
              <w:t xml:space="preserve"> </w:t>
            </w:r>
          </w:p>
        </w:tc>
      </w:tr>
      <w:tr w:rsidR="00A90630" w:rsidRPr="00731E39" w:rsidTr="003C3537">
        <w:trPr>
          <w:cantSplit/>
        </w:trPr>
        <w:tc>
          <w:tcPr>
            <w:tcW w:w="5731" w:type="dxa"/>
          </w:tcPr>
          <w:p w:rsidR="00A90630" w:rsidRPr="00731E39" w:rsidRDefault="00A90630" w:rsidP="00E07BF3">
            <w:pPr>
              <w:pStyle w:val="Tabletext"/>
              <w:rPr>
                <w:rFonts w:eastAsia="Arial Unicode MS"/>
              </w:rPr>
            </w:pPr>
            <w:r>
              <w:rPr>
                <w:rFonts w:eastAsia="Arial Unicode MS"/>
              </w:rPr>
              <w:t xml:space="preserve">DR </w:t>
            </w:r>
            <w:r w:rsidRPr="00AC78FF">
              <w:rPr>
                <w:rFonts w:eastAsia="Arial Unicode MS"/>
              </w:rPr>
              <w:t xml:space="preserve">Equity </w:t>
            </w:r>
            <w:r w:rsidR="00E07BF3">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E07BF3">
              <w:rPr>
                <w:rFonts w:eastAsia="Arial Unicode MS"/>
              </w:rPr>
              <w:t>o</w:t>
            </w:r>
            <w:r w:rsidRPr="00AC78FF">
              <w:rPr>
                <w:rFonts w:eastAsia="Arial Unicode MS"/>
              </w:rPr>
              <w:t xml:space="preserve">ther </w:t>
            </w:r>
            <w:r w:rsidR="00E07BF3">
              <w:rPr>
                <w:rFonts w:eastAsia="Arial Unicode MS"/>
              </w:rPr>
              <w:t>g</w:t>
            </w:r>
            <w:r w:rsidRPr="00AC78FF">
              <w:rPr>
                <w:rFonts w:eastAsia="Arial Unicode MS"/>
              </w:rPr>
              <w:t xml:space="preserve">overnment </w:t>
            </w:r>
            <w:r w:rsidR="00E07BF3">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rPr>
          <w:cantSplit/>
        </w:trPr>
        <w:tc>
          <w:tcPr>
            <w:tcW w:w="5731" w:type="dxa"/>
          </w:tcPr>
          <w:p w:rsidR="00A90630" w:rsidRPr="00731E39" w:rsidRDefault="00A90630" w:rsidP="00E07BF3">
            <w:pPr>
              <w:pStyle w:val="Tabletext"/>
              <w:rPr>
                <w:rFonts w:eastAsia="Arial Unicode MS"/>
              </w:rPr>
            </w:pPr>
            <w:r>
              <w:rPr>
                <w:rFonts w:eastAsia="Arial Unicode MS"/>
              </w:rPr>
              <w:t xml:space="preserve">CR </w:t>
            </w:r>
            <w:r w:rsidRPr="00C91080">
              <w:rPr>
                <w:rFonts w:eastAsia="Arial Unicode MS"/>
              </w:rPr>
              <w:t xml:space="preserve">Fixed </w:t>
            </w:r>
            <w:r w:rsidR="00E07BF3">
              <w:rPr>
                <w:rFonts w:eastAsia="Arial Unicode MS"/>
              </w:rPr>
              <w:t>a</w:t>
            </w:r>
            <w:r w:rsidRPr="00C91080">
              <w:rPr>
                <w:rFonts w:eastAsia="Arial Unicode MS"/>
              </w:rPr>
              <w:t>sset</w:t>
            </w:r>
            <w:r w:rsidR="00E07BF3">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4975E4" w:rsidRDefault="004975E4" w:rsidP="00314B6A">
      <w:pPr>
        <w:pStyle w:val="Heading4"/>
        <w:spacing w:before="240" w:after="120"/>
        <w:ind w:left="360"/>
      </w:pPr>
      <w:r w:rsidRPr="00CB7410">
        <w:t xml:space="preserve">Step </w:t>
      </w:r>
      <w:r>
        <w:t>D</w:t>
      </w:r>
      <w:r w:rsidRPr="00CB7410">
        <w:t xml:space="preserve"> – </w:t>
      </w:r>
      <w:r>
        <w:t>Department B receives the assets of Agency A from Department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Pr>
                <w:b/>
              </w:rPr>
              <w:t>Department B – Controlled</w:t>
            </w:r>
          </w:p>
        </w:tc>
      </w:tr>
      <w:tr w:rsidR="00A90630" w:rsidRPr="00731E39" w:rsidTr="003C3537">
        <w:trPr>
          <w:cantSplit/>
        </w:trPr>
        <w:tc>
          <w:tcPr>
            <w:tcW w:w="7522" w:type="dxa"/>
            <w:gridSpan w:val="2"/>
            <w:shd w:val="clear" w:color="auto" w:fill="D9D9D9" w:themeFill="background1" w:themeFillShade="D9"/>
          </w:tcPr>
          <w:p w:rsidR="00A90630" w:rsidRDefault="00A90630" w:rsidP="004975E4">
            <w:pPr>
              <w:pStyle w:val="Tabletext"/>
              <w:rPr>
                <w:rFonts w:eastAsia="Arial Unicode MS"/>
              </w:rPr>
            </w:pPr>
            <w:r w:rsidRPr="00A061FB">
              <w:rPr>
                <w:rFonts w:eastAsia="Arial Unicode MS"/>
                <w:szCs w:val="17"/>
              </w:rPr>
              <w:t xml:space="preserve">Department </w:t>
            </w:r>
            <w:r>
              <w:rPr>
                <w:rFonts w:eastAsia="Arial Unicode MS"/>
                <w:szCs w:val="17"/>
              </w:rPr>
              <w:t>B receives</w:t>
            </w:r>
            <w:r w:rsidR="004975E4">
              <w:rPr>
                <w:rFonts w:eastAsia="Arial Unicode MS"/>
                <w:szCs w:val="17"/>
              </w:rPr>
              <w:t xml:space="preserve"> the assets of Agency A from Department A</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DR </w:t>
            </w:r>
            <w:r w:rsidR="004975E4">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4975E4">
            <w:pPr>
              <w:pStyle w:val="Tabletext"/>
              <w:rPr>
                <w:rFonts w:eastAsia="Arial Unicode MS"/>
              </w:rPr>
            </w:pPr>
            <w:r>
              <w:rPr>
                <w:rFonts w:eastAsia="Arial Unicode MS"/>
              </w:rPr>
              <w:t xml:space="preserve">CR </w:t>
            </w:r>
            <w:r w:rsidRPr="00AC78FF">
              <w:rPr>
                <w:rFonts w:eastAsia="Arial Unicode MS"/>
              </w:rPr>
              <w:t xml:space="preserve">Equity </w:t>
            </w:r>
            <w:r w:rsidR="004975E4">
              <w:rPr>
                <w:rFonts w:eastAsia="Arial Unicode MS"/>
              </w:rPr>
              <w:t>t</w:t>
            </w:r>
            <w:r w:rsidRPr="00AC78FF">
              <w:rPr>
                <w:rFonts w:eastAsia="Arial Unicode MS"/>
              </w:rPr>
              <w:t xml:space="preserve">ransfers from </w:t>
            </w:r>
            <w:r w:rsidR="004975E4">
              <w:rPr>
                <w:rFonts w:eastAsia="Arial Unicode MS"/>
              </w:rPr>
              <w:t>o</w:t>
            </w:r>
            <w:r w:rsidRPr="00AC78FF">
              <w:rPr>
                <w:rFonts w:eastAsia="Arial Unicode MS"/>
              </w:rPr>
              <w:t xml:space="preserve">ther </w:t>
            </w:r>
            <w:r w:rsidR="004975E4">
              <w:rPr>
                <w:rFonts w:eastAsia="Arial Unicode MS"/>
              </w:rPr>
              <w:t>g</w:t>
            </w:r>
            <w:r w:rsidRPr="00AC78FF">
              <w:rPr>
                <w:rFonts w:eastAsia="Arial Unicode MS"/>
              </w:rPr>
              <w:t xml:space="preserve">overnment </w:t>
            </w:r>
            <w:r w:rsidR="004975E4">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7522" w:type="dxa"/>
            <w:gridSpan w:val="2"/>
            <w:shd w:val="clear" w:color="auto" w:fill="D9D9D9" w:themeFill="background1" w:themeFillShade="D9"/>
          </w:tcPr>
          <w:p w:rsidR="00A90630" w:rsidRDefault="00A90630" w:rsidP="003C3537">
            <w:pPr>
              <w:pStyle w:val="Tabletext"/>
              <w:rPr>
                <w:rFonts w:eastAsia="Arial Unicode MS"/>
              </w:rPr>
            </w:pPr>
            <w:r w:rsidRPr="00A061FB">
              <w:rPr>
                <w:rFonts w:eastAsia="Arial Unicode MS"/>
              </w:rPr>
              <w:t xml:space="preserve">Department B transfers </w:t>
            </w:r>
            <w:r w:rsidR="004975E4">
              <w:rPr>
                <w:rFonts w:eastAsia="Arial Unicode MS"/>
              </w:rPr>
              <w:t xml:space="preserve">the </w:t>
            </w:r>
            <w:r w:rsidRPr="00A061FB">
              <w:rPr>
                <w:rFonts w:eastAsia="Arial Unicode MS"/>
              </w:rPr>
              <w:t>eq</w:t>
            </w:r>
            <w:r>
              <w:rPr>
                <w:rFonts w:eastAsia="Arial Unicode MS"/>
              </w:rPr>
              <w:t xml:space="preserve">uity </w:t>
            </w:r>
            <w:r w:rsidR="004975E4">
              <w:rPr>
                <w:rFonts w:eastAsia="Arial Unicode MS"/>
              </w:rPr>
              <w:t xml:space="preserve">in Agency A </w:t>
            </w:r>
            <w:r>
              <w:rPr>
                <w:rFonts w:eastAsia="Arial Unicode MS"/>
              </w:rPr>
              <w:t>to its administered entity</w:t>
            </w:r>
          </w:p>
        </w:tc>
      </w:tr>
      <w:tr w:rsidR="00A90630" w:rsidRPr="00731E39" w:rsidTr="003C3537">
        <w:trPr>
          <w:cantSplit/>
        </w:trPr>
        <w:tc>
          <w:tcPr>
            <w:tcW w:w="5731" w:type="dxa"/>
          </w:tcPr>
          <w:p w:rsidR="00A90630" w:rsidRPr="00731E39" w:rsidRDefault="00A90630" w:rsidP="004975E4">
            <w:pPr>
              <w:pStyle w:val="Tabletext"/>
              <w:rPr>
                <w:rFonts w:eastAsia="Arial Unicode MS"/>
              </w:rPr>
            </w:pPr>
            <w:r>
              <w:rPr>
                <w:rFonts w:eastAsia="Arial Unicode MS"/>
              </w:rPr>
              <w:t xml:space="preserve">DR </w:t>
            </w:r>
            <w:r w:rsidRPr="00AC78FF">
              <w:rPr>
                <w:rFonts w:eastAsia="Arial Unicode MS"/>
              </w:rPr>
              <w:t xml:space="preserve">Equity </w:t>
            </w:r>
            <w:r w:rsidR="004975E4">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4975E4">
              <w:rPr>
                <w:rFonts w:eastAsia="Arial Unicode MS"/>
              </w:rPr>
              <w:t>o</w:t>
            </w:r>
            <w:r w:rsidRPr="00AC78FF">
              <w:rPr>
                <w:rFonts w:eastAsia="Arial Unicode MS"/>
              </w:rPr>
              <w:t xml:space="preserve">ther </w:t>
            </w:r>
            <w:r w:rsidR="004975E4">
              <w:rPr>
                <w:rFonts w:eastAsia="Arial Unicode MS"/>
              </w:rPr>
              <w:t>g</w:t>
            </w:r>
            <w:r w:rsidRPr="00AC78FF">
              <w:rPr>
                <w:rFonts w:eastAsia="Arial Unicode MS"/>
              </w:rPr>
              <w:t xml:space="preserve">overnment </w:t>
            </w:r>
            <w:r w:rsidR="004975E4">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CR </w:t>
            </w:r>
            <w:r w:rsidR="004975E4">
              <w:rPr>
                <w:rFonts w:eastAsia="Arial Unicode MS"/>
              </w:rPr>
              <w:t>Fixed a</w:t>
            </w:r>
            <w:r w:rsidRPr="00C91080">
              <w:rPr>
                <w:rFonts w:eastAsia="Arial Unicode MS"/>
              </w:rPr>
              <w:t>sset</w:t>
            </w:r>
            <w:r w:rsidR="004975E4">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3C3537" w:rsidRDefault="003C3537" w:rsidP="00314B6A">
      <w:pPr>
        <w:pStyle w:val="Heading4"/>
        <w:spacing w:before="240" w:after="120"/>
        <w:ind w:left="360"/>
      </w:pPr>
      <w:r w:rsidRPr="00CB7410">
        <w:t xml:space="preserve">Step </w:t>
      </w:r>
      <w:r>
        <w:t>E</w:t>
      </w:r>
      <w:r w:rsidRPr="00CB7410">
        <w:t xml:space="preserve"> – </w:t>
      </w:r>
      <w:r>
        <w:t>Department B increases its investment in Age</w:t>
      </w:r>
      <w:r w:rsidR="0010781C">
        <w:t>ncy B with the assets of Agency </w:t>
      </w:r>
      <w:r>
        <w:t>A</w:t>
      </w:r>
      <w:r w:rsidR="0010781C">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Pr>
                <w:b/>
              </w:rPr>
              <w:t>Department B – Administered</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DR </w:t>
            </w:r>
            <w:r w:rsidR="003C3537" w:rsidRPr="00F636F2">
              <w:rPr>
                <w:rFonts w:eastAsia="Arial Unicode MS"/>
              </w:rPr>
              <w:t xml:space="preserve">Equity Investment in </w:t>
            </w:r>
            <w:r w:rsidR="003C3537">
              <w:rPr>
                <w:rFonts w:eastAsia="Arial Unicode MS"/>
              </w:rPr>
              <w:t xml:space="preserve">GG, </w:t>
            </w:r>
            <w:r w:rsidR="003C3537" w:rsidRPr="00F636F2">
              <w:rPr>
                <w:rFonts w:eastAsia="Arial Unicode MS"/>
              </w:rPr>
              <w:t>PNFC</w:t>
            </w:r>
            <w:r w:rsidR="003C3537">
              <w:rPr>
                <w:rFonts w:eastAsia="Arial Unicode MS"/>
              </w:rPr>
              <w:t>, or PFC</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CR </w:t>
            </w:r>
            <w:r w:rsidR="003C3537" w:rsidRPr="00AC78FF">
              <w:rPr>
                <w:rFonts w:eastAsia="Arial Unicode MS"/>
              </w:rPr>
              <w:t xml:space="preserve">Equity </w:t>
            </w:r>
            <w:r w:rsidR="003C3537">
              <w:rPr>
                <w:rFonts w:eastAsia="Arial Unicode MS"/>
              </w:rPr>
              <w:t>t</w:t>
            </w:r>
            <w:r w:rsidR="003C3537" w:rsidRPr="00AC78FF">
              <w:rPr>
                <w:rFonts w:eastAsia="Arial Unicode MS"/>
              </w:rPr>
              <w:t xml:space="preserve">ransfers from </w:t>
            </w:r>
            <w:r w:rsidR="003C3537">
              <w:rPr>
                <w:rFonts w:eastAsia="Arial Unicode MS"/>
              </w:rPr>
              <w:t>o</w:t>
            </w:r>
            <w:r w:rsidR="003C3537" w:rsidRPr="00AC78FF">
              <w:rPr>
                <w:rFonts w:eastAsia="Arial Unicode MS"/>
              </w:rPr>
              <w:t xml:space="preserve">ther </w:t>
            </w:r>
            <w:r w:rsidR="003C3537">
              <w:rPr>
                <w:rFonts w:eastAsia="Arial Unicode MS"/>
              </w:rPr>
              <w:t>g</w:t>
            </w:r>
            <w:r w:rsidR="003C3537" w:rsidRPr="00AC78FF">
              <w:rPr>
                <w:rFonts w:eastAsia="Arial Unicode MS"/>
              </w:rPr>
              <w:t xml:space="preserve">overnment </w:t>
            </w:r>
            <w:r w:rsidR="003C3537">
              <w:rPr>
                <w:rFonts w:eastAsia="Arial Unicode MS"/>
              </w:rPr>
              <w:t>e</w:t>
            </w:r>
            <w:r w:rsidR="003C3537" w:rsidRPr="00AC78FF">
              <w:rPr>
                <w:rFonts w:eastAsia="Arial Unicode MS"/>
              </w:rPr>
              <w:t xml:space="preserve">ntities </w:t>
            </w:r>
            <w:r w:rsidRPr="00AC78FF">
              <w:rPr>
                <w:rFonts w:eastAsia="Arial Unicode MS"/>
              </w:rPr>
              <w:t>(</w:t>
            </w:r>
            <w:r>
              <w:rPr>
                <w:rFonts w:eastAsia="Arial Unicode MS"/>
              </w:rPr>
              <w:t>Fixed</w:t>
            </w:r>
            <w:r w:rsidRPr="00AC78FF">
              <w:rPr>
                <w:rFonts w:eastAsia="Arial Unicode MS"/>
              </w:rPr>
              <w:t xml:space="preserve">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3C3537" w:rsidRPr="003C3537" w:rsidRDefault="003C3537" w:rsidP="003C3537">
      <w:pPr>
        <w:pStyle w:val="Heading4"/>
        <w:spacing w:before="240" w:after="120"/>
        <w:ind w:left="360"/>
      </w:pPr>
      <w:r w:rsidRPr="00CB7410">
        <w:lastRenderedPageBreak/>
        <w:t xml:space="preserve">Step </w:t>
      </w:r>
      <w:r>
        <w:t>F</w:t>
      </w:r>
      <w:r w:rsidRPr="00CB7410">
        <w:t xml:space="preserve"> – </w:t>
      </w:r>
      <w:r>
        <w:t>Agency</w:t>
      </w:r>
      <w:r w:rsidR="002F7A0C">
        <w:t xml:space="preserve"> B</w:t>
      </w:r>
      <w:r>
        <w:t xml:space="preserve"> recognises the increase in investment from Department B with the assets of Agency A</w:t>
      </w:r>
      <w:r w:rsidR="0010781C">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sidRPr="00673D01">
              <w:rPr>
                <w:b/>
              </w:rPr>
              <w:t>A</w:t>
            </w:r>
            <w:r w:rsidR="003C3537">
              <w:rPr>
                <w:b/>
              </w:rPr>
              <w:t>gency B</w:t>
            </w:r>
            <w:r w:rsidR="002F7A0C">
              <w:rPr>
                <w:b/>
              </w:rPr>
              <w:t xml:space="preserve"> (with Agency A’s assets merged)</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DR </w:t>
            </w:r>
            <w:r w:rsidR="003C3537">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rPr>
          <w:cantSplit/>
        </w:trPr>
        <w:tc>
          <w:tcPr>
            <w:tcW w:w="5731" w:type="dxa"/>
          </w:tcPr>
          <w:p w:rsidR="00A90630" w:rsidRPr="00731E39" w:rsidRDefault="00A90630" w:rsidP="003C3537">
            <w:pPr>
              <w:pStyle w:val="Tabletext"/>
              <w:rPr>
                <w:rFonts w:eastAsia="Arial Unicode MS"/>
              </w:rPr>
            </w:pPr>
            <w:r>
              <w:rPr>
                <w:rFonts w:eastAsia="Arial Unicode MS"/>
              </w:rPr>
              <w:t xml:space="preserve">CR </w:t>
            </w:r>
            <w:r w:rsidR="003C3537" w:rsidRPr="00AC78FF">
              <w:rPr>
                <w:rFonts w:eastAsia="Arial Unicode MS"/>
              </w:rPr>
              <w:t xml:space="preserve">Equity </w:t>
            </w:r>
            <w:r w:rsidR="003C3537">
              <w:rPr>
                <w:rFonts w:eastAsia="Arial Unicode MS"/>
              </w:rPr>
              <w:t>t</w:t>
            </w:r>
            <w:r w:rsidR="003C3537" w:rsidRPr="00AC78FF">
              <w:rPr>
                <w:rFonts w:eastAsia="Arial Unicode MS"/>
              </w:rPr>
              <w:t xml:space="preserve">ransfers from </w:t>
            </w:r>
            <w:r w:rsidR="003C3537">
              <w:rPr>
                <w:rFonts w:eastAsia="Arial Unicode MS"/>
              </w:rPr>
              <w:t>o</w:t>
            </w:r>
            <w:r w:rsidR="003C3537" w:rsidRPr="00AC78FF">
              <w:rPr>
                <w:rFonts w:eastAsia="Arial Unicode MS"/>
              </w:rPr>
              <w:t xml:space="preserve">ther </w:t>
            </w:r>
            <w:r w:rsidR="003C3537">
              <w:rPr>
                <w:rFonts w:eastAsia="Arial Unicode MS"/>
              </w:rPr>
              <w:t>g</w:t>
            </w:r>
            <w:r w:rsidR="003C3537" w:rsidRPr="00AC78FF">
              <w:rPr>
                <w:rFonts w:eastAsia="Arial Unicode MS"/>
              </w:rPr>
              <w:t xml:space="preserve">overnment </w:t>
            </w:r>
            <w:r w:rsidR="003C3537">
              <w:rPr>
                <w:rFonts w:eastAsia="Arial Unicode MS"/>
              </w:rPr>
              <w:t>e</w:t>
            </w:r>
            <w:r w:rsidR="003C3537" w:rsidRPr="00AC78FF">
              <w:rPr>
                <w:rFonts w:eastAsia="Arial Unicode MS"/>
              </w:rPr>
              <w:t xml:space="preserve">ntities </w:t>
            </w:r>
            <w:r w:rsidRPr="009B36F1">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A90630" w:rsidRDefault="00A90630" w:rsidP="00A90630">
      <w:pPr>
        <w:pStyle w:val="NormalIndent"/>
        <w:ind w:left="360"/>
      </w:pPr>
    </w:p>
    <w:p w:rsidR="003C3537" w:rsidRPr="001834DF" w:rsidRDefault="002F7A0C" w:rsidP="003C3537">
      <w:pPr>
        <w:pStyle w:val="Heading4"/>
      </w:pPr>
      <w:r>
        <w:t>Scenario 5</w:t>
      </w:r>
      <w:r w:rsidR="003C3537">
        <w:t xml:space="preserve"> – Agency transfers fixed assets back to its portfolio Department</w:t>
      </w:r>
    </w:p>
    <w:p w:rsidR="003C3537" w:rsidRPr="003C3537" w:rsidRDefault="003C3537" w:rsidP="00314B6A">
      <w:pPr>
        <w:pStyle w:val="NormalIndent"/>
        <w:ind w:left="360"/>
      </w:pPr>
      <w:r w:rsidRPr="00314B6A">
        <w:rPr>
          <w:b/>
        </w:rPr>
        <w:t>Example:</w:t>
      </w:r>
      <w:r w:rsidRPr="003C3537">
        <w:t xml:space="preserve"> </w:t>
      </w:r>
      <w:r w:rsidR="004719E6">
        <w:t>an</w:t>
      </w:r>
      <w:r w:rsidRPr="003C3537">
        <w:t xml:space="preserve"> agency </w:t>
      </w:r>
      <w:r w:rsidR="004719E6">
        <w:t xml:space="preserve">(Agency A) </w:t>
      </w:r>
      <w:r w:rsidRPr="003C3537">
        <w:t xml:space="preserve">transfers </w:t>
      </w:r>
      <w:r w:rsidR="004719E6">
        <w:t>its fixed assets</w:t>
      </w:r>
      <w:r w:rsidRPr="003C3537">
        <w:t xml:space="preserve"> at a carrying amount of $10 back to its portfolio </w:t>
      </w:r>
      <w:r w:rsidR="00E213BF">
        <w:t>D</w:t>
      </w:r>
      <w:r w:rsidRPr="003C3537">
        <w:t>epartment. The carrying value is the asset's value less accumulated depreciation for which depreciation has been expensed by the agency reducing the value of the asset</w:t>
      </w:r>
      <w:r w:rsidR="004719E6">
        <w:t>s</w:t>
      </w:r>
      <w:r w:rsidRPr="003C3537">
        <w:t xml:space="preserve"> to </w:t>
      </w:r>
      <w:r w:rsidR="004719E6">
        <w:t xml:space="preserve">their </w:t>
      </w:r>
      <w:r w:rsidRPr="003C3537">
        <w:t xml:space="preserve">carrying value. </w:t>
      </w:r>
      <w:r w:rsidR="00E213BF">
        <w:t>It is a</w:t>
      </w:r>
      <w:r w:rsidRPr="003C3537">
        <w:t xml:space="preserve">ssumed </w:t>
      </w:r>
      <w:r w:rsidR="00E213BF">
        <w:t xml:space="preserve">that </w:t>
      </w:r>
      <w:r w:rsidRPr="003C3537">
        <w:t>there are no revaluations impacting on the carrying value.</w:t>
      </w:r>
    </w:p>
    <w:p w:rsidR="003C3537" w:rsidRDefault="003C3537" w:rsidP="00314B6A">
      <w:pPr>
        <w:pStyle w:val="Heading4"/>
        <w:spacing w:before="240" w:after="120"/>
        <w:ind w:left="360"/>
      </w:pPr>
      <w:r>
        <w:t xml:space="preserve">Step A – Agency A </w:t>
      </w:r>
      <w:r w:rsidR="004719E6">
        <w:t>transfers its assets back to its portfolio Department.</w:t>
      </w:r>
    </w:p>
    <w:p w:rsidR="003C3537" w:rsidRDefault="003C3537" w:rsidP="003C3537">
      <w:pPr>
        <w:pStyle w:val="Spacer"/>
      </w:pP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4719E6">
            <w:pPr>
              <w:pStyle w:val="Tableheader"/>
              <w:rPr>
                <w:rFonts w:eastAsia="Arial Unicode MS"/>
              </w:rPr>
            </w:pPr>
            <w:r w:rsidRPr="00673D01">
              <w:rPr>
                <w:b/>
              </w:rPr>
              <w:t>A</w:t>
            </w:r>
            <w:r w:rsidR="004719E6">
              <w:rPr>
                <w:b/>
              </w:rPr>
              <w:t>gency A</w:t>
            </w:r>
          </w:p>
        </w:tc>
      </w:tr>
      <w:tr w:rsidR="003C3537" w:rsidRPr="00731E39" w:rsidTr="003C3537">
        <w:trPr>
          <w:cantSplit/>
        </w:trPr>
        <w:tc>
          <w:tcPr>
            <w:tcW w:w="5731" w:type="dxa"/>
          </w:tcPr>
          <w:p w:rsidR="003C3537" w:rsidRPr="00731E39" w:rsidRDefault="003C3537" w:rsidP="003C3537">
            <w:pPr>
              <w:pStyle w:val="Tabletext"/>
              <w:rPr>
                <w:rFonts w:eastAsia="Arial Unicode MS"/>
              </w:rPr>
            </w:pPr>
            <w:r>
              <w:rPr>
                <w:rFonts w:eastAsia="Arial Unicode MS"/>
              </w:rPr>
              <w:t>DR Accumulated depreciation</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rPr>
          <w:cantSplit/>
        </w:trPr>
        <w:tc>
          <w:tcPr>
            <w:tcW w:w="5731" w:type="dxa"/>
          </w:tcPr>
          <w:p w:rsidR="003C3537" w:rsidRDefault="003C3537" w:rsidP="004719E6">
            <w:pPr>
              <w:pStyle w:val="Tabletext"/>
              <w:rPr>
                <w:rFonts w:eastAsia="Arial Unicode MS"/>
              </w:rPr>
            </w:pPr>
            <w:r>
              <w:rPr>
                <w:rFonts w:eastAsia="Arial Unicode MS"/>
              </w:rPr>
              <w:t xml:space="preserve">DR </w:t>
            </w:r>
            <w:r w:rsidRPr="00C5005A">
              <w:rPr>
                <w:rFonts w:eastAsia="Arial Unicode MS"/>
              </w:rPr>
              <w:t xml:space="preserve">Equity </w:t>
            </w:r>
            <w:r w:rsidR="004719E6">
              <w:rPr>
                <w:rFonts w:eastAsia="Arial Unicode MS"/>
              </w:rPr>
              <w:t>t</w:t>
            </w:r>
            <w:r w:rsidRPr="00C5005A">
              <w:rPr>
                <w:rFonts w:eastAsia="Arial Unicode MS"/>
              </w:rPr>
              <w:t xml:space="preserve">ransfers to </w:t>
            </w:r>
            <w:r w:rsidR="004719E6">
              <w:rPr>
                <w:rFonts w:eastAsia="Arial Unicode MS"/>
              </w:rPr>
              <w:t>o</w:t>
            </w:r>
            <w:r w:rsidRPr="00C5005A">
              <w:rPr>
                <w:rFonts w:eastAsia="Arial Unicode MS"/>
              </w:rPr>
              <w:t xml:space="preserve">ther </w:t>
            </w:r>
            <w:r w:rsidR="004719E6">
              <w:rPr>
                <w:rFonts w:eastAsia="Arial Unicode MS"/>
              </w:rPr>
              <w:t>g</w:t>
            </w:r>
            <w:r w:rsidRPr="00C5005A">
              <w:rPr>
                <w:rFonts w:eastAsia="Arial Unicode MS"/>
              </w:rPr>
              <w:t xml:space="preserve">overnment </w:t>
            </w:r>
            <w:r w:rsidR="004719E6">
              <w:rPr>
                <w:rFonts w:eastAsia="Arial Unicode MS"/>
              </w:rPr>
              <w:t>e</w:t>
            </w:r>
            <w:r w:rsidRPr="00C5005A">
              <w:rPr>
                <w:rFonts w:eastAsia="Arial Unicode MS"/>
              </w:rPr>
              <w:t>ntities (Fixed Assets)</w:t>
            </w:r>
          </w:p>
        </w:tc>
        <w:tc>
          <w:tcPr>
            <w:tcW w:w="1791" w:type="dxa"/>
          </w:tcPr>
          <w:p w:rsidR="003C3537" w:rsidRDefault="003C3537" w:rsidP="003C3537">
            <w:pPr>
              <w:pStyle w:val="Tabletext"/>
              <w:jc w:val="right"/>
              <w:rPr>
                <w:rFonts w:eastAsia="Arial Unicode MS"/>
              </w:rPr>
            </w:pPr>
            <w:r>
              <w:rPr>
                <w:rFonts w:eastAsia="Arial Unicode MS"/>
              </w:rPr>
              <w:t>10</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CR </w:t>
            </w:r>
            <w:r w:rsidR="004719E6">
              <w:rPr>
                <w:rFonts w:eastAsia="Arial Unicode MS"/>
              </w:rPr>
              <w:t>Fixed assets</w:t>
            </w:r>
          </w:p>
        </w:tc>
        <w:tc>
          <w:tcPr>
            <w:tcW w:w="1791" w:type="dxa"/>
          </w:tcPr>
          <w:p w:rsidR="003C3537" w:rsidRPr="00731E39" w:rsidRDefault="003C3537" w:rsidP="003C3537">
            <w:pPr>
              <w:pStyle w:val="Tabletext"/>
              <w:jc w:val="right"/>
              <w:rPr>
                <w:rFonts w:eastAsia="Arial Unicode MS"/>
              </w:rPr>
            </w:pPr>
            <w:r>
              <w:rPr>
                <w:rFonts w:eastAsia="Arial Unicode MS"/>
              </w:rPr>
              <w:t>20</w:t>
            </w:r>
          </w:p>
        </w:tc>
      </w:tr>
    </w:tbl>
    <w:p w:rsidR="003C3537" w:rsidRPr="004719E6" w:rsidRDefault="003C3537" w:rsidP="00314B6A">
      <w:pPr>
        <w:pStyle w:val="Heading4"/>
        <w:spacing w:before="240" w:after="120"/>
        <w:ind w:left="360"/>
      </w:pPr>
      <w:r w:rsidRPr="004719E6">
        <w:t>Step B – Department</w:t>
      </w:r>
      <w:r w:rsidR="004719E6">
        <w:t xml:space="preserve"> recognises the assets from Agency A in its administered entity and de-recognises the equity investment in Agency A.</w:t>
      </w: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3C3537">
            <w:pPr>
              <w:pStyle w:val="Tableheader"/>
              <w:rPr>
                <w:rFonts w:eastAsia="Arial Unicode MS"/>
              </w:rPr>
            </w:pPr>
            <w:r>
              <w:rPr>
                <w:b/>
              </w:rPr>
              <w:t>Department A – Administered</w:t>
            </w:r>
          </w:p>
        </w:tc>
      </w:tr>
      <w:tr w:rsidR="003C3537" w:rsidRPr="00731E39" w:rsidTr="003C3537">
        <w:trPr>
          <w:cantSplit/>
        </w:trPr>
        <w:tc>
          <w:tcPr>
            <w:tcW w:w="7522" w:type="dxa"/>
            <w:gridSpan w:val="2"/>
            <w:shd w:val="clear" w:color="auto" w:fill="D9D9D9" w:themeFill="background1" w:themeFillShade="D9"/>
          </w:tcPr>
          <w:p w:rsidR="003C3537" w:rsidRDefault="003C3537" w:rsidP="004719E6">
            <w:pPr>
              <w:pStyle w:val="Tabletext"/>
              <w:rPr>
                <w:rFonts w:eastAsia="Arial Unicode MS"/>
              </w:rPr>
            </w:pPr>
            <w:r w:rsidRPr="00C5005A">
              <w:rPr>
                <w:rFonts w:eastAsia="Arial Unicode MS"/>
                <w:szCs w:val="17"/>
              </w:rPr>
              <w:t xml:space="preserve">Transfer </w:t>
            </w:r>
            <w:r w:rsidR="004719E6">
              <w:rPr>
                <w:rFonts w:eastAsia="Arial Unicode MS"/>
                <w:szCs w:val="17"/>
              </w:rPr>
              <w:t xml:space="preserve">of </w:t>
            </w:r>
            <w:r w:rsidRPr="00C5005A">
              <w:rPr>
                <w:rFonts w:eastAsia="Arial Unicode MS"/>
                <w:szCs w:val="17"/>
              </w:rPr>
              <w:t>carrying value of asset</w:t>
            </w:r>
            <w:r w:rsidR="004719E6">
              <w:rPr>
                <w:rFonts w:eastAsia="Arial Unicode MS"/>
                <w:szCs w:val="17"/>
              </w:rPr>
              <w:t>s</w:t>
            </w:r>
            <w:r w:rsidRPr="00C5005A">
              <w:rPr>
                <w:rFonts w:eastAsia="Arial Unicode MS"/>
                <w:szCs w:val="17"/>
              </w:rPr>
              <w:t xml:space="preserve"> back to Departmental </w:t>
            </w:r>
            <w:r w:rsidR="004719E6">
              <w:rPr>
                <w:rFonts w:eastAsia="Arial Unicode MS"/>
                <w:szCs w:val="17"/>
              </w:rPr>
              <w:t>a</w:t>
            </w:r>
            <w:r w:rsidRPr="00C5005A">
              <w:rPr>
                <w:rFonts w:eastAsia="Arial Unicode MS"/>
                <w:szCs w:val="17"/>
              </w:rPr>
              <w:t>dministered entity</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DR </w:t>
            </w:r>
            <w:r w:rsidRPr="00C91080">
              <w:rPr>
                <w:rFonts w:eastAsia="Arial Unicode MS"/>
              </w:rPr>
              <w:t xml:space="preserve">Fixed </w:t>
            </w:r>
            <w:r w:rsidR="004719E6">
              <w:rPr>
                <w:rFonts w:eastAsia="Arial Unicode MS"/>
              </w:rPr>
              <w:t>a</w:t>
            </w:r>
            <w:r w:rsidRPr="00C91080">
              <w:rPr>
                <w:rFonts w:eastAsia="Arial Unicode MS"/>
              </w:rPr>
              <w:t>sset</w:t>
            </w:r>
            <w:r w:rsidR="004719E6">
              <w:rPr>
                <w:rFonts w:eastAsia="Arial Unicode MS"/>
              </w:rPr>
              <w: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CR </w:t>
            </w:r>
            <w:r w:rsidRPr="00AC78FF">
              <w:rPr>
                <w:rFonts w:eastAsia="Arial Unicode MS"/>
              </w:rPr>
              <w:t xml:space="preserve">Equity </w:t>
            </w:r>
            <w:r w:rsidR="004719E6">
              <w:rPr>
                <w:rFonts w:eastAsia="Arial Unicode MS"/>
              </w:rPr>
              <w:t>t</w:t>
            </w:r>
            <w:r w:rsidRPr="00AC78FF">
              <w:rPr>
                <w:rFonts w:eastAsia="Arial Unicode MS"/>
              </w:rPr>
              <w:t xml:space="preserve">ransfers from </w:t>
            </w:r>
            <w:r w:rsidR="004719E6">
              <w:rPr>
                <w:rFonts w:eastAsia="Arial Unicode MS"/>
              </w:rPr>
              <w:t>o</w:t>
            </w:r>
            <w:r w:rsidRPr="00AC78FF">
              <w:rPr>
                <w:rFonts w:eastAsia="Arial Unicode MS"/>
              </w:rPr>
              <w:t xml:space="preserve">ther </w:t>
            </w:r>
            <w:r w:rsidR="004719E6">
              <w:rPr>
                <w:rFonts w:eastAsia="Arial Unicode MS"/>
              </w:rPr>
              <w:t>g</w:t>
            </w:r>
            <w:r w:rsidRPr="00AC78FF">
              <w:rPr>
                <w:rFonts w:eastAsia="Arial Unicode MS"/>
              </w:rPr>
              <w:t xml:space="preserve">overnment </w:t>
            </w:r>
            <w:r w:rsidR="004719E6">
              <w:rPr>
                <w:rFonts w:eastAsia="Arial Unicode MS"/>
              </w:rPr>
              <w:t>e</w:t>
            </w:r>
            <w:r w:rsidRPr="00AC78FF">
              <w:rPr>
                <w:rFonts w:eastAsia="Arial Unicode MS"/>
              </w:rPr>
              <w:t>ntities (</w:t>
            </w:r>
            <w:r>
              <w:rPr>
                <w:rFonts w:eastAsia="Arial Unicode MS"/>
              </w:rPr>
              <w:t>Fixed</w:t>
            </w:r>
            <w:r w:rsidRPr="00AC78FF">
              <w:rPr>
                <w:rFonts w:eastAsia="Arial Unicode MS"/>
              </w:rPr>
              <w:t xml:space="preserve"> Assets)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rPr>
          <w:cantSplit/>
        </w:trPr>
        <w:tc>
          <w:tcPr>
            <w:tcW w:w="7522" w:type="dxa"/>
            <w:gridSpan w:val="2"/>
            <w:shd w:val="clear" w:color="auto" w:fill="D9D9D9" w:themeFill="background1" w:themeFillShade="D9"/>
          </w:tcPr>
          <w:p w:rsidR="003C3537" w:rsidRDefault="003C3537" w:rsidP="004719E6">
            <w:pPr>
              <w:pStyle w:val="Tabletext"/>
              <w:rPr>
                <w:rFonts w:eastAsia="Arial Unicode MS"/>
              </w:rPr>
            </w:pPr>
            <w:r w:rsidRPr="00C5005A">
              <w:rPr>
                <w:rFonts w:eastAsia="Arial Unicode MS"/>
              </w:rPr>
              <w:t xml:space="preserve">Transfer </w:t>
            </w:r>
            <w:r w:rsidR="004719E6">
              <w:rPr>
                <w:rFonts w:eastAsia="Arial Unicode MS"/>
              </w:rPr>
              <w:t xml:space="preserve">of </w:t>
            </w:r>
            <w:r w:rsidRPr="00C5005A">
              <w:rPr>
                <w:rFonts w:eastAsia="Arial Unicode MS"/>
              </w:rPr>
              <w:t>carrying value of asset</w:t>
            </w:r>
            <w:r w:rsidR="004719E6">
              <w:rPr>
                <w:rFonts w:eastAsia="Arial Unicode MS"/>
              </w:rPr>
              <w:t>s from Department’s a</w:t>
            </w:r>
            <w:r w:rsidRPr="00C5005A">
              <w:rPr>
                <w:rFonts w:eastAsia="Arial Unicode MS"/>
              </w:rPr>
              <w:t xml:space="preserve">dministered entity to </w:t>
            </w:r>
            <w:r w:rsidR="004719E6">
              <w:rPr>
                <w:rFonts w:eastAsia="Arial Unicode MS"/>
              </w:rPr>
              <w:t>its c</w:t>
            </w:r>
            <w:r w:rsidRPr="00C5005A">
              <w:rPr>
                <w:rFonts w:eastAsia="Arial Unicode MS"/>
              </w:rPr>
              <w:t>ontrolled entity</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DR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w:t>
            </w:r>
            <w:r w:rsidR="004719E6">
              <w:rPr>
                <w:rFonts w:eastAsia="Arial Unicode MS"/>
              </w:rPr>
              <w:t>to</w:t>
            </w:r>
            <w:r w:rsidR="004719E6" w:rsidRPr="00AC78FF">
              <w:rPr>
                <w:rFonts w:eastAsia="Arial Unicode MS"/>
              </w:rPr>
              <w:t xml:space="preserve">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Pr="00AC78FF">
              <w:rPr>
                <w:rFonts w:eastAsia="Arial Unicode MS"/>
              </w:rPr>
              <w:t>(</w:t>
            </w:r>
            <w:r>
              <w:rPr>
                <w:rFonts w:eastAsia="Arial Unicode MS"/>
              </w:rPr>
              <w:t>Fixed</w:t>
            </w:r>
            <w:r w:rsidRPr="00AC78FF">
              <w:rPr>
                <w:rFonts w:eastAsia="Arial Unicode MS"/>
              </w:rPr>
              <w:t xml:space="preserve"> Assets)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r w:rsidR="003C3537" w:rsidRPr="00731E39" w:rsidTr="003C3537">
        <w:trPr>
          <w:cantSplit/>
        </w:trPr>
        <w:tc>
          <w:tcPr>
            <w:tcW w:w="5731" w:type="dxa"/>
          </w:tcPr>
          <w:p w:rsidR="003C3537" w:rsidRPr="00731E39" w:rsidRDefault="003C3537" w:rsidP="003C3537">
            <w:pPr>
              <w:pStyle w:val="Tabletext"/>
              <w:rPr>
                <w:rFonts w:eastAsia="Arial Unicode MS"/>
              </w:rPr>
            </w:pPr>
            <w:r>
              <w:rPr>
                <w:rFonts w:eastAsia="Arial Unicode MS"/>
              </w:rPr>
              <w:t xml:space="preserve">CR </w:t>
            </w:r>
            <w:r w:rsidR="004719E6" w:rsidRPr="00C91080">
              <w:rPr>
                <w:rFonts w:eastAsia="Arial Unicode MS"/>
              </w:rPr>
              <w:t xml:space="preserve">Fixed </w:t>
            </w:r>
            <w:r w:rsidR="004719E6">
              <w:rPr>
                <w:rFonts w:eastAsia="Arial Unicode MS"/>
              </w:rPr>
              <w:t>a</w:t>
            </w:r>
            <w:r w:rsidR="004719E6" w:rsidRPr="00C91080">
              <w:rPr>
                <w:rFonts w:eastAsia="Arial Unicode MS"/>
              </w:rPr>
              <w:t>sset</w:t>
            </w:r>
            <w:r w:rsidR="004719E6">
              <w:rPr>
                <w:rFonts w:eastAsia="Arial Unicode MS"/>
              </w:rPr>
              <w:t>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r w:rsidR="003C3537" w:rsidRPr="00731E39" w:rsidTr="003C3537">
        <w:trPr>
          <w:cantSplit/>
        </w:trPr>
        <w:tc>
          <w:tcPr>
            <w:tcW w:w="7522" w:type="dxa"/>
            <w:gridSpan w:val="2"/>
            <w:shd w:val="clear" w:color="auto" w:fill="D9D9D9" w:themeFill="background1" w:themeFillShade="D9"/>
          </w:tcPr>
          <w:p w:rsidR="003C3537" w:rsidRDefault="004719E6" w:rsidP="004719E6">
            <w:pPr>
              <w:pStyle w:val="Tabletext"/>
              <w:rPr>
                <w:rFonts w:eastAsia="Arial Unicode MS"/>
              </w:rPr>
            </w:pPr>
            <w:r>
              <w:rPr>
                <w:rFonts w:eastAsia="Arial Unicode MS"/>
              </w:rPr>
              <w:t>Removal of</w:t>
            </w:r>
            <w:r w:rsidR="003C3537" w:rsidRPr="00C5005A">
              <w:rPr>
                <w:rFonts w:eastAsia="Arial Unicode MS"/>
              </w:rPr>
              <w:t xml:space="preserve"> investment in </w:t>
            </w:r>
            <w:r>
              <w:rPr>
                <w:rFonts w:eastAsia="Arial Unicode MS"/>
              </w:rPr>
              <w:t>the agency</w:t>
            </w:r>
            <w:r w:rsidR="003C3537" w:rsidRPr="00C5005A">
              <w:rPr>
                <w:rFonts w:eastAsia="Arial Unicode MS"/>
              </w:rPr>
              <w:t xml:space="preserve"> reflected in the D</w:t>
            </w:r>
            <w:r>
              <w:rPr>
                <w:rFonts w:eastAsia="Arial Unicode MS"/>
              </w:rPr>
              <w:t>epartment’s</w:t>
            </w:r>
            <w:r w:rsidR="003C3537">
              <w:rPr>
                <w:rFonts w:eastAsia="Arial Unicode MS"/>
              </w:rPr>
              <w:t xml:space="preserve"> </w:t>
            </w:r>
            <w:r>
              <w:rPr>
                <w:rFonts w:eastAsia="Arial Unicode MS"/>
              </w:rPr>
              <w:t>a</w:t>
            </w:r>
            <w:r w:rsidR="003C3537">
              <w:rPr>
                <w:rFonts w:eastAsia="Arial Unicode MS"/>
              </w:rPr>
              <w:t>dministered entity</w:t>
            </w:r>
          </w:p>
        </w:tc>
      </w:tr>
      <w:tr w:rsidR="003C3537" w:rsidRPr="00731E39" w:rsidTr="003C3537">
        <w:trPr>
          <w:cantSplit/>
        </w:trPr>
        <w:tc>
          <w:tcPr>
            <w:tcW w:w="5731" w:type="dxa"/>
          </w:tcPr>
          <w:p w:rsidR="003C3537" w:rsidRPr="00731E39" w:rsidRDefault="003C3537" w:rsidP="003C3537">
            <w:pPr>
              <w:pStyle w:val="Tabletext"/>
              <w:rPr>
                <w:rFonts w:eastAsia="Arial Unicode MS"/>
              </w:rPr>
            </w:pPr>
            <w:r>
              <w:rPr>
                <w:rFonts w:eastAsia="Arial Unicode MS"/>
              </w:rPr>
              <w:t xml:space="preserve">DR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w:t>
            </w:r>
            <w:r w:rsidR="004719E6">
              <w:rPr>
                <w:rFonts w:eastAsia="Arial Unicode MS"/>
              </w:rPr>
              <w:t>to</w:t>
            </w:r>
            <w:r w:rsidR="004719E6" w:rsidRPr="00AC78FF">
              <w:rPr>
                <w:rFonts w:eastAsia="Arial Unicode MS"/>
              </w:rPr>
              <w:t xml:space="preserve">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Pr="00C5005A">
              <w:rPr>
                <w:rFonts w:eastAsia="Arial Unicode MS"/>
              </w:rPr>
              <w:t>(Fixed Assets)</w:t>
            </w:r>
          </w:p>
        </w:tc>
        <w:tc>
          <w:tcPr>
            <w:tcW w:w="1791" w:type="dxa"/>
          </w:tcPr>
          <w:p w:rsidR="003C3537" w:rsidRPr="00731E39" w:rsidRDefault="003C3537" w:rsidP="003C3537">
            <w:pPr>
              <w:pStyle w:val="Tabletext"/>
              <w:tabs>
                <w:tab w:val="left" w:pos="1485"/>
                <w:tab w:val="right" w:pos="1677"/>
              </w:tabs>
              <w:rPr>
                <w:rFonts w:eastAsia="Arial Unicode MS"/>
              </w:rPr>
            </w:pPr>
            <w:r>
              <w:rPr>
                <w:rFonts w:eastAsia="Arial Unicode MS"/>
              </w:rPr>
              <w:tab/>
            </w:r>
            <w:r>
              <w:rPr>
                <w:rFonts w:eastAsia="Arial Unicode MS"/>
              </w:rPr>
              <w:tab/>
              <w:t>1</w:t>
            </w:r>
            <w:r w:rsidRPr="00731E39">
              <w:rPr>
                <w:rFonts w:eastAsia="Arial Unicode MS"/>
              </w:rPr>
              <w:t>0</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CR </w:t>
            </w:r>
            <w:r w:rsidRPr="00C5005A">
              <w:rPr>
                <w:rFonts w:eastAsia="Arial Unicode MS"/>
              </w:rPr>
              <w:t>Equity</w:t>
            </w:r>
            <w:r w:rsidR="004719E6">
              <w:rPr>
                <w:rFonts w:eastAsia="Arial Unicode MS"/>
              </w:rPr>
              <w:t xml:space="preserve"> i</w:t>
            </w:r>
            <w:r w:rsidRPr="00C5005A">
              <w:rPr>
                <w:rFonts w:eastAsia="Arial Unicode MS"/>
              </w:rPr>
              <w:t>nvestment in</w:t>
            </w:r>
            <w:r w:rsidR="004719E6">
              <w:rPr>
                <w:rFonts w:eastAsia="Arial Unicode MS"/>
              </w:rPr>
              <w:t xml:space="preserve"> GG,</w:t>
            </w:r>
            <w:r w:rsidRPr="00C5005A">
              <w:rPr>
                <w:rFonts w:eastAsia="Arial Unicode MS"/>
              </w:rPr>
              <w:t xml:space="preserve"> PNFC</w:t>
            </w:r>
            <w:r w:rsidR="004719E6">
              <w:rPr>
                <w:rFonts w:eastAsia="Arial Unicode MS"/>
              </w:rPr>
              <w:t xml:space="preserve"> or PFC</w:t>
            </w:r>
            <w:r w:rsidRPr="00C5005A">
              <w:rPr>
                <w:rFonts w:eastAsia="Arial Unicode MS"/>
              </w:rPr>
              <w:t xml:space="preserve"> (Fixed Asset Transfers)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bl>
    <w:p w:rsidR="003C3537" w:rsidRPr="004719E6" w:rsidRDefault="004719E6" w:rsidP="00314B6A">
      <w:pPr>
        <w:pStyle w:val="Heading4"/>
        <w:spacing w:before="240" w:after="120"/>
        <w:ind w:left="360"/>
      </w:pPr>
      <w:r w:rsidRPr="004719E6">
        <w:t xml:space="preserve">Step </w:t>
      </w:r>
      <w:r>
        <w:t>C</w:t>
      </w:r>
      <w:r w:rsidRPr="004719E6">
        <w:t xml:space="preserve"> – Department</w:t>
      </w:r>
      <w:r>
        <w:t xml:space="preserve"> recognises the assets from Agency A in its controlled entity.</w:t>
      </w: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3C3537">
            <w:pPr>
              <w:pStyle w:val="Tableheader"/>
              <w:rPr>
                <w:rFonts w:eastAsia="Arial Unicode MS"/>
              </w:rPr>
            </w:pPr>
            <w:r>
              <w:rPr>
                <w:b/>
              </w:rPr>
              <w:t>Department A – Controlled</w:t>
            </w:r>
          </w:p>
        </w:tc>
      </w:tr>
      <w:tr w:rsidR="003C3537" w:rsidRPr="00731E39" w:rsidTr="003C3537">
        <w:trPr>
          <w:cantSplit/>
        </w:trPr>
        <w:tc>
          <w:tcPr>
            <w:tcW w:w="5731" w:type="dxa"/>
          </w:tcPr>
          <w:p w:rsidR="003C3537" w:rsidRPr="00731E39" w:rsidRDefault="003C3537" w:rsidP="004719E6">
            <w:pPr>
              <w:pStyle w:val="Tabletext"/>
              <w:rPr>
                <w:rFonts w:eastAsia="Arial Unicode MS"/>
              </w:rPr>
            </w:pPr>
            <w:r>
              <w:rPr>
                <w:rFonts w:eastAsia="Arial Unicode MS"/>
              </w:rPr>
              <w:t xml:space="preserve">DR </w:t>
            </w:r>
            <w:r w:rsidR="004719E6">
              <w:rPr>
                <w:rFonts w:eastAsia="Arial Unicode MS"/>
              </w:rPr>
              <w:t>Fixed assets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rPr>
          <w:cantSplit/>
        </w:trPr>
        <w:tc>
          <w:tcPr>
            <w:tcW w:w="5731" w:type="dxa"/>
          </w:tcPr>
          <w:p w:rsidR="003C3537" w:rsidRPr="00731E39" w:rsidRDefault="003C3537" w:rsidP="003C3537">
            <w:pPr>
              <w:pStyle w:val="Tabletext"/>
              <w:rPr>
                <w:rFonts w:eastAsia="Arial Unicode MS"/>
              </w:rPr>
            </w:pPr>
            <w:r>
              <w:rPr>
                <w:rFonts w:eastAsia="Arial Unicode MS"/>
              </w:rPr>
              <w:t xml:space="preserve">CR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from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Pr="00C5005A">
              <w:rPr>
                <w:rFonts w:eastAsia="Arial Unicode MS"/>
              </w:rPr>
              <w:t>(Fixed Assets)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bl>
    <w:p w:rsidR="002F7A0C" w:rsidRDefault="002F7A0C" w:rsidP="006E217D">
      <w:pPr>
        <w:pStyle w:val="NormalIndent"/>
        <w:ind w:left="360"/>
      </w:pPr>
    </w:p>
    <w:p w:rsidR="002F7A0C" w:rsidRPr="001834DF" w:rsidRDefault="002F7A0C" w:rsidP="002F7A0C">
      <w:pPr>
        <w:pStyle w:val="Heading4"/>
      </w:pPr>
      <w:r>
        <w:lastRenderedPageBreak/>
        <w:t xml:space="preserve">Scenario 6 – </w:t>
      </w:r>
      <w:r w:rsidRPr="003C3537">
        <w:t>Transfers aris</w:t>
      </w:r>
      <w:r>
        <w:t>ing</w:t>
      </w:r>
      <w:r w:rsidRPr="003C3537">
        <w:t xml:space="preserve"> from administrative restructures (i.e. machinery</w:t>
      </w:r>
      <w:r>
        <w:t xml:space="preserve"> of government changes)</w:t>
      </w:r>
    </w:p>
    <w:p w:rsidR="002F7A0C" w:rsidRDefault="002F7A0C" w:rsidP="002F7A0C">
      <w:pPr>
        <w:pStyle w:val="NormalIndent"/>
        <w:ind w:left="360"/>
      </w:pPr>
      <w:r>
        <w:t xml:space="preserve">For guidance refer to the </w:t>
      </w:r>
      <w:r w:rsidRPr="00387A01">
        <w:rPr>
          <w:i/>
        </w:rPr>
        <w:t>Victorian public sector operating manual on machinery of government changes</w:t>
      </w:r>
      <w:r w:rsidRPr="00450FD9">
        <w:t xml:space="preserve"> issued October 2016</w:t>
      </w:r>
      <w:r>
        <w:t>.</w:t>
      </w:r>
    </w:p>
    <w:p w:rsidR="002F7A0C" w:rsidRDefault="002F7A0C" w:rsidP="002F7A0C">
      <w:pPr>
        <w:pStyle w:val="NormalIndent"/>
        <w:ind w:left="360"/>
      </w:pPr>
    </w:p>
    <w:p w:rsidR="002F7A0C" w:rsidRDefault="00BB380C">
      <w:pPr>
        <w:spacing w:before="0" w:after="200"/>
      </w:pPr>
      <w:r>
        <w:br w:type="page"/>
      </w:r>
    </w:p>
    <w:p w:rsidR="00BB380C" w:rsidRDefault="00BB380C" w:rsidP="00004E80">
      <w:pPr>
        <w:pStyle w:val="Heading2"/>
      </w:pPr>
      <w:bookmarkStart w:id="106" w:name="_Toc476910359"/>
      <w:r>
        <w:lastRenderedPageBreak/>
        <w:t xml:space="preserve">Attachment </w:t>
      </w:r>
      <w:r w:rsidR="00A4375C">
        <w:t>4</w:t>
      </w:r>
      <w:r>
        <w:t xml:space="preserve">: Sample journal entries for the sale of </w:t>
      </w:r>
      <w:r w:rsidR="00EA52E1">
        <w:t>D</w:t>
      </w:r>
      <w:r w:rsidR="00A35D5E">
        <w:t>epartmental</w:t>
      </w:r>
      <w:r>
        <w:t xml:space="preserve"> assets</w:t>
      </w:r>
      <w:bookmarkEnd w:id="106"/>
    </w:p>
    <w:p w:rsidR="00BB380C" w:rsidRDefault="00BB380C" w:rsidP="00387A01">
      <w:pPr>
        <w:pStyle w:val="Heading3"/>
        <w:spacing w:before="360"/>
      </w:pPr>
      <w:r>
        <w:t>Example one</w:t>
      </w:r>
      <w:r w:rsidR="00413A48">
        <w:t xml:space="preserve"> – </w:t>
      </w:r>
      <w:r>
        <w:t xml:space="preserve">Department sells an asset </w:t>
      </w:r>
      <w:r w:rsidR="003A1B1A">
        <w:t>for more</w:t>
      </w:r>
      <w:r>
        <w:t xml:space="preserve"> than the ca</w:t>
      </w:r>
      <w:r w:rsidR="0010781C">
        <w:t>rrying value (gain on disposal)</w:t>
      </w:r>
    </w:p>
    <w:p w:rsidR="00BB380C" w:rsidRDefault="00BB380C" w:rsidP="00BB380C">
      <w:r>
        <w:t>In this example, the original cost of the asset disposed is $110, the net carrying value of the asset is $100, and the profit on sale is $25.</w:t>
      </w:r>
    </w:p>
    <w:p w:rsidR="00BB380C" w:rsidRDefault="00BB380C" w:rsidP="00BB380C">
      <w:r>
        <w:t>The accounting entries to record the sale, the profit on sale, and the return of funds to the Consolidated Fund are detailed below:</w:t>
      </w:r>
    </w:p>
    <w:p w:rsidR="00BB380C" w:rsidRDefault="00BB380C" w:rsidP="00314B6A">
      <w:pPr>
        <w:pStyle w:val="Heading4"/>
        <w:spacing w:before="360"/>
      </w:pPr>
      <w:r>
        <w:t>Step A</w:t>
      </w:r>
      <w:r w:rsidR="006E217D">
        <w:t xml:space="preserve"> – </w:t>
      </w:r>
      <w:r>
        <w:t>Department transfers net carrying value of asset to be disposed from its controlled entity to its administered entity</w:t>
      </w:r>
      <w:r w:rsidR="003A1B1A">
        <w:t xml:space="preserve"> -</w:t>
      </w:r>
      <w:r>
        <w:t xml:space="preserve"> (branch </w:t>
      </w:r>
      <w:r w:rsidR="003A1B1A">
        <w:t>State Administration Unit (</w:t>
      </w:r>
      <w:r>
        <w:t>SAU</w:t>
      </w:r>
      <w:r w:rsidR="003A1B1A">
        <w:t>)</w:t>
      </w:r>
      <w:r>
        <w:t>)</w:t>
      </w:r>
      <w:r w:rsidR="003A1B1A">
        <w:t>.</w:t>
      </w:r>
    </w:p>
    <w:tbl>
      <w:tblPr>
        <w:tblStyle w:val="DTFtexttable"/>
        <w:tblW w:w="7534" w:type="dxa"/>
        <w:tblInd w:w="864" w:type="dxa"/>
        <w:tblLayout w:type="fixed"/>
        <w:tblLook w:val="0620" w:firstRow="1" w:lastRow="0" w:firstColumn="0" w:lastColumn="0" w:noHBand="1" w:noVBand="1"/>
      </w:tblPr>
      <w:tblGrid>
        <w:gridCol w:w="2981"/>
        <w:gridCol w:w="716"/>
        <w:gridCol w:w="3111"/>
        <w:gridCol w:w="726"/>
      </w:tblGrid>
      <w:tr w:rsidR="00BB380C" w:rsidRPr="00E45B97" w:rsidTr="00E45B97">
        <w:trPr>
          <w:cnfStyle w:val="100000000000" w:firstRow="1" w:lastRow="0" w:firstColumn="0" w:lastColumn="0" w:oddVBand="0" w:evenVBand="0" w:oddHBand="0" w:evenHBand="0" w:firstRowFirstColumn="0" w:firstRowLastColumn="0" w:lastRowFirstColumn="0" w:lastRowLastColumn="0"/>
          <w:trHeight w:val="346"/>
        </w:trPr>
        <w:tc>
          <w:tcPr>
            <w:tcW w:w="3697" w:type="dxa"/>
            <w:gridSpan w:val="2"/>
            <w:tcBorders>
              <w:bottom w:val="nil"/>
            </w:tcBorders>
          </w:tcPr>
          <w:p w:rsidR="00BB380C" w:rsidRPr="00E45B97" w:rsidRDefault="00BB380C" w:rsidP="00E45B97">
            <w:pPr>
              <w:pStyle w:val="Tableheader"/>
              <w:rPr>
                <w:b/>
              </w:rPr>
            </w:pPr>
            <w:r w:rsidRPr="00E45B97">
              <w:rPr>
                <w:b/>
              </w:rPr>
              <w:t>Controlled</w:t>
            </w:r>
          </w:p>
        </w:tc>
        <w:tc>
          <w:tcPr>
            <w:tcW w:w="3837" w:type="dxa"/>
            <w:gridSpan w:val="2"/>
            <w:tcBorders>
              <w:bottom w:val="nil"/>
            </w:tcBorders>
          </w:tcPr>
          <w:p w:rsidR="00BB380C" w:rsidRPr="00E45B97" w:rsidRDefault="00BB380C" w:rsidP="00E45B97">
            <w:pPr>
              <w:pStyle w:val="Tableheader"/>
              <w:rPr>
                <w:b/>
              </w:rPr>
            </w:pPr>
            <w:r w:rsidRPr="00E45B97">
              <w:rPr>
                <w:b/>
              </w:rPr>
              <w:t>Administered</w:t>
            </w:r>
          </w:p>
        </w:tc>
      </w:tr>
      <w:tr w:rsidR="00BB380C" w:rsidRPr="00E45B97" w:rsidTr="00E45B97">
        <w:trPr>
          <w:trHeight w:val="580"/>
        </w:trPr>
        <w:tc>
          <w:tcPr>
            <w:tcW w:w="298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Contributed capital (equity transfer to other entities)</w:t>
            </w:r>
          </w:p>
        </w:tc>
        <w:tc>
          <w:tcPr>
            <w:tcW w:w="716" w:type="dxa"/>
            <w:tcBorders>
              <w:bottom w:val="nil"/>
              <w:right w:val="single" w:sz="6" w:space="0" w:color="0063A6" w:themeColor="accent1"/>
            </w:tcBorders>
          </w:tcPr>
          <w:p w:rsidR="00BB380C" w:rsidRPr="00E45B97" w:rsidRDefault="00BB380C" w:rsidP="00E45B97">
            <w:pPr>
              <w:pStyle w:val="Tabletext"/>
              <w:jc w:val="right"/>
            </w:pPr>
            <w:r w:rsidRPr="00E45B97">
              <w:t>100</w:t>
            </w:r>
          </w:p>
        </w:tc>
        <w:tc>
          <w:tcPr>
            <w:tcW w:w="311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Asset</w:t>
            </w:r>
          </w:p>
        </w:tc>
        <w:tc>
          <w:tcPr>
            <w:tcW w:w="726" w:type="dxa"/>
            <w:tcBorders>
              <w:bottom w:val="nil"/>
              <w:right w:val="single" w:sz="6" w:space="0" w:color="0063A6" w:themeColor="accent1"/>
            </w:tcBorders>
          </w:tcPr>
          <w:p w:rsidR="00BB380C" w:rsidRPr="00E45B97" w:rsidRDefault="00BB380C" w:rsidP="00E45B97">
            <w:pPr>
              <w:pStyle w:val="Tabletext"/>
              <w:jc w:val="right"/>
            </w:pPr>
            <w:r w:rsidRPr="00E45B97">
              <w:t>110</w:t>
            </w:r>
          </w:p>
        </w:tc>
      </w:tr>
      <w:tr w:rsidR="00BB380C" w:rsidRPr="00E45B97" w:rsidTr="00E45B97">
        <w:trPr>
          <w:trHeight w:val="290"/>
        </w:trPr>
        <w:tc>
          <w:tcPr>
            <w:tcW w:w="298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Accumulated depreciation</w:t>
            </w:r>
          </w:p>
        </w:tc>
        <w:tc>
          <w:tcPr>
            <w:tcW w:w="716" w:type="dxa"/>
            <w:tcBorders>
              <w:bottom w:val="nil"/>
              <w:right w:val="single" w:sz="6" w:space="0" w:color="0063A6" w:themeColor="accent1"/>
            </w:tcBorders>
          </w:tcPr>
          <w:p w:rsidR="00BB380C" w:rsidRPr="00E45B97" w:rsidRDefault="00BB380C" w:rsidP="00E45B97">
            <w:pPr>
              <w:pStyle w:val="Tabletext"/>
              <w:jc w:val="right"/>
            </w:pPr>
            <w:r w:rsidRPr="00E45B97">
              <w:t>10</w:t>
            </w:r>
          </w:p>
        </w:tc>
        <w:tc>
          <w:tcPr>
            <w:tcW w:w="3111" w:type="dxa"/>
            <w:tcBorders>
              <w:left w:val="single" w:sz="6" w:space="0" w:color="0063A6" w:themeColor="accent1"/>
              <w:bottom w:val="nil"/>
            </w:tcBorders>
          </w:tcPr>
          <w:p w:rsidR="00BB380C" w:rsidRPr="00E45B97" w:rsidRDefault="0083708B" w:rsidP="00E45B97">
            <w:pPr>
              <w:pStyle w:val="Tabletext"/>
            </w:pPr>
            <w:r>
              <w:t xml:space="preserve">CR </w:t>
            </w:r>
            <w:r w:rsidR="00BB380C" w:rsidRPr="00E45B97">
              <w:t>Accumulated depreciation</w:t>
            </w:r>
          </w:p>
        </w:tc>
        <w:tc>
          <w:tcPr>
            <w:tcW w:w="726" w:type="dxa"/>
            <w:tcBorders>
              <w:bottom w:val="nil"/>
              <w:right w:val="single" w:sz="6" w:space="0" w:color="0063A6" w:themeColor="accent1"/>
            </w:tcBorders>
          </w:tcPr>
          <w:p w:rsidR="00BB380C" w:rsidRPr="00E45B97" w:rsidRDefault="00BB380C" w:rsidP="00E45B97">
            <w:pPr>
              <w:pStyle w:val="Tabletext"/>
              <w:jc w:val="right"/>
            </w:pPr>
            <w:r w:rsidRPr="00E45B97">
              <w:t>10</w:t>
            </w:r>
          </w:p>
        </w:tc>
      </w:tr>
      <w:tr w:rsidR="00BB380C" w:rsidRPr="00E45B97" w:rsidTr="00E45B97">
        <w:trPr>
          <w:trHeight w:val="607"/>
        </w:trPr>
        <w:tc>
          <w:tcPr>
            <w:tcW w:w="2981" w:type="dxa"/>
            <w:tcBorders>
              <w:left w:val="single" w:sz="6" w:space="0" w:color="0063A6" w:themeColor="accent1"/>
              <w:bottom w:val="single" w:sz="12" w:space="0" w:color="0063A6" w:themeColor="accent1"/>
            </w:tcBorders>
          </w:tcPr>
          <w:p w:rsidR="00BB380C" w:rsidRPr="00E45B97" w:rsidRDefault="0083708B" w:rsidP="00E45B97">
            <w:pPr>
              <w:pStyle w:val="Tabletext"/>
            </w:pPr>
            <w:r>
              <w:t xml:space="preserve">CR </w:t>
            </w:r>
            <w:r w:rsidR="00BB380C" w:rsidRPr="00E45B97">
              <w:t>Asset</w:t>
            </w:r>
          </w:p>
        </w:tc>
        <w:tc>
          <w:tcPr>
            <w:tcW w:w="716" w:type="dxa"/>
            <w:tcBorders>
              <w:bottom w:val="single" w:sz="12" w:space="0" w:color="0063A6" w:themeColor="accent1"/>
              <w:right w:val="single" w:sz="6" w:space="0" w:color="0063A6" w:themeColor="accent1"/>
            </w:tcBorders>
          </w:tcPr>
          <w:p w:rsidR="00BB380C" w:rsidRPr="00E45B97" w:rsidRDefault="00BB380C" w:rsidP="00E45B97">
            <w:pPr>
              <w:pStyle w:val="Tabletext"/>
              <w:jc w:val="right"/>
            </w:pPr>
            <w:r w:rsidRPr="00E45B97">
              <w:t>110</w:t>
            </w:r>
          </w:p>
        </w:tc>
        <w:tc>
          <w:tcPr>
            <w:tcW w:w="3111" w:type="dxa"/>
            <w:tcBorders>
              <w:left w:val="single" w:sz="6" w:space="0" w:color="0063A6" w:themeColor="accent1"/>
              <w:bottom w:val="single" w:sz="12" w:space="0" w:color="0063A6" w:themeColor="accent1"/>
            </w:tcBorders>
          </w:tcPr>
          <w:p w:rsidR="00BB380C" w:rsidRPr="00E45B97" w:rsidRDefault="0083708B" w:rsidP="00E45B97">
            <w:pPr>
              <w:pStyle w:val="Tabletext"/>
            </w:pPr>
            <w:r>
              <w:t xml:space="preserve">CR </w:t>
            </w:r>
            <w:r w:rsidR="00BB380C" w:rsidRPr="00E45B97">
              <w:t>Contributed capital (equity transfer from other entities)</w:t>
            </w:r>
          </w:p>
        </w:tc>
        <w:tc>
          <w:tcPr>
            <w:tcW w:w="726" w:type="dxa"/>
            <w:tcBorders>
              <w:bottom w:val="single" w:sz="12" w:space="0" w:color="0063A6" w:themeColor="accent1"/>
              <w:right w:val="single" w:sz="6" w:space="0" w:color="0063A6" w:themeColor="accent1"/>
            </w:tcBorders>
          </w:tcPr>
          <w:p w:rsidR="00BB380C" w:rsidRPr="00E45B97" w:rsidRDefault="00BB380C" w:rsidP="00E45B97">
            <w:pPr>
              <w:pStyle w:val="Tabletext"/>
              <w:jc w:val="right"/>
            </w:pPr>
            <w:r w:rsidRPr="00E45B97">
              <w:t>100</w:t>
            </w:r>
          </w:p>
        </w:tc>
      </w:tr>
    </w:tbl>
    <w:p w:rsidR="00BB380C" w:rsidRDefault="00BB380C" w:rsidP="00314B6A">
      <w:pPr>
        <w:pStyle w:val="Heading4"/>
        <w:spacing w:before="360"/>
      </w:pPr>
      <w:r w:rsidRPr="00BB380C">
        <w:t>Step B</w:t>
      </w:r>
      <w:r w:rsidR="00E45B97">
        <w:t xml:space="preserve"> – </w:t>
      </w:r>
      <w:r w:rsidRPr="00BB380C">
        <w:t>Department records the impact on the administered operating statement where the asset is sold at a profit of $25 with cash proceeds/receivable of $125.</w:t>
      </w:r>
    </w:p>
    <w:tbl>
      <w:tblPr>
        <w:tblStyle w:val="DTFtexttable"/>
        <w:tblW w:w="7522" w:type="dxa"/>
        <w:tblInd w:w="864" w:type="dxa"/>
        <w:tblLayout w:type="fixed"/>
        <w:tblLook w:val="0620" w:firstRow="1" w:lastRow="0" w:firstColumn="0" w:lastColumn="0" w:noHBand="1" w:noVBand="1"/>
      </w:tblPr>
      <w:tblGrid>
        <w:gridCol w:w="5731"/>
        <w:gridCol w:w="1791"/>
      </w:tblGrid>
      <w:tr w:rsidR="00BB380C" w:rsidRPr="00731E39" w:rsidTr="00E45B9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BB380C" w:rsidRDefault="00BB380C" w:rsidP="00E45B97">
            <w:pPr>
              <w:pStyle w:val="Tableheader"/>
              <w:rPr>
                <w:rFonts w:eastAsia="Arial Unicode MS"/>
              </w:rPr>
            </w:pPr>
            <w:r w:rsidRPr="00673D01">
              <w:rPr>
                <w:b/>
              </w:rPr>
              <w:t>Administered</w:t>
            </w:r>
          </w:p>
        </w:tc>
      </w:tr>
      <w:tr w:rsidR="00BB380C" w:rsidRPr="00731E39" w:rsidTr="00E45B97">
        <w:trPr>
          <w:cantSplit/>
        </w:trPr>
        <w:tc>
          <w:tcPr>
            <w:tcW w:w="5731"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Cash/receivable</w:t>
            </w:r>
          </w:p>
        </w:tc>
        <w:tc>
          <w:tcPr>
            <w:tcW w:w="1791"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rPr>
          <w:cantSplit/>
        </w:trPr>
        <w:tc>
          <w:tcPr>
            <w:tcW w:w="5731"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Revenue – </w:t>
            </w:r>
            <w:r w:rsidR="003A1B1A">
              <w:rPr>
                <w:rFonts w:eastAsia="Arial Unicode MS"/>
              </w:rPr>
              <w:t>g</w:t>
            </w:r>
            <w:r w:rsidR="00BB380C" w:rsidRPr="00731E39">
              <w:rPr>
                <w:rFonts w:eastAsia="Arial Unicode MS"/>
              </w:rPr>
              <w:t>ross sale proceeds</w:t>
            </w:r>
          </w:p>
        </w:tc>
        <w:tc>
          <w:tcPr>
            <w:tcW w:w="1791"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rPr>
          <w:cantSplit/>
        </w:trPr>
        <w:tc>
          <w:tcPr>
            <w:tcW w:w="5731"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Revenue – g</w:t>
            </w:r>
            <w:r w:rsidR="00BB380C" w:rsidRPr="00731E39">
              <w:rPr>
                <w:rFonts w:eastAsia="Arial Unicode MS"/>
              </w:rPr>
              <w:t>ross value of asset disposed</w:t>
            </w:r>
          </w:p>
        </w:tc>
        <w:tc>
          <w:tcPr>
            <w:tcW w:w="1791"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cantSplit/>
        </w:trPr>
        <w:tc>
          <w:tcPr>
            <w:tcW w:w="5731" w:type="dxa"/>
          </w:tcPr>
          <w:p w:rsidR="00BB380C" w:rsidRPr="00731E39" w:rsidRDefault="0083708B" w:rsidP="00004E80">
            <w:pPr>
              <w:pStyle w:val="Tabletext"/>
              <w:rPr>
                <w:rFonts w:eastAsia="Arial Unicode MS"/>
              </w:rPr>
            </w:pPr>
            <w:r>
              <w:rPr>
                <w:rFonts w:eastAsia="Arial Unicode MS"/>
              </w:rPr>
              <w:t xml:space="preserve">CR </w:t>
            </w:r>
            <w:r w:rsidR="003A1B1A">
              <w:rPr>
                <w:rFonts w:eastAsia="Arial Unicode MS"/>
              </w:rPr>
              <w:t>Revenue – a</w:t>
            </w:r>
            <w:r w:rsidR="00BB380C" w:rsidRPr="00731E39">
              <w:rPr>
                <w:rFonts w:eastAsia="Arial Unicode MS"/>
              </w:rPr>
              <w:t>ccumulated depreciation of asset disposed</w:t>
            </w:r>
          </w:p>
        </w:tc>
        <w:tc>
          <w:tcPr>
            <w:tcW w:w="1791" w:type="dxa"/>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rPr>
          <w:cantSplit/>
        </w:trPr>
        <w:tc>
          <w:tcPr>
            <w:tcW w:w="5731"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1791"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cantSplit/>
        </w:trPr>
        <w:tc>
          <w:tcPr>
            <w:tcW w:w="5731"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1791" w:type="dxa"/>
          </w:tcPr>
          <w:p w:rsidR="00BB380C" w:rsidRPr="00731E39" w:rsidRDefault="00BB380C" w:rsidP="00004E80">
            <w:pPr>
              <w:pStyle w:val="Tabletext"/>
              <w:jc w:val="right"/>
              <w:rPr>
                <w:rFonts w:eastAsia="Arial Unicode MS"/>
              </w:rPr>
            </w:pPr>
            <w:r w:rsidRPr="00731E39">
              <w:rPr>
                <w:rFonts w:eastAsia="Arial Unicode MS"/>
              </w:rPr>
              <w:t>10</w:t>
            </w:r>
          </w:p>
        </w:tc>
      </w:tr>
    </w:tbl>
    <w:p w:rsidR="00BB380C" w:rsidRDefault="00BB380C" w:rsidP="00314B6A">
      <w:pPr>
        <w:pStyle w:val="Heading4"/>
        <w:spacing w:before="360"/>
      </w:pPr>
      <w:r w:rsidRPr="006965B1">
        <w:t>Step C</w:t>
      </w:r>
      <w:r w:rsidR="00E45B97">
        <w:t xml:space="preserve"> –</w:t>
      </w:r>
      <w:r w:rsidRPr="006965B1">
        <w:t xml:space="preserve"> Department remits $100 of the sale to Consolidated Fund as a return of capital. </w:t>
      </w:r>
      <w:r w:rsidR="001659F2">
        <w:t>The </w:t>
      </w:r>
      <w:r w:rsidRPr="006965B1">
        <w:t>remainder, equivalent to the profit on sale, is treated as a</w:t>
      </w:r>
      <w:r w:rsidR="001659F2">
        <w:t xml:space="preserve">n ‘expense’ in the </w:t>
      </w:r>
      <w:r w:rsidR="00EA52E1">
        <w:t>D</w:t>
      </w:r>
      <w:r w:rsidR="001659F2">
        <w:t>epartmental </w:t>
      </w:r>
      <w:r w:rsidRPr="006965B1">
        <w:t>administered accounts.</w:t>
      </w:r>
      <w:r w:rsidRPr="006F1C24">
        <w:t xml:space="preserve"> </w:t>
      </w:r>
      <w:r w:rsidRPr="00E45B97">
        <w:rPr>
          <w:b w:val="0"/>
        </w:rPr>
        <w:t>This treatment of the profit c</w:t>
      </w:r>
      <w:r w:rsidR="001659F2">
        <w:rPr>
          <w:b w:val="0"/>
        </w:rPr>
        <w:t>omponent is consistent with all </w:t>
      </w:r>
      <w:r w:rsidRPr="00E45B97">
        <w:rPr>
          <w:b w:val="0"/>
        </w:rPr>
        <w:t xml:space="preserve">other administered revenue items where the cash is remitted to the </w:t>
      </w:r>
      <w:r w:rsidR="003A1B1A">
        <w:rPr>
          <w:b w:val="0"/>
        </w:rPr>
        <w:t>c</w:t>
      </w:r>
      <w:r w:rsidRPr="00E45B97">
        <w:rPr>
          <w:b w:val="0"/>
        </w:rPr>
        <w:t>entral SAU.</w:t>
      </w:r>
    </w:p>
    <w:tbl>
      <w:tblPr>
        <w:tblStyle w:val="DTFtexttable"/>
        <w:tblW w:w="7483" w:type="dxa"/>
        <w:tblInd w:w="864" w:type="dxa"/>
        <w:tblLayout w:type="fixed"/>
        <w:tblLook w:val="0620" w:firstRow="1" w:lastRow="0" w:firstColumn="0" w:lastColumn="0" w:noHBand="1" w:noVBand="1"/>
      </w:tblPr>
      <w:tblGrid>
        <w:gridCol w:w="5869"/>
        <w:gridCol w:w="1614"/>
      </w:tblGrid>
      <w:tr w:rsidR="00BB380C" w:rsidTr="00E45B97">
        <w:trPr>
          <w:cnfStyle w:val="100000000000" w:firstRow="1" w:lastRow="0" w:firstColumn="0" w:lastColumn="0" w:oddVBand="0" w:evenVBand="0" w:oddHBand="0" w:evenHBand="0" w:firstRowFirstColumn="0" w:firstRowLastColumn="0" w:lastRowFirstColumn="0" w:lastRowLastColumn="0"/>
          <w:trHeight w:val="292"/>
        </w:trPr>
        <w:tc>
          <w:tcPr>
            <w:tcW w:w="7483" w:type="dxa"/>
            <w:gridSpan w:val="2"/>
          </w:tcPr>
          <w:p w:rsidR="00BB380C" w:rsidRDefault="00BB380C" w:rsidP="00E45B97">
            <w:pPr>
              <w:pStyle w:val="Tableheader"/>
              <w:rPr>
                <w:rFonts w:eastAsia="Arial Unicode MS"/>
              </w:rPr>
            </w:pPr>
            <w:r w:rsidRPr="00673D01">
              <w:rPr>
                <w:b/>
              </w:rPr>
              <w:t>Administered</w:t>
            </w:r>
          </w:p>
        </w:tc>
      </w:tr>
      <w:tr w:rsidR="00BB380C" w:rsidRPr="00731E39" w:rsidTr="00E45B97">
        <w:trPr>
          <w:trHeight w:val="279"/>
        </w:trPr>
        <w:tc>
          <w:tcPr>
            <w:tcW w:w="5869" w:type="dxa"/>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Central SAU)</w:t>
            </w:r>
          </w:p>
        </w:tc>
        <w:tc>
          <w:tcPr>
            <w:tcW w:w="1614"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92"/>
        </w:trPr>
        <w:tc>
          <w:tcPr>
            <w:tcW w:w="5869" w:type="dxa"/>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R</w:t>
            </w:r>
            <w:r w:rsidR="00BB380C" w:rsidRPr="00731E39">
              <w:rPr>
                <w:rFonts w:eastAsia="Arial Unicode MS"/>
              </w:rPr>
              <w:t>eallocation of revenue to Central SAU</w:t>
            </w:r>
          </w:p>
        </w:tc>
        <w:tc>
          <w:tcPr>
            <w:tcW w:w="1614" w:type="dxa"/>
          </w:tcPr>
          <w:p w:rsidR="00BB380C" w:rsidRPr="00731E39" w:rsidRDefault="00BB380C" w:rsidP="00004E80">
            <w:pPr>
              <w:pStyle w:val="Tabletext"/>
              <w:jc w:val="right"/>
              <w:rPr>
                <w:rFonts w:eastAsia="Arial Unicode MS"/>
              </w:rPr>
            </w:pPr>
            <w:r w:rsidRPr="00731E39">
              <w:rPr>
                <w:rFonts w:eastAsia="Arial Unicode MS"/>
              </w:rPr>
              <w:t>25</w:t>
            </w:r>
          </w:p>
        </w:tc>
      </w:tr>
      <w:tr w:rsidR="00BB380C" w:rsidRPr="00731E39" w:rsidTr="00E45B97">
        <w:trPr>
          <w:trHeight w:val="274"/>
        </w:trPr>
        <w:tc>
          <w:tcPr>
            <w:tcW w:w="586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Cash</w:t>
            </w:r>
          </w:p>
        </w:tc>
        <w:tc>
          <w:tcPr>
            <w:tcW w:w="1614" w:type="dxa"/>
          </w:tcPr>
          <w:p w:rsidR="00BB380C" w:rsidRPr="00731E39" w:rsidRDefault="00BB380C" w:rsidP="00004E80">
            <w:pPr>
              <w:pStyle w:val="Tabletext"/>
              <w:jc w:val="right"/>
              <w:rPr>
                <w:rFonts w:eastAsia="Arial Unicode MS"/>
              </w:rPr>
            </w:pPr>
            <w:r w:rsidRPr="00731E39">
              <w:rPr>
                <w:rFonts w:eastAsia="Arial Unicode MS"/>
              </w:rPr>
              <w:t>125</w:t>
            </w:r>
          </w:p>
        </w:tc>
      </w:tr>
    </w:tbl>
    <w:p w:rsidR="00BB380C" w:rsidRDefault="00BB380C" w:rsidP="00BB380C"/>
    <w:p w:rsidR="00BB380C" w:rsidRDefault="00E45B97" w:rsidP="00E45B97">
      <w:pPr>
        <w:pStyle w:val="Heading4"/>
      </w:pPr>
      <w:r>
        <w:lastRenderedPageBreak/>
        <w:t>Step D –</w:t>
      </w:r>
      <w:r w:rsidR="00BB380C" w:rsidRPr="006965B1">
        <w:t xml:space="preserve"> DTF (as the central agency) records the sale proceeds and profit on sale in the </w:t>
      </w:r>
      <w:r w:rsidR="003A1B1A">
        <w:t>c</w:t>
      </w:r>
      <w:r w:rsidR="00BB380C" w:rsidRPr="006965B1">
        <w:t>entral SAU (Consolidated Fund), as a reduction in the SAU’s investment in controlled entities, and the profit on sale component as ‘revenue’.</w:t>
      </w:r>
    </w:p>
    <w:tbl>
      <w:tblPr>
        <w:tblStyle w:val="DTFtexttable"/>
        <w:tblW w:w="7466" w:type="dxa"/>
        <w:tblInd w:w="864" w:type="dxa"/>
        <w:tblLayout w:type="fixed"/>
        <w:tblLook w:val="0620" w:firstRow="1" w:lastRow="0" w:firstColumn="0" w:lastColumn="0" w:noHBand="1" w:noVBand="1"/>
      </w:tblPr>
      <w:tblGrid>
        <w:gridCol w:w="5969"/>
        <w:gridCol w:w="1497"/>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65"/>
        </w:trPr>
        <w:tc>
          <w:tcPr>
            <w:tcW w:w="7466" w:type="dxa"/>
            <w:gridSpan w:val="2"/>
          </w:tcPr>
          <w:p w:rsidR="00BB380C" w:rsidRPr="00731E39" w:rsidRDefault="003A1B1A" w:rsidP="00E45B97">
            <w:pPr>
              <w:pStyle w:val="Tableheader"/>
            </w:pPr>
            <w:r>
              <w:rPr>
                <w:b/>
              </w:rPr>
              <w:t>DTF – c</w:t>
            </w:r>
            <w:r w:rsidR="00BB380C" w:rsidRPr="00CD5B5A">
              <w:rPr>
                <w:b/>
              </w:rPr>
              <w:t>entral SAU</w:t>
            </w:r>
          </w:p>
        </w:tc>
      </w:tr>
      <w:tr w:rsidR="00BB380C" w:rsidRPr="00731E39" w:rsidTr="00E45B97">
        <w:trPr>
          <w:trHeight w:val="265"/>
        </w:trPr>
        <w:tc>
          <w:tcPr>
            <w:tcW w:w="5969"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SAU Bank</w:t>
            </w:r>
          </w:p>
        </w:tc>
        <w:tc>
          <w:tcPr>
            <w:tcW w:w="1497"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rPr>
          <w:trHeight w:val="253"/>
        </w:trPr>
        <w:tc>
          <w:tcPr>
            <w:tcW w:w="596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Investment in controlled entities (transfer to Central SAU)</w:t>
            </w:r>
          </w:p>
        </w:tc>
        <w:tc>
          <w:tcPr>
            <w:tcW w:w="1497"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77"/>
        </w:trPr>
        <w:tc>
          <w:tcPr>
            <w:tcW w:w="596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Reallocation of revenue from Branch SAU</w:t>
            </w:r>
          </w:p>
        </w:tc>
        <w:tc>
          <w:tcPr>
            <w:tcW w:w="1497" w:type="dxa"/>
          </w:tcPr>
          <w:p w:rsidR="00BB380C" w:rsidRPr="00731E39" w:rsidRDefault="00BB380C" w:rsidP="00004E80">
            <w:pPr>
              <w:pStyle w:val="Tabletext"/>
              <w:jc w:val="right"/>
              <w:rPr>
                <w:rFonts w:eastAsia="Arial Unicode MS"/>
              </w:rPr>
            </w:pPr>
            <w:r w:rsidRPr="00731E39">
              <w:rPr>
                <w:rFonts w:eastAsia="Arial Unicode MS"/>
              </w:rPr>
              <w:t>25</w:t>
            </w:r>
          </w:p>
        </w:tc>
      </w:tr>
    </w:tbl>
    <w:p w:rsidR="00BB380C" w:rsidRPr="00314B6A" w:rsidRDefault="00BB380C" w:rsidP="00314B6A">
      <w:pPr>
        <w:pStyle w:val="Heading3"/>
        <w:spacing w:before="480"/>
      </w:pPr>
      <w:r w:rsidRPr="00314B6A">
        <w:t>Example two</w:t>
      </w:r>
      <w:r w:rsidR="00413A48" w:rsidRPr="00314B6A">
        <w:t xml:space="preserve"> – </w:t>
      </w:r>
      <w:r w:rsidRPr="00731E39">
        <w:t xml:space="preserve">Department sells/disposes of an asset </w:t>
      </w:r>
      <w:r w:rsidR="003A1B1A">
        <w:t>for</w:t>
      </w:r>
      <w:r w:rsidRPr="00731E39">
        <w:t xml:space="preserve"> less tha</w:t>
      </w:r>
      <w:r w:rsidR="00690ADE">
        <w:t>n</w:t>
      </w:r>
      <w:r w:rsidRPr="00731E39">
        <w:t xml:space="preserve"> the carrying value (loss on disposal)</w:t>
      </w:r>
    </w:p>
    <w:p w:rsidR="00BB380C" w:rsidRPr="00731E39" w:rsidRDefault="00BB380C" w:rsidP="00BB380C">
      <w:r w:rsidRPr="00731E39">
        <w:t>In this example</w:t>
      </w:r>
      <w:r>
        <w:t>, the original cost of the asset disposed is $110,</w:t>
      </w:r>
      <w:r w:rsidRPr="00731E39">
        <w:t xml:space="preserve"> the net carrying value of the asset disposed is $100</w:t>
      </w:r>
      <w:r>
        <w:t>,</w:t>
      </w:r>
      <w:r w:rsidRPr="00731E39">
        <w:t xml:space="preserve"> and the loss on sale is $5.</w:t>
      </w:r>
    </w:p>
    <w:p w:rsidR="00BB380C" w:rsidRDefault="00BB380C" w:rsidP="00BB380C">
      <w:r>
        <w:t>The accounting entries to record the sale, the loss on sale, and the return of funds to the Consolidated Fund are detailed below:</w:t>
      </w:r>
    </w:p>
    <w:p w:rsidR="00BB380C" w:rsidRDefault="00BB380C" w:rsidP="00314B6A">
      <w:pPr>
        <w:pStyle w:val="Heading4"/>
        <w:spacing w:before="360"/>
      </w:pPr>
      <w:r w:rsidRPr="00DD3F0C">
        <w:t>Step A</w:t>
      </w:r>
      <w:r w:rsidR="00E45B97">
        <w:t xml:space="preserve"> –</w:t>
      </w:r>
      <w:r w:rsidRPr="00DD3F0C">
        <w:t xml:space="preserve"> Department transfers net carrying value of asset to be disposed from its controlled entity to its administered entity (branch SAU)</w:t>
      </w:r>
      <w:r w:rsidR="003A1B1A">
        <w:t>.</w:t>
      </w:r>
    </w:p>
    <w:tbl>
      <w:tblPr>
        <w:tblStyle w:val="DTFtexttable"/>
        <w:tblW w:w="7428" w:type="dxa"/>
        <w:tblInd w:w="864" w:type="dxa"/>
        <w:tblLayout w:type="fixed"/>
        <w:tblLook w:val="0620" w:firstRow="1" w:lastRow="0" w:firstColumn="0" w:lastColumn="0" w:noHBand="1" w:noVBand="1"/>
      </w:tblPr>
      <w:tblGrid>
        <w:gridCol w:w="2938"/>
        <w:gridCol w:w="706"/>
        <w:gridCol w:w="3068"/>
        <w:gridCol w:w="716"/>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332"/>
        </w:trPr>
        <w:tc>
          <w:tcPr>
            <w:tcW w:w="3644" w:type="dxa"/>
            <w:gridSpan w:val="2"/>
            <w:tcBorders>
              <w:bottom w:val="nil"/>
            </w:tcBorders>
          </w:tcPr>
          <w:p w:rsidR="00BB380C" w:rsidRPr="00673D01" w:rsidRDefault="00BB380C" w:rsidP="00E45B97">
            <w:pPr>
              <w:pStyle w:val="Tableheader"/>
              <w:rPr>
                <w:b/>
              </w:rPr>
            </w:pPr>
            <w:r w:rsidRPr="00673D01">
              <w:rPr>
                <w:b/>
              </w:rPr>
              <w:t>Controlled</w:t>
            </w:r>
          </w:p>
        </w:tc>
        <w:tc>
          <w:tcPr>
            <w:tcW w:w="3784" w:type="dxa"/>
            <w:gridSpan w:val="2"/>
            <w:tcBorders>
              <w:bottom w:val="nil"/>
            </w:tcBorders>
          </w:tcPr>
          <w:p w:rsidR="00BB380C" w:rsidRPr="00673D01" w:rsidRDefault="00BB380C" w:rsidP="00E45B97">
            <w:pPr>
              <w:pStyle w:val="Tableheader"/>
              <w:rPr>
                <w:rFonts w:eastAsia="Arial Unicode MS"/>
                <w:b/>
                <w:color w:val="000000"/>
              </w:rPr>
            </w:pPr>
            <w:r w:rsidRPr="00673D01">
              <w:rPr>
                <w:b/>
              </w:rPr>
              <w:t>Administered</w:t>
            </w:r>
          </w:p>
        </w:tc>
      </w:tr>
      <w:tr w:rsidR="00BB380C" w:rsidRPr="00731E39" w:rsidTr="00E45B97">
        <w:trPr>
          <w:trHeight w:val="558"/>
        </w:trPr>
        <w:tc>
          <w:tcPr>
            <w:tcW w:w="293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other entities)</w:t>
            </w:r>
          </w:p>
        </w:tc>
        <w:tc>
          <w:tcPr>
            <w:tcW w:w="70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100</w:t>
            </w:r>
          </w:p>
        </w:tc>
        <w:tc>
          <w:tcPr>
            <w:tcW w:w="306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Asset</w:t>
            </w:r>
          </w:p>
        </w:tc>
        <w:tc>
          <w:tcPr>
            <w:tcW w:w="71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trHeight w:val="279"/>
        </w:trPr>
        <w:tc>
          <w:tcPr>
            <w:tcW w:w="293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706" w:type="dxa"/>
            <w:tcBorders>
              <w:bottom w:val="nil"/>
              <w:right w:val="single" w:sz="6" w:space="0" w:color="0063A6" w:themeColor="accent1"/>
            </w:tcBorders>
          </w:tcPr>
          <w:p w:rsidR="00BB380C" w:rsidRPr="00731E39" w:rsidRDefault="00BB380C" w:rsidP="0083708B">
            <w:pPr>
              <w:pStyle w:val="Tabletext"/>
              <w:jc w:val="right"/>
              <w:rPr>
                <w:rFonts w:eastAsia="Arial Unicode MS"/>
              </w:rPr>
            </w:pPr>
            <w:r w:rsidRPr="00731E39">
              <w:rPr>
                <w:rFonts w:eastAsia="Arial Unicode MS"/>
              </w:rPr>
              <w:t>10</w:t>
            </w:r>
          </w:p>
        </w:tc>
        <w:tc>
          <w:tcPr>
            <w:tcW w:w="306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Accumulated depreciation</w:t>
            </w:r>
          </w:p>
        </w:tc>
        <w:tc>
          <w:tcPr>
            <w:tcW w:w="71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rPr>
          <w:trHeight w:val="583"/>
        </w:trPr>
        <w:tc>
          <w:tcPr>
            <w:tcW w:w="2938" w:type="dxa"/>
            <w:tcBorders>
              <w:left w:val="single" w:sz="6" w:space="0" w:color="0063A6" w:themeColor="accent1"/>
              <w:bottom w:val="single" w:sz="12" w:space="0" w:color="0063A6" w:themeColor="accent1"/>
            </w:tcBorders>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706" w:type="dxa"/>
            <w:tcBorders>
              <w:bottom w:val="single" w:sz="12" w:space="0" w:color="0063A6" w:themeColor="accent1"/>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110</w:t>
            </w:r>
          </w:p>
        </w:tc>
        <w:tc>
          <w:tcPr>
            <w:tcW w:w="3068" w:type="dxa"/>
            <w:tcBorders>
              <w:left w:val="single" w:sz="6" w:space="0" w:color="0063A6" w:themeColor="accent1"/>
              <w:bottom w:val="single" w:sz="12" w:space="0" w:color="0063A6" w:themeColor="accent1"/>
            </w:tcBorders>
          </w:tcPr>
          <w:p w:rsidR="00BB380C" w:rsidRPr="00731E39" w:rsidRDefault="0083708B" w:rsidP="00004E80">
            <w:pPr>
              <w:pStyle w:val="Tabletext"/>
              <w:rPr>
                <w:rFonts w:eastAsia="Arial Unicode MS"/>
              </w:rPr>
            </w:pPr>
            <w:r>
              <w:rPr>
                <w:rFonts w:eastAsia="Arial Unicode MS"/>
              </w:rPr>
              <w:t xml:space="preserve">CR </w:t>
            </w:r>
            <w:r w:rsidR="00BB380C">
              <w:rPr>
                <w:rFonts w:eastAsia="Arial Unicode MS"/>
              </w:rPr>
              <w:t>Contributed capital</w:t>
            </w:r>
            <w:r w:rsidR="00BB380C" w:rsidRPr="00731E39">
              <w:rPr>
                <w:rFonts w:eastAsia="Arial Unicode MS"/>
              </w:rPr>
              <w:t xml:space="preserve"> (equity transfer from other entities)</w:t>
            </w:r>
          </w:p>
        </w:tc>
        <w:tc>
          <w:tcPr>
            <w:tcW w:w="716" w:type="dxa"/>
            <w:tcBorders>
              <w:bottom w:val="single" w:sz="12" w:space="0" w:color="0063A6" w:themeColor="accent1"/>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100</w:t>
            </w:r>
          </w:p>
        </w:tc>
      </w:tr>
    </w:tbl>
    <w:p w:rsidR="00BB380C" w:rsidRDefault="00BB380C" w:rsidP="00314B6A">
      <w:pPr>
        <w:pStyle w:val="Heading4"/>
        <w:spacing w:before="360"/>
      </w:pPr>
      <w:r w:rsidRPr="00DD3F0C">
        <w:t>Step B</w:t>
      </w:r>
      <w:r w:rsidR="00E45B97">
        <w:t xml:space="preserve"> –</w:t>
      </w:r>
      <w:r w:rsidRPr="00DD3F0C">
        <w:t xml:space="preserve"> Department records the impact on the administered operating statement where the asset is sold at a loss of $5 with cash proceeds/receivable of $95.</w:t>
      </w:r>
    </w:p>
    <w:tbl>
      <w:tblPr>
        <w:tblStyle w:val="DTFtexttable"/>
        <w:tblW w:w="7425" w:type="dxa"/>
        <w:tblInd w:w="864" w:type="dxa"/>
        <w:tblLayout w:type="fixed"/>
        <w:tblLook w:val="0620" w:firstRow="1" w:lastRow="0" w:firstColumn="0" w:lastColumn="0" w:noHBand="1" w:noVBand="1"/>
      </w:tblPr>
      <w:tblGrid>
        <w:gridCol w:w="5658"/>
        <w:gridCol w:w="1767"/>
      </w:tblGrid>
      <w:tr w:rsidR="00BB380C" w:rsidRPr="00731E39" w:rsidTr="00E45B97">
        <w:trPr>
          <w:cnfStyle w:val="100000000000" w:firstRow="1" w:lastRow="0" w:firstColumn="0" w:lastColumn="0" w:oddVBand="0" w:evenVBand="0" w:oddHBand="0" w:evenHBand="0" w:firstRowFirstColumn="0" w:firstRowLastColumn="0" w:lastRowFirstColumn="0" w:lastRowLastColumn="0"/>
          <w:cantSplit/>
        </w:trPr>
        <w:tc>
          <w:tcPr>
            <w:tcW w:w="7425" w:type="dxa"/>
            <w:gridSpan w:val="2"/>
          </w:tcPr>
          <w:p w:rsidR="00BB380C" w:rsidRDefault="00BB380C" w:rsidP="00E45B97">
            <w:pPr>
              <w:pStyle w:val="Tableheader"/>
              <w:rPr>
                <w:rFonts w:eastAsia="Arial Unicode MS"/>
              </w:rPr>
            </w:pPr>
            <w:r w:rsidRPr="00673D01">
              <w:rPr>
                <w:b/>
              </w:rPr>
              <w:t>Administered</w:t>
            </w:r>
          </w:p>
        </w:tc>
      </w:tr>
      <w:tr w:rsidR="00BB380C" w:rsidRPr="00731E39" w:rsidTr="00E45B97">
        <w:trPr>
          <w:cantSplit/>
        </w:trPr>
        <w:tc>
          <w:tcPr>
            <w:tcW w:w="5658"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Cash/receivable</w:t>
            </w:r>
          </w:p>
        </w:tc>
        <w:tc>
          <w:tcPr>
            <w:tcW w:w="1767"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rPr>
          <w:cantSplit/>
        </w:trPr>
        <w:tc>
          <w:tcPr>
            <w:tcW w:w="5658"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Revenue – </w:t>
            </w:r>
            <w:r w:rsidR="003A1B1A">
              <w:rPr>
                <w:rFonts w:eastAsia="Arial Unicode MS"/>
              </w:rPr>
              <w:t>g</w:t>
            </w:r>
            <w:r w:rsidR="00BB380C" w:rsidRPr="00731E39">
              <w:rPr>
                <w:rFonts w:eastAsia="Arial Unicode MS"/>
              </w:rPr>
              <w:t>ross sale proceeds</w:t>
            </w:r>
          </w:p>
        </w:tc>
        <w:tc>
          <w:tcPr>
            <w:tcW w:w="1767"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rPr>
          <w:cantSplit/>
        </w:trPr>
        <w:tc>
          <w:tcPr>
            <w:tcW w:w="5658"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Revenue – g</w:t>
            </w:r>
            <w:r w:rsidR="00BB380C" w:rsidRPr="00731E39">
              <w:rPr>
                <w:rFonts w:eastAsia="Arial Unicode MS"/>
              </w:rPr>
              <w:t>ross value of asset disposed</w:t>
            </w:r>
          </w:p>
        </w:tc>
        <w:tc>
          <w:tcPr>
            <w:tcW w:w="1767"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cantSplit/>
        </w:trPr>
        <w:tc>
          <w:tcPr>
            <w:tcW w:w="5658" w:type="dxa"/>
          </w:tcPr>
          <w:p w:rsidR="00BB380C" w:rsidRPr="00731E39" w:rsidRDefault="0083708B" w:rsidP="00004E80">
            <w:pPr>
              <w:pStyle w:val="Tabletext"/>
              <w:rPr>
                <w:rFonts w:eastAsia="Arial Unicode MS"/>
              </w:rPr>
            </w:pPr>
            <w:r>
              <w:rPr>
                <w:rFonts w:eastAsia="Arial Unicode MS"/>
              </w:rPr>
              <w:t xml:space="preserve">CR </w:t>
            </w:r>
            <w:r w:rsidR="003A1B1A">
              <w:rPr>
                <w:rFonts w:eastAsia="Arial Unicode MS"/>
              </w:rPr>
              <w:t>Revenue – a</w:t>
            </w:r>
            <w:r w:rsidR="00BB380C" w:rsidRPr="00731E39">
              <w:rPr>
                <w:rFonts w:eastAsia="Arial Unicode MS"/>
              </w:rPr>
              <w:t>ccumulated depreciation of asset disposed</w:t>
            </w:r>
          </w:p>
        </w:tc>
        <w:tc>
          <w:tcPr>
            <w:tcW w:w="1767" w:type="dxa"/>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rPr>
          <w:cantSplit/>
        </w:trPr>
        <w:tc>
          <w:tcPr>
            <w:tcW w:w="5658"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1767"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cantSplit/>
        </w:trPr>
        <w:tc>
          <w:tcPr>
            <w:tcW w:w="5658"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1767" w:type="dxa"/>
          </w:tcPr>
          <w:p w:rsidR="00BB380C" w:rsidRPr="00731E39" w:rsidRDefault="00BB380C" w:rsidP="00004E80">
            <w:pPr>
              <w:pStyle w:val="Tabletext"/>
              <w:jc w:val="right"/>
              <w:rPr>
                <w:rFonts w:eastAsia="Arial Unicode MS"/>
              </w:rPr>
            </w:pPr>
            <w:r w:rsidRPr="00731E39">
              <w:rPr>
                <w:rFonts w:eastAsia="Arial Unicode MS"/>
              </w:rPr>
              <w:t>10</w:t>
            </w:r>
          </w:p>
        </w:tc>
      </w:tr>
    </w:tbl>
    <w:p w:rsidR="00BB380C" w:rsidRDefault="00BB380C" w:rsidP="00314B6A">
      <w:pPr>
        <w:pStyle w:val="Heading4"/>
        <w:spacing w:before="360"/>
      </w:pPr>
      <w:r w:rsidRPr="00DD3F0C">
        <w:lastRenderedPageBreak/>
        <w:t>Step C</w:t>
      </w:r>
      <w:r w:rsidR="00E45B97">
        <w:t xml:space="preserve"> –</w:t>
      </w:r>
      <w:r w:rsidR="00413A48">
        <w:t xml:space="preserve"> </w:t>
      </w:r>
      <w:r w:rsidRPr="00DD3F0C">
        <w:t>Department remits $95 of the sale to Consolidated Fund as a return of capital. The remainder, equivalent to the loss on sale, is treated as ‘revenue’ in the departmental administered accounts.</w:t>
      </w:r>
      <w:r w:rsidRPr="006F1C24">
        <w:t xml:space="preserve"> </w:t>
      </w:r>
      <w:r w:rsidRPr="00E45B97">
        <w:rPr>
          <w:b w:val="0"/>
        </w:rPr>
        <w:t xml:space="preserve">This treatment of the profit component is consistent with all other administered revenue items where the cash is remitted to the </w:t>
      </w:r>
      <w:r w:rsidR="003A1B1A">
        <w:rPr>
          <w:b w:val="0"/>
        </w:rPr>
        <w:t>c</w:t>
      </w:r>
      <w:r w:rsidRPr="00E45B97">
        <w:rPr>
          <w:b w:val="0"/>
        </w:rPr>
        <w:t>entral SAU.</w:t>
      </w:r>
    </w:p>
    <w:tbl>
      <w:tblPr>
        <w:tblStyle w:val="DTFtexttable"/>
        <w:tblW w:w="7394" w:type="dxa"/>
        <w:tblInd w:w="864" w:type="dxa"/>
        <w:tblLayout w:type="fixed"/>
        <w:tblLook w:val="0620" w:firstRow="1" w:lastRow="0" w:firstColumn="0" w:lastColumn="0" w:noHBand="1" w:noVBand="1"/>
      </w:tblPr>
      <w:tblGrid>
        <w:gridCol w:w="5799"/>
        <w:gridCol w:w="1595"/>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74"/>
        </w:trPr>
        <w:tc>
          <w:tcPr>
            <w:tcW w:w="7394" w:type="dxa"/>
            <w:gridSpan w:val="2"/>
          </w:tcPr>
          <w:p w:rsidR="00BB380C" w:rsidRDefault="00BB380C" w:rsidP="00E45B97">
            <w:pPr>
              <w:pStyle w:val="Tableheader"/>
              <w:rPr>
                <w:rFonts w:eastAsia="Arial Unicode MS"/>
              </w:rPr>
            </w:pPr>
            <w:r w:rsidRPr="00673D01">
              <w:rPr>
                <w:b/>
              </w:rPr>
              <w:t>Administered</w:t>
            </w:r>
          </w:p>
        </w:tc>
      </w:tr>
      <w:tr w:rsidR="00BB380C" w:rsidRPr="00731E39" w:rsidTr="00E45B97">
        <w:trPr>
          <w:trHeight w:val="261"/>
        </w:trPr>
        <w:tc>
          <w:tcPr>
            <w:tcW w:w="5799" w:type="dxa"/>
          </w:tcPr>
          <w:p w:rsidR="00BB380C" w:rsidRPr="00731E39" w:rsidRDefault="0083708B" w:rsidP="003A1B1A">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w:t>
            </w:r>
            <w:r w:rsidR="003A1B1A">
              <w:rPr>
                <w:rFonts w:eastAsia="Arial Unicode MS"/>
              </w:rPr>
              <w:t>c</w:t>
            </w:r>
            <w:r w:rsidR="00BB380C" w:rsidRPr="00731E39">
              <w:rPr>
                <w:rFonts w:eastAsia="Arial Unicode MS"/>
              </w:rPr>
              <w:t>entral SAU)</w:t>
            </w:r>
          </w:p>
        </w:tc>
        <w:tc>
          <w:tcPr>
            <w:tcW w:w="1595"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74"/>
        </w:trPr>
        <w:tc>
          <w:tcPr>
            <w:tcW w:w="5799" w:type="dxa"/>
          </w:tcPr>
          <w:p w:rsidR="00BB380C" w:rsidRPr="00731E39" w:rsidRDefault="0083708B" w:rsidP="003A1B1A">
            <w:pPr>
              <w:pStyle w:val="Tabletext"/>
              <w:rPr>
                <w:rFonts w:eastAsia="Arial Unicode MS"/>
              </w:rPr>
            </w:pPr>
            <w:r>
              <w:rPr>
                <w:rFonts w:eastAsia="Arial Unicode MS"/>
              </w:rPr>
              <w:t xml:space="preserve">CR </w:t>
            </w:r>
            <w:r w:rsidR="00BB380C">
              <w:rPr>
                <w:rFonts w:eastAsia="Arial Unicode MS"/>
              </w:rPr>
              <w:t>R</w:t>
            </w:r>
            <w:r w:rsidR="00BB380C" w:rsidRPr="00731E39">
              <w:rPr>
                <w:rFonts w:eastAsia="Arial Unicode MS"/>
              </w:rPr>
              <w:t xml:space="preserve">eallocation of revenue to </w:t>
            </w:r>
            <w:r w:rsidR="003A1B1A">
              <w:rPr>
                <w:rFonts w:eastAsia="Arial Unicode MS"/>
              </w:rPr>
              <w:t>c</w:t>
            </w:r>
            <w:r w:rsidR="00BB380C" w:rsidRPr="00731E39">
              <w:rPr>
                <w:rFonts w:eastAsia="Arial Unicode MS"/>
              </w:rPr>
              <w:t>entral SAU</w:t>
            </w:r>
          </w:p>
        </w:tc>
        <w:tc>
          <w:tcPr>
            <w:tcW w:w="1595" w:type="dxa"/>
          </w:tcPr>
          <w:p w:rsidR="00BB380C" w:rsidRPr="00731E39" w:rsidRDefault="00BB380C" w:rsidP="00004E80">
            <w:pPr>
              <w:pStyle w:val="Tabletext"/>
              <w:jc w:val="right"/>
              <w:rPr>
                <w:rFonts w:eastAsia="Arial Unicode MS"/>
              </w:rPr>
            </w:pPr>
            <w:r w:rsidRPr="00731E39">
              <w:rPr>
                <w:rFonts w:eastAsia="Arial Unicode MS"/>
              </w:rPr>
              <w:t>5</w:t>
            </w:r>
          </w:p>
        </w:tc>
      </w:tr>
      <w:tr w:rsidR="00BB380C" w:rsidRPr="00731E39" w:rsidTr="00E45B97">
        <w:trPr>
          <w:trHeight w:val="257"/>
        </w:trPr>
        <w:tc>
          <w:tcPr>
            <w:tcW w:w="579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Cash</w:t>
            </w:r>
          </w:p>
        </w:tc>
        <w:tc>
          <w:tcPr>
            <w:tcW w:w="1595"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bl>
    <w:p w:rsidR="00BB380C" w:rsidRDefault="00E45B97" w:rsidP="00314B6A">
      <w:pPr>
        <w:pStyle w:val="Heading4"/>
        <w:spacing w:before="360"/>
      </w:pPr>
      <w:r>
        <w:t>Step D –</w:t>
      </w:r>
      <w:r w:rsidR="00BB380C" w:rsidRPr="00DD3F0C">
        <w:t xml:space="preserve"> DTF (as the central agency) records the sale proceeds and loss on sale in the </w:t>
      </w:r>
      <w:r w:rsidR="003A1B1A">
        <w:t>c</w:t>
      </w:r>
      <w:r w:rsidR="00BB380C" w:rsidRPr="00DD3F0C">
        <w:t>entral SAU (Consolidated Fund), as a reduction in the SAU’s inv</w:t>
      </w:r>
      <w:r w:rsidR="00BB380C">
        <w:t xml:space="preserve">estment in controlled entities, </w:t>
      </w:r>
      <w:r w:rsidR="00BB380C" w:rsidRPr="00DD3F0C">
        <w:t xml:space="preserve">and the loss on sale component as an </w:t>
      </w:r>
      <w:r w:rsidR="00BB380C">
        <w:t>‘</w:t>
      </w:r>
      <w:r w:rsidR="00BB380C" w:rsidRPr="00DD3F0C">
        <w:t>expense</w:t>
      </w:r>
      <w:r w:rsidR="00BB380C">
        <w:t>’</w:t>
      </w:r>
      <w:r w:rsidR="00BB380C" w:rsidRPr="00DD3F0C">
        <w:t>.</w:t>
      </w:r>
    </w:p>
    <w:tbl>
      <w:tblPr>
        <w:tblStyle w:val="DTFtexttable"/>
        <w:tblW w:w="7477" w:type="dxa"/>
        <w:tblInd w:w="864" w:type="dxa"/>
        <w:tblLayout w:type="fixed"/>
        <w:tblLook w:val="0620" w:firstRow="1" w:lastRow="0" w:firstColumn="0" w:lastColumn="0" w:noHBand="1" w:noVBand="1"/>
      </w:tblPr>
      <w:tblGrid>
        <w:gridCol w:w="5977"/>
        <w:gridCol w:w="1500"/>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88"/>
        </w:trPr>
        <w:tc>
          <w:tcPr>
            <w:tcW w:w="7477" w:type="dxa"/>
            <w:gridSpan w:val="2"/>
          </w:tcPr>
          <w:p w:rsidR="00BB380C" w:rsidRPr="00731E39" w:rsidRDefault="00BB380C" w:rsidP="003A1B1A">
            <w:pPr>
              <w:pStyle w:val="Tableheader"/>
            </w:pPr>
            <w:r w:rsidRPr="00CD5B5A">
              <w:rPr>
                <w:b/>
              </w:rPr>
              <w:t xml:space="preserve">DTF – </w:t>
            </w:r>
            <w:r w:rsidR="003A1B1A">
              <w:rPr>
                <w:b/>
              </w:rPr>
              <w:t>c</w:t>
            </w:r>
            <w:r w:rsidRPr="00CD5B5A">
              <w:rPr>
                <w:b/>
              </w:rPr>
              <w:t>entral SAU</w:t>
            </w:r>
          </w:p>
        </w:tc>
      </w:tr>
      <w:tr w:rsidR="00BB380C" w:rsidRPr="00731E39" w:rsidTr="00E45B97">
        <w:trPr>
          <w:trHeight w:val="301"/>
        </w:trPr>
        <w:tc>
          <w:tcPr>
            <w:tcW w:w="5977"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SAU Bank</w:t>
            </w:r>
          </w:p>
        </w:tc>
        <w:tc>
          <w:tcPr>
            <w:tcW w:w="1500"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rPr>
          <w:trHeight w:val="301"/>
        </w:trPr>
        <w:tc>
          <w:tcPr>
            <w:tcW w:w="5977"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Investment in controlled entities (transfer to </w:t>
            </w:r>
            <w:r w:rsidR="003A1B1A">
              <w:rPr>
                <w:rFonts w:eastAsia="Arial Unicode MS"/>
              </w:rPr>
              <w:t>c</w:t>
            </w:r>
            <w:r w:rsidR="00BB380C" w:rsidRPr="00731E39">
              <w:rPr>
                <w:rFonts w:eastAsia="Arial Unicode MS"/>
              </w:rPr>
              <w:t>entral SAU)</w:t>
            </w:r>
          </w:p>
        </w:tc>
        <w:tc>
          <w:tcPr>
            <w:tcW w:w="1500"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301"/>
        </w:trPr>
        <w:tc>
          <w:tcPr>
            <w:tcW w:w="5977"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Reallocation of revenue from b</w:t>
            </w:r>
            <w:r w:rsidR="00BB380C" w:rsidRPr="00731E39">
              <w:rPr>
                <w:rFonts w:eastAsia="Arial Unicode MS"/>
              </w:rPr>
              <w:t>ranch SAU</w:t>
            </w:r>
          </w:p>
        </w:tc>
        <w:tc>
          <w:tcPr>
            <w:tcW w:w="1500" w:type="dxa"/>
          </w:tcPr>
          <w:p w:rsidR="00BB380C" w:rsidRPr="00731E39" w:rsidRDefault="00BB380C" w:rsidP="00004E80">
            <w:pPr>
              <w:pStyle w:val="Tabletext"/>
              <w:jc w:val="right"/>
              <w:rPr>
                <w:rFonts w:eastAsia="Arial Unicode MS"/>
              </w:rPr>
            </w:pPr>
            <w:r w:rsidRPr="00731E39">
              <w:rPr>
                <w:rFonts w:eastAsia="Arial Unicode MS"/>
              </w:rPr>
              <w:t>5</w:t>
            </w:r>
          </w:p>
        </w:tc>
      </w:tr>
    </w:tbl>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t xml:space="preserve">Example </w:t>
      </w:r>
      <w:r>
        <w:rPr>
          <w:rStyle w:val="Strong"/>
          <w:rFonts w:cs="Arial"/>
          <w:b/>
        </w:rPr>
        <w:t xml:space="preserve">three – </w:t>
      </w:r>
      <w:r w:rsidRPr="00731E39">
        <w:t xml:space="preserve">Department </w:t>
      </w:r>
      <w:r>
        <w:t xml:space="preserve">gives away an asset free of charge </w:t>
      </w:r>
    </w:p>
    <w:p w:rsidR="00C2099A" w:rsidRDefault="00C2099A" w:rsidP="00C2099A">
      <w:r>
        <w:t xml:space="preserve">In this example, the original cost of the asset being given away free of charge is $110, the net carrying value of the asset is $100. </w:t>
      </w:r>
    </w:p>
    <w:p w:rsidR="00C2099A" w:rsidRDefault="00C2099A" w:rsidP="00314B6A">
      <w:pPr>
        <w:pStyle w:val="Heading4"/>
        <w:spacing w:before="360"/>
      </w:pPr>
      <w:r>
        <w:t>Step A – Department transfers net carrying value of asset to be given away from its controlled entity to its administered entity (branch SAU)</w:t>
      </w:r>
      <w:r w:rsidR="0010781C">
        <w:t>.</w:t>
      </w:r>
    </w:p>
    <w:tbl>
      <w:tblPr>
        <w:tblStyle w:val="DTFtexttable"/>
        <w:tblW w:w="7534" w:type="dxa"/>
        <w:tblInd w:w="864" w:type="dxa"/>
        <w:tblLayout w:type="fixed"/>
        <w:tblLook w:val="0620" w:firstRow="1" w:lastRow="0" w:firstColumn="0" w:lastColumn="0" w:noHBand="1" w:noVBand="1"/>
      </w:tblPr>
      <w:tblGrid>
        <w:gridCol w:w="2981"/>
        <w:gridCol w:w="716"/>
        <w:gridCol w:w="3111"/>
        <w:gridCol w:w="726"/>
      </w:tblGrid>
      <w:tr w:rsidR="00C2099A" w:rsidRPr="003A1B1A" w:rsidTr="0090614A">
        <w:trPr>
          <w:cnfStyle w:val="100000000000" w:firstRow="1" w:lastRow="0" w:firstColumn="0" w:lastColumn="0" w:oddVBand="0" w:evenVBand="0" w:oddHBand="0" w:evenHBand="0" w:firstRowFirstColumn="0" w:firstRowLastColumn="0" w:lastRowFirstColumn="0" w:lastRowLastColumn="0"/>
          <w:trHeight w:val="346"/>
        </w:trPr>
        <w:tc>
          <w:tcPr>
            <w:tcW w:w="3697" w:type="dxa"/>
            <w:gridSpan w:val="2"/>
            <w:tcBorders>
              <w:bottom w:val="nil"/>
            </w:tcBorders>
          </w:tcPr>
          <w:p w:rsidR="00C2099A" w:rsidRPr="003A1B1A" w:rsidRDefault="00C2099A" w:rsidP="0090614A">
            <w:pPr>
              <w:pStyle w:val="Tableheader"/>
              <w:rPr>
                <w:b/>
              </w:rPr>
            </w:pPr>
            <w:r w:rsidRPr="003A1B1A">
              <w:rPr>
                <w:b/>
              </w:rPr>
              <w:t>Controlled</w:t>
            </w:r>
          </w:p>
        </w:tc>
        <w:tc>
          <w:tcPr>
            <w:tcW w:w="3837" w:type="dxa"/>
            <w:gridSpan w:val="2"/>
            <w:tcBorders>
              <w:bottom w:val="nil"/>
            </w:tcBorders>
          </w:tcPr>
          <w:p w:rsidR="00C2099A" w:rsidRPr="003A1B1A" w:rsidRDefault="00C2099A" w:rsidP="0090614A">
            <w:pPr>
              <w:pStyle w:val="Tableheader"/>
              <w:rPr>
                <w:b/>
              </w:rPr>
            </w:pPr>
            <w:r w:rsidRPr="003A1B1A">
              <w:rPr>
                <w:b/>
              </w:rPr>
              <w:t>Administered</w:t>
            </w:r>
          </w:p>
        </w:tc>
      </w:tr>
      <w:tr w:rsidR="00C2099A" w:rsidRPr="00E45B97" w:rsidTr="0090614A">
        <w:trPr>
          <w:trHeight w:val="580"/>
        </w:trPr>
        <w:tc>
          <w:tcPr>
            <w:tcW w:w="2981" w:type="dxa"/>
            <w:tcBorders>
              <w:left w:val="single" w:sz="6" w:space="0" w:color="0063A6" w:themeColor="accent1"/>
              <w:bottom w:val="nil"/>
            </w:tcBorders>
          </w:tcPr>
          <w:p w:rsidR="00C2099A" w:rsidRPr="00E45B97" w:rsidRDefault="00C2099A" w:rsidP="0090614A">
            <w:pPr>
              <w:pStyle w:val="Tabletext"/>
            </w:pPr>
            <w:r>
              <w:t xml:space="preserve">DR </w:t>
            </w:r>
            <w:r w:rsidRPr="00E45B97">
              <w:t>Contributed capital (equity transfer to other entities)</w:t>
            </w:r>
          </w:p>
        </w:tc>
        <w:tc>
          <w:tcPr>
            <w:tcW w:w="716" w:type="dxa"/>
            <w:tcBorders>
              <w:bottom w:val="nil"/>
              <w:right w:val="single" w:sz="6" w:space="0" w:color="0063A6" w:themeColor="accent1"/>
            </w:tcBorders>
          </w:tcPr>
          <w:p w:rsidR="00C2099A" w:rsidRPr="00E45B97" w:rsidRDefault="00C2099A" w:rsidP="0090614A">
            <w:pPr>
              <w:pStyle w:val="Tabletext"/>
              <w:jc w:val="right"/>
            </w:pPr>
            <w:r w:rsidRPr="00E45B97">
              <w:t>100</w:t>
            </w:r>
          </w:p>
        </w:tc>
        <w:tc>
          <w:tcPr>
            <w:tcW w:w="3111" w:type="dxa"/>
            <w:tcBorders>
              <w:left w:val="single" w:sz="6" w:space="0" w:color="0063A6" w:themeColor="accent1"/>
              <w:bottom w:val="nil"/>
            </w:tcBorders>
          </w:tcPr>
          <w:p w:rsidR="00C2099A" w:rsidRPr="00E45B97" w:rsidRDefault="00C2099A" w:rsidP="0090614A">
            <w:pPr>
              <w:pStyle w:val="Tabletext"/>
            </w:pPr>
            <w:r>
              <w:t xml:space="preserve">DR </w:t>
            </w:r>
            <w:r w:rsidRPr="00E45B97">
              <w:t>Asset</w:t>
            </w:r>
          </w:p>
        </w:tc>
        <w:tc>
          <w:tcPr>
            <w:tcW w:w="726" w:type="dxa"/>
            <w:tcBorders>
              <w:bottom w:val="nil"/>
              <w:right w:val="single" w:sz="6" w:space="0" w:color="0063A6" w:themeColor="accent1"/>
            </w:tcBorders>
          </w:tcPr>
          <w:p w:rsidR="00C2099A" w:rsidRPr="00E45B97" w:rsidRDefault="00C2099A" w:rsidP="0090614A">
            <w:pPr>
              <w:pStyle w:val="Tabletext"/>
              <w:jc w:val="right"/>
            </w:pPr>
            <w:r w:rsidRPr="00E45B97">
              <w:t>110</w:t>
            </w:r>
          </w:p>
        </w:tc>
      </w:tr>
      <w:tr w:rsidR="00C2099A" w:rsidRPr="00E45B97" w:rsidTr="0090614A">
        <w:trPr>
          <w:trHeight w:val="290"/>
        </w:trPr>
        <w:tc>
          <w:tcPr>
            <w:tcW w:w="2981" w:type="dxa"/>
            <w:tcBorders>
              <w:left w:val="single" w:sz="6" w:space="0" w:color="0063A6" w:themeColor="accent1"/>
              <w:bottom w:val="nil"/>
            </w:tcBorders>
          </w:tcPr>
          <w:p w:rsidR="00C2099A" w:rsidRPr="00E45B97" w:rsidRDefault="00C2099A" w:rsidP="0090614A">
            <w:pPr>
              <w:pStyle w:val="Tabletext"/>
            </w:pPr>
            <w:r>
              <w:t xml:space="preserve">DR </w:t>
            </w:r>
            <w:r w:rsidRPr="00E45B97">
              <w:t>Accumulated depreciation</w:t>
            </w:r>
          </w:p>
        </w:tc>
        <w:tc>
          <w:tcPr>
            <w:tcW w:w="716" w:type="dxa"/>
            <w:tcBorders>
              <w:bottom w:val="nil"/>
              <w:right w:val="single" w:sz="6" w:space="0" w:color="0063A6" w:themeColor="accent1"/>
            </w:tcBorders>
          </w:tcPr>
          <w:p w:rsidR="00C2099A" w:rsidRPr="00E45B97" w:rsidRDefault="00C2099A" w:rsidP="0090614A">
            <w:pPr>
              <w:pStyle w:val="Tabletext"/>
              <w:jc w:val="right"/>
            </w:pPr>
            <w:r w:rsidRPr="00E45B97">
              <w:t xml:space="preserve"> 10</w:t>
            </w:r>
          </w:p>
        </w:tc>
        <w:tc>
          <w:tcPr>
            <w:tcW w:w="3111" w:type="dxa"/>
            <w:tcBorders>
              <w:left w:val="single" w:sz="6" w:space="0" w:color="0063A6" w:themeColor="accent1"/>
              <w:bottom w:val="nil"/>
            </w:tcBorders>
          </w:tcPr>
          <w:p w:rsidR="00C2099A" w:rsidRPr="00E45B97" w:rsidRDefault="00C2099A" w:rsidP="0090614A">
            <w:pPr>
              <w:pStyle w:val="Tabletext"/>
            </w:pPr>
            <w:r>
              <w:t xml:space="preserve">CR </w:t>
            </w:r>
            <w:r w:rsidRPr="00E45B97">
              <w:t>Accumulated depreciation</w:t>
            </w:r>
          </w:p>
        </w:tc>
        <w:tc>
          <w:tcPr>
            <w:tcW w:w="726" w:type="dxa"/>
            <w:tcBorders>
              <w:bottom w:val="nil"/>
              <w:right w:val="single" w:sz="6" w:space="0" w:color="0063A6" w:themeColor="accent1"/>
            </w:tcBorders>
          </w:tcPr>
          <w:p w:rsidR="00C2099A" w:rsidRPr="00E45B97" w:rsidRDefault="00C2099A" w:rsidP="0090614A">
            <w:pPr>
              <w:pStyle w:val="Tabletext"/>
              <w:jc w:val="right"/>
            </w:pPr>
            <w:r w:rsidRPr="00E45B97">
              <w:t>10</w:t>
            </w:r>
          </w:p>
        </w:tc>
      </w:tr>
      <w:tr w:rsidR="00C2099A" w:rsidRPr="00E45B97" w:rsidTr="0010781C">
        <w:trPr>
          <w:trHeight w:val="224"/>
        </w:trPr>
        <w:tc>
          <w:tcPr>
            <w:tcW w:w="2981" w:type="dxa"/>
            <w:tcBorders>
              <w:left w:val="single" w:sz="6" w:space="0" w:color="0063A6" w:themeColor="accent1"/>
              <w:bottom w:val="single" w:sz="12" w:space="0" w:color="0063A6" w:themeColor="accent1"/>
            </w:tcBorders>
          </w:tcPr>
          <w:p w:rsidR="00C2099A" w:rsidRPr="00E45B97" w:rsidRDefault="00C2099A" w:rsidP="0090614A">
            <w:pPr>
              <w:pStyle w:val="Tabletext"/>
            </w:pPr>
            <w:r>
              <w:t xml:space="preserve">CR </w:t>
            </w:r>
            <w:r w:rsidRPr="00E45B97">
              <w:t>Asset</w:t>
            </w:r>
          </w:p>
        </w:tc>
        <w:tc>
          <w:tcPr>
            <w:tcW w:w="716" w:type="dxa"/>
            <w:tcBorders>
              <w:bottom w:val="single" w:sz="12" w:space="0" w:color="0063A6" w:themeColor="accent1"/>
              <w:right w:val="single" w:sz="6" w:space="0" w:color="0063A6" w:themeColor="accent1"/>
            </w:tcBorders>
          </w:tcPr>
          <w:p w:rsidR="00C2099A" w:rsidRPr="00E45B97" w:rsidRDefault="00C2099A" w:rsidP="0090614A">
            <w:pPr>
              <w:pStyle w:val="Tabletext"/>
              <w:jc w:val="right"/>
            </w:pPr>
            <w:r w:rsidRPr="00E45B97">
              <w:t>110</w:t>
            </w:r>
          </w:p>
        </w:tc>
        <w:tc>
          <w:tcPr>
            <w:tcW w:w="3111" w:type="dxa"/>
            <w:tcBorders>
              <w:left w:val="single" w:sz="6" w:space="0" w:color="0063A6" w:themeColor="accent1"/>
              <w:bottom w:val="single" w:sz="12" w:space="0" w:color="0063A6" w:themeColor="accent1"/>
            </w:tcBorders>
          </w:tcPr>
          <w:p w:rsidR="00C2099A" w:rsidRPr="00E45B97" w:rsidRDefault="00C2099A" w:rsidP="0090614A">
            <w:pPr>
              <w:pStyle w:val="Tabletext"/>
            </w:pPr>
            <w:r>
              <w:t xml:space="preserve">CR </w:t>
            </w:r>
            <w:r w:rsidRPr="00E45B97">
              <w:t>Contributed capital (equity transfer from other entities)</w:t>
            </w:r>
          </w:p>
        </w:tc>
        <w:tc>
          <w:tcPr>
            <w:tcW w:w="726" w:type="dxa"/>
            <w:tcBorders>
              <w:bottom w:val="single" w:sz="12" w:space="0" w:color="0063A6" w:themeColor="accent1"/>
              <w:right w:val="single" w:sz="6" w:space="0" w:color="0063A6" w:themeColor="accent1"/>
            </w:tcBorders>
          </w:tcPr>
          <w:p w:rsidR="00C2099A" w:rsidRPr="00E45B97" w:rsidRDefault="00C2099A" w:rsidP="0090614A">
            <w:pPr>
              <w:pStyle w:val="Tabletext"/>
              <w:jc w:val="right"/>
            </w:pPr>
            <w:r w:rsidRPr="00E45B97">
              <w:t>100</w:t>
            </w:r>
          </w:p>
        </w:tc>
      </w:tr>
    </w:tbl>
    <w:p w:rsidR="00C2099A" w:rsidRDefault="00C2099A" w:rsidP="00314B6A">
      <w:pPr>
        <w:pStyle w:val="Heading4"/>
        <w:spacing w:before="360"/>
      </w:pPr>
      <w:r w:rsidRPr="00BB380C">
        <w:t>Step B</w:t>
      </w:r>
      <w:r>
        <w:t xml:space="preserve"> – </w:t>
      </w:r>
      <w:r w:rsidRPr="00BB380C">
        <w:t xml:space="preserve">Department records the impact on the administered operating statement where the asset </w:t>
      </w:r>
      <w:r>
        <w:t>is given away free of charge</w:t>
      </w:r>
      <w:r w:rsidRPr="00BB380C">
        <w:t>.</w:t>
      </w:r>
    </w:p>
    <w:tbl>
      <w:tblPr>
        <w:tblStyle w:val="DTFtexttable"/>
        <w:tblW w:w="7522" w:type="dxa"/>
        <w:tblInd w:w="864" w:type="dxa"/>
        <w:tblLayout w:type="fixed"/>
        <w:tblLook w:val="0620" w:firstRow="1" w:lastRow="0" w:firstColumn="0" w:lastColumn="0" w:noHBand="1" w:noVBand="1"/>
      </w:tblPr>
      <w:tblGrid>
        <w:gridCol w:w="5731"/>
        <w:gridCol w:w="1791"/>
      </w:tblGrid>
      <w:tr w:rsidR="00C2099A" w:rsidRPr="00731E39" w:rsidTr="0090614A">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C2099A" w:rsidRDefault="00C2099A" w:rsidP="0090614A">
            <w:pPr>
              <w:pStyle w:val="Tableheader"/>
              <w:rPr>
                <w:rFonts w:eastAsia="Arial Unicode MS"/>
              </w:rPr>
            </w:pPr>
            <w:r w:rsidRPr="00673D01">
              <w:rPr>
                <w:b/>
              </w:rPr>
              <w:t>Administered</w:t>
            </w:r>
          </w:p>
        </w:tc>
      </w:tr>
      <w:tr w:rsidR="00C2099A" w:rsidRPr="00731E39" w:rsidTr="0090614A">
        <w:trPr>
          <w:cantSplit/>
        </w:trPr>
        <w:tc>
          <w:tcPr>
            <w:tcW w:w="5731" w:type="dxa"/>
          </w:tcPr>
          <w:p w:rsidR="00C2099A" w:rsidRPr="00094401" w:rsidRDefault="00C2099A" w:rsidP="0090614A">
            <w:pPr>
              <w:pStyle w:val="Tabletext"/>
              <w:rPr>
                <w:rFonts w:eastAsia="Arial Unicode MS"/>
              </w:rPr>
            </w:pPr>
            <w:r w:rsidRPr="00CD7832">
              <w:rPr>
                <w:rFonts w:eastAsia="Arial Unicode MS"/>
              </w:rPr>
              <w:t xml:space="preserve">DR </w:t>
            </w:r>
            <w:r w:rsidRPr="00094401">
              <w:rPr>
                <w:rFonts w:eastAsia="Arial Unicode MS"/>
              </w:rPr>
              <w:t>Expense –</w:t>
            </w:r>
            <w:r w:rsidRPr="00CD7832">
              <w:rPr>
                <w:rFonts w:eastAsia="Arial Unicode MS"/>
              </w:rPr>
              <w:t xml:space="preserve"> asset</w:t>
            </w:r>
            <w:r w:rsidRPr="00094401">
              <w:rPr>
                <w:rFonts w:eastAsia="Arial Unicode MS"/>
              </w:rPr>
              <w:t xml:space="preserve"> given free of charge </w:t>
            </w:r>
            <w:r w:rsidRPr="00CD7832">
              <w:rPr>
                <w:rFonts w:eastAsia="Arial Unicode MS"/>
              </w:rPr>
              <w:t xml:space="preserve"> </w:t>
            </w:r>
          </w:p>
        </w:tc>
        <w:tc>
          <w:tcPr>
            <w:tcW w:w="1791" w:type="dxa"/>
          </w:tcPr>
          <w:p w:rsidR="00C2099A" w:rsidRPr="00CD7832" w:rsidRDefault="00C2099A" w:rsidP="0090614A">
            <w:pPr>
              <w:pStyle w:val="Tabletext"/>
              <w:jc w:val="right"/>
              <w:rPr>
                <w:rFonts w:eastAsia="Arial Unicode MS"/>
              </w:rPr>
            </w:pPr>
            <w:r w:rsidRPr="00CD7832">
              <w:rPr>
                <w:rFonts w:eastAsia="Arial Unicode MS"/>
              </w:rPr>
              <w:t>1</w:t>
            </w:r>
            <w:r>
              <w:rPr>
                <w:rFonts w:eastAsia="Arial Unicode MS"/>
              </w:rPr>
              <w:t>0</w:t>
            </w:r>
            <w:r w:rsidRPr="00CD7832">
              <w:rPr>
                <w:rFonts w:eastAsia="Arial Unicode MS"/>
              </w:rPr>
              <w:t>0</w:t>
            </w:r>
          </w:p>
        </w:tc>
      </w:tr>
      <w:tr w:rsidR="00C2099A" w:rsidRPr="00731E39" w:rsidTr="0090614A">
        <w:trPr>
          <w:cantSplit/>
        </w:trPr>
        <w:tc>
          <w:tcPr>
            <w:tcW w:w="5731" w:type="dxa"/>
          </w:tcPr>
          <w:p w:rsidR="00C2099A" w:rsidRPr="005E08AB" w:rsidRDefault="00C2099A" w:rsidP="0090614A">
            <w:pPr>
              <w:pStyle w:val="Tabletext"/>
              <w:rPr>
                <w:rFonts w:eastAsia="Arial Unicode MS"/>
                <w:highlight w:val="yellow"/>
              </w:rPr>
            </w:pPr>
            <w:r w:rsidRPr="00DF36BB">
              <w:rPr>
                <w:rFonts w:eastAsia="Arial Unicode MS"/>
              </w:rPr>
              <w:t>DR Accumulated depreciation</w:t>
            </w:r>
          </w:p>
        </w:tc>
        <w:tc>
          <w:tcPr>
            <w:tcW w:w="1791" w:type="dxa"/>
          </w:tcPr>
          <w:p w:rsidR="00C2099A" w:rsidRPr="00094401" w:rsidRDefault="00C2099A" w:rsidP="0090614A">
            <w:pPr>
              <w:pStyle w:val="Tabletext"/>
              <w:jc w:val="right"/>
              <w:rPr>
                <w:rFonts w:eastAsia="Arial Unicode MS"/>
                <w:highlight w:val="yellow"/>
              </w:rPr>
            </w:pPr>
            <w:r w:rsidRPr="00A964ED">
              <w:rPr>
                <w:rFonts w:eastAsia="Arial Unicode MS"/>
              </w:rPr>
              <w:t>10</w:t>
            </w:r>
          </w:p>
        </w:tc>
      </w:tr>
      <w:tr w:rsidR="00C2099A" w:rsidRPr="00731E39" w:rsidTr="0010781C">
        <w:trPr>
          <w:cantSplit/>
          <w:trHeight w:val="72"/>
        </w:trPr>
        <w:tc>
          <w:tcPr>
            <w:tcW w:w="5731" w:type="dxa"/>
          </w:tcPr>
          <w:p w:rsidR="00C2099A" w:rsidRPr="00DF36BB" w:rsidRDefault="00C2099A" w:rsidP="0090614A">
            <w:pPr>
              <w:pStyle w:val="Tabletext"/>
              <w:rPr>
                <w:rFonts w:eastAsia="Arial Unicode MS"/>
              </w:rPr>
            </w:pPr>
            <w:r w:rsidRPr="00DF36BB">
              <w:rPr>
                <w:rFonts w:eastAsia="Arial Unicode MS"/>
              </w:rPr>
              <w:t>CR Asset</w:t>
            </w:r>
          </w:p>
        </w:tc>
        <w:tc>
          <w:tcPr>
            <w:tcW w:w="1791" w:type="dxa"/>
          </w:tcPr>
          <w:p w:rsidR="00C2099A" w:rsidRPr="00A964ED" w:rsidRDefault="00C2099A" w:rsidP="0090614A">
            <w:pPr>
              <w:pStyle w:val="Tabletext"/>
              <w:jc w:val="right"/>
              <w:rPr>
                <w:rFonts w:eastAsia="Arial Unicode MS"/>
              </w:rPr>
            </w:pPr>
            <w:r w:rsidRPr="00A964ED">
              <w:rPr>
                <w:rFonts w:eastAsia="Arial Unicode MS"/>
              </w:rPr>
              <w:t>110</w:t>
            </w:r>
          </w:p>
        </w:tc>
      </w:tr>
    </w:tbl>
    <w:p w:rsidR="00C2099A" w:rsidRPr="0010781C" w:rsidRDefault="00C2099A" w:rsidP="00387A01">
      <w:pPr>
        <w:rPr>
          <w:rStyle w:val="Strong"/>
          <w:rFonts w:cs="Arial"/>
          <w:b w:val="0"/>
          <w:sz w:val="16"/>
          <w:szCs w:val="16"/>
        </w:rPr>
      </w:pPr>
      <w:r w:rsidRPr="0010781C">
        <w:rPr>
          <w:b/>
          <w:sz w:val="16"/>
          <w:szCs w:val="16"/>
        </w:rPr>
        <w:t>Note:</w:t>
      </w:r>
      <w:r w:rsidRPr="0010781C">
        <w:rPr>
          <w:sz w:val="16"/>
          <w:szCs w:val="16"/>
        </w:rPr>
        <w:t xml:space="preserve"> where the asset is not held by the </w:t>
      </w:r>
      <w:r w:rsidR="00EA52E1" w:rsidRPr="0010781C">
        <w:rPr>
          <w:sz w:val="16"/>
          <w:szCs w:val="16"/>
        </w:rPr>
        <w:t>D</w:t>
      </w:r>
      <w:r w:rsidRPr="0010781C">
        <w:rPr>
          <w:sz w:val="16"/>
          <w:szCs w:val="16"/>
        </w:rPr>
        <w:t xml:space="preserve">epartment of the Minister making the contribution, the asset must be returned by the entity holding the asset to the administering </w:t>
      </w:r>
      <w:r w:rsidR="00EA52E1" w:rsidRPr="0010781C">
        <w:rPr>
          <w:sz w:val="16"/>
          <w:szCs w:val="16"/>
        </w:rPr>
        <w:t>D</w:t>
      </w:r>
      <w:r w:rsidRPr="0010781C">
        <w:rPr>
          <w:sz w:val="16"/>
          <w:szCs w:val="16"/>
        </w:rPr>
        <w:t xml:space="preserve">epartment as a return of contributions by owners, in accordance with Financial Reporting Direction (FRD) 117A </w:t>
      </w:r>
      <w:r w:rsidRPr="0010781C">
        <w:rPr>
          <w:i/>
          <w:sz w:val="16"/>
          <w:szCs w:val="16"/>
        </w:rPr>
        <w:t>Contributions of existing non-financial assets to third parties.</w:t>
      </w:r>
    </w:p>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lastRenderedPageBreak/>
        <w:t xml:space="preserve">Example </w:t>
      </w:r>
      <w:r>
        <w:rPr>
          <w:rStyle w:val="Strong"/>
          <w:rFonts w:cs="Arial"/>
          <w:b/>
        </w:rPr>
        <w:t xml:space="preserve">four – </w:t>
      </w:r>
      <w:r w:rsidRPr="00731E39">
        <w:t xml:space="preserve">Department </w:t>
      </w:r>
      <w:r>
        <w:t xml:space="preserve">receives an asset free of charge </w:t>
      </w:r>
    </w:p>
    <w:p w:rsidR="00C2099A" w:rsidRDefault="00C2099A" w:rsidP="00C2099A">
      <w:r>
        <w:t xml:space="preserve">In this example, the carrying value of the asset being received free of charge is $100. </w:t>
      </w:r>
    </w:p>
    <w:p w:rsidR="00C2099A" w:rsidRDefault="00C2099A" w:rsidP="00C2099A">
      <w:r w:rsidRPr="00E1424F">
        <w:rPr>
          <w:b/>
        </w:rPr>
        <w:t>Note:</w:t>
      </w:r>
      <w:r>
        <w:t xml:space="preserve"> as the acquisition and recording of assets by a Department for use in the delivery of services is treated as a controlled transaction, there is no requirement to transfer the asset to its administered entity (branch SAU). </w:t>
      </w:r>
    </w:p>
    <w:p w:rsidR="00C2099A" w:rsidRDefault="00C2099A" w:rsidP="00314B6A">
      <w:pPr>
        <w:pStyle w:val="Heading4"/>
        <w:spacing w:before="360"/>
      </w:pPr>
      <w:r>
        <w:t xml:space="preserve">Step A – Department records the impact on the controlled operating statement where the asset is received free of charge. </w:t>
      </w:r>
    </w:p>
    <w:tbl>
      <w:tblPr>
        <w:tblStyle w:val="DTFtexttable"/>
        <w:tblW w:w="7522" w:type="dxa"/>
        <w:tblInd w:w="864" w:type="dxa"/>
        <w:tblLayout w:type="fixed"/>
        <w:tblLook w:val="0620" w:firstRow="1" w:lastRow="0" w:firstColumn="0" w:lastColumn="0" w:noHBand="1" w:noVBand="1"/>
      </w:tblPr>
      <w:tblGrid>
        <w:gridCol w:w="5731"/>
        <w:gridCol w:w="1791"/>
      </w:tblGrid>
      <w:tr w:rsidR="00C2099A" w:rsidRPr="00731E39" w:rsidTr="0090614A">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C2099A" w:rsidRDefault="00C2099A" w:rsidP="0090614A">
            <w:pPr>
              <w:pStyle w:val="Tableheader"/>
              <w:rPr>
                <w:rFonts w:eastAsia="Arial Unicode MS"/>
              </w:rPr>
            </w:pPr>
            <w:r>
              <w:rPr>
                <w:b/>
              </w:rPr>
              <w:t>Controlled</w:t>
            </w:r>
          </w:p>
        </w:tc>
      </w:tr>
      <w:tr w:rsidR="00C2099A" w:rsidRPr="00731E39" w:rsidTr="0090614A">
        <w:trPr>
          <w:cantSplit/>
        </w:trPr>
        <w:tc>
          <w:tcPr>
            <w:tcW w:w="5731" w:type="dxa"/>
          </w:tcPr>
          <w:p w:rsidR="00C2099A" w:rsidRPr="00094401" w:rsidRDefault="00C2099A" w:rsidP="0090614A">
            <w:pPr>
              <w:pStyle w:val="Tabletext"/>
              <w:rPr>
                <w:rFonts w:eastAsia="Arial Unicode MS"/>
              </w:rPr>
            </w:pPr>
            <w:r w:rsidRPr="00094401">
              <w:rPr>
                <w:rFonts w:eastAsia="Arial Unicode MS"/>
              </w:rPr>
              <w:t xml:space="preserve">DR Asset </w:t>
            </w:r>
          </w:p>
        </w:tc>
        <w:tc>
          <w:tcPr>
            <w:tcW w:w="1791" w:type="dxa"/>
          </w:tcPr>
          <w:p w:rsidR="00C2099A" w:rsidRPr="00094401" w:rsidRDefault="00C2099A" w:rsidP="0090614A">
            <w:pPr>
              <w:pStyle w:val="Tabletext"/>
              <w:jc w:val="right"/>
              <w:rPr>
                <w:rFonts w:eastAsia="Arial Unicode MS"/>
              </w:rPr>
            </w:pPr>
            <w:r w:rsidRPr="00094401">
              <w:rPr>
                <w:rFonts w:eastAsia="Arial Unicode MS"/>
              </w:rPr>
              <w:t>100</w:t>
            </w:r>
          </w:p>
        </w:tc>
      </w:tr>
      <w:tr w:rsidR="00C2099A" w:rsidRPr="00731E39" w:rsidTr="0090614A">
        <w:trPr>
          <w:cantSplit/>
        </w:trPr>
        <w:tc>
          <w:tcPr>
            <w:tcW w:w="5731" w:type="dxa"/>
          </w:tcPr>
          <w:p w:rsidR="00C2099A" w:rsidRPr="00A9653A" w:rsidRDefault="00C2099A" w:rsidP="0090614A">
            <w:pPr>
              <w:pStyle w:val="Tabletext"/>
              <w:rPr>
                <w:rFonts w:eastAsia="Arial Unicode MS"/>
              </w:rPr>
            </w:pPr>
            <w:r w:rsidRPr="00CD7832">
              <w:rPr>
                <w:rFonts w:eastAsia="Arial Unicode MS"/>
              </w:rPr>
              <w:t>CR Revenue –</w:t>
            </w:r>
            <w:r>
              <w:rPr>
                <w:rFonts w:eastAsia="Arial Unicode MS"/>
              </w:rPr>
              <w:t xml:space="preserve"> asset</w:t>
            </w:r>
            <w:r w:rsidRPr="00A9653A">
              <w:rPr>
                <w:rFonts w:eastAsia="Arial Unicode MS"/>
              </w:rPr>
              <w:t xml:space="preserve"> received free of charge </w:t>
            </w:r>
          </w:p>
        </w:tc>
        <w:tc>
          <w:tcPr>
            <w:tcW w:w="1791" w:type="dxa"/>
          </w:tcPr>
          <w:p w:rsidR="00C2099A" w:rsidRPr="00A9653A" w:rsidRDefault="00C2099A" w:rsidP="0090614A">
            <w:pPr>
              <w:pStyle w:val="Tabletext"/>
              <w:jc w:val="right"/>
              <w:rPr>
                <w:rFonts w:eastAsia="Arial Unicode MS"/>
              </w:rPr>
            </w:pPr>
            <w:r w:rsidRPr="00A9653A">
              <w:rPr>
                <w:rFonts w:eastAsia="Arial Unicode MS"/>
              </w:rPr>
              <w:t>100</w:t>
            </w:r>
          </w:p>
        </w:tc>
      </w:tr>
    </w:tbl>
    <w:p w:rsidR="00C2099A" w:rsidRDefault="00C2099A" w:rsidP="00387A01">
      <w:pPr>
        <w:rPr>
          <w:rStyle w:val="Strong"/>
          <w:rFonts w:cs="Arial"/>
          <w:b w:val="0"/>
        </w:rPr>
      </w:pPr>
      <w:r>
        <w:t xml:space="preserve">Subsequent measurement of the asset is performed in accordance with the requirements of FRD 103F </w:t>
      </w:r>
      <w:r>
        <w:rPr>
          <w:i/>
        </w:rPr>
        <w:t>Non-financial physical assets</w:t>
      </w:r>
      <w:r>
        <w:t>.</w:t>
      </w:r>
    </w:p>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t xml:space="preserve">Example </w:t>
      </w:r>
      <w:r>
        <w:rPr>
          <w:rStyle w:val="Strong"/>
          <w:rFonts w:cs="Arial"/>
          <w:b/>
        </w:rPr>
        <w:t xml:space="preserve">five – </w:t>
      </w:r>
      <w:r w:rsidRPr="00731E39">
        <w:t xml:space="preserve">Department </w:t>
      </w:r>
      <w:r>
        <w:t xml:space="preserve">swaps/exchanges an asset with another controlled entity </w:t>
      </w:r>
    </w:p>
    <w:p w:rsidR="00C2099A" w:rsidRDefault="00C2099A" w:rsidP="00C2099A">
      <w:r>
        <w:t xml:space="preserve">Internal swaps or exchanges of assets should be assessed to determine whether the arrangement meets the criteria to be recognised as a transfer through contributed capital in accordance with the requirements of FRD 119A </w:t>
      </w:r>
      <w:r>
        <w:rPr>
          <w:i/>
        </w:rPr>
        <w:t>Transfers through Contributed Capital</w:t>
      </w:r>
      <w:r>
        <w:t xml:space="preserve">.  </w:t>
      </w:r>
    </w:p>
    <w:p w:rsidR="00BB380C" w:rsidRDefault="00BB380C" w:rsidP="00BB380C"/>
    <w:p w:rsidR="00A75461" w:rsidRDefault="00A75461" w:rsidP="005476DA"/>
    <w:p w:rsidR="00014213" w:rsidRDefault="00014213" w:rsidP="00D2312F">
      <w:pPr>
        <w:sectPr w:rsidR="00014213" w:rsidSect="005162CD">
          <w:headerReference w:type="even" r:id="rId43"/>
          <w:headerReference w:type="default" r:id="rId44"/>
          <w:footerReference w:type="even" r:id="rId45"/>
          <w:footerReference w:type="default" r:id="rId46"/>
          <w:headerReference w:type="first" r:id="rId47"/>
          <w:pgSz w:w="11906" w:h="16838" w:code="9"/>
          <w:pgMar w:top="2160" w:right="1440" w:bottom="1710" w:left="1440" w:header="706" w:footer="461" w:gutter="0"/>
          <w:cols w:space="708"/>
          <w:docGrid w:linePitch="360"/>
        </w:sectPr>
      </w:pPr>
    </w:p>
    <w:p w:rsidR="00014213" w:rsidRPr="00D2312F" w:rsidRDefault="00014213" w:rsidP="00D2312F"/>
    <w:sectPr w:rsidR="00014213" w:rsidRPr="00D2312F" w:rsidSect="00014213">
      <w:headerReference w:type="even" r:id="rId48"/>
      <w:headerReference w:type="default" r:id="rId49"/>
      <w:footerReference w:type="even" r:id="rId50"/>
      <w:footerReference w:type="default" r:id="rId51"/>
      <w:headerReference w:type="first" r:id="rId5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C4" w:rsidRDefault="000F51C4" w:rsidP="002D711A">
      <w:pPr>
        <w:spacing w:after="0" w:line="240" w:lineRule="auto"/>
      </w:pPr>
      <w:r>
        <w:separator/>
      </w:r>
    </w:p>
  </w:endnote>
  <w:endnote w:type="continuationSeparator" w:id="0">
    <w:p w:rsidR="000F51C4" w:rsidRDefault="000F51C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CB3976">
    <w:pPr>
      <w:pStyle w:val="Spacer"/>
    </w:pPr>
  </w:p>
  <w:p w:rsidR="008827BD" w:rsidRDefault="008827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Pr="001E31FA" w:rsidRDefault="008827BD" w:rsidP="001E31FA">
    <w:pPr>
      <w:pStyle w:val="Spacer"/>
    </w:pPr>
  </w:p>
  <w:p w:rsidR="008827BD" w:rsidRPr="00297281" w:rsidRDefault="008827BD" w:rsidP="00071F59">
    <w:pPr>
      <w:pStyle w:val="Footer"/>
      <w:jc w:val="right"/>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sidR="00E41273">
      <w:rPr>
        <w:rStyle w:val="PageNumber"/>
      </w:rPr>
      <w:t>44</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E41273">
      <w:rPr>
        <w:b/>
        <w:color w:val="0063A6" w:themeColor="accent1"/>
        <w:sz w:val="20"/>
      </w:rPr>
      <w:t>Financial Reporting Operations Framework</w:t>
    </w:r>
    <w:r w:rsidRPr="00C92338">
      <w:rPr>
        <w:b/>
        <w:color w:val="0063A6" w:themeColor="accent1"/>
        <w:sz w:val="20"/>
      </w:rPr>
      <w:fldChar w:fldCharType="end"/>
    </w:r>
    <w:r>
      <w:rPr>
        <w:b/>
        <w:color w:val="0063A6" w:themeColor="accent1"/>
      </w:rPr>
      <w:t xml:space="preserve"> </w:t>
    </w:r>
    <w:r w:rsidR="00071F59">
      <w:t>for Victorian Government Departments</w:t>
    </w:r>
    <w:r w:rsidR="00071F59">
      <w:br/>
      <w:t>Updated March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165E66">
    <w:pPr>
      <w:pStyle w:val="Spacer"/>
    </w:pPr>
  </w:p>
  <w:p w:rsidR="008827BD" w:rsidRPr="00C022F9" w:rsidRDefault="008827B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41273">
      <w:rPr>
        <w:b/>
        <w:color w:val="0063A6" w:themeColor="accent1"/>
      </w:rPr>
      <w:t>Financial Reporting Operations Framework</w:t>
    </w:r>
    <w:r w:rsidRPr="00C022F9">
      <w:rPr>
        <w:b/>
        <w:color w:val="0063A6" w:themeColor="accent1"/>
      </w:rPr>
      <w:fldChar w:fldCharType="end"/>
    </w:r>
    <w:r w:rsidRPr="00C022F9">
      <w:rPr>
        <w:b/>
        <w:color w:val="0063A6" w:themeColor="accent1"/>
      </w:rPr>
      <w:t xml:space="preserve"> </w:t>
    </w:r>
    <w:r w:rsidR="00071F59">
      <w:t>for Victorian Government Departments</w:t>
    </w:r>
    <w:r w:rsidR="00071F59">
      <w:br/>
      <w:t>Updated March 2017</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41273">
      <w:rPr>
        <w:rStyle w:val="PageNumber"/>
      </w:rPr>
      <w:t>45</w:t>
    </w:r>
    <w:r w:rsidRPr="00DE60CC">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Pr="00014213" w:rsidRDefault="008827BD" w:rsidP="00C022F9">
    <w:pPr>
      <w:pStyle w:val="Footer"/>
    </w:pPr>
    <w:r>
      <w:drawing>
        <wp:anchor distT="0" distB="0" distL="114300" distR="114300" simplePos="0" relativeHeight="251655680" behindDoc="0" locked="0" layoutInCell="1" allowOverlap="1" wp14:anchorId="43AA63BD" wp14:editId="7AC126B8">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CB3976">
    <w:pPr>
      <w:pStyle w:val="Spacer"/>
    </w:pPr>
  </w:p>
  <w:p w:rsidR="008827BD" w:rsidRPr="00CB3976" w:rsidRDefault="008827BD" w:rsidP="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CB3976">
    <w:pPr>
      <w:pStyle w:val="Spacer"/>
    </w:pPr>
  </w:p>
  <w:p w:rsidR="008827BD" w:rsidRDefault="008827BD" w:rsidP="00C022F9">
    <w:pPr>
      <w:pStyle w:val="Footer"/>
    </w:pPr>
    <w:r>
      <w:drawing>
        <wp:anchor distT="0" distB="0" distL="114300" distR="114300" simplePos="0" relativeHeight="251653632" behindDoc="0" locked="0" layoutInCell="1" allowOverlap="1" wp14:anchorId="45802D9F" wp14:editId="6162F9A3">
          <wp:simplePos x="0" y="0"/>
          <wp:positionH relativeFrom="column">
            <wp:posOffset>4224020</wp:posOffset>
          </wp:positionH>
          <wp:positionV relativeFrom="page">
            <wp:posOffset>9498330</wp:posOffset>
          </wp:positionV>
          <wp:extent cx="1956435" cy="582930"/>
          <wp:effectExtent l="0" t="0" r="5715" b="762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0E" w:rsidRDefault="00A106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A47634">
    <w:pPr>
      <w:pStyle w:val="Spacer"/>
    </w:pPr>
  </w:p>
  <w:p w:rsidR="008827BD" w:rsidRPr="00297281" w:rsidRDefault="008827BD"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41273">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Pr="00CB3976" w:rsidRDefault="008827BD" w:rsidP="00CB3976">
    <w:pPr>
      <w:pStyle w:val="Spacer"/>
    </w:pPr>
  </w:p>
  <w:p w:rsidR="008827BD" w:rsidRPr="00297281" w:rsidRDefault="008827BD"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41273">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Pr="001E31FA" w:rsidRDefault="008827BD" w:rsidP="001E31FA">
    <w:pPr>
      <w:pStyle w:val="Spacer"/>
    </w:pPr>
  </w:p>
  <w:p w:rsidR="008827BD" w:rsidRPr="00297281" w:rsidRDefault="008827BD" w:rsidP="00071F59">
    <w:pPr>
      <w:pStyle w:val="Footer"/>
      <w:jc w:val="right"/>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sidR="00E41273">
      <w:rPr>
        <w:rStyle w:val="PageNumber"/>
      </w:rPr>
      <w:t>30</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E41273">
      <w:rPr>
        <w:b/>
        <w:color w:val="0063A6" w:themeColor="accent1"/>
        <w:sz w:val="20"/>
      </w:rPr>
      <w:t>Financial Reporting Operations Framework</w:t>
    </w:r>
    <w:r w:rsidRPr="00C92338">
      <w:rPr>
        <w:b/>
        <w:color w:val="0063A6" w:themeColor="accent1"/>
        <w:sz w:val="20"/>
      </w:rPr>
      <w:fldChar w:fldCharType="end"/>
    </w:r>
    <w:r>
      <w:rPr>
        <w:b/>
        <w:color w:val="0063A6" w:themeColor="accent1"/>
        <w:sz w:val="20"/>
      </w:rPr>
      <w:t xml:space="preserve"> </w:t>
    </w:r>
    <w:r w:rsidR="00071F59">
      <w:t>for Victorian Government Departments</w:t>
    </w:r>
    <w:r w:rsidR="00071F59">
      <w:br/>
      <w:t>Updated March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165E66">
    <w:pPr>
      <w:pStyle w:val="Spacer"/>
    </w:pPr>
  </w:p>
  <w:p w:rsidR="008827BD" w:rsidRPr="00C022F9" w:rsidRDefault="008827B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41273">
      <w:rPr>
        <w:b/>
        <w:color w:val="0063A6" w:themeColor="accent1"/>
      </w:rPr>
      <w:t>Financial Reporting Operations Framework</w:t>
    </w:r>
    <w:r w:rsidRPr="00C022F9">
      <w:rPr>
        <w:b/>
        <w:color w:val="0063A6" w:themeColor="accent1"/>
      </w:rPr>
      <w:fldChar w:fldCharType="end"/>
    </w:r>
    <w:r>
      <w:rPr>
        <w:b/>
        <w:color w:val="0063A6" w:themeColor="accent1"/>
      </w:rPr>
      <w:t xml:space="preserve"> </w:t>
    </w:r>
    <w:r w:rsidR="00071F59">
      <w:t>for Victorian Government Departments</w:t>
    </w:r>
    <w:r w:rsidR="00071F59">
      <w:br/>
      <w:t>Updated March 2017</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41273">
      <w:rPr>
        <w:rStyle w:val="PageNumber"/>
      </w:rPr>
      <w:t>29</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Pr="001E31FA" w:rsidRDefault="008827BD" w:rsidP="001E31FA">
    <w:pPr>
      <w:pStyle w:val="Spacer"/>
    </w:pPr>
  </w:p>
  <w:p w:rsidR="008827BD" w:rsidRPr="00297281" w:rsidRDefault="008827BD" w:rsidP="00F6612C">
    <w:pPr>
      <w:pStyle w:val="Footer"/>
      <w:tabs>
        <w:tab w:val="clear" w:pos="9026"/>
        <w:tab w:val="right" w:pos="1395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sidR="00E41273">
      <w:rPr>
        <w:rStyle w:val="PageNumber"/>
      </w:rPr>
      <w:t>34</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E41273">
      <w:rPr>
        <w:b/>
        <w:color w:val="0063A6" w:themeColor="accent1"/>
        <w:sz w:val="20"/>
      </w:rPr>
      <w:t>Financial Reporting Operations Framework</w:t>
    </w:r>
    <w:r w:rsidRPr="00C92338">
      <w:rPr>
        <w:b/>
        <w:color w:val="0063A6" w:themeColor="accent1"/>
        <w:sz w:val="20"/>
      </w:rPr>
      <w:fldChar w:fldCharType="end"/>
    </w:r>
    <w:r>
      <w:rPr>
        <w:b/>
        <w:color w:val="0063A6" w:themeColor="accent1"/>
      </w:rPr>
      <w:t xml:space="preserve"> – </w:t>
    </w:r>
    <w:r>
      <w:rPr>
        <w:noProof w:val="0"/>
      </w:rPr>
      <w:fldChar w:fldCharType="begin"/>
    </w:r>
    <w:r>
      <w:instrText xml:space="preserve"> StyleRef “Subtitle” </w:instrText>
    </w:r>
    <w:r>
      <w:rPr>
        <w:noProof w:val="0"/>
      </w:rPr>
      <w:fldChar w:fldCharType="separate"/>
    </w:r>
    <w:r w:rsidR="00E41273">
      <w:t>For Victorian Government Departments</w:t>
    </w:r>
    <w:r>
      <w:fldChar w:fldCharType="end"/>
    </w:r>
    <w:r>
      <w:t>, effective 1 July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rsidP="00165E66">
    <w:pPr>
      <w:pStyle w:val="Spacer"/>
    </w:pPr>
  </w:p>
  <w:p w:rsidR="008827BD" w:rsidRPr="00C022F9" w:rsidRDefault="008827BD" w:rsidP="00F6612C">
    <w:pPr>
      <w:pStyle w:val="Footer"/>
      <w:tabs>
        <w:tab w:val="clear" w:pos="9026"/>
        <w:tab w:val="right" w:pos="1395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41273">
      <w:rPr>
        <w:b/>
        <w:color w:val="0063A6" w:themeColor="accent1"/>
      </w:rPr>
      <w:t>Financial Reporting Operations Framework</w:t>
    </w:r>
    <w:r w:rsidRPr="00C022F9">
      <w:rPr>
        <w:b/>
        <w:color w:val="0063A6" w:themeColor="accent1"/>
      </w:rPr>
      <w:fldChar w:fldCharType="end"/>
    </w:r>
    <w:r w:rsidRPr="00C022F9">
      <w:rPr>
        <w:b/>
        <w:color w:val="0063A6" w:themeColor="accent1"/>
      </w:rPr>
      <w:t xml:space="preserve"> </w:t>
    </w:r>
    <w:r w:rsidR="00071F59">
      <w:t xml:space="preserve">for Victorian Government Departments </w:t>
    </w:r>
    <w:r w:rsidR="00071F59">
      <w:br/>
      <w:t>Updated March 2017</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41273">
      <w:rPr>
        <w:rStyle w:val="PageNumber"/>
      </w:rPr>
      <w:t>35</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C4" w:rsidRDefault="000F51C4" w:rsidP="002D711A">
      <w:pPr>
        <w:spacing w:after="0" w:line="240" w:lineRule="auto"/>
      </w:pPr>
      <w:r>
        <w:separator/>
      </w:r>
    </w:p>
  </w:footnote>
  <w:footnote w:type="continuationSeparator" w:id="0">
    <w:p w:rsidR="000F51C4" w:rsidRDefault="000F51C4" w:rsidP="002D711A">
      <w:pPr>
        <w:spacing w:after="0" w:line="240" w:lineRule="auto"/>
      </w:pPr>
      <w:r>
        <w:continuationSeparator/>
      </w:r>
    </w:p>
  </w:footnote>
  <w:footnote w:id="1">
    <w:p w:rsidR="008827BD" w:rsidRDefault="008827BD" w:rsidP="00BF6584">
      <w:pPr>
        <w:pStyle w:val="FootnoteText"/>
      </w:pPr>
      <w:r w:rsidRPr="006C604B">
        <w:rPr>
          <w:rStyle w:val="FootnoteReference"/>
          <w:sz w:val="18"/>
        </w:rPr>
        <w:footnoteRef/>
      </w:r>
      <w:r w:rsidRPr="006C604B">
        <w:rPr>
          <w:sz w:val="18"/>
        </w:rPr>
        <w:t xml:space="preserve"> See </w:t>
      </w:r>
      <w:r>
        <w:rPr>
          <w:sz w:val="18"/>
        </w:rPr>
        <w:t xml:space="preserve">Standing </w:t>
      </w:r>
      <w:r w:rsidRPr="006C604B">
        <w:rPr>
          <w:sz w:val="18"/>
        </w:rPr>
        <w:t>Direction 4.4</w:t>
      </w:r>
      <w:r>
        <w:rPr>
          <w:sz w:val="18"/>
        </w:rPr>
        <w:t>.</w:t>
      </w:r>
    </w:p>
  </w:footnote>
  <w:footnote w:id="2">
    <w:p w:rsidR="008827BD" w:rsidRPr="00CE6657" w:rsidRDefault="008827BD" w:rsidP="00BF6584">
      <w:pPr>
        <w:pStyle w:val="FootnoteText"/>
        <w:rPr>
          <w:sz w:val="18"/>
        </w:rPr>
      </w:pPr>
      <w:r w:rsidRPr="00CE6657">
        <w:rPr>
          <w:rStyle w:val="FootnoteReference"/>
          <w:sz w:val="18"/>
        </w:rPr>
        <w:footnoteRef/>
      </w:r>
      <w:r w:rsidRPr="00CE6657">
        <w:rPr>
          <w:sz w:val="18"/>
        </w:rPr>
        <w:t xml:space="preserve"> ‘Department’ is defined as having the same meaning as para (a) of </w:t>
      </w:r>
      <w:r w:rsidRPr="00CE6657">
        <w:rPr>
          <w:i/>
          <w:sz w:val="18"/>
        </w:rPr>
        <w:t>department</w:t>
      </w:r>
      <w:r w:rsidRPr="00CE6657">
        <w:rPr>
          <w:sz w:val="18"/>
        </w:rPr>
        <w:t xml:space="preserve"> in Section 3 of the FMA.</w:t>
      </w:r>
    </w:p>
  </w:footnote>
  <w:footnote w:id="3">
    <w:p w:rsidR="008827BD" w:rsidRDefault="008827BD" w:rsidP="00BF6584">
      <w:pPr>
        <w:pStyle w:val="FootnoteText"/>
      </w:pPr>
      <w:r w:rsidRPr="00CE6657">
        <w:rPr>
          <w:rStyle w:val="FootnoteReference"/>
          <w:sz w:val="18"/>
        </w:rPr>
        <w:footnoteRef/>
      </w:r>
      <w:r w:rsidRPr="00CE6657">
        <w:rPr>
          <w:sz w:val="18"/>
        </w:rPr>
        <w:t xml:space="preserve"> See Standing Direction 4.4. </w:t>
      </w:r>
    </w:p>
  </w:footnote>
  <w:footnote w:id="4">
    <w:p w:rsidR="008827BD" w:rsidRPr="00051EAC" w:rsidRDefault="008827BD" w:rsidP="00BF6584">
      <w:pPr>
        <w:pStyle w:val="FootnoteText"/>
        <w:rPr>
          <w:sz w:val="18"/>
          <w:szCs w:val="18"/>
        </w:rPr>
      </w:pPr>
      <w:r w:rsidRPr="00051EAC">
        <w:rPr>
          <w:rStyle w:val="FootnoteReference"/>
          <w:sz w:val="18"/>
          <w:szCs w:val="18"/>
        </w:rPr>
        <w:footnoteRef/>
      </w:r>
      <w:r w:rsidRPr="00051EAC">
        <w:rPr>
          <w:sz w:val="18"/>
          <w:szCs w:val="18"/>
        </w:rPr>
        <w:t xml:space="preserve"> To ensure that they are not overdrawn.</w:t>
      </w:r>
    </w:p>
  </w:footnote>
  <w:footnote w:id="5">
    <w:p w:rsidR="008827BD" w:rsidRDefault="008827BD" w:rsidP="00A75461">
      <w:pPr>
        <w:pStyle w:val="FootnoteText"/>
      </w:pPr>
      <w:r w:rsidRPr="00107833">
        <w:rPr>
          <w:rStyle w:val="FootnoteReference"/>
          <w:sz w:val="18"/>
        </w:rPr>
        <w:footnoteRef/>
      </w:r>
      <w:r w:rsidRPr="00107833">
        <w:rPr>
          <w:sz w:val="18"/>
        </w:rPr>
        <w:t xml:space="preserve"> Please note that December and June </w:t>
      </w:r>
      <w:r w:rsidRPr="00107833">
        <w:rPr>
          <w:i/>
          <w:sz w:val="18"/>
        </w:rPr>
        <w:t>Monthly Reconciliation between Actuals and Cash ledgers</w:t>
      </w:r>
      <w:r w:rsidRPr="00107833">
        <w:rPr>
          <w:sz w:val="18"/>
        </w:rPr>
        <w:t xml:space="preserve"> return must be authorised by a </w:t>
      </w:r>
      <w:r>
        <w:rPr>
          <w:sz w:val="18"/>
        </w:rPr>
        <w:t>Dep</w:t>
      </w:r>
      <w:r w:rsidR="00A1060E">
        <w:rPr>
          <w:sz w:val="18"/>
        </w:rPr>
        <w:t>artment’s CFO</w:t>
      </w:r>
      <w:r w:rsidRPr="00107833">
        <w:rPr>
          <w:sz w:val="18"/>
        </w:rPr>
        <w:t>. All other months can be authorised by the manager of the cash function.</w:t>
      </w:r>
    </w:p>
  </w:footnote>
  <w:footnote w:id="6">
    <w:p w:rsidR="008827BD" w:rsidRDefault="008827BD" w:rsidP="007D065F">
      <w:pPr>
        <w:pStyle w:val="FootnoteText"/>
      </w:pPr>
      <w:r w:rsidRPr="002F2258">
        <w:rPr>
          <w:rStyle w:val="FootnoteReference"/>
          <w:sz w:val="18"/>
        </w:rPr>
        <w:footnoteRef/>
      </w:r>
      <w:r w:rsidRPr="002F2258">
        <w:rPr>
          <w:sz w:val="18"/>
        </w:rPr>
        <w:t xml:space="preserve"> For example, revenue, expenses, assets or liabilities.</w:t>
      </w:r>
    </w:p>
  </w:footnote>
  <w:footnote w:id="7">
    <w:p w:rsidR="008827BD" w:rsidRDefault="008827BD" w:rsidP="002A28F7">
      <w:pPr>
        <w:pStyle w:val="FootnoteText"/>
      </w:pPr>
      <w:r>
        <w:rPr>
          <w:rStyle w:val="FootnoteReference"/>
        </w:rPr>
        <w:footnoteRef/>
      </w:r>
      <w:r>
        <w:t xml:space="preserve"> Examples of appropriate base amounts could include, but are not limited to, ‘net purchases of non-financial assets’, ‘total expenses from transactions’, or ‘total assets’.</w:t>
      </w:r>
    </w:p>
  </w:footnote>
  <w:footnote w:id="8">
    <w:p w:rsidR="008827BD" w:rsidRPr="002F2258" w:rsidRDefault="008827BD" w:rsidP="005162CD">
      <w:pPr>
        <w:pStyle w:val="FootnoteText"/>
        <w:rPr>
          <w:sz w:val="18"/>
          <w:szCs w:val="18"/>
        </w:rPr>
      </w:pPr>
      <w:r w:rsidRPr="002F2258">
        <w:rPr>
          <w:rStyle w:val="FootnoteReference"/>
          <w:sz w:val="18"/>
          <w:szCs w:val="18"/>
        </w:rPr>
        <w:footnoteRef/>
      </w:r>
      <w:r w:rsidRPr="002F2258">
        <w:rPr>
          <w:sz w:val="18"/>
          <w:szCs w:val="18"/>
        </w:rPr>
        <w:t xml:space="preserve"> This coincides with the Mid</w:t>
      </w:r>
      <w:r w:rsidRPr="002F2258">
        <w:rPr>
          <w:sz w:val="18"/>
          <w:szCs w:val="18"/>
        </w:rPr>
        <w:noBreakHyphen/>
        <w:t>Year and Annual Financial Reporting requirements.</w:t>
      </w:r>
    </w:p>
  </w:footnote>
  <w:footnote w:id="9">
    <w:p w:rsidR="008827BD" w:rsidRPr="002F2258" w:rsidRDefault="008827BD" w:rsidP="005162CD">
      <w:pPr>
        <w:pStyle w:val="FootnoteText"/>
        <w:rPr>
          <w:sz w:val="18"/>
          <w:szCs w:val="18"/>
        </w:rPr>
      </w:pPr>
      <w:r w:rsidRPr="002F2258">
        <w:rPr>
          <w:rStyle w:val="FootnoteReference"/>
          <w:sz w:val="18"/>
          <w:szCs w:val="18"/>
        </w:rPr>
        <w:footnoteRef/>
      </w:r>
      <w:r w:rsidRPr="002F2258">
        <w:rPr>
          <w:sz w:val="18"/>
          <w:szCs w:val="18"/>
        </w:rPr>
        <w:t xml:space="preserve"> The certified </w:t>
      </w:r>
      <w:r>
        <w:rPr>
          <w:sz w:val="18"/>
          <w:szCs w:val="18"/>
        </w:rPr>
        <w:t xml:space="preserve">contributed capital </w:t>
      </w:r>
      <w:r w:rsidRPr="002F2258">
        <w:rPr>
          <w:sz w:val="18"/>
          <w:szCs w:val="18"/>
        </w:rPr>
        <w:t>/</w:t>
      </w:r>
      <w:r>
        <w:rPr>
          <w:sz w:val="18"/>
          <w:szCs w:val="18"/>
        </w:rPr>
        <w:t xml:space="preserve"> e</w:t>
      </w:r>
      <w:r w:rsidRPr="002F2258">
        <w:rPr>
          <w:sz w:val="18"/>
          <w:szCs w:val="18"/>
        </w:rPr>
        <w:t xml:space="preserve">quity </w:t>
      </w:r>
      <w:r>
        <w:rPr>
          <w:sz w:val="18"/>
          <w:szCs w:val="18"/>
        </w:rPr>
        <w:t>i</w:t>
      </w:r>
      <w:r w:rsidRPr="002F2258">
        <w:rPr>
          <w:sz w:val="18"/>
          <w:szCs w:val="18"/>
        </w:rPr>
        <w:t>nvestment reconciliations are required to support acquittal of balances as required by the Victoria</w:t>
      </w:r>
      <w:r>
        <w:rPr>
          <w:sz w:val="18"/>
          <w:szCs w:val="18"/>
        </w:rPr>
        <w:t>n</w:t>
      </w:r>
      <w:r w:rsidRPr="002F2258">
        <w:rPr>
          <w:sz w:val="18"/>
          <w:szCs w:val="18"/>
        </w:rPr>
        <w:t xml:space="preserve"> Auditor</w:t>
      </w:r>
      <w:r>
        <w:rPr>
          <w:sz w:val="18"/>
          <w:szCs w:val="18"/>
        </w:rPr>
        <w:t>-</w:t>
      </w:r>
      <w:r w:rsidRPr="002F2258">
        <w:rPr>
          <w:sz w:val="18"/>
          <w:szCs w:val="18"/>
        </w:rPr>
        <w:t>General’s Office.</w:t>
      </w:r>
    </w:p>
  </w:footnote>
  <w:footnote w:id="10">
    <w:p w:rsidR="008827BD" w:rsidRDefault="008827BD" w:rsidP="005162CD">
      <w:pPr>
        <w:pStyle w:val="FootnoteText"/>
      </w:pPr>
      <w:r w:rsidRPr="002F2258">
        <w:rPr>
          <w:rStyle w:val="FootnoteReference"/>
          <w:sz w:val="18"/>
          <w:szCs w:val="18"/>
        </w:rPr>
        <w:footnoteRef/>
      </w:r>
      <w:r w:rsidRPr="002F2258">
        <w:rPr>
          <w:sz w:val="18"/>
          <w:szCs w:val="18"/>
        </w:rPr>
        <w:t xml:space="preserve"> If there is insufficient time to undertake the matching process between a </w:t>
      </w:r>
      <w:r>
        <w:rPr>
          <w:sz w:val="18"/>
          <w:szCs w:val="18"/>
        </w:rPr>
        <w:t>Dep</w:t>
      </w:r>
      <w:r w:rsidRPr="002F2258">
        <w:rPr>
          <w:sz w:val="18"/>
          <w:szCs w:val="18"/>
        </w:rPr>
        <w:t xml:space="preserve">artment and its agency, then the </w:t>
      </w:r>
      <w:r>
        <w:rPr>
          <w:sz w:val="18"/>
          <w:szCs w:val="18"/>
        </w:rPr>
        <w:t>Dep</w:t>
      </w:r>
      <w:r w:rsidRPr="002F2258">
        <w:rPr>
          <w:sz w:val="18"/>
          <w:szCs w:val="18"/>
        </w:rPr>
        <w:t xml:space="preserve">artment must provide an explanation to DTF </w:t>
      </w:r>
      <w:r>
        <w:rPr>
          <w:sz w:val="18"/>
          <w:szCs w:val="18"/>
        </w:rPr>
        <w:t>and come to an agreement</w:t>
      </w:r>
      <w:r w:rsidRPr="002F2258">
        <w:rPr>
          <w:sz w:val="18"/>
          <w:szCs w:val="18"/>
        </w:rPr>
        <w:t>.</w:t>
      </w:r>
    </w:p>
  </w:footnote>
  <w:footnote w:id="11">
    <w:p w:rsidR="008827BD" w:rsidRDefault="008827BD" w:rsidP="005162CD">
      <w:pPr>
        <w:pStyle w:val="FootnoteText"/>
      </w:pPr>
      <w:r w:rsidRPr="00C248C6">
        <w:rPr>
          <w:rStyle w:val="FootnoteReference"/>
          <w:sz w:val="18"/>
        </w:rPr>
        <w:footnoteRef/>
      </w:r>
      <w:r w:rsidRPr="00C248C6">
        <w:rPr>
          <w:sz w:val="18"/>
        </w:rPr>
        <w:t xml:space="preserve"> Such returns will also be adjusted in the SAU as a reduction in the Government’s investment in its agencies.</w:t>
      </w:r>
    </w:p>
  </w:footnote>
  <w:footnote w:id="12">
    <w:p w:rsidR="008827BD" w:rsidRDefault="008827BD" w:rsidP="005162CD">
      <w:pPr>
        <w:pStyle w:val="FootnoteText"/>
      </w:pPr>
      <w:r w:rsidRPr="00C248C6">
        <w:rPr>
          <w:rStyle w:val="FootnoteReference"/>
          <w:sz w:val="18"/>
        </w:rPr>
        <w:footnoteRef/>
      </w:r>
      <w:r w:rsidRPr="00C248C6">
        <w:rPr>
          <w:sz w:val="18"/>
        </w:rPr>
        <w:t xml:space="preserve"> Equity transfers between </w:t>
      </w:r>
      <w:r>
        <w:rPr>
          <w:sz w:val="18"/>
        </w:rPr>
        <w:t>Dep</w:t>
      </w:r>
      <w:r w:rsidRPr="00C248C6">
        <w:rPr>
          <w:sz w:val="18"/>
        </w:rPr>
        <w:t xml:space="preserve">artments are generally as a result of </w:t>
      </w:r>
      <w:r>
        <w:rPr>
          <w:sz w:val="18"/>
        </w:rPr>
        <w:t>m</w:t>
      </w:r>
      <w:r w:rsidRPr="00C248C6">
        <w:rPr>
          <w:sz w:val="18"/>
        </w:rPr>
        <w:t xml:space="preserve">achinery of </w:t>
      </w:r>
      <w:r>
        <w:rPr>
          <w:sz w:val="18"/>
        </w:rPr>
        <w:t>g</w:t>
      </w:r>
      <w:r w:rsidRPr="00C248C6">
        <w:rPr>
          <w:sz w:val="18"/>
        </w:rPr>
        <w:t xml:space="preserve">overnment </w:t>
      </w:r>
      <w:r>
        <w:rPr>
          <w:sz w:val="18"/>
        </w:rPr>
        <w:t>changes</w:t>
      </w:r>
      <w:r w:rsidRPr="00C248C6">
        <w:rPr>
          <w:sz w:val="18"/>
        </w:rPr>
        <w:t>.</w:t>
      </w:r>
    </w:p>
  </w:footnote>
  <w:footnote w:id="13">
    <w:p w:rsidR="008827BD" w:rsidRDefault="008827BD" w:rsidP="009D26A8">
      <w:pPr>
        <w:pStyle w:val="FootnoteText"/>
      </w:pPr>
      <w:r w:rsidRPr="00E63100">
        <w:rPr>
          <w:rStyle w:val="FootnoteReference"/>
          <w:sz w:val="18"/>
        </w:rPr>
        <w:footnoteRef/>
      </w:r>
      <w:r w:rsidRPr="00E63100">
        <w:rPr>
          <w:sz w:val="18"/>
        </w:rPr>
        <w:t xml:space="preserve"> These balances are recorded centrally by DTF.</w:t>
      </w:r>
    </w:p>
  </w:footnote>
  <w:footnote w:id="14">
    <w:p w:rsidR="008827BD" w:rsidRDefault="008827BD">
      <w:pPr>
        <w:pStyle w:val="FootnoteText"/>
      </w:pPr>
      <w:r>
        <w:rPr>
          <w:rStyle w:val="FootnoteReference"/>
        </w:rPr>
        <w:footnoteRef/>
      </w:r>
      <w:r>
        <w:t xml:space="preserve"> </w:t>
      </w:r>
      <w:r w:rsidRPr="009A6679">
        <w:t>Refer also to</w:t>
      </w:r>
      <w:r w:rsidRPr="00B83528">
        <w:rPr>
          <w:i/>
        </w:rPr>
        <w:t xml:space="preserve"> </w:t>
      </w:r>
      <w:r>
        <w:rPr>
          <w:i/>
        </w:rPr>
        <w:t>‘</w:t>
      </w:r>
      <w:r w:rsidRPr="00FC11DA">
        <w:t xml:space="preserve">Chapter 6: Accounting for </w:t>
      </w:r>
      <w:proofErr w:type="spellStart"/>
      <w:r w:rsidRPr="00FC11DA">
        <w:t>MoG</w:t>
      </w:r>
      <w:proofErr w:type="spellEnd"/>
      <w:r w:rsidRPr="00FC11DA">
        <w:t xml:space="preserve"> changes</w:t>
      </w:r>
      <w:r>
        <w:t>’</w:t>
      </w:r>
      <w:r w:rsidRPr="009A6679">
        <w:t xml:space="preserve"> in the </w:t>
      </w:r>
      <w:r w:rsidRPr="00B83528">
        <w:rPr>
          <w:i/>
        </w:rPr>
        <w:t>Victorian public sector operating manual on machinery of government changes</w:t>
      </w:r>
      <w:r w:rsidRPr="009A6679">
        <w:t xml:space="preserve"> for further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0E" w:rsidRDefault="00A106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mc:AlternateContent>
        <mc:Choice Requires="wpg">
          <w:drawing>
            <wp:anchor distT="0" distB="0" distL="114300" distR="114300" simplePos="0" relativeHeight="251661824" behindDoc="0" locked="0" layoutInCell="1" allowOverlap="1" wp14:anchorId="10807F7A" wp14:editId="2CA73833">
              <wp:simplePos x="0" y="0"/>
              <wp:positionH relativeFrom="column">
                <wp:posOffset>-924919</wp:posOffset>
              </wp:positionH>
              <wp:positionV relativeFrom="paragraph">
                <wp:posOffset>-445439</wp:posOffset>
              </wp:positionV>
              <wp:extent cx="10699845" cy="736980"/>
              <wp:effectExtent l="0" t="0" r="6350" b="6350"/>
              <wp:wrapNone/>
              <wp:docPr id="19729" name="Group 19729"/>
              <wp:cNvGraphicFramePr/>
              <a:graphic xmlns:a="http://schemas.openxmlformats.org/drawingml/2006/main">
                <a:graphicData uri="http://schemas.microsoft.com/office/word/2010/wordprocessingGroup">
                  <wpg:wgp>
                    <wpg:cNvGrpSpPr/>
                    <wpg:grpSpPr>
                      <a:xfrm>
                        <a:off x="0" y="0"/>
                        <a:ext cx="10699845" cy="736980"/>
                        <a:chOff x="0" y="0"/>
                        <a:chExt cx="10699845" cy="736980"/>
                      </a:xfrm>
                    </wpg:grpSpPr>
                    <pic:pic xmlns:pic="http://schemas.openxmlformats.org/drawingml/2006/picture">
                      <pic:nvPicPr>
                        <pic:cNvPr id="19727" name="Heade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80" cy="736980"/>
                        </a:xfrm>
                        <a:prstGeom prst="rect">
                          <a:avLst/>
                        </a:prstGeom>
                      </pic:spPr>
                    </pic:pic>
                    <pic:pic xmlns:pic="http://schemas.openxmlformats.org/drawingml/2006/picture">
                      <pic:nvPicPr>
                        <pic:cNvPr id="19728" name="Header"/>
                        <pic:cNvPicPr>
                          <a:picLocks noChangeAspect="1"/>
                        </pic:cNvPicPr>
                      </pic:nvPicPr>
                      <pic:blipFill rotWithShape="1">
                        <a:blip r:embed="rId1" cstate="print">
                          <a:extLst>
                            <a:ext uri="{28A0092B-C50C-407E-A947-70E740481C1C}">
                              <a14:useLocalDpi xmlns:a14="http://schemas.microsoft.com/office/drawing/2010/main" val="0"/>
                            </a:ext>
                          </a:extLst>
                        </a:blip>
                        <a:srcRect l="15942"/>
                        <a:stretch/>
                      </pic:blipFill>
                      <pic:spPr bwMode="auto">
                        <a:xfrm>
                          <a:off x="4333165" y="0"/>
                          <a:ext cx="6366680" cy="7369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9729" o:spid="_x0000_s1026" style="position:absolute;margin-left:-72.85pt;margin-top:-35.05pt;width:842.5pt;height:58.05pt;z-index:251682816" coordsize="106998,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 o:spid="_x0000_s1027" type="#_x0000_t75" style="position:absolute;width:7594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lnKfBAAAA3gAAAA8AAABkcnMvZG93bnJldi54bWxET0uLwjAQvgv+hzDC3jS1h1WrUURQ1tv6&#10;wPPQjG21mYQkavffbxYWvM3H95zFqjOteJIPjWUF41EGgri0uuFKwfm0HU5BhIissbVMCn4owGrZ&#10;7y2w0PbFB3oeYyVSCIcCFdQxukLKUNZkMIysI07c1XqDMUFfSe3xlcJNK/Ms+5QGG04NNTra1FTe&#10;jw+jYP8d9G4zm17ym5fbG2Xu5PK9Uh+Dbj0HEamLb/G/+0un+bNJPoG/d9IN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lnKfBAAAA3gAAAA8AAAAAAAAAAAAAAAAAnwIA&#10;AGRycy9kb3ducmV2LnhtbFBLBQYAAAAABAAEAPcAAACNAwAAAAA=&#10;">
                <v:imagedata r:id="rId2" o:title=""/>
                <v:path arrowok="t"/>
              </v:shape>
              <v:shape id="Header" o:spid="_x0000_s1028" type="#_x0000_t75" style="position:absolute;left:43331;width:63667;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F7FfFAAAA3gAAAA8AAABkcnMvZG93bnJldi54bWxEj0FvwjAMhe+T9h8iT+I2UnoYoyMghITY&#10;LggKB45W46UVjVM1Acq/nw9Iu9l6z+99ni8H36ob9bEJbGAyzkARV8E27Aycjpv3T1AxIVtsA5OB&#10;B0VYLl5f5ljYcOcD3crklIRwLNBAnVJXaB2rmjzGceiIRfsNvccka++07fEu4b7VeZZ9aI8NS0ON&#10;Ha1rqi7l1RtweJnt3VSf21Rto81L3g0/bMzobVh9gUo0pH/z8/rbCv5smguvvCMz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hexXxQAAAN4AAAAPAAAAAAAAAAAAAAAA&#10;AJ8CAABkcnMvZG93bnJldi54bWxQSwUGAAAAAAQABAD3AAAAkQMAAAAA&#10;">
                <v:imagedata r:id="rId2" o:title="" cropleft="10448f"/>
                <v:path arrowok="t"/>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mc:AlternateContent>
        <mc:Choice Requires="wpg">
          <w:drawing>
            <wp:anchor distT="0" distB="0" distL="114300" distR="114300" simplePos="0" relativeHeight="251662848" behindDoc="0" locked="0" layoutInCell="1" allowOverlap="1" wp14:anchorId="443A8FFB" wp14:editId="15B26A53">
              <wp:simplePos x="0" y="0"/>
              <wp:positionH relativeFrom="column">
                <wp:posOffset>-918464</wp:posOffset>
              </wp:positionH>
              <wp:positionV relativeFrom="paragraph">
                <wp:posOffset>-453669</wp:posOffset>
              </wp:positionV>
              <wp:extent cx="10699845" cy="736980"/>
              <wp:effectExtent l="0" t="0" r="6350" b="6350"/>
              <wp:wrapNone/>
              <wp:docPr id="19713" name="Group 19713"/>
              <wp:cNvGraphicFramePr/>
              <a:graphic xmlns:a="http://schemas.openxmlformats.org/drawingml/2006/main">
                <a:graphicData uri="http://schemas.microsoft.com/office/word/2010/wordprocessingGroup">
                  <wpg:wgp>
                    <wpg:cNvGrpSpPr/>
                    <wpg:grpSpPr>
                      <a:xfrm>
                        <a:off x="0" y="0"/>
                        <a:ext cx="10699845" cy="736980"/>
                        <a:chOff x="0" y="0"/>
                        <a:chExt cx="10699845" cy="736980"/>
                      </a:xfrm>
                    </wpg:grpSpPr>
                    <pic:pic xmlns:pic="http://schemas.openxmlformats.org/drawingml/2006/picture">
                      <pic:nvPicPr>
                        <pic:cNvPr id="19714" name="Heade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80" cy="736980"/>
                        </a:xfrm>
                        <a:prstGeom prst="rect">
                          <a:avLst/>
                        </a:prstGeom>
                      </pic:spPr>
                    </pic:pic>
                    <pic:pic xmlns:pic="http://schemas.openxmlformats.org/drawingml/2006/picture">
                      <pic:nvPicPr>
                        <pic:cNvPr id="19717" name="Header"/>
                        <pic:cNvPicPr>
                          <a:picLocks noChangeAspect="1"/>
                        </pic:cNvPicPr>
                      </pic:nvPicPr>
                      <pic:blipFill rotWithShape="1">
                        <a:blip r:embed="rId1" cstate="print">
                          <a:extLst>
                            <a:ext uri="{28A0092B-C50C-407E-A947-70E740481C1C}">
                              <a14:useLocalDpi xmlns:a14="http://schemas.microsoft.com/office/drawing/2010/main" val="0"/>
                            </a:ext>
                          </a:extLst>
                        </a:blip>
                        <a:srcRect l="15942"/>
                        <a:stretch/>
                      </pic:blipFill>
                      <pic:spPr bwMode="auto">
                        <a:xfrm>
                          <a:off x="4333165" y="0"/>
                          <a:ext cx="6366680" cy="7369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9713" o:spid="_x0000_s1026" style="position:absolute;margin-left:-72.3pt;margin-top:-35.7pt;width:842.5pt;height:58.05pt;z-index:251684864" coordsize="106998,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 o:spid="_x0000_s1027" type="#_x0000_t75" style="position:absolute;width:7594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byG3CAAAA3gAAAA8AAABkcnMvZG93bnJldi54bWxET01rAjEQvRf8D2EEbzXrIlZXo4hg0ZvV&#10;0vOwGXdXN5OQpLr+eyMUepvH+5zFqjOtuJEPjWUFo2EGgri0uuFKwfdp+z4FESKyxtYyKXhQgNWy&#10;97bAQts7f9HtGCuRQjgUqKCO0RVShrImg2FoHXHiztYbjAn6SmqP9xRuWpln2UQabDg11OhoU1N5&#10;Pf4aBftD0J+b2fQnv3i5vVDmTi7fKzXod+s5iEhd/Bf/uXc6zZ99jMbweifd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m8htwgAAAN4AAAAPAAAAAAAAAAAAAAAAAJ8C&#10;AABkcnMvZG93bnJldi54bWxQSwUGAAAAAAQABAD3AAAAjgMAAAAA&#10;">
                <v:imagedata r:id="rId2" o:title=""/>
                <v:path arrowok="t"/>
              </v:shape>
              <v:shape id="Header" o:spid="_x0000_s1028" type="#_x0000_t75" style="position:absolute;left:43331;width:63667;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2spjDAAAA3gAAAA8AAABkcnMvZG93bnJldi54bWxET01rwkAQvRf8D8sIvTWbeGhqzBpEKG0v&#10;xUYPHofsuAlmZ0N2q+m/7wqCt3m8zymryfbiQqPvHCvIkhQEceN0x0bBYf/+8gbCB2SNvWNS8Ece&#10;qvXsqcRCuyv/0KUORsQQ9gUqaEMYCil905JFn7iBOHInN1oMEY5G6hGvMdz2cpGmr9Jix7GhxYG2&#10;LTXn+tcqMHhe7kwuj31oPrxe1Pw9fbFSz/NpswIRaAoP8d39qeP8ZZ7lcHsn3i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aymMMAAADeAAAADwAAAAAAAAAAAAAAAACf&#10;AgAAZHJzL2Rvd25yZXYueG1sUEsFBgAAAAAEAAQA9wAAAI8DAAAAAA==&#10;">
                <v:imagedata r:id="rId2" o:title="" cropleft="10448f"/>
                <v:path arrowok="t"/>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63872" behindDoc="0" locked="0" layoutInCell="1" allowOverlap="1" wp14:anchorId="08C3E127" wp14:editId="5DA13E9A">
          <wp:simplePos x="0" y="0"/>
          <wp:positionH relativeFrom="column">
            <wp:posOffset>-932764</wp:posOffset>
          </wp:positionH>
          <wp:positionV relativeFrom="page">
            <wp:posOffset>-15850</wp:posOffset>
          </wp:positionV>
          <wp:extent cx="7591245" cy="740985"/>
          <wp:effectExtent l="0" t="0" r="0" b="2540"/>
          <wp:wrapNone/>
          <wp:docPr id="1972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60800" behindDoc="0" locked="0" layoutInCell="1" allowOverlap="1" wp14:anchorId="1F57FA14" wp14:editId="0D2193A8">
          <wp:simplePos x="0" y="0"/>
          <wp:positionH relativeFrom="column">
            <wp:posOffset>-931849</wp:posOffset>
          </wp:positionH>
          <wp:positionV relativeFrom="page">
            <wp:posOffset>0</wp:posOffset>
          </wp:positionV>
          <wp:extent cx="7591245" cy="740985"/>
          <wp:effectExtent l="0" t="0" r="0" b="2540"/>
          <wp:wrapNone/>
          <wp:docPr id="1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4656" behindDoc="0" locked="0" layoutInCell="1" allowOverlap="1" wp14:anchorId="6BB3AB11" wp14:editId="66B69C51">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0697B3E9" wp14:editId="04DD9504">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1584" behindDoc="1" locked="0" layoutInCell="1" allowOverlap="1" wp14:anchorId="1FCA4A31" wp14:editId="2E8D01CF">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28B2B07" wp14:editId="5FFE9AA9">
          <wp:simplePos x="0" y="0"/>
          <wp:positionH relativeFrom="column">
            <wp:posOffset>-909902</wp:posOffset>
          </wp:positionH>
          <wp:positionV relativeFrom="page">
            <wp:posOffset>-264</wp:posOffset>
          </wp:positionV>
          <wp:extent cx="7562088" cy="10698480"/>
          <wp:effectExtent l="0" t="0" r="1270" b="7620"/>
          <wp:wrapNone/>
          <wp:docPr id="13"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0E" w:rsidRDefault="00A106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7728" behindDoc="0" locked="0" layoutInCell="1" allowOverlap="1" wp14:anchorId="4ABB2978" wp14:editId="0932D02A">
          <wp:simplePos x="0" y="0"/>
          <wp:positionH relativeFrom="column">
            <wp:posOffset>-932815</wp:posOffset>
          </wp:positionH>
          <wp:positionV relativeFrom="page">
            <wp:posOffset>-3546</wp:posOffset>
          </wp:positionV>
          <wp:extent cx="7591245" cy="740985"/>
          <wp:effectExtent l="0" t="0" r="0" b="2540"/>
          <wp:wrapNone/>
          <wp:docPr id="1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6704" behindDoc="0" locked="0" layoutInCell="1" allowOverlap="1" wp14:anchorId="31E1D552" wp14:editId="3FC172A5">
          <wp:simplePos x="0" y="0"/>
          <wp:positionH relativeFrom="column">
            <wp:posOffset>-931849</wp:posOffset>
          </wp:positionH>
          <wp:positionV relativeFrom="page">
            <wp:posOffset>0</wp:posOffset>
          </wp:positionV>
          <wp:extent cx="7591245" cy="740985"/>
          <wp:effectExtent l="0" t="0" r="0" b="2540"/>
          <wp:wrapNone/>
          <wp:docPr id="2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9776" behindDoc="0" locked="0" layoutInCell="1" allowOverlap="1" wp14:anchorId="09BA6A29" wp14:editId="4F875486">
          <wp:simplePos x="0" y="0"/>
          <wp:positionH relativeFrom="column">
            <wp:posOffset>-923290</wp:posOffset>
          </wp:positionH>
          <wp:positionV relativeFrom="page">
            <wp:posOffset>-3175</wp:posOffset>
          </wp:positionV>
          <wp:extent cx="7591245" cy="740985"/>
          <wp:effectExtent l="0" t="0" r="0" b="2540"/>
          <wp:wrapNone/>
          <wp:docPr id="1971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r>
      <w:rPr>
        <w:noProof/>
      </w:rPr>
      <w:drawing>
        <wp:anchor distT="0" distB="0" distL="114300" distR="114300" simplePos="0" relativeHeight="251658752" behindDoc="0" locked="0" layoutInCell="1" allowOverlap="1" wp14:anchorId="633F60FD" wp14:editId="1178C7A5">
          <wp:simplePos x="0" y="0"/>
          <wp:positionH relativeFrom="column">
            <wp:posOffset>-931849</wp:posOffset>
          </wp:positionH>
          <wp:positionV relativeFrom="page">
            <wp:posOffset>0</wp:posOffset>
          </wp:positionV>
          <wp:extent cx="7591245" cy="740985"/>
          <wp:effectExtent l="0" t="0" r="0" b="2540"/>
          <wp:wrapNone/>
          <wp:docPr id="1971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D" w:rsidRDefault="0088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3AE3A9B"/>
    <w:multiLevelType w:val="hybridMultilevel"/>
    <w:tmpl w:val="021A143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5">
    <w:nsid w:val="26456FFD"/>
    <w:multiLevelType w:val="multilevel"/>
    <w:tmpl w:val="E77E4F6C"/>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C465D6"/>
    <w:multiLevelType w:val="hybridMultilevel"/>
    <w:tmpl w:val="07CA239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8">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83C5124"/>
    <w:multiLevelType w:val="multilevel"/>
    <w:tmpl w:val="533213A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0700B9"/>
    <w:multiLevelType w:val="hybridMultilevel"/>
    <w:tmpl w:val="C186D396"/>
    <w:lvl w:ilvl="0" w:tplc="0C090001">
      <w:start w:val="1"/>
      <w:numFmt w:val="bullet"/>
      <w:lvlText w:val=""/>
      <w:lvlJc w:val="left"/>
      <w:pPr>
        <w:ind w:left="1656" w:hanging="360"/>
      </w:pPr>
      <w:rPr>
        <w:rFonts w:ascii="Symbol" w:hAnsi="Symbol"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13">
    <w:nsid w:val="7A7E12E5"/>
    <w:multiLevelType w:val="hybridMultilevel"/>
    <w:tmpl w:val="2C4243E0"/>
    <w:lvl w:ilvl="0" w:tplc="539C1E4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D44514"/>
    <w:multiLevelType w:val="multilevel"/>
    <w:tmpl w:val="4BAA2382"/>
    <w:lvl w:ilvl="0">
      <w:start w:val="1"/>
      <w:numFmt w:val="lowerLetter"/>
      <w:pStyle w:val="Listnum"/>
      <w:lvlText w:val="(%1)"/>
      <w:lvlJc w:val="left"/>
      <w:pPr>
        <w:tabs>
          <w:tab w:val="num" w:pos="9433"/>
        </w:tabs>
        <w:ind w:left="9433" w:hanging="360"/>
      </w:pPr>
      <w:rPr>
        <w:rFonts w:hint="default"/>
      </w:rPr>
    </w:lvl>
    <w:lvl w:ilvl="1">
      <w:start w:val="2"/>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b w:val="0"/>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14"/>
  </w:num>
  <w:num w:numId="3">
    <w:abstractNumId w:val="5"/>
  </w:num>
  <w:num w:numId="4">
    <w:abstractNumId w:val="13"/>
  </w:num>
  <w:num w:numId="5">
    <w:abstractNumId w:val="6"/>
  </w:num>
  <w:num w:numId="6">
    <w:abstractNumId w:val="11"/>
  </w:num>
  <w:num w:numId="7">
    <w:abstractNumId w:val="9"/>
  </w:num>
  <w:num w:numId="8">
    <w:abstractNumId w:val="2"/>
  </w:num>
  <w:num w:numId="9">
    <w:abstractNumId w:val="1"/>
  </w:num>
  <w:num w:numId="10">
    <w:abstractNumId w:val="0"/>
  </w:num>
  <w:num w:numId="11">
    <w:abstractNumId w:val="4"/>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3"/>
  </w:num>
  <w:num w:numId="21">
    <w:abstractNumId w:val="7"/>
  </w:num>
  <w:num w:numId="22">
    <w:abstractNumId w:val="14"/>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B4"/>
    <w:rsid w:val="00003607"/>
    <w:rsid w:val="00004E80"/>
    <w:rsid w:val="00007FEA"/>
    <w:rsid w:val="00012F6F"/>
    <w:rsid w:val="00013786"/>
    <w:rsid w:val="00014213"/>
    <w:rsid w:val="00014B55"/>
    <w:rsid w:val="00020BD8"/>
    <w:rsid w:val="00020E3E"/>
    <w:rsid w:val="00023BF3"/>
    <w:rsid w:val="00026811"/>
    <w:rsid w:val="00027FBC"/>
    <w:rsid w:val="0003100F"/>
    <w:rsid w:val="00035ED2"/>
    <w:rsid w:val="0004039F"/>
    <w:rsid w:val="00047A37"/>
    <w:rsid w:val="000532B0"/>
    <w:rsid w:val="000535E1"/>
    <w:rsid w:val="000605F1"/>
    <w:rsid w:val="00071F59"/>
    <w:rsid w:val="00073DCE"/>
    <w:rsid w:val="00075E6C"/>
    <w:rsid w:val="00081C12"/>
    <w:rsid w:val="0008213F"/>
    <w:rsid w:val="00083A12"/>
    <w:rsid w:val="0008601F"/>
    <w:rsid w:val="00090DB6"/>
    <w:rsid w:val="00095B63"/>
    <w:rsid w:val="000A5E66"/>
    <w:rsid w:val="000B1A18"/>
    <w:rsid w:val="000B29AD"/>
    <w:rsid w:val="000B6900"/>
    <w:rsid w:val="000C06BD"/>
    <w:rsid w:val="000C0C26"/>
    <w:rsid w:val="000C4C1F"/>
    <w:rsid w:val="000C6372"/>
    <w:rsid w:val="000E2696"/>
    <w:rsid w:val="000E392D"/>
    <w:rsid w:val="000E3AB2"/>
    <w:rsid w:val="000E661F"/>
    <w:rsid w:val="000E7E21"/>
    <w:rsid w:val="000F4288"/>
    <w:rsid w:val="000F43A0"/>
    <w:rsid w:val="000F51C4"/>
    <w:rsid w:val="000F7165"/>
    <w:rsid w:val="00100F7A"/>
    <w:rsid w:val="00102379"/>
    <w:rsid w:val="001065D6"/>
    <w:rsid w:val="001068D5"/>
    <w:rsid w:val="001074A0"/>
    <w:rsid w:val="0010781C"/>
    <w:rsid w:val="00121252"/>
    <w:rsid w:val="00121F70"/>
    <w:rsid w:val="00122D91"/>
    <w:rsid w:val="00124609"/>
    <w:rsid w:val="001254CE"/>
    <w:rsid w:val="0012626B"/>
    <w:rsid w:val="00132968"/>
    <w:rsid w:val="00132E0D"/>
    <w:rsid w:val="001422CC"/>
    <w:rsid w:val="00146C0C"/>
    <w:rsid w:val="001602DF"/>
    <w:rsid w:val="001617B6"/>
    <w:rsid w:val="00162750"/>
    <w:rsid w:val="001659F2"/>
    <w:rsid w:val="00165E66"/>
    <w:rsid w:val="001834DF"/>
    <w:rsid w:val="00196143"/>
    <w:rsid w:val="001A1090"/>
    <w:rsid w:val="001A77DC"/>
    <w:rsid w:val="001B6E62"/>
    <w:rsid w:val="001C7BAE"/>
    <w:rsid w:val="001C7C39"/>
    <w:rsid w:val="001D07DE"/>
    <w:rsid w:val="001D61B2"/>
    <w:rsid w:val="001E31FA"/>
    <w:rsid w:val="001E382F"/>
    <w:rsid w:val="001E64F6"/>
    <w:rsid w:val="001E7B8A"/>
    <w:rsid w:val="00200ECD"/>
    <w:rsid w:val="002010BC"/>
    <w:rsid w:val="00204B82"/>
    <w:rsid w:val="00204F25"/>
    <w:rsid w:val="00206B12"/>
    <w:rsid w:val="00214AB9"/>
    <w:rsid w:val="00214C70"/>
    <w:rsid w:val="0022175E"/>
    <w:rsid w:val="00222534"/>
    <w:rsid w:val="00222BEB"/>
    <w:rsid w:val="00225E60"/>
    <w:rsid w:val="0023202C"/>
    <w:rsid w:val="00241517"/>
    <w:rsid w:val="00245043"/>
    <w:rsid w:val="0025361C"/>
    <w:rsid w:val="0025621E"/>
    <w:rsid w:val="00261EA4"/>
    <w:rsid w:val="00263307"/>
    <w:rsid w:val="00271AA6"/>
    <w:rsid w:val="002810AD"/>
    <w:rsid w:val="00283CA3"/>
    <w:rsid w:val="00285213"/>
    <w:rsid w:val="00292D36"/>
    <w:rsid w:val="00297111"/>
    <w:rsid w:val="00297281"/>
    <w:rsid w:val="002A084D"/>
    <w:rsid w:val="002A27C5"/>
    <w:rsid w:val="002A28F7"/>
    <w:rsid w:val="002B0BBD"/>
    <w:rsid w:val="002B5E2B"/>
    <w:rsid w:val="002C0B64"/>
    <w:rsid w:val="002D02F5"/>
    <w:rsid w:val="002D4EE5"/>
    <w:rsid w:val="002D6C85"/>
    <w:rsid w:val="002D711A"/>
    <w:rsid w:val="002D7336"/>
    <w:rsid w:val="002E3396"/>
    <w:rsid w:val="002E3AEC"/>
    <w:rsid w:val="002E5B41"/>
    <w:rsid w:val="002E5CDD"/>
    <w:rsid w:val="002E7931"/>
    <w:rsid w:val="002F4151"/>
    <w:rsid w:val="002F7A0C"/>
    <w:rsid w:val="0030280A"/>
    <w:rsid w:val="00303406"/>
    <w:rsid w:val="0030656E"/>
    <w:rsid w:val="0031149C"/>
    <w:rsid w:val="00314B6A"/>
    <w:rsid w:val="00316A4E"/>
    <w:rsid w:val="00331FF5"/>
    <w:rsid w:val="0033298B"/>
    <w:rsid w:val="00334580"/>
    <w:rsid w:val="00335A67"/>
    <w:rsid w:val="003467BF"/>
    <w:rsid w:val="003533CE"/>
    <w:rsid w:val="003554BF"/>
    <w:rsid w:val="00364F1A"/>
    <w:rsid w:val="0038771C"/>
    <w:rsid w:val="00387A01"/>
    <w:rsid w:val="003A1B1A"/>
    <w:rsid w:val="003A2419"/>
    <w:rsid w:val="003A541A"/>
    <w:rsid w:val="003A6923"/>
    <w:rsid w:val="003A7D85"/>
    <w:rsid w:val="003B6A70"/>
    <w:rsid w:val="003C2C67"/>
    <w:rsid w:val="003C3537"/>
    <w:rsid w:val="003C3FCA"/>
    <w:rsid w:val="003C4FAA"/>
    <w:rsid w:val="003C5BA4"/>
    <w:rsid w:val="003E3E26"/>
    <w:rsid w:val="003F1295"/>
    <w:rsid w:val="003F17D5"/>
    <w:rsid w:val="003F76FC"/>
    <w:rsid w:val="004002EB"/>
    <w:rsid w:val="004006B2"/>
    <w:rsid w:val="00403780"/>
    <w:rsid w:val="00403D43"/>
    <w:rsid w:val="00406234"/>
    <w:rsid w:val="00406471"/>
    <w:rsid w:val="00407BA8"/>
    <w:rsid w:val="0041128D"/>
    <w:rsid w:val="004122AE"/>
    <w:rsid w:val="00412DA0"/>
    <w:rsid w:val="00413A48"/>
    <w:rsid w:val="00413AB9"/>
    <w:rsid w:val="004231B5"/>
    <w:rsid w:val="004236C8"/>
    <w:rsid w:val="00423753"/>
    <w:rsid w:val="00427681"/>
    <w:rsid w:val="00427ACE"/>
    <w:rsid w:val="00433DB7"/>
    <w:rsid w:val="00435EE9"/>
    <w:rsid w:val="00444AC8"/>
    <w:rsid w:val="00445DEE"/>
    <w:rsid w:val="00450FD9"/>
    <w:rsid w:val="004523BC"/>
    <w:rsid w:val="00453750"/>
    <w:rsid w:val="00454ABB"/>
    <w:rsid w:val="00456941"/>
    <w:rsid w:val="00464D04"/>
    <w:rsid w:val="004702EA"/>
    <w:rsid w:val="004719E6"/>
    <w:rsid w:val="004725FB"/>
    <w:rsid w:val="00481610"/>
    <w:rsid w:val="0048259C"/>
    <w:rsid w:val="00482AE7"/>
    <w:rsid w:val="00482D02"/>
    <w:rsid w:val="00486591"/>
    <w:rsid w:val="00493FFD"/>
    <w:rsid w:val="004975E4"/>
    <w:rsid w:val="004A359A"/>
    <w:rsid w:val="004A5FC4"/>
    <w:rsid w:val="004A7519"/>
    <w:rsid w:val="004B03A0"/>
    <w:rsid w:val="004D1C89"/>
    <w:rsid w:val="004D3518"/>
    <w:rsid w:val="004D483D"/>
    <w:rsid w:val="004D4D61"/>
    <w:rsid w:val="004D62D6"/>
    <w:rsid w:val="004E41AF"/>
    <w:rsid w:val="004E49E1"/>
    <w:rsid w:val="004E6956"/>
    <w:rsid w:val="004F4803"/>
    <w:rsid w:val="00504EE7"/>
    <w:rsid w:val="00513235"/>
    <w:rsid w:val="005162CD"/>
    <w:rsid w:val="0053416C"/>
    <w:rsid w:val="00541C2F"/>
    <w:rsid w:val="0054341B"/>
    <w:rsid w:val="005434B1"/>
    <w:rsid w:val="005457A4"/>
    <w:rsid w:val="005476DA"/>
    <w:rsid w:val="00547CEA"/>
    <w:rsid w:val="00552D07"/>
    <w:rsid w:val="005532E7"/>
    <w:rsid w:val="00554BC6"/>
    <w:rsid w:val="00563527"/>
    <w:rsid w:val="0057219C"/>
    <w:rsid w:val="005728F0"/>
    <w:rsid w:val="00573F52"/>
    <w:rsid w:val="00574AF6"/>
    <w:rsid w:val="00576428"/>
    <w:rsid w:val="00580339"/>
    <w:rsid w:val="0058124E"/>
    <w:rsid w:val="0058456A"/>
    <w:rsid w:val="005875A3"/>
    <w:rsid w:val="00590246"/>
    <w:rsid w:val="005975AF"/>
    <w:rsid w:val="005A247A"/>
    <w:rsid w:val="005A3416"/>
    <w:rsid w:val="005B27FE"/>
    <w:rsid w:val="005B4B08"/>
    <w:rsid w:val="005B79CB"/>
    <w:rsid w:val="005B7A5A"/>
    <w:rsid w:val="005C0CE6"/>
    <w:rsid w:val="005D3A7C"/>
    <w:rsid w:val="005E0786"/>
    <w:rsid w:val="005E4C16"/>
    <w:rsid w:val="005E51EE"/>
    <w:rsid w:val="005F09E3"/>
    <w:rsid w:val="005F61DF"/>
    <w:rsid w:val="006023F9"/>
    <w:rsid w:val="0060329E"/>
    <w:rsid w:val="00610266"/>
    <w:rsid w:val="00610559"/>
    <w:rsid w:val="0061303B"/>
    <w:rsid w:val="00613DC6"/>
    <w:rsid w:val="00615586"/>
    <w:rsid w:val="0061592F"/>
    <w:rsid w:val="006205B4"/>
    <w:rsid w:val="00621A5F"/>
    <w:rsid w:val="00632F2E"/>
    <w:rsid w:val="006332F6"/>
    <w:rsid w:val="006458C7"/>
    <w:rsid w:val="006534B2"/>
    <w:rsid w:val="006550E7"/>
    <w:rsid w:val="0065615D"/>
    <w:rsid w:val="00657011"/>
    <w:rsid w:val="00657E81"/>
    <w:rsid w:val="006650B5"/>
    <w:rsid w:val="006651B1"/>
    <w:rsid w:val="00665778"/>
    <w:rsid w:val="00672A6D"/>
    <w:rsid w:val="00675354"/>
    <w:rsid w:val="00675384"/>
    <w:rsid w:val="00676588"/>
    <w:rsid w:val="00686974"/>
    <w:rsid w:val="00690ADE"/>
    <w:rsid w:val="006911FB"/>
    <w:rsid w:val="006926C1"/>
    <w:rsid w:val="006940B6"/>
    <w:rsid w:val="0069470E"/>
    <w:rsid w:val="00697E9E"/>
    <w:rsid w:val="006A5B34"/>
    <w:rsid w:val="006C14F4"/>
    <w:rsid w:val="006C1DCD"/>
    <w:rsid w:val="006C333C"/>
    <w:rsid w:val="006C6042"/>
    <w:rsid w:val="006C77A9"/>
    <w:rsid w:val="006E0348"/>
    <w:rsid w:val="006E217D"/>
    <w:rsid w:val="006E3692"/>
    <w:rsid w:val="006F37F2"/>
    <w:rsid w:val="006F6693"/>
    <w:rsid w:val="006F7A03"/>
    <w:rsid w:val="00702D24"/>
    <w:rsid w:val="00707FE8"/>
    <w:rsid w:val="00710A2C"/>
    <w:rsid w:val="00711854"/>
    <w:rsid w:val="00711EBD"/>
    <w:rsid w:val="00714207"/>
    <w:rsid w:val="00714D5A"/>
    <w:rsid w:val="00724962"/>
    <w:rsid w:val="00724A0F"/>
    <w:rsid w:val="0072604A"/>
    <w:rsid w:val="00734E4D"/>
    <w:rsid w:val="00736732"/>
    <w:rsid w:val="00736E97"/>
    <w:rsid w:val="007406EB"/>
    <w:rsid w:val="0074118E"/>
    <w:rsid w:val="00741B2A"/>
    <w:rsid w:val="00745E05"/>
    <w:rsid w:val="00750CBE"/>
    <w:rsid w:val="00757A17"/>
    <w:rsid w:val="00766B5A"/>
    <w:rsid w:val="00772F0A"/>
    <w:rsid w:val="00775667"/>
    <w:rsid w:val="007770A5"/>
    <w:rsid w:val="00782A05"/>
    <w:rsid w:val="007834F2"/>
    <w:rsid w:val="00791020"/>
    <w:rsid w:val="00791754"/>
    <w:rsid w:val="0079509A"/>
    <w:rsid w:val="00797603"/>
    <w:rsid w:val="007A04D2"/>
    <w:rsid w:val="007A2755"/>
    <w:rsid w:val="007A5F82"/>
    <w:rsid w:val="007B1C17"/>
    <w:rsid w:val="007B5FE9"/>
    <w:rsid w:val="007B790F"/>
    <w:rsid w:val="007C49BD"/>
    <w:rsid w:val="007C7EAC"/>
    <w:rsid w:val="007D0366"/>
    <w:rsid w:val="007D065F"/>
    <w:rsid w:val="007E6CF8"/>
    <w:rsid w:val="007E7B3A"/>
    <w:rsid w:val="007E7BDA"/>
    <w:rsid w:val="007F1438"/>
    <w:rsid w:val="007F1A4C"/>
    <w:rsid w:val="00800AE4"/>
    <w:rsid w:val="008022C3"/>
    <w:rsid w:val="008041E6"/>
    <w:rsid w:val="008065D2"/>
    <w:rsid w:val="00811477"/>
    <w:rsid w:val="00816903"/>
    <w:rsid w:val="0082194C"/>
    <w:rsid w:val="008222FF"/>
    <w:rsid w:val="008241FF"/>
    <w:rsid w:val="008306D9"/>
    <w:rsid w:val="008359F6"/>
    <w:rsid w:val="0083708B"/>
    <w:rsid w:val="008411E9"/>
    <w:rsid w:val="0084200F"/>
    <w:rsid w:val="00843B2C"/>
    <w:rsid w:val="00845118"/>
    <w:rsid w:val="008612E2"/>
    <w:rsid w:val="00867676"/>
    <w:rsid w:val="008736D0"/>
    <w:rsid w:val="00874162"/>
    <w:rsid w:val="008808E8"/>
    <w:rsid w:val="00880AC4"/>
    <w:rsid w:val="008827BD"/>
    <w:rsid w:val="00883F5E"/>
    <w:rsid w:val="008859F9"/>
    <w:rsid w:val="00886082"/>
    <w:rsid w:val="00893367"/>
    <w:rsid w:val="008A12DC"/>
    <w:rsid w:val="008A4900"/>
    <w:rsid w:val="008A512D"/>
    <w:rsid w:val="008A73C2"/>
    <w:rsid w:val="008B0867"/>
    <w:rsid w:val="008C452E"/>
    <w:rsid w:val="008C7254"/>
    <w:rsid w:val="008C7A22"/>
    <w:rsid w:val="008D0281"/>
    <w:rsid w:val="008E2BB2"/>
    <w:rsid w:val="008F6D45"/>
    <w:rsid w:val="00905BD9"/>
    <w:rsid w:val="0090614A"/>
    <w:rsid w:val="00906443"/>
    <w:rsid w:val="00906EB5"/>
    <w:rsid w:val="009074EB"/>
    <w:rsid w:val="00915DD7"/>
    <w:rsid w:val="009160B0"/>
    <w:rsid w:val="00931A8D"/>
    <w:rsid w:val="0093568E"/>
    <w:rsid w:val="00937A10"/>
    <w:rsid w:val="00956A65"/>
    <w:rsid w:val="00957224"/>
    <w:rsid w:val="009578A1"/>
    <w:rsid w:val="009653A1"/>
    <w:rsid w:val="00965D23"/>
    <w:rsid w:val="00967717"/>
    <w:rsid w:val="0098143A"/>
    <w:rsid w:val="009834C0"/>
    <w:rsid w:val="00986AAC"/>
    <w:rsid w:val="00990373"/>
    <w:rsid w:val="009A1DA2"/>
    <w:rsid w:val="009A1F40"/>
    <w:rsid w:val="009A3704"/>
    <w:rsid w:val="009A4739"/>
    <w:rsid w:val="009A6679"/>
    <w:rsid w:val="009A674F"/>
    <w:rsid w:val="009B199C"/>
    <w:rsid w:val="009B61F1"/>
    <w:rsid w:val="009B62E0"/>
    <w:rsid w:val="009B76E1"/>
    <w:rsid w:val="009C3D88"/>
    <w:rsid w:val="009C70DB"/>
    <w:rsid w:val="009C7CB4"/>
    <w:rsid w:val="009D26A8"/>
    <w:rsid w:val="009E3858"/>
    <w:rsid w:val="009E70DD"/>
    <w:rsid w:val="009E7E79"/>
    <w:rsid w:val="009F2ED9"/>
    <w:rsid w:val="009F3231"/>
    <w:rsid w:val="009F5ABA"/>
    <w:rsid w:val="009F5C58"/>
    <w:rsid w:val="00A00CA4"/>
    <w:rsid w:val="00A00CD6"/>
    <w:rsid w:val="00A023A0"/>
    <w:rsid w:val="00A05683"/>
    <w:rsid w:val="00A0573D"/>
    <w:rsid w:val="00A1060E"/>
    <w:rsid w:val="00A13839"/>
    <w:rsid w:val="00A1562B"/>
    <w:rsid w:val="00A170F4"/>
    <w:rsid w:val="00A21CFD"/>
    <w:rsid w:val="00A25A72"/>
    <w:rsid w:val="00A35D5E"/>
    <w:rsid w:val="00A4375C"/>
    <w:rsid w:val="00A43B81"/>
    <w:rsid w:val="00A45018"/>
    <w:rsid w:val="00A45BD8"/>
    <w:rsid w:val="00A46BA8"/>
    <w:rsid w:val="00A47634"/>
    <w:rsid w:val="00A53FA5"/>
    <w:rsid w:val="00A579B4"/>
    <w:rsid w:val="00A612FE"/>
    <w:rsid w:val="00A75461"/>
    <w:rsid w:val="00A80724"/>
    <w:rsid w:val="00A83405"/>
    <w:rsid w:val="00A83426"/>
    <w:rsid w:val="00A85967"/>
    <w:rsid w:val="00A90630"/>
    <w:rsid w:val="00AA26B8"/>
    <w:rsid w:val="00AA699D"/>
    <w:rsid w:val="00AA6E9C"/>
    <w:rsid w:val="00AA7403"/>
    <w:rsid w:val="00AB0348"/>
    <w:rsid w:val="00AD0022"/>
    <w:rsid w:val="00AD3261"/>
    <w:rsid w:val="00AD68FD"/>
    <w:rsid w:val="00AD7E4E"/>
    <w:rsid w:val="00AE3F88"/>
    <w:rsid w:val="00AE4CC0"/>
    <w:rsid w:val="00AE5C8A"/>
    <w:rsid w:val="00AF35D8"/>
    <w:rsid w:val="00AF4D58"/>
    <w:rsid w:val="00AF6666"/>
    <w:rsid w:val="00B14FFE"/>
    <w:rsid w:val="00B30401"/>
    <w:rsid w:val="00B33A67"/>
    <w:rsid w:val="00B36236"/>
    <w:rsid w:val="00B40361"/>
    <w:rsid w:val="00B61B92"/>
    <w:rsid w:val="00B63969"/>
    <w:rsid w:val="00B81B44"/>
    <w:rsid w:val="00B82A0A"/>
    <w:rsid w:val="00B83528"/>
    <w:rsid w:val="00B9053B"/>
    <w:rsid w:val="00B90C74"/>
    <w:rsid w:val="00B95729"/>
    <w:rsid w:val="00B960BF"/>
    <w:rsid w:val="00BA1147"/>
    <w:rsid w:val="00BA2147"/>
    <w:rsid w:val="00BA38FD"/>
    <w:rsid w:val="00BA4826"/>
    <w:rsid w:val="00BB0897"/>
    <w:rsid w:val="00BB2A3C"/>
    <w:rsid w:val="00BB380C"/>
    <w:rsid w:val="00BB49CB"/>
    <w:rsid w:val="00BC3422"/>
    <w:rsid w:val="00BC5ACF"/>
    <w:rsid w:val="00BC77B2"/>
    <w:rsid w:val="00BD287C"/>
    <w:rsid w:val="00BF2F2F"/>
    <w:rsid w:val="00BF3B80"/>
    <w:rsid w:val="00BF5437"/>
    <w:rsid w:val="00BF6584"/>
    <w:rsid w:val="00BF70ED"/>
    <w:rsid w:val="00C00C5D"/>
    <w:rsid w:val="00C015B9"/>
    <w:rsid w:val="00C022F9"/>
    <w:rsid w:val="00C032EA"/>
    <w:rsid w:val="00C04113"/>
    <w:rsid w:val="00C06EB5"/>
    <w:rsid w:val="00C1145F"/>
    <w:rsid w:val="00C1154D"/>
    <w:rsid w:val="00C11CD1"/>
    <w:rsid w:val="00C122FE"/>
    <w:rsid w:val="00C2099A"/>
    <w:rsid w:val="00C27FE9"/>
    <w:rsid w:val="00C33AD3"/>
    <w:rsid w:val="00C35140"/>
    <w:rsid w:val="00C36AA2"/>
    <w:rsid w:val="00C37A74"/>
    <w:rsid w:val="00C43D51"/>
    <w:rsid w:val="00C53CF7"/>
    <w:rsid w:val="00C60440"/>
    <w:rsid w:val="00C637E1"/>
    <w:rsid w:val="00C70D50"/>
    <w:rsid w:val="00C72252"/>
    <w:rsid w:val="00C748C0"/>
    <w:rsid w:val="00C84DAF"/>
    <w:rsid w:val="00C85E91"/>
    <w:rsid w:val="00C86EDB"/>
    <w:rsid w:val="00C907D7"/>
    <w:rsid w:val="00C90A63"/>
    <w:rsid w:val="00C92091"/>
    <w:rsid w:val="00C92338"/>
    <w:rsid w:val="00C93AD6"/>
    <w:rsid w:val="00C96337"/>
    <w:rsid w:val="00CB3976"/>
    <w:rsid w:val="00CB7410"/>
    <w:rsid w:val="00CD0307"/>
    <w:rsid w:val="00CD29FF"/>
    <w:rsid w:val="00CD3D1B"/>
    <w:rsid w:val="00CE0437"/>
    <w:rsid w:val="00CE3600"/>
    <w:rsid w:val="00D00949"/>
    <w:rsid w:val="00D104D2"/>
    <w:rsid w:val="00D12CCD"/>
    <w:rsid w:val="00D12E74"/>
    <w:rsid w:val="00D20526"/>
    <w:rsid w:val="00D2312F"/>
    <w:rsid w:val="00D23592"/>
    <w:rsid w:val="00D269C1"/>
    <w:rsid w:val="00D26E17"/>
    <w:rsid w:val="00D40E61"/>
    <w:rsid w:val="00D415FB"/>
    <w:rsid w:val="00D41B2F"/>
    <w:rsid w:val="00D44953"/>
    <w:rsid w:val="00D51D32"/>
    <w:rsid w:val="00D542F3"/>
    <w:rsid w:val="00D5447F"/>
    <w:rsid w:val="00D54513"/>
    <w:rsid w:val="00D5644B"/>
    <w:rsid w:val="00D56E25"/>
    <w:rsid w:val="00D57E89"/>
    <w:rsid w:val="00D63329"/>
    <w:rsid w:val="00D64488"/>
    <w:rsid w:val="00D718D7"/>
    <w:rsid w:val="00D7503D"/>
    <w:rsid w:val="00D814B7"/>
    <w:rsid w:val="00D820F6"/>
    <w:rsid w:val="00D90688"/>
    <w:rsid w:val="00D9389F"/>
    <w:rsid w:val="00D948EB"/>
    <w:rsid w:val="00DA213A"/>
    <w:rsid w:val="00DA3AAD"/>
    <w:rsid w:val="00DA689B"/>
    <w:rsid w:val="00DA717E"/>
    <w:rsid w:val="00DB1075"/>
    <w:rsid w:val="00DB312B"/>
    <w:rsid w:val="00DB6F4C"/>
    <w:rsid w:val="00DC4F90"/>
    <w:rsid w:val="00DC5654"/>
    <w:rsid w:val="00DC658F"/>
    <w:rsid w:val="00DE0A4E"/>
    <w:rsid w:val="00DE60CC"/>
    <w:rsid w:val="00DE62B5"/>
    <w:rsid w:val="00E0468E"/>
    <w:rsid w:val="00E05155"/>
    <w:rsid w:val="00E07BF3"/>
    <w:rsid w:val="00E11984"/>
    <w:rsid w:val="00E15C30"/>
    <w:rsid w:val="00E213BF"/>
    <w:rsid w:val="00E26B32"/>
    <w:rsid w:val="00E2791B"/>
    <w:rsid w:val="00E37B4E"/>
    <w:rsid w:val="00E407B6"/>
    <w:rsid w:val="00E41273"/>
    <w:rsid w:val="00E41EF1"/>
    <w:rsid w:val="00E42942"/>
    <w:rsid w:val="00E43053"/>
    <w:rsid w:val="00E44F81"/>
    <w:rsid w:val="00E45B97"/>
    <w:rsid w:val="00E50EC4"/>
    <w:rsid w:val="00E6132C"/>
    <w:rsid w:val="00E71BDF"/>
    <w:rsid w:val="00E751EF"/>
    <w:rsid w:val="00E76539"/>
    <w:rsid w:val="00E80EE0"/>
    <w:rsid w:val="00E83CA7"/>
    <w:rsid w:val="00E9003A"/>
    <w:rsid w:val="00E92192"/>
    <w:rsid w:val="00E93F5E"/>
    <w:rsid w:val="00EA52E1"/>
    <w:rsid w:val="00EB7C38"/>
    <w:rsid w:val="00EC7FC1"/>
    <w:rsid w:val="00ED487E"/>
    <w:rsid w:val="00EE7A0D"/>
    <w:rsid w:val="00F027D8"/>
    <w:rsid w:val="00F05D26"/>
    <w:rsid w:val="00F14349"/>
    <w:rsid w:val="00F15D7A"/>
    <w:rsid w:val="00F17CE1"/>
    <w:rsid w:val="00F2115C"/>
    <w:rsid w:val="00F22A92"/>
    <w:rsid w:val="00F22ABA"/>
    <w:rsid w:val="00F232C5"/>
    <w:rsid w:val="00F27BDB"/>
    <w:rsid w:val="00F33DA3"/>
    <w:rsid w:val="00F36B12"/>
    <w:rsid w:val="00F40095"/>
    <w:rsid w:val="00F47792"/>
    <w:rsid w:val="00F553CC"/>
    <w:rsid w:val="00F60F9F"/>
    <w:rsid w:val="00F64432"/>
    <w:rsid w:val="00F64F08"/>
    <w:rsid w:val="00F6612C"/>
    <w:rsid w:val="00F70055"/>
    <w:rsid w:val="00F734F5"/>
    <w:rsid w:val="00F73B5B"/>
    <w:rsid w:val="00F77BBC"/>
    <w:rsid w:val="00F77F63"/>
    <w:rsid w:val="00F82ABD"/>
    <w:rsid w:val="00F83A4A"/>
    <w:rsid w:val="00F92842"/>
    <w:rsid w:val="00F966B1"/>
    <w:rsid w:val="00F97739"/>
    <w:rsid w:val="00F97AFF"/>
    <w:rsid w:val="00F97D48"/>
    <w:rsid w:val="00FA0311"/>
    <w:rsid w:val="00FA0690"/>
    <w:rsid w:val="00FA1E17"/>
    <w:rsid w:val="00FB47D4"/>
    <w:rsid w:val="00FB646D"/>
    <w:rsid w:val="00FC11DA"/>
    <w:rsid w:val="00FC19A1"/>
    <w:rsid w:val="00FD640F"/>
    <w:rsid w:val="00FD6B4C"/>
    <w:rsid w:val="00FE2597"/>
    <w:rsid w:val="00FE5D7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uiPriority="49"/>
    <w:lsdException w:name="index 2" w:semiHidden="0"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49"/>
    <w:lsdException w:name="toc 8" w:uiPriority="49"/>
    <w:lsdException w:name="toc 9" w:uiPriority="49"/>
    <w:lsdException w:name="Normal Indent" w:semiHidden="0" w:uiPriority="9" w:qFormat="1"/>
    <w:lsdException w:name="header" w:semiHidden="0" w:uiPriority="24"/>
    <w:lsdException w:name="footer" w:semiHidden="0" w:uiPriority="24"/>
    <w:lsdException w:name="index heading" w:semiHidden="0" w:uiPriority="49"/>
    <w:lsdException w:name="caption" w:semiHidden="0" w:uiPriority="13" w:qFormat="1"/>
    <w:lsdException w:name="envelope address" w:uiPriority="49"/>
    <w:lsdException w:name="envelope return" w:uiPriority="49"/>
    <w:lsdException w:name="line number" w:uiPriority="49"/>
    <w:lsdException w:name="page number" w:semiHidden="0"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qFormat="1"/>
    <w:lsdException w:name="Closing" w:uiPriority="49"/>
    <w:lsdException w:name="Signature" w:uiPriority="49"/>
    <w:lsdException w:name="Default Paragraph Font" w:uiPriority="1" w:unhideWhenUsed="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Hyperlink" w:semiHidden="0"/>
    <w:lsdException w:name="Strong" w:uiPriority="0" w:qFormat="1"/>
    <w:lsdException w:name="Emphasis" w:uiPriority="20" w:qFormat="1"/>
    <w:lsdException w:name="Document Map" w:uiPriority="49"/>
    <w:lsdException w:name="Plain Text" w:uiPriority="49"/>
    <w:lsdException w:name="E-mail Signature" w:uiPriority="49"/>
    <w:lsdException w:name="HTML Top of Form" w:unhideWhenUsed="1"/>
    <w:lsdException w:name="HTML Bottom of Form" w:unhideWhenUsed="1"/>
    <w:lsdException w:name="HTML Address" w:uiPriority="49"/>
    <w:lsdException w:name="HTML Preformatted" w:uiPriority="49"/>
    <w:lsdException w:name="Normal Table" w:unhideWhenUsed="1"/>
    <w:lsdException w:name="annotation subject" w:uiPriority="49"/>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49"/>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qFormat/>
    <w:rsid w:val="005457A4"/>
    <w:pPr>
      <w:spacing w:before="160" w:after="100"/>
    </w:pPr>
    <w:rPr>
      <w:spacing w:val="2"/>
    </w:rPr>
  </w:style>
  <w:style w:type="paragraph" w:styleId="Heading1">
    <w:name w:val="heading 1"/>
    <w:next w:val="Normal"/>
    <w:link w:val="Heading1Char"/>
    <w:uiPriority w:val="3"/>
    <w:qFormat/>
    <w:rsid w:val="00986AA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Indent"/>
    <w:next w:val="Normal"/>
    <w:link w:val="Heading5Char"/>
    <w:uiPriority w:val="3"/>
    <w:qFormat/>
    <w:rsid w:val="006926C1"/>
    <w:pPr>
      <w:keepNext/>
      <w:outlineLvl w:val="4"/>
    </w:pPr>
    <w:rPr>
      <w:b/>
      <w:color w:val="0063A6" w:themeColor="accent1"/>
    </w:rPr>
  </w:style>
  <w:style w:type="paragraph" w:styleId="Heading6">
    <w:name w:val="heading 6"/>
    <w:basedOn w:val="Normal"/>
    <w:next w:val="Normal"/>
    <w:link w:val="Heading6Char"/>
    <w:uiPriority w:val="3"/>
    <w:semiHidden/>
    <w:qFormat/>
    <w:rsid w:val="005476DA"/>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5476DA"/>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5476DA"/>
    <w:pPr>
      <w:outlineLvl w:val="7"/>
    </w:pPr>
    <w:rPr>
      <w:b w:val="0"/>
    </w:rPr>
  </w:style>
  <w:style w:type="paragraph" w:styleId="Heading9">
    <w:name w:val="heading 9"/>
    <w:basedOn w:val="Heading8"/>
    <w:next w:val="Normal"/>
    <w:link w:val="Heading9Char"/>
    <w:uiPriority w:val="3"/>
    <w:semiHidden/>
    <w:qFormat/>
    <w:rsid w:val="005476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35EE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49"/>
    <w:semiHidden/>
    <w:rsid w:val="00DA3AAD"/>
    <w:pPr>
      <w:spacing w:after="60" w:line="240" w:lineRule="auto"/>
    </w:pPr>
    <w:rPr>
      <w:sz w:val="16"/>
    </w:rPr>
  </w:style>
  <w:style w:type="paragraph" w:styleId="Index2">
    <w:name w:val="index 2"/>
    <w:basedOn w:val="Normal"/>
    <w:next w:val="Normal"/>
    <w:uiPriority w:val="4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986AA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uiPriority w:val="3"/>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qFormat/>
    <w:rsid w:val="00B9053B"/>
    <w:pPr>
      <w:numPr>
        <w:ilvl w:val="1"/>
      </w:numPr>
    </w:pPr>
  </w:style>
  <w:style w:type="paragraph" w:customStyle="1" w:styleId="Bulletindent">
    <w:name w:val="Bullet indent"/>
    <w:basedOn w:val="Bullet2"/>
    <w:uiPriority w:val="5"/>
    <w:qFormat/>
    <w:rsid w:val="0023202C"/>
    <w:pPr>
      <w:numPr>
        <w:ilvl w:val="2"/>
      </w:numPr>
    </w:pPr>
  </w:style>
  <w:style w:type="paragraph" w:customStyle="1" w:styleId="Heading1numbered">
    <w:name w:val="Heading 1 numbered"/>
    <w:basedOn w:val="Heading1"/>
    <w:next w:val="NormalIndent"/>
    <w:uiPriority w:val="4"/>
    <w:qFormat/>
    <w:rsid w:val="0023202C"/>
    <w:pPr>
      <w:numPr>
        <w:ilvl w:val="2"/>
        <w:numId w:val="2"/>
      </w:numPr>
    </w:pPr>
  </w:style>
  <w:style w:type="paragraph" w:customStyle="1" w:styleId="Heading2numbered">
    <w:name w:val="Heading 2 numbered"/>
    <w:basedOn w:val="Heading2"/>
    <w:next w:val="NormalIndent"/>
    <w:uiPriority w:val="4"/>
    <w:qFormat/>
    <w:rsid w:val="0023202C"/>
    <w:pPr>
      <w:numPr>
        <w:ilvl w:val="3"/>
        <w:numId w:val="2"/>
      </w:numPr>
    </w:pPr>
  </w:style>
  <w:style w:type="paragraph" w:customStyle="1" w:styleId="Heading3numbered">
    <w:name w:val="Heading 3 numbered"/>
    <w:basedOn w:val="Heading3"/>
    <w:next w:val="NormalIndent"/>
    <w:uiPriority w:val="4"/>
    <w:qFormat/>
    <w:rsid w:val="0023202C"/>
    <w:pPr>
      <w:numPr>
        <w:ilvl w:val="4"/>
        <w:numId w:val="2"/>
      </w:numPr>
    </w:pPr>
  </w:style>
  <w:style w:type="character" w:customStyle="1" w:styleId="Heading3Char">
    <w:name w:val="Heading 3 Char"/>
    <w:basedOn w:val="DefaultParagraphFont"/>
    <w:link w:val="Heading3"/>
    <w:uiPriority w:val="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D5644B"/>
    <w:pPr>
      <w:numPr>
        <w:ilvl w:val="5"/>
        <w:numId w:val="2"/>
      </w:numPr>
    </w:pPr>
  </w:style>
  <w:style w:type="character" w:customStyle="1" w:styleId="Heading4Char">
    <w:name w:val="Heading 4 Char"/>
    <w:basedOn w:val="DefaultParagraphFont"/>
    <w:link w:val="Heading4"/>
    <w:uiPriority w:val="3"/>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uiPriority w:val="49"/>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29"/>
    <w:qFormat/>
    <w:rsid w:val="001254CE"/>
    <w:pPr>
      <w:spacing w:after="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29"/>
    <w:rsid w:val="001254CE"/>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1254CE"/>
    <w:pPr>
      <w:spacing w:after="0" w:line="440" w:lineRule="exact"/>
    </w:pPr>
    <w:rPr>
      <w:rFonts w:asciiTheme="majorHAnsi" w:eastAsia="Times New Roman" w:hAnsiTheme="majorHAnsi" w:cstheme="majorHAnsi"/>
      <w:color w:val="FFFFFF" w:themeColor="background1"/>
      <w:spacing w:val="-2"/>
      <w:sz w:val="36"/>
      <w:szCs w:val="40"/>
      <w:lang w:eastAsia="en-US"/>
    </w:rPr>
  </w:style>
  <w:style w:type="paragraph" w:styleId="Title">
    <w:name w:val="Title"/>
    <w:next w:val="Subtitle"/>
    <w:link w:val="TitleChar"/>
    <w:uiPriority w:val="28"/>
    <w:qFormat/>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28"/>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4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23202C"/>
    <w:rPr>
      <w:rFonts w:ascii="Tahoma" w:hAnsi="Tahoma" w:cs="Tahoma"/>
      <w:spacing w:val="2"/>
      <w:sz w:val="16"/>
      <w:szCs w:val="16"/>
    </w:rPr>
  </w:style>
  <w:style w:type="paragraph" w:customStyle="1" w:styleId="Bulletindent2">
    <w:name w:val="Bullet indent 2"/>
    <w:basedOn w:val="Normal"/>
    <w:uiPriority w:val="5"/>
    <w:qFormat/>
    <w:rsid w:val="00E83CA7"/>
    <w:pPr>
      <w:numPr>
        <w:ilvl w:val="3"/>
        <w:numId w:val="1"/>
      </w:numPr>
      <w:spacing w:before="100"/>
      <w:contextualSpacing/>
    </w:pPr>
  </w:style>
  <w:style w:type="paragraph" w:styleId="IndexHeading">
    <w:name w:val="index heading"/>
    <w:basedOn w:val="Normal"/>
    <w:next w:val="Index1"/>
    <w:uiPriority w:val="49"/>
    <w:semiHidden/>
    <w:rsid w:val="00014B55"/>
    <w:rPr>
      <w:rFonts w:asciiTheme="majorHAnsi" w:eastAsiaTheme="majorEastAsia" w:hAnsiTheme="majorHAnsi" w:cstheme="majorBidi"/>
      <w:b/>
      <w:bCs/>
    </w:rPr>
  </w:style>
  <w:style w:type="paragraph" w:styleId="Header">
    <w:name w:val="header"/>
    <w:basedOn w:val="Normal"/>
    <w:link w:val="HeaderChar"/>
    <w:uiPriority w:val="24"/>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24"/>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CB3976"/>
    <w:rPr>
      <w:rFonts w:asciiTheme="minorHAnsi" w:hAnsiTheme="minorHAnsi"/>
      <w:b w:val="0"/>
      <w:color w:val="auto"/>
    </w:rPr>
  </w:style>
  <w:style w:type="paragraph" w:styleId="TOCHeading">
    <w:name w:val="TOC Heading"/>
    <w:basedOn w:val="Heading1"/>
    <w:next w:val="Normal"/>
    <w:uiPriority w:val="29"/>
    <w:qFormat/>
    <w:rsid w:val="00D44953"/>
    <w:pPr>
      <w:spacing w:before="480" w:after="720"/>
      <w:outlineLvl w:val="9"/>
    </w:pPr>
    <w:rPr>
      <w:spacing w:val="2"/>
    </w:rPr>
  </w:style>
  <w:style w:type="paragraph" w:customStyle="1" w:styleId="NormalTight">
    <w:name w:val="Normal Tight"/>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E2791B"/>
    <w:pPr>
      <w:tabs>
        <w:tab w:val="left" w:pos="1080"/>
      </w:tabs>
      <w:spacing w:after="0"/>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A21CFD"/>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
    <w:name w:val="Mandatory"/>
    <w:basedOn w:val="TableGrid"/>
    <w:uiPriority w:val="99"/>
    <w:rsid w:val="00435EE9"/>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cPr>
      <w:shd w:val="clear" w:color="auto" w:fill="FFFFFF" w:themeFill="background1"/>
    </w:tc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F37F2"/>
    <w:pPr>
      <w:spacing w:before="60" w:after="60" w:line="264" w:lineRule="auto"/>
    </w:pPr>
    <w:rPr>
      <w:sz w:val="17"/>
    </w:rPr>
  </w:style>
  <w:style w:type="paragraph" w:customStyle="1" w:styleId="Tabletextright">
    <w:name w:val="Table text right"/>
    <w:basedOn w:val="Tabletext"/>
    <w:uiPriority w:val="7"/>
    <w:qFormat/>
    <w:rsid w:val="00B9053B"/>
    <w:pPr>
      <w:jc w:val="right"/>
    </w:pPr>
  </w:style>
  <w:style w:type="paragraph" w:customStyle="1" w:styleId="Listnumindent2">
    <w:name w:val="List num indent 2"/>
    <w:basedOn w:val="Normal"/>
    <w:uiPriority w:val="5"/>
    <w:qFormat/>
    <w:rsid w:val="00102379"/>
    <w:pPr>
      <w:numPr>
        <w:ilvl w:val="7"/>
        <w:numId w:val="2"/>
      </w:numPr>
      <w:spacing w:before="100"/>
      <w:contextualSpacing/>
    </w:pPr>
  </w:style>
  <w:style w:type="paragraph" w:customStyle="1" w:styleId="Listnumindent">
    <w:name w:val="List num indent"/>
    <w:basedOn w:val="Normal"/>
    <w:uiPriority w:val="5"/>
    <w:qFormat/>
    <w:rsid w:val="00102379"/>
    <w:pPr>
      <w:numPr>
        <w:ilvl w:val="6"/>
        <w:numId w:val="2"/>
      </w:numPr>
      <w:spacing w:before="100"/>
    </w:pPr>
  </w:style>
  <w:style w:type="paragraph" w:customStyle="1" w:styleId="Listnum">
    <w:name w:val="List num"/>
    <w:basedOn w:val="Normal"/>
    <w:uiPriority w:val="2"/>
    <w:qFormat/>
    <w:rsid w:val="004A7519"/>
    <w:pPr>
      <w:numPr>
        <w:numId w:val="2"/>
      </w:numPr>
      <w:tabs>
        <w:tab w:val="clear" w:pos="9433"/>
        <w:tab w:val="num" w:pos="360"/>
      </w:tabs>
      <w:ind w:left="360"/>
    </w:pPr>
  </w:style>
  <w:style w:type="paragraph" w:customStyle="1" w:styleId="Listnum2">
    <w:name w:val="List num 2"/>
    <w:basedOn w:val="Normal"/>
    <w:uiPriority w:val="2"/>
    <w:qFormat/>
    <w:rsid w:val="004A7519"/>
    <w:pPr>
      <w:numPr>
        <w:ilvl w:val="1"/>
        <w:numId w:val="2"/>
      </w:numPr>
    </w:pPr>
  </w:style>
  <w:style w:type="paragraph" w:customStyle="1" w:styleId="Tabletextcentred">
    <w:name w:val="Table text centred"/>
    <w:basedOn w:val="Tabletext"/>
    <w:uiPriority w:val="7"/>
    <w:qFormat/>
    <w:rsid w:val="00B9053B"/>
    <w:pPr>
      <w:jc w:val="center"/>
    </w:pPr>
  </w:style>
  <w:style w:type="paragraph" w:customStyle="1" w:styleId="Tableheader">
    <w:name w:val="Table header"/>
    <w:basedOn w:val="Tabletext"/>
    <w:uiPriority w:val="5"/>
    <w:qFormat/>
    <w:rsid w:val="00613DC6"/>
    <w:pPr>
      <w:keepNext/>
      <w:keepLines/>
      <w:spacing w:before="120"/>
      <w:jc w:val="center"/>
    </w:pPr>
    <w:rPr>
      <w:rFonts w:eastAsiaTheme="minorHAnsi"/>
      <w:b/>
      <w:color w:val="FFFFFF" w:themeColor="background1"/>
      <w:sz w:val="20"/>
      <w:szCs w:val="21"/>
      <w:lang w:eastAsia="en-US"/>
    </w:rPr>
  </w:style>
  <w:style w:type="paragraph" w:customStyle="1" w:styleId="Tablebullet">
    <w:name w:val="Table bullet"/>
    <w:basedOn w:val="Tabletext"/>
    <w:uiPriority w:val="6"/>
    <w:rsid w:val="00937A10"/>
    <w:pPr>
      <w:numPr>
        <w:numId w:val="3"/>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6"/>
    <w:qFormat/>
    <w:rsid w:val="00406471"/>
    <w:pPr>
      <w:ind w:left="792"/>
    </w:pPr>
    <w:rPr>
      <w:rFonts w:eastAsiaTheme="minorHAnsi"/>
      <w:szCs w:val="21"/>
      <w:lang w:eastAsia="en-US"/>
    </w:rPr>
  </w:style>
  <w:style w:type="paragraph" w:customStyle="1" w:styleId="Numparaindent">
    <w:name w:val="Num para indent"/>
    <w:basedOn w:val="Numpara"/>
    <w:uiPriority w:val="9"/>
    <w:qFormat/>
    <w:rsid w:val="000E2696"/>
    <w:pPr>
      <w:ind w:left="1296"/>
    </w:pPr>
  </w:style>
  <w:style w:type="paragraph" w:customStyle="1" w:styleId="Numpara">
    <w:name w:val="Num para"/>
    <w:basedOn w:val="Normal"/>
    <w:uiPriority w:val="3"/>
    <w:qFormat/>
    <w:rsid w:val="008A12DC"/>
    <w:pPr>
      <w:numPr>
        <w:numId w:val="4"/>
      </w:numPr>
      <w:tabs>
        <w:tab w:val="left" w:pos="540"/>
      </w:tabs>
      <w:contextualSpacing/>
    </w:pPr>
  </w:style>
  <w:style w:type="character" w:styleId="FootnoteReference">
    <w:name w:val="footnote reference"/>
    <w:uiPriority w:val="99"/>
    <w:rsid w:val="005476DA"/>
    <w:rPr>
      <w:vertAlign w:val="superscript"/>
    </w:rPr>
  </w:style>
  <w:style w:type="paragraph" w:styleId="FootnoteText">
    <w:name w:val="footnote text"/>
    <w:basedOn w:val="Normal"/>
    <w:link w:val="FootnoteTextChar"/>
    <w:uiPriority w:val="99"/>
    <w:semiHidden/>
    <w:rsid w:val="0060329E"/>
    <w:pPr>
      <w:spacing w:before="40" w:after="40" w:line="240" w:lineRule="auto"/>
    </w:pPr>
    <w:rPr>
      <w:rFonts w:ascii="Calibri" w:eastAsia="Times New Roman" w:hAnsi="Calibri" w:cs="Calibri"/>
      <w:spacing w:val="0"/>
      <w:sz w:val="19"/>
      <w:szCs w:val="22"/>
    </w:rPr>
  </w:style>
  <w:style w:type="character" w:customStyle="1" w:styleId="FootnoteTextChar">
    <w:name w:val="Footnote Text Char"/>
    <w:basedOn w:val="DefaultParagraphFont"/>
    <w:link w:val="FootnoteText"/>
    <w:uiPriority w:val="99"/>
    <w:semiHidden/>
    <w:rsid w:val="0060329E"/>
    <w:rPr>
      <w:rFonts w:ascii="Calibri" w:eastAsia="Times New Roman" w:hAnsi="Calibri" w:cs="Calibri"/>
      <w:sz w:val="19"/>
      <w:szCs w:val="22"/>
    </w:rPr>
  </w:style>
  <w:style w:type="paragraph" w:styleId="Caption">
    <w:name w:val="caption"/>
    <w:basedOn w:val="Normal"/>
    <w:next w:val="Normal"/>
    <w:uiPriority w:val="13"/>
    <w:qFormat/>
    <w:rsid w:val="005476DA"/>
    <w:pPr>
      <w:keepNext/>
      <w:keepLines/>
      <w:tabs>
        <w:tab w:val="left" w:pos="851"/>
      </w:tabs>
      <w:spacing w:before="60" w:after="60" w:line="228" w:lineRule="auto"/>
      <w:ind w:left="794"/>
    </w:pPr>
    <w:rPr>
      <w:rFonts w:ascii="Calibri" w:eastAsia="Times New Roman" w:hAnsi="Calibri" w:cs="Calibri"/>
      <w:b/>
      <w:spacing w:val="0"/>
      <w:sz w:val="22"/>
      <w:szCs w:val="22"/>
    </w:rPr>
  </w:style>
  <w:style w:type="character" w:styleId="CommentReference">
    <w:name w:val="annotation reference"/>
    <w:uiPriority w:val="99"/>
    <w:semiHidden/>
    <w:rsid w:val="005476DA"/>
    <w:rPr>
      <w:rFonts w:ascii="Calibri" w:hAnsi="Calibri"/>
      <w:sz w:val="16"/>
    </w:rPr>
  </w:style>
  <w:style w:type="paragraph" w:styleId="CommentText">
    <w:name w:val="annotation text"/>
    <w:basedOn w:val="Normal"/>
    <w:link w:val="CommentTextChar"/>
    <w:uiPriority w:val="99"/>
    <w:semiHidden/>
    <w:rsid w:val="005476DA"/>
    <w:pPr>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5476DA"/>
    <w:rPr>
      <w:rFonts w:ascii="Calibri" w:eastAsia="Times New Roman" w:hAnsi="Calibri" w:cs="Calibri"/>
      <w:sz w:val="22"/>
      <w:szCs w:val="22"/>
    </w:rPr>
  </w:style>
  <w:style w:type="paragraph" w:customStyle="1" w:styleId="Heading4indent">
    <w:name w:val="Heading 4 indent"/>
    <w:basedOn w:val="Heading4"/>
    <w:uiPriority w:val="4"/>
    <w:qFormat/>
    <w:rsid w:val="00241517"/>
    <w:pPr>
      <w:ind w:left="792"/>
    </w:pPr>
    <w:rPr>
      <w:sz w:val="21"/>
    </w:rPr>
  </w:style>
  <w:style w:type="character" w:customStyle="1" w:styleId="Heading6Char">
    <w:name w:val="Heading 6 Char"/>
    <w:basedOn w:val="DefaultParagraphFont"/>
    <w:link w:val="Heading6"/>
    <w:uiPriority w:val="3"/>
    <w:semiHidden/>
    <w:rsid w:val="005476DA"/>
    <w:rPr>
      <w:rFonts w:asciiTheme="majorHAnsi" w:eastAsiaTheme="majorEastAsia" w:hAnsiTheme="majorHAnsi" w:cstheme="majorBidi"/>
      <w:i/>
      <w:iCs/>
      <w:color w:val="003152" w:themeColor="accent1" w:themeShade="7F"/>
      <w:spacing w:val="2"/>
    </w:rPr>
  </w:style>
  <w:style w:type="character" w:customStyle="1" w:styleId="Heading7Char">
    <w:name w:val="Heading 7 Char"/>
    <w:basedOn w:val="DefaultParagraphFont"/>
    <w:link w:val="Heading7"/>
    <w:uiPriority w:val="3"/>
    <w:semiHidden/>
    <w:rsid w:val="005476DA"/>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5476DA"/>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5476DA"/>
    <w:rPr>
      <w:rFonts w:ascii="Calibri" w:eastAsia="Times New Roman" w:hAnsi="Calibri" w:cs="Calibri"/>
      <w:bCs/>
      <w:iCs/>
      <w:color w:val="404040"/>
      <w:sz w:val="22"/>
      <w:szCs w:val="22"/>
      <w:lang w:eastAsia="en-US"/>
    </w:rPr>
  </w:style>
  <w:style w:type="paragraph" w:customStyle="1" w:styleId="NormalIndent2">
    <w:name w:val="Normal Indent 2"/>
    <w:basedOn w:val="NormalIndent"/>
    <w:uiPriority w:val="4"/>
    <w:qFormat/>
    <w:rsid w:val="00D00949"/>
    <w:pPr>
      <w:ind w:left="1440"/>
    </w:pPr>
  </w:style>
  <w:style w:type="paragraph" w:customStyle="1" w:styleId="Tabletextnum">
    <w:name w:val="Table text num"/>
    <w:basedOn w:val="Listnumindent"/>
    <w:uiPriority w:val="4"/>
    <w:qFormat/>
    <w:rsid w:val="00406471"/>
    <w:pPr>
      <w:spacing w:line="264" w:lineRule="auto"/>
    </w:pPr>
    <w:rPr>
      <w:rFonts w:eastAsiaTheme="minorHAnsi"/>
      <w:sz w:val="17"/>
      <w:szCs w:val="21"/>
      <w:lang w:eastAsia="en-US"/>
    </w:rPr>
  </w:style>
  <w:style w:type="table" w:customStyle="1" w:styleId="VMIABasicTable1">
    <w:name w:val="VMIA Basic Table1"/>
    <w:basedOn w:val="TableNormal"/>
    <w:uiPriority w:val="99"/>
    <w:rsid w:val="005476DA"/>
    <w:pPr>
      <w:spacing w:after="0" w:line="240" w:lineRule="auto"/>
    </w:pPr>
    <w:rPr>
      <w:rFonts w:ascii="Arial" w:eastAsiaTheme="minorHAnsi" w:hAnsi="Arial"/>
      <w:sz w:val="22"/>
      <w:szCs w:val="22"/>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2"/>
      </w:rPr>
      <w:tblPr/>
      <w:tcPr>
        <w:shd w:val="clear" w:color="auto" w:fill="003366"/>
        <w:vAlign w:val="center"/>
      </w:tcPr>
    </w:tblStylePr>
  </w:style>
  <w:style w:type="character" w:customStyle="1" w:styleId="Heading5Char">
    <w:name w:val="Heading 5 Char"/>
    <w:basedOn w:val="DefaultParagraphFont"/>
    <w:link w:val="Heading5"/>
    <w:uiPriority w:val="3"/>
    <w:rsid w:val="005457A4"/>
    <w:rPr>
      <w:b/>
      <w:color w:val="0063A6" w:themeColor="accent1"/>
      <w:spacing w:val="2"/>
    </w:rPr>
  </w:style>
  <w:style w:type="paragraph" w:customStyle="1" w:styleId="TableBulletindent">
    <w:name w:val="Table Bullet indent"/>
    <w:basedOn w:val="Tablebullet"/>
    <w:uiPriority w:val="6"/>
    <w:qFormat/>
    <w:rsid w:val="0060329E"/>
    <w:pPr>
      <w:ind w:left="1584"/>
    </w:pPr>
    <w:rPr>
      <w:rFonts w:eastAsiaTheme="minorHAnsi"/>
      <w:szCs w:val="21"/>
      <w:lang w:eastAsia="en-US"/>
    </w:rPr>
  </w:style>
  <w:style w:type="paragraph" w:customStyle="1" w:styleId="CaptionTable">
    <w:name w:val="Caption Table"/>
    <w:basedOn w:val="Normal"/>
    <w:uiPriority w:val="14"/>
    <w:rsid w:val="005476DA"/>
    <w:pPr>
      <w:spacing w:before="100" w:line="240" w:lineRule="auto"/>
      <w:ind w:left="794"/>
    </w:pPr>
    <w:rPr>
      <w:rFonts w:ascii="Calibri" w:eastAsia="Times New Roman" w:hAnsi="Calibri" w:cs="Calibri"/>
      <w:b/>
      <w:spacing w:val="0"/>
      <w:sz w:val="22"/>
      <w:szCs w:val="22"/>
    </w:rPr>
  </w:style>
  <w:style w:type="numbering" w:styleId="111111">
    <w:name w:val="Outline List 2"/>
    <w:basedOn w:val="NoList"/>
    <w:uiPriority w:val="99"/>
    <w:semiHidden/>
    <w:unhideWhenUsed/>
    <w:rsid w:val="005476DA"/>
    <w:pPr>
      <w:numPr>
        <w:numId w:val="5"/>
      </w:numPr>
    </w:pPr>
  </w:style>
  <w:style w:type="numbering" w:styleId="1ai">
    <w:name w:val="Outline List 1"/>
    <w:basedOn w:val="NoList"/>
    <w:uiPriority w:val="99"/>
    <w:semiHidden/>
    <w:unhideWhenUsed/>
    <w:rsid w:val="005476DA"/>
    <w:pPr>
      <w:numPr>
        <w:numId w:val="6"/>
      </w:numPr>
    </w:pPr>
  </w:style>
  <w:style w:type="numbering" w:styleId="ArticleSection">
    <w:name w:val="Outline List 3"/>
    <w:basedOn w:val="NoList"/>
    <w:uiPriority w:val="99"/>
    <w:semiHidden/>
    <w:unhideWhenUsed/>
    <w:rsid w:val="005476DA"/>
    <w:pPr>
      <w:numPr>
        <w:numId w:val="7"/>
      </w:numPr>
    </w:pPr>
  </w:style>
  <w:style w:type="paragraph" w:styleId="Bibliography">
    <w:name w:val="Bibliography"/>
    <w:basedOn w:val="Normal"/>
    <w:next w:val="Normal"/>
    <w:uiPriority w:val="37"/>
    <w:semiHidden/>
    <w:unhideWhenUsed/>
    <w:rsid w:val="005476DA"/>
    <w:pPr>
      <w:spacing w:before="100" w:after="120" w:line="240" w:lineRule="auto"/>
      <w:ind w:left="794"/>
    </w:pPr>
    <w:rPr>
      <w:rFonts w:ascii="Calibri" w:eastAsia="Times New Roman" w:hAnsi="Calibri" w:cs="Calibri"/>
      <w:i/>
      <w:spacing w:val="0"/>
      <w:sz w:val="18"/>
      <w:szCs w:val="22"/>
    </w:rPr>
  </w:style>
  <w:style w:type="paragraph" w:styleId="BlockText">
    <w:name w:val="Block Text"/>
    <w:basedOn w:val="Normal"/>
    <w:uiPriority w:val="49"/>
    <w:semiHidden/>
    <w:rsid w:val="005476DA"/>
    <w:pPr>
      <w:spacing w:before="100" w:after="120" w:line="240" w:lineRule="auto"/>
      <w:ind w:left="1440" w:right="1440"/>
    </w:pPr>
    <w:rPr>
      <w:rFonts w:ascii="Calibri" w:eastAsia="Times New Roman" w:hAnsi="Calibri" w:cs="Calibri"/>
      <w:spacing w:val="0"/>
      <w:sz w:val="22"/>
      <w:szCs w:val="22"/>
    </w:rPr>
  </w:style>
  <w:style w:type="paragraph" w:styleId="BodyText2">
    <w:name w:val="Body Text 2"/>
    <w:basedOn w:val="Normal"/>
    <w:link w:val="BodyText2Char"/>
    <w:uiPriority w:val="49"/>
    <w:semiHidden/>
    <w:rsid w:val="005476DA"/>
    <w:pPr>
      <w:spacing w:before="100"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5476DA"/>
    <w:rPr>
      <w:rFonts w:ascii="Calibri" w:eastAsia="Times New Roman" w:hAnsi="Calibri" w:cs="Calibri"/>
      <w:sz w:val="22"/>
      <w:szCs w:val="22"/>
    </w:rPr>
  </w:style>
  <w:style w:type="paragraph" w:styleId="BodyText3">
    <w:name w:val="Body Text 3"/>
    <w:basedOn w:val="Normal"/>
    <w:link w:val="BodyText3Char"/>
    <w:uiPriority w:val="49"/>
    <w:semiHidden/>
    <w:rsid w:val="005476DA"/>
    <w:pPr>
      <w:spacing w:before="100"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5476DA"/>
    <w:rPr>
      <w:rFonts w:ascii="Calibri" w:eastAsia="Times New Roman" w:hAnsi="Calibri" w:cs="Calibri"/>
      <w:sz w:val="16"/>
      <w:szCs w:val="16"/>
    </w:rPr>
  </w:style>
  <w:style w:type="paragraph" w:styleId="BodyTextFirstIndent">
    <w:name w:val="Body Text First Indent"/>
    <w:basedOn w:val="BodyText"/>
    <w:link w:val="BodyTextFirstIndentChar"/>
    <w:uiPriority w:val="49"/>
    <w:semiHidden/>
    <w:rsid w:val="005476DA"/>
    <w:pPr>
      <w:spacing w:after="120"/>
      <w:ind w:firstLine="210"/>
    </w:pPr>
  </w:style>
  <w:style w:type="character" w:customStyle="1" w:styleId="BodyTextFirstIndentChar">
    <w:name w:val="Body Text First Indent Char"/>
    <w:basedOn w:val="BodyTextChar"/>
    <w:link w:val="BodyTextFirstIndent"/>
    <w:uiPriority w:val="49"/>
    <w:semiHidden/>
    <w:rsid w:val="005476DA"/>
    <w:rPr>
      <w:rFonts w:ascii="Calibri" w:eastAsia="Times New Roman" w:hAnsi="Calibri" w:cs="Calibri"/>
      <w:sz w:val="22"/>
      <w:szCs w:val="22"/>
    </w:rPr>
  </w:style>
  <w:style w:type="paragraph" w:styleId="BodyTextIndent">
    <w:name w:val="Body Text Indent"/>
    <w:basedOn w:val="Normal"/>
    <w:link w:val="BodyTextIndentChar"/>
    <w:uiPriority w:val="49"/>
    <w:semiHidden/>
    <w:rsid w:val="005476DA"/>
    <w:pPr>
      <w:spacing w:before="100"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5476DA"/>
    <w:rPr>
      <w:rFonts w:ascii="Calibri" w:eastAsia="Times New Roman" w:hAnsi="Calibri" w:cs="Calibri"/>
      <w:sz w:val="22"/>
      <w:szCs w:val="22"/>
    </w:rPr>
  </w:style>
  <w:style w:type="paragraph" w:styleId="BodyTextFirstIndent2">
    <w:name w:val="Body Text First Indent 2"/>
    <w:basedOn w:val="BodyTextIndent"/>
    <w:link w:val="BodyTextFirstIndent2Char"/>
    <w:uiPriority w:val="49"/>
    <w:semiHidden/>
    <w:rsid w:val="005476DA"/>
    <w:pPr>
      <w:ind w:firstLine="210"/>
    </w:pPr>
  </w:style>
  <w:style w:type="character" w:customStyle="1" w:styleId="BodyTextFirstIndent2Char">
    <w:name w:val="Body Text First Indent 2 Char"/>
    <w:basedOn w:val="BodyTextIndentChar"/>
    <w:link w:val="BodyTextFirstIndent2"/>
    <w:uiPriority w:val="49"/>
    <w:semiHidden/>
    <w:rsid w:val="005476DA"/>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5476DA"/>
    <w:pPr>
      <w:spacing w:before="100"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5476DA"/>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5476DA"/>
    <w:pPr>
      <w:spacing w:before="100"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5476DA"/>
    <w:rPr>
      <w:rFonts w:ascii="Calibri" w:eastAsia="Times New Roman" w:hAnsi="Calibri" w:cs="Calibri"/>
      <w:sz w:val="16"/>
      <w:szCs w:val="16"/>
    </w:rPr>
  </w:style>
  <w:style w:type="paragraph" w:styleId="Closing">
    <w:name w:val="Closing"/>
    <w:basedOn w:val="Normal"/>
    <w:link w:val="Closing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5476DA"/>
    <w:rPr>
      <w:rFonts w:ascii="Calibri" w:eastAsia="Times New Roman" w:hAnsi="Calibri" w:cs="Calibri"/>
      <w:sz w:val="22"/>
      <w:szCs w:val="22"/>
    </w:rPr>
  </w:style>
  <w:style w:type="table" w:styleId="ColorfulGrid">
    <w:name w:val="Colorful Grid"/>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49"/>
    <w:semiHidden/>
    <w:rsid w:val="005476DA"/>
    <w:rPr>
      <w:b/>
      <w:bCs/>
    </w:rPr>
  </w:style>
  <w:style w:type="character" w:customStyle="1" w:styleId="CommentSubjectChar">
    <w:name w:val="Comment Subject Char"/>
    <w:basedOn w:val="CommentTextChar"/>
    <w:link w:val="CommentSubject"/>
    <w:uiPriority w:val="49"/>
    <w:semiHidden/>
    <w:rsid w:val="005476DA"/>
    <w:rPr>
      <w:rFonts w:ascii="Calibri" w:eastAsia="Times New Roman" w:hAnsi="Calibri" w:cs="Calibri"/>
      <w:b/>
      <w:bCs/>
      <w:sz w:val="22"/>
      <w:szCs w:val="22"/>
    </w:rPr>
  </w:style>
  <w:style w:type="table" w:styleId="DarkList">
    <w:name w:val="Dark List"/>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5476DA"/>
    <w:pPr>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5476DA"/>
    <w:rPr>
      <w:rFonts w:ascii="Calibri" w:eastAsia="Times New Roman" w:hAnsi="Calibri" w:cs="Calibri"/>
      <w:sz w:val="22"/>
      <w:szCs w:val="22"/>
    </w:rPr>
  </w:style>
  <w:style w:type="paragraph" w:styleId="DocumentMap">
    <w:name w:val="Document Map"/>
    <w:basedOn w:val="Normal"/>
    <w:link w:val="DocumentMapChar"/>
    <w:uiPriority w:val="49"/>
    <w:semiHidden/>
    <w:rsid w:val="005476DA"/>
    <w:pPr>
      <w:shd w:val="clear" w:color="auto" w:fill="000080"/>
      <w:spacing w:before="100"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5476DA"/>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5476DA"/>
    <w:rPr>
      <w:rFonts w:ascii="Calibri" w:eastAsia="Times New Roman" w:hAnsi="Calibri" w:cs="Calibri"/>
      <w:sz w:val="22"/>
      <w:szCs w:val="22"/>
    </w:rPr>
  </w:style>
  <w:style w:type="character" w:styleId="EndnoteReference">
    <w:name w:val="endnote reference"/>
    <w:uiPriority w:val="49"/>
    <w:semiHidden/>
    <w:rsid w:val="005476DA"/>
    <w:rPr>
      <w:vertAlign w:val="superscript"/>
    </w:rPr>
  </w:style>
  <w:style w:type="paragraph" w:styleId="EndnoteText">
    <w:name w:val="endnote text"/>
    <w:basedOn w:val="Normal"/>
    <w:link w:val="Endnote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5476DA"/>
    <w:rPr>
      <w:rFonts w:ascii="Calibri" w:eastAsia="Times New Roman" w:hAnsi="Calibri" w:cs="Calibri"/>
      <w:sz w:val="22"/>
      <w:szCs w:val="22"/>
    </w:rPr>
  </w:style>
  <w:style w:type="paragraph" w:styleId="EnvelopeAddress">
    <w:name w:val="envelope address"/>
    <w:basedOn w:val="Normal"/>
    <w:uiPriority w:val="49"/>
    <w:semiHidden/>
    <w:rsid w:val="005476DA"/>
    <w:pPr>
      <w:framePr w:w="7920" w:h="1980" w:hRule="exact" w:hSpace="180" w:wrap="auto" w:hAnchor="page" w:xAlign="center" w:yAlign="bottom"/>
      <w:spacing w:before="100"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5476DA"/>
    <w:pPr>
      <w:spacing w:before="100"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5476DA"/>
    <w:pPr>
      <w:spacing w:before="100"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5476DA"/>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5476DA"/>
  </w:style>
  <w:style w:type="character" w:styleId="FollowedHyperlink">
    <w:name w:val="FollowedHyperlink"/>
    <w:uiPriority w:val="99"/>
    <w:semiHidden/>
    <w:rsid w:val="005476DA"/>
    <w:rPr>
      <w:color w:val="800080"/>
      <w:u w:val="single"/>
    </w:rPr>
  </w:style>
  <w:style w:type="character" w:styleId="HTMLAcronym">
    <w:name w:val="HTML Acronym"/>
    <w:basedOn w:val="DefaultParagraphFont"/>
    <w:uiPriority w:val="99"/>
    <w:semiHidden/>
    <w:rsid w:val="005476DA"/>
  </w:style>
  <w:style w:type="paragraph" w:styleId="HTMLAddress">
    <w:name w:val="HTML Address"/>
    <w:basedOn w:val="Normal"/>
    <w:link w:val="HTMLAddressChar"/>
    <w:uiPriority w:val="49"/>
    <w:semiHidden/>
    <w:rsid w:val="005476DA"/>
    <w:pPr>
      <w:spacing w:before="100"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5476DA"/>
    <w:rPr>
      <w:rFonts w:ascii="Calibri" w:eastAsia="Times New Roman" w:hAnsi="Calibri" w:cs="Calibri"/>
      <w:i/>
      <w:iCs/>
      <w:sz w:val="22"/>
      <w:szCs w:val="22"/>
    </w:rPr>
  </w:style>
  <w:style w:type="character" w:styleId="HTMLCite">
    <w:name w:val="HTML Cite"/>
    <w:uiPriority w:val="99"/>
    <w:semiHidden/>
    <w:rsid w:val="005476DA"/>
    <w:rPr>
      <w:i/>
      <w:iCs/>
    </w:rPr>
  </w:style>
  <w:style w:type="character" w:styleId="HTMLCode">
    <w:name w:val="HTML Code"/>
    <w:uiPriority w:val="99"/>
    <w:semiHidden/>
    <w:rsid w:val="005476DA"/>
    <w:rPr>
      <w:sz w:val="20"/>
      <w:szCs w:val="20"/>
    </w:rPr>
  </w:style>
  <w:style w:type="character" w:styleId="HTMLDefinition">
    <w:name w:val="HTML Definition"/>
    <w:uiPriority w:val="99"/>
    <w:semiHidden/>
    <w:rsid w:val="005476DA"/>
    <w:rPr>
      <w:i/>
      <w:iCs/>
    </w:rPr>
  </w:style>
  <w:style w:type="character" w:styleId="HTMLKeyboard">
    <w:name w:val="HTML Keyboard"/>
    <w:uiPriority w:val="99"/>
    <w:semiHidden/>
    <w:rsid w:val="005476DA"/>
    <w:rPr>
      <w:sz w:val="20"/>
      <w:szCs w:val="20"/>
    </w:rPr>
  </w:style>
  <w:style w:type="paragraph" w:styleId="HTMLPreformatted">
    <w:name w:val="HTML Preformatted"/>
    <w:basedOn w:val="Normal"/>
    <w:link w:val="HTMLPreformatted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5476DA"/>
    <w:rPr>
      <w:rFonts w:ascii="Calibri" w:eastAsia="Times New Roman" w:hAnsi="Calibri" w:cs="Calibri"/>
      <w:sz w:val="22"/>
      <w:szCs w:val="22"/>
    </w:rPr>
  </w:style>
  <w:style w:type="character" w:styleId="HTMLSample">
    <w:name w:val="HTML Sample"/>
    <w:uiPriority w:val="99"/>
    <w:semiHidden/>
    <w:rsid w:val="005476DA"/>
    <w:rPr>
      <w:sz w:val="24"/>
      <w:szCs w:val="24"/>
    </w:rPr>
  </w:style>
  <w:style w:type="character" w:styleId="HTMLTypewriter">
    <w:name w:val="HTML Typewriter"/>
    <w:uiPriority w:val="99"/>
    <w:semiHidden/>
    <w:rsid w:val="005476DA"/>
    <w:rPr>
      <w:sz w:val="20"/>
      <w:szCs w:val="20"/>
    </w:rPr>
  </w:style>
  <w:style w:type="character" w:styleId="HTMLVariable">
    <w:name w:val="HTML Variable"/>
    <w:uiPriority w:val="99"/>
    <w:semiHidden/>
    <w:rsid w:val="005476DA"/>
    <w:rPr>
      <w:i/>
      <w:iCs/>
    </w:rPr>
  </w:style>
  <w:style w:type="paragraph" w:styleId="Index3">
    <w:name w:val="index 3"/>
    <w:basedOn w:val="Normal"/>
    <w:next w:val="Normal"/>
    <w:autoRedefine/>
    <w:uiPriority w:val="49"/>
    <w:semiHidden/>
    <w:rsid w:val="005476DA"/>
    <w:pPr>
      <w:spacing w:before="100"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5476DA"/>
    <w:pPr>
      <w:spacing w:before="100"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5476DA"/>
    <w:pPr>
      <w:spacing w:before="100"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5476DA"/>
    <w:pPr>
      <w:spacing w:before="100"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5476DA"/>
    <w:pPr>
      <w:spacing w:before="100"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5476DA"/>
    <w:pPr>
      <w:spacing w:before="100"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5476DA"/>
    <w:pPr>
      <w:spacing w:before="100"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5476DA"/>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5476DA"/>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5476DA"/>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476DA"/>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476DA"/>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76DA"/>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476DA"/>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5476DA"/>
  </w:style>
  <w:style w:type="paragraph" w:styleId="List">
    <w:name w:val="List"/>
    <w:basedOn w:val="Normal"/>
    <w:uiPriority w:val="49"/>
    <w:semiHidden/>
    <w:rsid w:val="005476DA"/>
    <w:pPr>
      <w:spacing w:before="100"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5476DA"/>
    <w:pPr>
      <w:spacing w:before="100"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5476DA"/>
    <w:pPr>
      <w:spacing w:before="100"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5476DA"/>
    <w:pPr>
      <w:spacing w:before="100"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5476DA"/>
    <w:pPr>
      <w:spacing w:before="100"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5476DA"/>
    <w:pPr>
      <w:numPr>
        <w:numId w:val="8"/>
      </w:numPr>
      <w:spacing w:before="100"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5476DA"/>
    <w:pPr>
      <w:numPr>
        <w:numId w:val="9"/>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5476DA"/>
    <w:pPr>
      <w:numPr>
        <w:numId w:val="10"/>
      </w:numPr>
      <w:spacing w:before="100"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5476DA"/>
    <w:pPr>
      <w:spacing w:before="100"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5476DA"/>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5476DA"/>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5476DA"/>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5476DA"/>
    <w:pPr>
      <w:spacing w:before="100"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5476DA"/>
    <w:pPr>
      <w:spacing w:before="100" w:after="120" w:line="240" w:lineRule="auto"/>
      <w:ind w:left="1415"/>
    </w:pPr>
    <w:rPr>
      <w:rFonts w:ascii="Calibri" w:eastAsia="Times New Roman" w:hAnsi="Calibri" w:cs="Calibri"/>
      <w:spacing w:val="0"/>
      <w:sz w:val="22"/>
      <w:szCs w:val="22"/>
    </w:rPr>
  </w:style>
  <w:style w:type="paragraph" w:styleId="ListNumber">
    <w:name w:val="List Number"/>
    <w:basedOn w:val="Normal"/>
    <w:uiPriority w:val="7"/>
    <w:semiHidden/>
    <w:qFormat/>
    <w:rsid w:val="005476DA"/>
    <w:pPr>
      <w:numPr>
        <w:numId w:val="11"/>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5476DA"/>
    <w:pPr>
      <w:numPr>
        <w:ilvl w:val="1"/>
        <w:numId w:val="11"/>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5476DA"/>
    <w:pPr>
      <w:numPr>
        <w:ilvl w:val="2"/>
        <w:numId w:val="11"/>
      </w:numPr>
      <w:spacing w:before="100" w:line="240" w:lineRule="auto"/>
      <w:contextualSpacing/>
    </w:pPr>
    <w:rPr>
      <w:rFonts w:ascii="Calibri" w:eastAsia="Times New Roman" w:hAnsi="Calibri" w:cs="Calibri"/>
      <w:spacing w:val="0"/>
      <w:sz w:val="22"/>
      <w:szCs w:val="22"/>
    </w:rPr>
  </w:style>
  <w:style w:type="paragraph" w:styleId="ListNumber4">
    <w:name w:val="List Number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5476DA"/>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5476DA"/>
    <w:rPr>
      <w:rFonts w:ascii="Calibri" w:eastAsia="Times New Roman" w:hAnsi="Calibri" w:cs="Calibri"/>
      <w:sz w:val="22"/>
      <w:szCs w:val="22"/>
    </w:rPr>
  </w:style>
  <w:style w:type="table" w:styleId="MediumGrid1">
    <w:name w:val="Medium Grid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5476DA"/>
    <w:pPr>
      <w:pBdr>
        <w:top w:val="single" w:sz="6" w:space="1" w:color="auto"/>
        <w:left w:val="single" w:sz="6" w:space="1" w:color="auto"/>
        <w:bottom w:val="single" w:sz="6" w:space="1" w:color="auto"/>
        <w:right w:val="single" w:sz="6" w:space="1" w:color="auto"/>
      </w:pBdr>
      <w:shd w:val="pct20" w:color="auto" w:fill="auto"/>
      <w:spacing w:before="100"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5476DA"/>
    <w:rPr>
      <w:rFonts w:ascii="Calibri" w:eastAsia="Times New Roman" w:hAnsi="Calibri" w:cs="Calibri"/>
      <w:sz w:val="24"/>
      <w:szCs w:val="24"/>
      <w:shd w:val="pct20" w:color="auto" w:fill="auto"/>
    </w:rPr>
  </w:style>
  <w:style w:type="character" w:styleId="PlaceholderText">
    <w:name w:val="Placeholder Text"/>
    <w:uiPriority w:val="99"/>
    <w:semiHidden/>
    <w:rsid w:val="005476DA"/>
    <w:rPr>
      <w:color w:val="808080"/>
    </w:rPr>
  </w:style>
  <w:style w:type="paragraph" w:styleId="PlainText">
    <w:name w:val="Plain Text"/>
    <w:basedOn w:val="Normal"/>
    <w:link w:val="Plain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5476DA"/>
    <w:rPr>
      <w:rFonts w:ascii="Calibri" w:eastAsia="Times New Roman" w:hAnsi="Calibri" w:cs="Calibri"/>
      <w:sz w:val="22"/>
      <w:szCs w:val="22"/>
    </w:rPr>
  </w:style>
  <w:style w:type="paragraph" w:customStyle="1" w:styleId="Quotation">
    <w:name w:val="Quotation"/>
    <w:basedOn w:val="Normal"/>
    <w:next w:val="Normal"/>
    <w:uiPriority w:val="49"/>
    <w:semiHidden/>
    <w:rsid w:val="005476DA"/>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5476DA"/>
    <w:pPr>
      <w:spacing w:before="100"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5476DA"/>
    <w:rPr>
      <w:rFonts w:ascii="Calibri" w:eastAsia="Times New Roman" w:hAnsi="Calibri" w:cs="Calibri"/>
      <w:sz w:val="22"/>
      <w:szCs w:val="22"/>
    </w:rPr>
  </w:style>
  <w:style w:type="paragraph" w:styleId="Signature">
    <w:name w:val="Signature"/>
    <w:basedOn w:val="Normal"/>
    <w:link w:val="Signature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5476DA"/>
    <w:rPr>
      <w:rFonts w:ascii="Calibri" w:eastAsia="Times New Roman" w:hAnsi="Calibri" w:cs="Calibri"/>
      <w:sz w:val="22"/>
      <w:szCs w:val="22"/>
    </w:rPr>
  </w:style>
  <w:style w:type="table" w:styleId="Table3Deffects1">
    <w:name w:val="Table 3D effects 1"/>
    <w:basedOn w:val="TableNormal"/>
    <w:uiPriority w:val="99"/>
    <w:semiHidden/>
    <w:unhideWhenUsed/>
    <w:rsid w:val="005476DA"/>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76DA"/>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76DA"/>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76DA"/>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5476DA"/>
    <w:pPr>
      <w:spacing w:before="100" w:after="100"/>
      <w:ind w:left="794"/>
      <w:jc w:val="left"/>
    </w:pPr>
    <w:rPr>
      <w:rFonts w:ascii="Calibri" w:eastAsia="Times New Roman" w:hAnsi="Calibri" w:cs="Times New Roman"/>
      <w:spacing w:val="0"/>
      <w:sz w:val="20"/>
      <w:szCs w:val="20"/>
      <w:lang w:eastAsia="en-AU"/>
    </w:rPr>
    <w:tblPr>
      <w:tblStyleRowBandSize w:val="1"/>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nwCell">
      <w:rPr>
        <w:b/>
      </w:rPr>
    </w:tblStylePr>
  </w:style>
  <w:style w:type="table" w:styleId="TableGrid2">
    <w:name w:val="Table Grid 2"/>
    <w:basedOn w:val="TableGrid"/>
    <w:uiPriority w:val="99"/>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76DA"/>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476DA"/>
    <w:pPr>
      <w:tabs>
        <w:tab w:val="right" w:pos="9072"/>
      </w:tabs>
      <w:spacing w:before="100" w:line="240" w:lineRule="auto"/>
      <w:ind w:left="200" w:hanging="200"/>
    </w:pPr>
    <w:rPr>
      <w:rFonts w:ascii="Calibri" w:eastAsia="Times New Roman" w:hAnsi="Calibri" w:cs="Calibri"/>
      <w:spacing w:val="0"/>
      <w:sz w:val="22"/>
      <w:szCs w:val="22"/>
    </w:rPr>
  </w:style>
  <w:style w:type="paragraph" w:styleId="TableofFigures">
    <w:name w:val="table of figures"/>
    <w:basedOn w:val="TOCHeading"/>
    <w:next w:val="Normal"/>
    <w:uiPriority w:val="99"/>
    <w:semiHidden/>
    <w:unhideWhenUsed/>
    <w:rsid w:val="005476DA"/>
    <w:pPr>
      <w:keepLines w:val="0"/>
      <w:pageBreakBefore/>
      <w:spacing w:before="0" w:after="0" w:line="240" w:lineRule="auto"/>
    </w:pPr>
    <w:rPr>
      <w:rFonts w:ascii="Calibri" w:eastAsia="Times New Roman" w:hAnsi="Calibri" w:cs="Calibri"/>
      <w:b w:val="0"/>
      <w:bCs w:val="0"/>
      <w:color w:val="4C4C4C"/>
      <w:spacing w:val="0"/>
      <w:sz w:val="40"/>
      <w:szCs w:val="22"/>
    </w:rPr>
  </w:style>
  <w:style w:type="table" w:styleId="TableProfessional">
    <w:name w:val="Table Professional"/>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76DA"/>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476DA"/>
    <w:pPr>
      <w:spacing w:before="120" w:line="240" w:lineRule="auto"/>
      <w:ind w:left="794"/>
    </w:pPr>
    <w:rPr>
      <w:rFonts w:ascii="Calibri" w:eastAsia="Times New Roman" w:hAnsi="Calibri" w:cs="Calibri"/>
      <w:b/>
      <w:bCs/>
      <w:spacing w:val="0"/>
      <w:sz w:val="24"/>
      <w:szCs w:val="24"/>
    </w:rPr>
  </w:style>
  <w:style w:type="paragraph" w:styleId="TOC7">
    <w:name w:val="toc 7"/>
    <w:basedOn w:val="Normal"/>
    <w:next w:val="Normal"/>
    <w:autoRedefine/>
    <w:uiPriority w:val="49"/>
    <w:semiHidden/>
    <w:rsid w:val="005476DA"/>
    <w:pPr>
      <w:spacing w:before="100"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49"/>
    <w:semiHidden/>
    <w:rsid w:val="005476DA"/>
    <w:pPr>
      <w:spacing w:before="100"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49"/>
    <w:semiHidden/>
    <w:rsid w:val="005476DA"/>
    <w:pPr>
      <w:spacing w:before="100" w:line="240" w:lineRule="auto"/>
      <w:ind w:left="2835" w:right="2835"/>
    </w:pPr>
    <w:rPr>
      <w:rFonts w:ascii="Calibri" w:eastAsia="Times New Roman" w:hAnsi="Calibri" w:cs="Calibri"/>
      <w:spacing w:val="0"/>
      <w:sz w:val="22"/>
      <w:szCs w:val="22"/>
    </w:rPr>
  </w:style>
  <w:style w:type="paragraph" w:styleId="Revision">
    <w:name w:val="Revision"/>
    <w:hidden/>
    <w:uiPriority w:val="99"/>
    <w:semiHidden/>
    <w:rsid w:val="005476DA"/>
    <w:pPr>
      <w:spacing w:after="0" w:line="240" w:lineRule="auto"/>
    </w:pPr>
    <w:rPr>
      <w:rFonts w:ascii="Calibri" w:eastAsia="Times New Roman" w:hAnsi="Calibri" w:cs="Calibri"/>
      <w:sz w:val="22"/>
      <w:szCs w:val="22"/>
    </w:rPr>
  </w:style>
  <w:style w:type="paragraph" w:styleId="NormalWeb">
    <w:name w:val="Normal (Web)"/>
    <w:basedOn w:val="Normal"/>
    <w:uiPriority w:val="99"/>
    <w:semiHidden/>
    <w:unhideWhenUsed/>
    <w:rsid w:val="005476DA"/>
    <w:pPr>
      <w:spacing w:before="100" w:beforeAutospacing="1" w:afterAutospacing="1" w:line="240" w:lineRule="auto"/>
    </w:pPr>
    <w:rPr>
      <w:rFonts w:ascii="Times New Roman" w:hAnsi="Times New Roman" w:cs="Times New Roman"/>
      <w:spacing w:val="0"/>
      <w:sz w:val="24"/>
      <w:szCs w:val="24"/>
    </w:rPr>
  </w:style>
  <w:style w:type="paragraph" w:customStyle="1" w:styleId="Normalhanging">
    <w:name w:val="Normal hanging"/>
    <w:basedOn w:val="NormalIndent"/>
    <w:qFormat/>
    <w:rsid w:val="001D07DE"/>
    <w:pPr>
      <w:ind w:left="1260" w:hanging="540"/>
    </w:pPr>
  </w:style>
  <w:style w:type="paragraph" w:customStyle="1" w:styleId="Num1">
    <w:name w:val="Num1"/>
    <w:basedOn w:val="Normal"/>
    <w:qFormat/>
    <w:rsid w:val="00C36AA2"/>
    <w:pPr>
      <w:tabs>
        <w:tab w:val="num" w:pos="1296"/>
      </w:tabs>
      <w:spacing w:before="100" w:line="240" w:lineRule="auto"/>
      <w:ind w:left="1296" w:hanging="502"/>
    </w:pPr>
    <w:rPr>
      <w:rFonts w:ascii="Calibri" w:eastAsia="Times New Roman" w:hAnsi="Calibri" w:cs="Calibri"/>
      <w:spacing w:val="0"/>
      <w:sz w:val="22"/>
      <w:szCs w:val="22"/>
    </w:rPr>
  </w:style>
  <w:style w:type="paragraph" w:customStyle="1" w:styleId="TableHeader0">
    <w:name w:val="Table Header"/>
    <w:basedOn w:val="Tabletext"/>
    <w:uiPriority w:val="15"/>
    <w:qFormat/>
    <w:rsid w:val="00BB380C"/>
    <w:pPr>
      <w:keepNext/>
      <w:spacing w:before="40" w:after="40" w:line="240" w:lineRule="auto"/>
    </w:pPr>
    <w:rPr>
      <w:rFonts w:ascii="Calibri" w:eastAsia="Times New Roman" w:hAnsi="Calibri" w:cs="Calibri"/>
      <w:color w:val="333333"/>
      <w:spacing w:val="0"/>
      <w:sz w:val="24"/>
      <w:szCs w:val="22"/>
    </w:rPr>
  </w:style>
  <w:style w:type="paragraph" w:styleId="ListParagraph">
    <w:name w:val="List Paragraph"/>
    <w:basedOn w:val="Normal"/>
    <w:qFormat/>
    <w:rsid w:val="00BB380C"/>
    <w:pPr>
      <w:spacing w:before="100" w:line="240" w:lineRule="auto"/>
      <w:ind w:left="720"/>
      <w:contextualSpacing/>
    </w:pPr>
    <w:rPr>
      <w:rFonts w:ascii="Calibri" w:eastAsia="Times New Roman" w:hAnsi="Calibri" w:cs="Calibri"/>
      <w:spacing w:val="0"/>
      <w:sz w:val="22"/>
      <w:szCs w:val="22"/>
    </w:rPr>
  </w:style>
  <w:style w:type="character" w:styleId="Strong">
    <w:name w:val="Strong"/>
    <w:qFormat/>
    <w:rsid w:val="00BB380C"/>
    <w:rPr>
      <w:b/>
      <w:bCs/>
    </w:rPr>
  </w:style>
  <w:style w:type="table" w:customStyle="1" w:styleId="Mandatory1">
    <w:name w:val="Mandatory1"/>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Mandatory2">
    <w:name w:val="Mandatory2"/>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num1">
    <w:name w:val="Table num 1"/>
    <w:basedOn w:val="Normal"/>
    <w:uiPriority w:val="6"/>
    <w:rsid w:val="00FA0690"/>
    <w:pPr>
      <w:tabs>
        <w:tab w:val="num" w:pos="360"/>
      </w:tabs>
      <w:ind w:left="360" w:hanging="360"/>
    </w:pPr>
    <w:rPr>
      <w:sz w:val="17"/>
    </w:rPr>
  </w:style>
  <w:style w:type="paragraph" w:customStyle="1" w:styleId="Tablenum2">
    <w:name w:val="Table num 2"/>
    <w:basedOn w:val="Normal"/>
    <w:uiPriority w:val="6"/>
    <w:rsid w:val="00FA0690"/>
    <w:pPr>
      <w:tabs>
        <w:tab w:val="num" w:pos="720"/>
      </w:tabs>
      <w:ind w:left="720" w:hanging="360"/>
    </w:pPr>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uiPriority="49"/>
    <w:lsdException w:name="index 2" w:semiHidden="0"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49"/>
    <w:lsdException w:name="toc 8" w:uiPriority="49"/>
    <w:lsdException w:name="toc 9" w:uiPriority="49"/>
    <w:lsdException w:name="Normal Indent" w:semiHidden="0" w:uiPriority="9" w:qFormat="1"/>
    <w:lsdException w:name="header" w:semiHidden="0" w:uiPriority="24"/>
    <w:lsdException w:name="footer" w:semiHidden="0" w:uiPriority="24"/>
    <w:lsdException w:name="index heading" w:semiHidden="0" w:uiPriority="49"/>
    <w:lsdException w:name="caption" w:semiHidden="0" w:uiPriority="13" w:qFormat="1"/>
    <w:lsdException w:name="envelope address" w:uiPriority="49"/>
    <w:lsdException w:name="envelope return" w:uiPriority="49"/>
    <w:lsdException w:name="line number" w:uiPriority="49"/>
    <w:lsdException w:name="page number" w:semiHidden="0"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qFormat="1"/>
    <w:lsdException w:name="Closing" w:uiPriority="49"/>
    <w:lsdException w:name="Signature" w:uiPriority="49"/>
    <w:lsdException w:name="Default Paragraph Font" w:uiPriority="1" w:unhideWhenUsed="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Hyperlink" w:semiHidden="0"/>
    <w:lsdException w:name="Strong" w:uiPriority="0" w:qFormat="1"/>
    <w:lsdException w:name="Emphasis" w:uiPriority="20" w:qFormat="1"/>
    <w:lsdException w:name="Document Map" w:uiPriority="49"/>
    <w:lsdException w:name="Plain Text" w:uiPriority="49"/>
    <w:lsdException w:name="E-mail Signature" w:uiPriority="49"/>
    <w:lsdException w:name="HTML Top of Form" w:unhideWhenUsed="1"/>
    <w:lsdException w:name="HTML Bottom of Form" w:unhideWhenUsed="1"/>
    <w:lsdException w:name="HTML Address" w:uiPriority="49"/>
    <w:lsdException w:name="HTML Preformatted" w:uiPriority="49"/>
    <w:lsdException w:name="Normal Table" w:unhideWhenUsed="1"/>
    <w:lsdException w:name="annotation subject" w:uiPriority="49"/>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49"/>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qFormat/>
    <w:rsid w:val="005457A4"/>
    <w:pPr>
      <w:spacing w:before="160" w:after="100"/>
    </w:pPr>
    <w:rPr>
      <w:spacing w:val="2"/>
    </w:rPr>
  </w:style>
  <w:style w:type="paragraph" w:styleId="Heading1">
    <w:name w:val="heading 1"/>
    <w:next w:val="Normal"/>
    <w:link w:val="Heading1Char"/>
    <w:uiPriority w:val="3"/>
    <w:qFormat/>
    <w:rsid w:val="00986AA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Indent"/>
    <w:next w:val="Normal"/>
    <w:link w:val="Heading5Char"/>
    <w:uiPriority w:val="3"/>
    <w:qFormat/>
    <w:rsid w:val="006926C1"/>
    <w:pPr>
      <w:keepNext/>
      <w:outlineLvl w:val="4"/>
    </w:pPr>
    <w:rPr>
      <w:b/>
      <w:color w:val="0063A6" w:themeColor="accent1"/>
    </w:rPr>
  </w:style>
  <w:style w:type="paragraph" w:styleId="Heading6">
    <w:name w:val="heading 6"/>
    <w:basedOn w:val="Normal"/>
    <w:next w:val="Normal"/>
    <w:link w:val="Heading6Char"/>
    <w:uiPriority w:val="3"/>
    <w:semiHidden/>
    <w:qFormat/>
    <w:rsid w:val="005476DA"/>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5476DA"/>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5476DA"/>
    <w:pPr>
      <w:outlineLvl w:val="7"/>
    </w:pPr>
    <w:rPr>
      <w:b w:val="0"/>
    </w:rPr>
  </w:style>
  <w:style w:type="paragraph" w:styleId="Heading9">
    <w:name w:val="heading 9"/>
    <w:basedOn w:val="Heading8"/>
    <w:next w:val="Normal"/>
    <w:link w:val="Heading9Char"/>
    <w:uiPriority w:val="3"/>
    <w:semiHidden/>
    <w:qFormat/>
    <w:rsid w:val="005476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35EE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49"/>
    <w:semiHidden/>
    <w:rsid w:val="00DA3AAD"/>
    <w:pPr>
      <w:spacing w:after="60" w:line="240" w:lineRule="auto"/>
    </w:pPr>
    <w:rPr>
      <w:sz w:val="16"/>
    </w:rPr>
  </w:style>
  <w:style w:type="paragraph" w:styleId="Index2">
    <w:name w:val="index 2"/>
    <w:basedOn w:val="Normal"/>
    <w:next w:val="Normal"/>
    <w:uiPriority w:val="4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986AA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uiPriority w:val="3"/>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qFormat/>
    <w:rsid w:val="00B9053B"/>
    <w:pPr>
      <w:numPr>
        <w:ilvl w:val="1"/>
      </w:numPr>
    </w:pPr>
  </w:style>
  <w:style w:type="paragraph" w:customStyle="1" w:styleId="Bulletindent">
    <w:name w:val="Bullet indent"/>
    <w:basedOn w:val="Bullet2"/>
    <w:uiPriority w:val="5"/>
    <w:qFormat/>
    <w:rsid w:val="0023202C"/>
    <w:pPr>
      <w:numPr>
        <w:ilvl w:val="2"/>
      </w:numPr>
    </w:pPr>
  </w:style>
  <w:style w:type="paragraph" w:customStyle="1" w:styleId="Heading1numbered">
    <w:name w:val="Heading 1 numbered"/>
    <w:basedOn w:val="Heading1"/>
    <w:next w:val="NormalIndent"/>
    <w:uiPriority w:val="4"/>
    <w:qFormat/>
    <w:rsid w:val="0023202C"/>
    <w:pPr>
      <w:numPr>
        <w:ilvl w:val="2"/>
        <w:numId w:val="2"/>
      </w:numPr>
    </w:pPr>
  </w:style>
  <w:style w:type="paragraph" w:customStyle="1" w:styleId="Heading2numbered">
    <w:name w:val="Heading 2 numbered"/>
    <w:basedOn w:val="Heading2"/>
    <w:next w:val="NormalIndent"/>
    <w:uiPriority w:val="4"/>
    <w:qFormat/>
    <w:rsid w:val="0023202C"/>
    <w:pPr>
      <w:numPr>
        <w:ilvl w:val="3"/>
        <w:numId w:val="2"/>
      </w:numPr>
    </w:pPr>
  </w:style>
  <w:style w:type="paragraph" w:customStyle="1" w:styleId="Heading3numbered">
    <w:name w:val="Heading 3 numbered"/>
    <w:basedOn w:val="Heading3"/>
    <w:next w:val="NormalIndent"/>
    <w:uiPriority w:val="4"/>
    <w:qFormat/>
    <w:rsid w:val="0023202C"/>
    <w:pPr>
      <w:numPr>
        <w:ilvl w:val="4"/>
        <w:numId w:val="2"/>
      </w:numPr>
    </w:pPr>
  </w:style>
  <w:style w:type="character" w:customStyle="1" w:styleId="Heading3Char">
    <w:name w:val="Heading 3 Char"/>
    <w:basedOn w:val="DefaultParagraphFont"/>
    <w:link w:val="Heading3"/>
    <w:uiPriority w:val="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D5644B"/>
    <w:pPr>
      <w:numPr>
        <w:ilvl w:val="5"/>
        <w:numId w:val="2"/>
      </w:numPr>
    </w:pPr>
  </w:style>
  <w:style w:type="character" w:customStyle="1" w:styleId="Heading4Char">
    <w:name w:val="Heading 4 Char"/>
    <w:basedOn w:val="DefaultParagraphFont"/>
    <w:link w:val="Heading4"/>
    <w:uiPriority w:val="3"/>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uiPriority w:val="49"/>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29"/>
    <w:qFormat/>
    <w:rsid w:val="001254CE"/>
    <w:pPr>
      <w:spacing w:after="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29"/>
    <w:rsid w:val="001254CE"/>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1254CE"/>
    <w:pPr>
      <w:spacing w:after="0" w:line="440" w:lineRule="exact"/>
    </w:pPr>
    <w:rPr>
      <w:rFonts w:asciiTheme="majorHAnsi" w:eastAsia="Times New Roman" w:hAnsiTheme="majorHAnsi" w:cstheme="majorHAnsi"/>
      <w:color w:val="FFFFFF" w:themeColor="background1"/>
      <w:spacing w:val="-2"/>
      <w:sz w:val="36"/>
      <w:szCs w:val="40"/>
      <w:lang w:eastAsia="en-US"/>
    </w:rPr>
  </w:style>
  <w:style w:type="paragraph" w:styleId="Title">
    <w:name w:val="Title"/>
    <w:next w:val="Subtitle"/>
    <w:link w:val="TitleChar"/>
    <w:uiPriority w:val="28"/>
    <w:qFormat/>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28"/>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4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9"/>
    <w:semiHidden/>
    <w:rsid w:val="0023202C"/>
    <w:rPr>
      <w:rFonts w:ascii="Tahoma" w:hAnsi="Tahoma" w:cs="Tahoma"/>
      <w:spacing w:val="2"/>
      <w:sz w:val="16"/>
      <w:szCs w:val="16"/>
    </w:rPr>
  </w:style>
  <w:style w:type="paragraph" w:customStyle="1" w:styleId="Bulletindent2">
    <w:name w:val="Bullet indent 2"/>
    <w:basedOn w:val="Normal"/>
    <w:uiPriority w:val="5"/>
    <w:qFormat/>
    <w:rsid w:val="00E83CA7"/>
    <w:pPr>
      <w:numPr>
        <w:ilvl w:val="3"/>
        <w:numId w:val="1"/>
      </w:numPr>
      <w:spacing w:before="100"/>
      <w:contextualSpacing/>
    </w:pPr>
  </w:style>
  <w:style w:type="paragraph" w:styleId="IndexHeading">
    <w:name w:val="index heading"/>
    <w:basedOn w:val="Normal"/>
    <w:next w:val="Index1"/>
    <w:uiPriority w:val="49"/>
    <w:semiHidden/>
    <w:rsid w:val="00014B55"/>
    <w:rPr>
      <w:rFonts w:asciiTheme="majorHAnsi" w:eastAsiaTheme="majorEastAsia" w:hAnsiTheme="majorHAnsi" w:cstheme="majorBidi"/>
      <w:b/>
      <w:bCs/>
    </w:rPr>
  </w:style>
  <w:style w:type="paragraph" w:styleId="Header">
    <w:name w:val="header"/>
    <w:basedOn w:val="Normal"/>
    <w:link w:val="HeaderChar"/>
    <w:uiPriority w:val="24"/>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24"/>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CB3976"/>
    <w:rPr>
      <w:rFonts w:asciiTheme="minorHAnsi" w:hAnsiTheme="minorHAnsi"/>
      <w:b w:val="0"/>
      <w:color w:val="auto"/>
    </w:rPr>
  </w:style>
  <w:style w:type="paragraph" w:styleId="TOCHeading">
    <w:name w:val="TOC Heading"/>
    <w:basedOn w:val="Heading1"/>
    <w:next w:val="Normal"/>
    <w:uiPriority w:val="29"/>
    <w:qFormat/>
    <w:rsid w:val="00D44953"/>
    <w:pPr>
      <w:spacing w:before="480" w:after="720"/>
      <w:outlineLvl w:val="9"/>
    </w:pPr>
    <w:rPr>
      <w:spacing w:val="2"/>
    </w:rPr>
  </w:style>
  <w:style w:type="paragraph" w:customStyle="1" w:styleId="NormalTight">
    <w:name w:val="Normal Tight"/>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E2791B"/>
    <w:pPr>
      <w:tabs>
        <w:tab w:val="left" w:pos="1080"/>
      </w:tabs>
      <w:spacing w:after="0"/>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A21CFD"/>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
    <w:name w:val="Mandatory"/>
    <w:basedOn w:val="TableGrid"/>
    <w:uiPriority w:val="99"/>
    <w:rsid w:val="00435EE9"/>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cPr>
      <w:shd w:val="clear" w:color="auto" w:fill="FFFFFF" w:themeFill="background1"/>
    </w:tc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F37F2"/>
    <w:pPr>
      <w:spacing w:before="60" w:after="60" w:line="264" w:lineRule="auto"/>
    </w:pPr>
    <w:rPr>
      <w:sz w:val="17"/>
    </w:rPr>
  </w:style>
  <w:style w:type="paragraph" w:customStyle="1" w:styleId="Tabletextright">
    <w:name w:val="Table text right"/>
    <w:basedOn w:val="Tabletext"/>
    <w:uiPriority w:val="7"/>
    <w:qFormat/>
    <w:rsid w:val="00B9053B"/>
    <w:pPr>
      <w:jc w:val="right"/>
    </w:pPr>
  </w:style>
  <w:style w:type="paragraph" w:customStyle="1" w:styleId="Listnumindent2">
    <w:name w:val="List num indent 2"/>
    <w:basedOn w:val="Normal"/>
    <w:uiPriority w:val="5"/>
    <w:qFormat/>
    <w:rsid w:val="00102379"/>
    <w:pPr>
      <w:numPr>
        <w:ilvl w:val="7"/>
        <w:numId w:val="2"/>
      </w:numPr>
      <w:spacing w:before="100"/>
      <w:contextualSpacing/>
    </w:pPr>
  </w:style>
  <w:style w:type="paragraph" w:customStyle="1" w:styleId="Listnumindent">
    <w:name w:val="List num indent"/>
    <w:basedOn w:val="Normal"/>
    <w:uiPriority w:val="5"/>
    <w:qFormat/>
    <w:rsid w:val="00102379"/>
    <w:pPr>
      <w:numPr>
        <w:ilvl w:val="6"/>
        <w:numId w:val="2"/>
      </w:numPr>
      <w:spacing w:before="100"/>
    </w:pPr>
  </w:style>
  <w:style w:type="paragraph" w:customStyle="1" w:styleId="Listnum">
    <w:name w:val="List num"/>
    <w:basedOn w:val="Normal"/>
    <w:uiPriority w:val="2"/>
    <w:qFormat/>
    <w:rsid w:val="004A7519"/>
    <w:pPr>
      <w:numPr>
        <w:numId w:val="2"/>
      </w:numPr>
      <w:tabs>
        <w:tab w:val="clear" w:pos="9433"/>
        <w:tab w:val="num" w:pos="360"/>
      </w:tabs>
      <w:ind w:left="360"/>
    </w:pPr>
  </w:style>
  <w:style w:type="paragraph" w:customStyle="1" w:styleId="Listnum2">
    <w:name w:val="List num 2"/>
    <w:basedOn w:val="Normal"/>
    <w:uiPriority w:val="2"/>
    <w:qFormat/>
    <w:rsid w:val="004A7519"/>
    <w:pPr>
      <w:numPr>
        <w:ilvl w:val="1"/>
        <w:numId w:val="2"/>
      </w:numPr>
    </w:pPr>
  </w:style>
  <w:style w:type="paragraph" w:customStyle="1" w:styleId="Tabletextcentred">
    <w:name w:val="Table text centred"/>
    <w:basedOn w:val="Tabletext"/>
    <w:uiPriority w:val="7"/>
    <w:qFormat/>
    <w:rsid w:val="00B9053B"/>
    <w:pPr>
      <w:jc w:val="center"/>
    </w:pPr>
  </w:style>
  <w:style w:type="paragraph" w:customStyle="1" w:styleId="Tableheader">
    <w:name w:val="Table header"/>
    <w:basedOn w:val="Tabletext"/>
    <w:uiPriority w:val="5"/>
    <w:qFormat/>
    <w:rsid w:val="00613DC6"/>
    <w:pPr>
      <w:keepNext/>
      <w:keepLines/>
      <w:spacing w:before="120"/>
      <w:jc w:val="center"/>
    </w:pPr>
    <w:rPr>
      <w:rFonts w:eastAsiaTheme="minorHAnsi"/>
      <w:b/>
      <w:color w:val="FFFFFF" w:themeColor="background1"/>
      <w:sz w:val="20"/>
      <w:szCs w:val="21"/>
      <w:lang w:eastAsia="en-US"/>
    </w:rPr>
  </w:style>
  <w:style w:type="paragraph" w:customStyle="1" w:styleId="Tablebullet">
    <w:name w:val="Table bullet"/>
    <w:basedOn w:val="Tabletext"/>
    <w:uiPriority w:val="6"/>
    <w:rsid w:val="00937A10"/>
    <w:pPr>
      <w:numPr>
        <w:numId w:val="3"/>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6"/>
    <w:qFormat/>
    <w:rsid w:val="00406471"/>
    <w:pPr>
      <w:ind w:left="792"/>
    </w:pPr>
    <w:rPr>
      <w:rFonts w:eastAsiaTheme="minorHAnsi"/>
      <w:szCs w:val="21"/>
      <w:lang w:eastAsia="en-US"/>
    </w:rPr>
  </w:style>
  <w:style w:type="paragraph" w:customStyle="1" w:styleId="Numparaindent">
    <w:name w:val="Num para indent"/>
    <w:basedOn w:val="Numpara"/>
    <w:uiPriority w:val="9"/>
    <w:qFormat/>
    <w:rsid w:val="000E2696"/>
    <w:pPr>
      <w:ind w:left="1296"/>
    </w:pPr>
  </w:style>
  <w:style w:type="paragraph" w:customStyle="1" w:styleId="Numpara">
    <w:name w:val="Num para"/>
    <w:basedOn w:val="Normal"/>
    <w:uiPriority w:val="3"/>
    <w:qFormat/>
    <w:rsid w:val="008A12DC"/>
    <w:pPr>
      <w:numPr>
        <w:numId w:val="4"/>
      </w:numPr>
      <w:tabs>
        <w:tab w:val="left" w:pos="540"/>
      </w:tabs>
      <w:contextualSpacing/>
    </w:pPr>
  </w:style>
  <w:style w:type="character" w:styleId="FootnoteReference">
    <w:name w:val="footnote reference"/>
    <w:uiPriority w:val="99"/>
    <w:rsid w:val="005476DA"/>
    <w:rPr>
      <w:vertAlign w:val="superscript"/>
    </w:rPr>
  </w:style>
  <w:style w:type="paragraph" w:styleId="FootnoteText">
    <w:name w:val="footnote text"/>
    <w:basedOn w:val="Normal"/>
    <w:link w:val="FootnoteTextChar"/>
    <w:uiPriority w:val="99"/>
    <w:semiHidden/>
    <w:rsid w:val="0060329E"/>
    <w:pPr>
      <w:spacing w:before="40" w:after="40" w:line="240" w:lineRule="auto"/>
    </w:pPr>
    <w:rPr>
      <w:rFonts w:ascii="Calibri" w:eastAsia="Times New Roman" w:hAnsi="Calibri" w:cs="Calibri"/>
      <w:spacing w:val="0"/>
      <w:sz w:val="19"/>
      <w:szCs w:val="22"/>
    </w:rPr>
  </w:style>
  <w:style w:type="character" w:customStyle="1" w:styleId="FootnoteTextChar">
    <w:name w:val="Footnote Text Char"/>
    <w:basedOn w:val="DefaultParagraphFont"/>
    <w:link w:val="FootnoteText"/>
    <w:uiPriority w:val="99"/>
    <w:semiHidden/>
    <w:rsid w:val="0060329E"/>
    <w:rPr>
      <w:rFonts w:ascii="Calibri" w:eastAsia="Times New Roman" w:hAnsi="Calibri" w:cs="Calibri"/>
      <w:sz w:val="19"/>
      <w:szCs w:val="22"/>
    </w:rPr>
  </w:style>
  <w:style w:type="paragraph" w:styleId="Caption">
    <w:name w:val="caption"/>
    <w:basedOn w:val="Normal"/>
    <w:next w:val="Normal"/>
    <w:uiPriority w:val="13"/>
    <w:qFormat/>
    <w:rsid w:val="005476DA"/>
    <w:pPr>
      <w:keepNext/>
      <w:keepLines/>
      <w:tabs>
        <w:tab w:val="left" w:pos="851"/>
      </w:tabs>
      <w:spacing w:before="60" w:after="60" w:line="228" w:lineRule="auto"/>
      <w:ind w:left="794"/>
    </w:pPr>
    <w:rPr>
      <w:rFonts w:ascii="Calibri" w:eastAsia="Times New Roman" w:hAnsi="Calibri" w:cs="Calibri"/>
      <w:b/>
      <w:spacing w:val="0"/>
      <w:sz w:val="22"/>
      <w:szCs w:val="22"/>
    </w:rPr>
  </w:style>
  <w:style w:type="character" w:styleId="CommentReference">
    <w:name w:val="annotation reference"/>
    <w:uiPriority w:val="99"/>
    <w:semiHidden/>
    <w:rsid w:val="005476DA"/>
    <w:rPr>
      <w:rFonts w:ascii="Calibri" w:hAnsi="Calibri"/>
      <w:sz w:val="16"/>
    </w:rPr>
  </w:style>
  <w:style w:type="paragraph" w:styleId="CommentText">
    <w:name w:val="annotation text"/>
    <w:basedOn w:val="Normal"/>
    <w:link w:val="CommentTextChar"/>
    <w:uiPriority w:val="99"/>
    <w:semiHidden/>
    <w:rsid w:val="005476DA"/>
    <w:pPr>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5476DA"/>
    <w:rPr>
      <w:rFonts w:ascii="Calibri" w:eastAsia="Times New Roman" w:hAnsi="Calibri" w:cs="Calibri"/>
      <w:sz w:val="22"/>
      <w:szCs w:val="22"/>
    </w:rPr>
  </w:style>
  <w:style w:type="paragraph" w:customStyle="1" w:styleId="Heading4indent">
    <w:name w:val="Heading 4 indent"/>
    <w:basedOn w:val="Heading4"/>
    <w:uiPriority w:val="4"/>
    <w:qFormat/>
    <w:rsid w:val="00241517"/>
    <w:pPr>
      <w:ind w:left="792"/>
    </w:pPr>
    <w:rPr>
      <w:sz w:val="21"/>
    </w:rPr>
  </w:style>
  <w:style w:type="character" w:customStyle="1" w:styleId="Heading6Char">
    <w:name w:val="Heading 6 Char"/>
    <w:basedOn w:val="DefaultParagraphFont"/>
    <w:link w:val="Heading6"/>
    <w:uiPriority w:val="3"/>
    <w:semiHidden/>
    <w:rsid w:val="005476DA"/>
    <w:rPr>
      <w:rFonts w:asciiTheme="majorHAnsi" w:eastAsiaTheme="majorEastAsia" w:hAnsiTheme="majorHAnsi" w:cstheme="majorBidi"/>
      <w:i/>
      <w:iCs/>
      <w:color w:val="003152" w:themeColor="accent1" w:themeShade="7F"/>
      <w:spacing w:val="2"/>
    </w:rPr>
  </w:style>
  <w:style w:type="character" w:customStyle="1" w:styleId="Heading7Char">
    <w:name w:val="Heading 7 Char"/>
    <w:basedOn w:val="DefaultParagraphFont"/>
    <w:link w:val="Heading7"/>
    <w:uiPriority w:val="3"/>
    <w:semiHidden/>
    <w:rsid w:val="005476DA"/>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5476DA"/>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5476DA"/>
    <w:rPr>
      <w:rFonts w:ascii="Calibri" w:eastAsia="Times New Roman" w:hAnsi="Calibri" w:cs="Calibri"/>
      <w:bCs/>
      <w:iCs/>
      <w:color w:val="404040"/>
      <w:sz w:val="22"/>
      <w:szCs w:val="22"/>
      <w:lang w:eastAsia="en-US"/>
    </w:rPr>
  </w:style>
  <w:style w:type="paragraph" w:customStyle="1" w:styleId="NormalIndent2">
    <w:name w:val="Normal Indent 2"/>
    <w:basedOn w:val="NormalIndent"/>
    <w:uiPriority w:val="4"/>
    <w:qFormat/>
    <w:rsid w:val="00D00949"/>
    <w:pPr>
      <w:ind w:left="1440"/>
    </w:pPr>
  </w:style>
  <w:style w:type="paragraph" w:customStyle="1" w:styleId="Tabletextnum">
    <w:name w:val="Table text num"/>
    <w:basedOn w:val="Listnumindent"/>
    <w:uiPriority w:val="4"/>
    <w:qFormat/>
    <w:rsid w:val="00406471"/>
    <w:pPr>
      <w:spacing w:line="264" w:lineRule="auto"/>
    </w:pPr>
    <w:rPr>
      <w:rFonts w:eastAsiaTheme="minorHAnsi"/>
      <w:sz w:val="17"/>
      <w:szCs w:val="21"/>
      <w:lang w:eastAsia="en-US"/>
    </w:rPr>
  </w:style>
  <w:style w:type="table" w:customStyle="1" w:styleId="VMIABasicTable1">
    <w:name w:val="VMIA Basic Table1"/>
    <w:basedOn w:val="TableNormal"/>
    <w:uiPriority w:val="99"/>
    <w:rsid w:val="005476DA"/>
    <w:pPr>
      <w:spacing w:after="0" w:line="240" w:lineRule="auto"/>
    </w:pPr>
    <w:rPr>
      <w:rFonts w:ascii="Arial" w:eastAsiaTheme="minorHAnsi" w:hAnsi="Arial"/>
      <w:sz w:val="22"/>
      <w:szCs w:val="22"/>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2"/>
      </w:rPr>
      <w:tblPr/>
      <w:tcPr>
        <w:shd w:val="clear" w:color="auto" w:fill="003366"/>
        <w:vAlign w:val="center"/>
      </w:tcPr>
    </w:tblStylePr>
  </w:style>
  <w:style w:type="character" w:customStyle="1" w:styleId="Heading5Char">
    <w:name w:val="Heading 5 Char"/>
    <w:basedOn w:val="DefaultParagraphFont"/>
    <w:link w:val="Heading5"/>
    <w:uiPriority w:val="3"/>
    <w:rsid w:val="005457A4"/>
    <w:rPr>
      <w:b/>
      <w:color w:val="0063A6" w:themeColor="accent1"/>
      <w:spacing w:val="2"/>
    </w:rPr>
  </w:style>
  <w:style w:type="paragraph" w:customStyle="1" w:styleId="TableBulletindent">
    <w:name w:val="Table Bullet indent"/>
    <w:basedOn w:val="Tablebullet"/>
    <w:uiPriority w:val="6"/>
    <w:qFormat/>
    <w:rsid w:val="0060329E"/>
    <w:pPr>
      <w:ind w:left="1584"/>
    </w:pPr>
    <w:rPr>
      <w:rFonts w:eastAsiaTheme="minorHAnsi"/>
      <w:szCs w:val="21"/>
      <w:lang w:eastAsia="en-US"/>
    </w:rPr>
  </w:style>
  <w:style w:type="paragraph" w:customStyle="1" w:styleId="CaptionTable">
    <w:name w:val="Caption Table"/>
    <w:basedOn w:val="Normal"/>
    <w:uiPriority w:val="14"/>
    <w:rsid w:val="005476DA"/>
    <w:pPr>
      <w:spacing w:before="100" w:line="240" w:lineRule="auto"/>
      <w:ind w:left="794"/>
    </w:pPr>
    <w:rPr>
      <w:rFonts w:ascii="Calibri" w:eastAsia="Times New Roman" w:hAnsi="Calibri" w:cs="Calibri"/>
      <w:b/>
      <w:spacing w:val="0"/>
      <w:sz w:val="22"/>
      <w:szCs w:val="22"/>
    </w:rPr>
  </w:style>
  <w:style w:type="numbering" w:styleId="111111">
    <w:name w:val="Outline List 2"/>
    <w:basedOn w:val="NoList"/>
    <w:uiPriority w:val="99"/>
    <w:semiHidden/>
    <w:unhideWhenUsed/>
    <w:rsid w:val="005476DA"/>
    <w:pPr>
      <w:numPr>
        <w:numId w:val="5"/>
      </w:numPr>
    </w:pPr>
  </w:style>
  <w:style w:type="numbering" w:styleId="1ai">
    <w:name w:val="Outline List 1"/>
    <w:basedOn w:val="NoList"/>
    <w:uiPriority w:val="99"/>
    <w:semiHidden/>
    <w:unhideWhenUsed/>
    <w:rsid w:val="005476DA"/>
    <w:pPr>
      <w:numPr>
        <w:numId w:val="6"/>
      </w:numPr>
    </w:pPr>
  </w:style>
  <w:style w:type="numbering" w:styleId="ArticleSection">
    <w:name w:val="Outline List 3"/>
    <w:basedOn w:val="NoList"/>
    <w:uiPriority w:val="99"/>
    <w:semiHidden/>
    <w:unhideWhenUsed/>
    <w:rsid w:val="005476DA"/>
    <w:pPr>
      <w:numPr>
        <w:numId w:val="7"/>
      </w:numPr>
    </w:pPr>
  </w:style>
  <w:style w:type="paragraph" w:styleId="Bibliography">
    <w:name w:val="Bibliography"/>
    <w:basedOn w:val="Normal"/>
    <w:next w:val="Normal"/>
    <w:uiPriority w:val="37"/>
    <w:semiHidden/>
    <w:unhideWhenUsed/>
    <w:rsid w:val="005476DA"/>
    <w:pPr>
      <w:spacing w:before="100" w:after="120" w:line="240" w:lineRule="auto"/>
      <w:ind w:left="794"/>
    </w:pPr>
    <w:rPr>
      <w:rFonts w:ascii="Calibri" w:eastAsia="Times New Roman" w:hAnsi="Calibri" w:cs="Calibri"/>
      <w:i/>
      <w:spacing w:val="0"/>
      <w:sz w:val="18"/>
      <w:szCs w:val="22"/>
    </w:rPr>
  </w:style>
  <w:style w:type="paragraph" w:styleId="BlockText">
    <w:name w:val="Block Text"/>
    <w:basedOn w:val="Normal"/>
    <w:uiPriority w:val="49"/>
    <w:semiHidden/>
    <w:rsid w:val="005476DA"/>
    <w:pPr>
      <w:spacing w:before="100" w:after="120" w:line="240" w:lineRule="auto"/>
      <w:ind w:left="1440" w:right="1440"/>
    </w:pPr>
    <w:rPr>
      <w:rFonts w:ascii="Calibri" w:eastAsia="Times New Roman" w:hAnsi="Calibri" w:cs="Calibri"/>
      <w:spacing w:val="0"/>
      <w:sz w:val="22"/>
      <w:szCs w:val="22"/>
    </w:rPr>
  </w:style>
  <w:style w:type="paragraph" w:styleId="BodyText2">
    <w:name w:val="Body Text 2"/>
    <w:basedOn w:val="Normal"/>
    <w:link w:val="BodyText2Char"/>
    <w:uiPriority w:val="49"/>
    <w:semiHidden/>
    <w:rsid w:val="005476DA"/>
    <w:pPr>
      <w:spacing w:before="100"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5476DA"/>
    <w:rPr>
      <w:rFonts w:ascii="Calibri" w:eastAsia="Times New Roman" w:hAnsi="Calibri" w:cs="Calibri"/>
      <w:sz w:val="22"/>
      <w:szCs w:val="22"/>
    </w:rPr>
  </w:style>
  <w:style w:type="paragraph" w:styleId="BodyText3">
    <w:name w:val="Body Text 3"/>
    <w:basedOn w:val="Normal"/>
    <w:link w:val="BodyText3Char"/>
    <w:uiPriority w:val="49"/>
    <w:semiHidden/>
    <w:rsid w:val="005476DA"/>
    <w:pPr>
      <w:spacing w:before="100"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5476DA"/>
    <w:rPr>
      <w:rFonts w:ascii="Calibri" w:eastAsia="Times New Roman" w:hAnsi="Calibri" w:cs="Calibri"/>
      <w:sz w:val="16"/>
      <w:szCs w:val="16"/>
    </w:rPr>
  </w:style>
  <w:style w:type="paragraph" w:styleId="BodyTextFirstIndent">
    <w:name w:val="Body Text First Indent"/>
    <w:basedOn w:val="BodyText"/>
    <w:link w:val="BodyTextFirstIndentChar"/>
    <w:uiPriority w:val="49"/>
    <w:semiHidden/>
    <w:rsid w:val="005476DA"/>
    <w:pPr>
      <w:spacing w:after="120"/>
      <w:ind w:firstLine="210"/>
    </w:pPr>
  </w:style>
  <w:style w:type="character" w:customStyle="1" w:styleId="BodyTextFirstIndentChar">
    <w:name w:val="Body Text First Indent Char"/>
    <w:basedOn w:val="BodyTextChar"/>
    <w:link w:val="BodyTextFirstIndent"/>
    <w:uiPriority w:val="49"/>
    <w:semiHidden/>
    <w:rsid w:val="005476DA"/>
    <w:rPr>
      <w:rFonts w:ascii="Calibri" w:eastAsia="Times New Roman" w:hAnsi="Calibri" w:cs="Calibri"/>
      <w:sz w:val="22"/>
      <w:szCs w:val="22"/>
    </w:rPr>
  </w:style>
  <w:style w:type="paragraph" w:styleId="BodyTextIndent">
    <w:name w:val="Body Text Indent"/>
    <w:basedOn w:val="Normal"/>
    <w:link w:val="BodyTextIndentChar"/>
    <w:uiPriority w:val="49"/>
    <w:semiHidden/>
    <w:rsid w:val="005476DA"/>
    <w:pPr>
      <w:spacing w:before="100"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5476DA"/>
    <w:rPr>
      <w:rFonts w:ascii="Calibri" w:eastAsia="Times New Roman" w:hAnsi="Calibri" w:cs="Calibri"/>
      <w:sz w:val="22"/>
      <w:szCs w:val="22"/>
    </w:rPr>
  </w:style>
  <w:style w:type="paragraph" w:styleId="BodyTextFirstIndent2">
    <w:name w:val="Body Text First Indent 2"/>
    <w:basedOn w:val="BodyTextIndent"/>
    <w:link w:val="BodyTextFirstIndent2Char"/>
    <w:uiPriority w:val="49"/>
    <w:semiHidden/>
    <w:rsid w:val="005476DA"/>
    <w:pPr>
      <w:ind w:firstLine="210"/>
    </w:pPr>
  </w:style>
  <w:style w:type="character" w:customStyle="1" w:styleId="BodyTextFirstIndent2Char">
    <w:name w:val="Body Text First Indent 2 Char"/>
    <w:basedOn w:val="BodyTextIndentChar"/>
    <w:link w:val="BodyTextFirstIndent2"/>
    <w:uiPriority w:val="49"/>
    <w:semiHidden/>
    <w:rsid w:val="005476DA"/>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5476DA"/>
    <w:pPr>
      <w:spacing w:before="100"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5476DA"/>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5476DA"/>
    <w:pPr>
      <w:spacing w:before="100"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5476DA"/>
    <w:rPr>
      <w:rFonts w:ascii="Calibri" w:eastAsia="Times New Roman" w:hAnsi="Calibri" w:cs="Calibri"/>
      <w:sz w:val="16"/>
      <w:szCs w:val="16"/>
    </w:rPr>
  </w:style>
  <w:style w:type="paragraph" w:styleId="Closing">
    <w:name w:val="Closing"/>
    <w:basedOn w:val="Normal"/>
    <w:link w:val="Closing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5476DA"/>
    <w:rPr>
      <w:rFonts w:ascii="Calibri" w:eastAsia="Times New Roman" w:hAnsi="Calibri" w:cs="Calibri"/>
      <w:sz w:val="22"/>
      <w:szCs w:val="22"/>
    </w:rPr>
  </w:style>
  <w:style w:type="table" w:styleId="ColorfulGrid">
    <w:name w:val="Colorful Grid"/>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49"/>
    <w:semiHidden/>
    <w:rsid w:val="005476DA"/>
    <w:rPr>
      <w:b/>
      <w:bCs/>
    </w:rPr>
  </w:style>
  <w:style w:type="character" w:customStyle="1" w:styleId="CommentSubjectChar">
    <w:name w:val="Comment Subject Char"/>
    <w:basedOn w:val="CommentTextChar"/>
    <w:link w:val="CommentSubject"/>
    <w:uiPriority w:val="49"/>
    <w:semiHidden/>
    <w:rsid w:val="005476DA"/>
    <w:rPr>
      <w:rFonts w:ascii="Calibri" w:eastAsia="Times New Roman" w:hAnsi="Calibri" w:cs="Calibri"/>
      <w:b/>
      <w:bCs/>
      <w:sz w:val="22"/>
      <w:szCs w:val="22"/>
    </w:rPr>
  </w:style>
  <w:style w:type="table" w:styleId="DarkList">
    <w:name w:val="Dark List"/>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5476DA"/>
    <w:pPr>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5476DA"/>
    <w:rPr>
      <w:rFonts w:ascii="Calibri" w:eastAsia="Times New Roman" w:hAnsi="Calibri" w:cs="Calibri"/>
      <w:sz w:val="22"/>
      <w:szCs w:val="22"/>
    </w:rPr>
  </w:style>
  <w:style w:type="paragraph" w:styleId="DocumentMap">
    <w:name w:val="Document Map"/>
    <w:basedOn w:val="Normal"/>
    <w:link w:val="DocumentMapChar"/>
    <w:uiPriority w:val="49"/>
    <w:semiHidden/>
    <w:rsid w:val="005476DA"/>
    <w:pPr>
      <w:shd w:val="clear" w:color="auto" w:fill="000080"/>
      <w:spacing w:before="100"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5476DA"/>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5476DA"/>
    <w:rPr>
      <w:rFonts w:ascii="Calibri" w:eastAsia="Times New Roman" w:hAnsi="Calibri" w:cs="Calibri"/>
      <w:sz w:val="22"/>
      <w:szCs w:val="22"/>
    </w:rPr>
  </w:style>
  <w:style w:type="character" w:styleId="EndnoteReference">
    <w:name w:val="endnote reference"/>
    <w:uiPriority w:val="49"/>
    <w:semiHidden/>
    <w:rsid w:val="005476DA"/>
    <w:rPr>
      <w:vertAlign w:val="superscript"/>
    </w:rPr>
  </w:style>
  <w:style w:type="paragraph" w:styleId="EndnoteText">
    <w:name w:val="endnote text"/>
    <w:basedOn w:val="Normal"/>
    <w:link w:val="Endnote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5476DA"/>
    <w:rPr>
      <w:rFonts w:ascii="Calibri" w:eastAsia="Times New Roman" w:hAnsi="Calibri" w:cs="Calibri"/>
      <w:sz w:val="22"/>
      <w:szCs w:val="22"/>
    </w:rPr>
  </w:style>
  <w:style w:type="paragraph" w:styleId="EnvelopeAddress">
    <w:name w:val="envelope address"/>
    <w:basedOn w:val="Normal"/>
    <w:uiPriority w:val="49"/>
    <w:semiHidden/>
    <w:rsid w:val="005476DA"/>
    <w:pPr>
      <w:framePr w:w="7920" w:h="1980" w:hRule="exact" w:hSpace="180" w:wrap="auto" w:hAnchor="page" w:xAlign="center" w:yAlign="bottom"/>
      <w:spacing w:before="100"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5476DA"/>
    <w:pPr>
      <w:spacing w:before="100"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5476DA"/>
    <w:pPr>
      <w:spacing w:before="100"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5476DA"/>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5476DA"/>
  </w:style>
  <w:style w:type="character" w:styleId="FollowedHyperlink">
    <w:name w:val="FollowedHyperlink"/>
    <w:uiPriority w:val="99"/>
    <w:semiHidden/>
    <w:rsid w:val="005476DA"/>
    <w:rPr>
      <w:color w:val="800080"/>
      <w:u w:val="single"/>
    </w:rPr>
  </w:style>
  <w:style w:type="character" w:styleId="HTMLAcronym">
    <w:name w:val="HTML Acronym"/>
    <w:basedOn w:val="DefaultParagraphFont"/>
    <w:uiPriority w:val="99"/>
    <w:semiHidden/>
    <w:rsid w:val="005476DA"/>
  </w:style>
  <w:style w:type="paragraph" w:styleId="HTMLAddress">
    <w:name w:val="HTML Address"/>
    <w:basedOn w:val="Normal"/>
    <w:link w:val="HTMLAddressChar"/>
    <w:uiPriority w:val="49"/>
    <w:semiHidden/>
    <w:rsid w:val="005476DA"/>
    <w:pPr>
      <w:spacing w:before="100"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5476DA"/>
    <w:rPr>
      <w:rFonts w:ascii="Calibri" w:eastAsia="Times New Roman" w:hAnsi="Calibri" w:cs="Calibri"/>
      <w:i/>
      <w:iCs/>
      <w:sz w:val="22"/>
      <w:szCs w:val="22"/>
    </w:rPr>
  </w:style>
  <w:style w:type="character" w:styleId="HTMLCite">
    <w:name w:val="HTML Cite"/>
    <w:uiPriority w:val="99"/>
    <w:semiHidden/>
    <w:rsid w:val="005476DA"/>
    <w:rPr>
      <w:i/>
      <w:iCs/>
    </w:rPr>
  </w:style>
  <w:style w:type="character" w:styleId="HTMLCode">
    <w:name w:val="HTML Code"/>
    <w:uiPriority w:val="99"/>
    <w:semiHidden/>
    <w:rsid w:val="005476DA"/>
    <w:rPr>
      <w:sz w:val="20"/>
      <w:szCs w:val="20"/>
    </w:rPr>
  </w:style>
  <w:style w:type="character" w:styleId="HTMLDefinition">
    <w:name w:val="HTML Definition"/>
    <w:uiPriority w:val="99"/>
    <w:semiHidden/>
    <w:rsid w:val="005476DA"/>
    <w:rPr>
      <w:i/>
      <w:iCs/>
    </w:rPr>
  </w:style>
  <w:style w:type="character" w:styleId="HTMLKeyboard">
    <w:name w:val="HTML Keyboard"/>
    <w:uiPriority w:val="99"/>
    <w:semiHidden/>
    <w:rsid w:val="005476DA"/>
    <w:rPr>
      <w:sz w:val="20"/>
      <w:szCs w:val="20"/>
    </w:rPr>
  </w:style>
  <w:style w:type="paragraph" w:styleId="HTMLPreformatted">
    <w:name w:val="HTML Preformatted"/>
    <w:basedOn w:val="Normal"/>
    <w:link w:val="HTMLPreformatted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5476DA"/>
    <w:rPr>
      <w:rFonts w:ascii="Calibri" w:eastAsia="Times New Roman" w:hAnsi="Calibri" w:cs="Calibri"/>
      <w:sz w:val="22"/>
      <w:szCs w:val="22"/>
    </w:rPr>
  </w:style>
  <w:style w:type="character" w:styleId="HTMLSample">
    <w:name w:val="HTML Sample"/>
    <w:uiPriority w:val="99"/>
    <w:semiHidden/>
    <w:rsid w:val="005476DA"/>
    <w:rPr>
      <w:sz w:val="24"/>
      <w:szCs w:val="24"/>
    </w:rPr>
  </w:style>
  <w:style w:type="character" w:styleId="HTMLTypewriter">
    <w:name w:val="HTML Typewriter"/>
    <w:uiPriority w:val="99"/>
    <w:semiHidden/>
    <w:rsid w:val="005476DA"/>
    <w:rPr>
      <w:sz w:val="20"/>
      <w:szCs w:val="20"/>
    </w:rPr>
  </w:style>
  <w:style w:type="character" w:styleId="HTMLVariable">
    <w:name w:val="HTML Variable"/>
    <w:uiPriority w:val="99"/>
    <w:semiHidden/>
    <w:rsid w:val="005476DA"/>
    <w:rPr>
      <w:i/>
      <w:iCs/>
    </w:rPr>
  </w:style>
  <w:style w:type="paragraph" w:styleId="Index3">
    <w:name w:val="index 3"/>
    <w:basedOn w:val="Normal"/>
    <w:next w:val="Normal"/>
    <w:autoRedefine/>
    <w:uiPriority w:val="49"/>
    <w:semiHidden/>
    <w:rsid w:val="005476DA"/>
    <w:pPr>
      <w:spacing w:before="100"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5476DA"/>
    <w:pPr>
      <w:spacing w:before="100"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5476DA"/>
    <w:pPr>
      <w:spacing w:before="100"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5476DA"/>
    <w:pPr>
      <w:spacing w:before="100"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5476DA"/>
    <w:pPr>
      <w:spacing w:before="100"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5476DA"/>
    <w:pPr>
      <w:spacing w:before="100"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5476DA"/>
    <w:pPr>
      <w:spacing w:before="100"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5476DA"/>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5476DA"/>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5476DA"/>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476DA"/>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476DA"/>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76DA"/>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476DA"/>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5476DA"/>
  </w:style>
  <w:style w:type="paragraph" w:styleId="List">
    <w:name w:val="List"/>
    <w:basedOn w:val="Normal"/>
    <w:uiPriority w:val="49"/>
    <w:semiHidden/>
    <w:rsid w:val="005476DA"/>
    <w:pPr>
      <w:spacing w:before="100"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5476DA"/>
    <w:pPr>
      <w:spacing w:before="100"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5476DA"/>
    <w:pPr>
      <w:spacing w:before="100"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5476DA"/>
    <w:pPr>
      <w:spacing w:before="100"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5476DA"/>
    <w:pPr>
      <w:spacing w:before="100"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5476DA"/>
    <w:pPr>
      <w:numPr>
        <w:numId w:val="8"/>
      </w:numPr>
      <w:spacing w:before="100"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5476DA"/>
    <w:pPr>
      <w:numPr>
        <w:numId w:val="9"/>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5476DA"/>
    <w:pPr>
      <w:numPr>
        <w:numId w:val="10"/>
      </w:numPr>
      <w:spacing w:before="100"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5476DA"/>
    <w:pPr>
      <w:spacing w:before="100"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5476DA"/>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5476DA"/>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5476DA"/>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5476DA"/>
    <w:pPr>
      <w:spacing w:before="100"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5476DA"/>
    <w:pPr>
      <w:spacing w:before="100" w:after="120" w:line="240" w:lineRule="auto"/>
      <w:ind w:left="1415"/>
    </w:pPr>
    <w:rPr>
      <w:rFonts w:ascii="Calibri" w:eastAsia="Times New Roman" w:hAnsi="Calibri" w:cs="Calibri"/>
      <w:spacing w:val="0"/>
      <w:sz w:val="22"/>
      <w:szCs w:val="22"/>
    </w:rPr>
  </w:style>
  <w:style w:type="paragraph" w:styleId="ListNumber">
    <w:name w:val="List Number"/>
    <w:basedOn w:val="Normal"/>
    <w:uiPriority w:val="7"/>
    <w:semiHidden/>
    <w:qFormat/>
    <w:rsid w:val="005476DA"/>
    <w:pPr>
      <w:numPr>
        <w:numId w:val="11"/>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5476DA"/>
    <w:pPr>
      <w:numPr>
        <w:ilvl w:val="1"/>
        <w:numId w:val="11"/>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5476DA"/>
    <w:pPr>
      <w:numPr>
        <w:ilvl w:val="2"/>
        <w:numId w:val="11"/>
      </w:numPr>
      <w:spacing w:before="100" w:line="240" w:lineRule="auto"/>
      <w:contextualSpacing/>
    </w:pPr>
    <w:rPr>
      <w:rFonts w:ascii="Calibri" w:eastAsia="Times New Roman" w:hAnsi="Calibri" w:cs="Calibri"/>
      <w:spacing w:val="0"/>
      <w:sz w:val="22"/>
      <w:szCs w:val="22"/>
    </w:rPr>
  </w:style>
  <w:style w:type="paragraph" w:styleId="ListNumber4">
    <w:name w:val="List Number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5476DA"/>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5476DA"/>
    <w:rPr>
      <w:rFonts w:ascii="Calibri" w:eastAsia="Times New Roman" w:hAnsi="Calibri" w:cs="Calibri"/>
      <w:sz w:val="22"/>
      <w:szCs w:val="22"/>
    </w:rPr>
  </w:style>
  <w:style w:type="table" w:styleId="MediumGrid1">
    <w:name w:val="Medium Grid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5476DA"/>
    <w:pPr>
      <w:pBdr>
        <w:top w:val="single" w:sz="6" w:space="1" w:color="auto"/>
        <w:left w:val="single" w:sz="6" w:space="1" w:color="auto"/>
        <w:bottom w:val="single" w:sz="6" w:space="1" w:color="auto"/>
        <w:right w:val="single" w:sz="6" w:space="1" w:color="auto"/>
      </w:pBdr>
      <w:shd w:val="pct20" w:color="auto" w:fill="auto"/>
      <w:spacing w:before="100"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5476DA"/>
    <w:rPr>
      <w:rFonts w:ascii="Calibri" w:eastAsia="Times New Roman" w:hAnsi="Calibri" w:cs="Calibri"/>
      <w:sz w:val="24"/>
      <w:szCs w:val="24"/>
      <w:shd w:val="pct20" w:color="auto" w:fill="auto"/>
    </w:rPr>
  </w:style>
  <w:style w:type="character" w:styleId="PlaceholderText">
    <w:name w:val="Placeholder Text"/>
    <w:uiPriority w:val="99"/>
    <w:semiHidden/>
    <w:rsid w:val="005476DA"/>
    <w:rPr>
      <w:color w:val="808080"/>
    </w:rPr>
  </w:style>
  <w:style w:type="paragraph" w:styleId="PlainText">
    <w:name w:val="Plain Text"/>
    <w:basedOn w:val="Normal"/>
    <w:link w:val="Plain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5476DA"/>
    <w:rPr>
      <w:rFonts w:ascii="Calibri" w:eastAsia="Times New Roman" w:hAnsi="Calibri" w:cs="Calibri"/>
      <w:sz w:val="22"/>
      <w:szCs w:val="22"/>
    </w:rPr>
  </w:style>
  <w:style w:type="paragraph" w:customStyle="1" w:styleId="Quotation">
    <w:name w:val="Quotation"/>
    <w:basedOn w:val="Normal"/>
    <w:next w:val="Normal"/>
    <w:uiPriority w:val="49"/>
    <w:semiHidden/>
    <w:rsid w:val="005476DA"/>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5476DA"/>
    <w:pPr>
      <w:spacing w:before="100"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5476DA"/>
    <w:rPr>
      <w:rFonts w:ascii="Calibri" w:eastAsia="Times New Roman" w:hAnsi="Calibri" w:cs="Calibri"/>
      <w:sz w:val="22"/>
      <w:szCs w:val="22"/>
    </w:rPr>
  </w:style>
  <w:style w:type="paragraph" w:styleId="Signature">
    <w:name w:val="Signature"/>
    <w:basedOn w:val="Normal"/>
    <w:link w:val="Signature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5476DA"/>
    <w:rPr>
      <w:rFonts w:ascii="Calibri" w:eastAsia="Times New Roman" w:hAnsi="Calibri" w:cs="Calibri"/>
      <w:sz w:val="22"/>
      <w:szCs w:val="22"/>
    </w:rPr>
  </w:style>
  <w:style w:type="table" w:styleId="Table3Deffects1">
    <w:name w:val="Table 3D effects 1"/>
    <w:basedOn w:val="TableNormal"/>
    <w:uiPriority w:val="99"/>
    <w:semiHidden/>
    <w:unhideWhenUsed/>
    <w:rsid w:val="005476DA"/>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76DA"/>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76DA"/>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76DA"/>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5476DA"/>
    <w:pPr>
      <w:spacing w:before="100" w:after="100"/>
      <w:ind w:left="794"/>
      <w:jc w:val="left"/>
    </w:pPr>
    <w:rPr>
      <w:rFonts w:ascii="Calibri" w:eastAsia="Times New Roman" w:hAnsi="Calibri" w:cs="Times New Roman"/>
      <w:spacing w:val="0"/>
      <w:sz w:val="20"/>
      <w:szCs w:val="20"/>
      <w:lang w:eastAsia="en-AU"/>
    </w:rPr>
    <w:tblPr>
      <w:tblStyleRowBandSize w:val="1"/>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nwCell">
      <w:rPr>
        <w:b/>
      </w:rPr>
    </w:tblStylePr>
  </w:style>
  <w:style w:type="table" w:styleId="TableGrid2">
    <w:name w:val="Table Grid 2"/>
    <w:basedOn w:val="TableGrid"/>
    <w:uiPriority w:val="99"/>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76DA"/>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476DA"/>
    <w:pPr>
      <w:tabs>
        <w:tab w:val="right" w:pos="9072"/>
      </w:tabs>
      <w:spacing w:before="100" w:line="240" w:lineRule="auto"/>
      <w:ind w:left="200" w:hanging="200"/>
    </w:pPr>
    <w:rPr>
      <w:rFonts w:ascii="Calibri" w:eastAsia="Times New Roman" w:hAnsi="Calibri" w:cs="Calibri"/>
      <w:spacing w:val="0"/>
      <w:sz w:val="22"/>
      <w:szCs w:val="22"/>
    </w:rPr>
  </w:style>
  <w:style w:type="paragraph" w:styleId="TableofFigures">
    <w:name w:val="table of figures"/>
    <w:basedOn w:val="TOCHeading"/>
    <w:next w:val="Normal"/>
    <w:uiPriority w:val="99"/>
    <w:semiHidden/>
    <w:unhideWhenUsed/>
    <w:rsid w:val="005476DA"/>
    <w:pPr>
      <w:keepLines w:val="0"/>
      <w:pageBreakBefore/>
      <w:spacing w:before="0" w:after="0" w:line="240" w:lineRule="auto"/>
    </w:pPr>
    <w:rPr>
      <w:rFonts w:ascii="Calibri" w:eastAsia="Times New Roman" w:hAnsi="Calibri" w:cs="Calibri"/>
      <w:b w:val="0"/>
      <w:bCs w:val="0"/>
      <w:color w:val="4C4C4C"/>
      <w:spacing w:val="0"/>
      <w:sz w:val="40"/>
      <w:szCs w:val="22"/>
    </w:rPr>
  </w:style>
  <w:style w:type="table" w:styleId="TableProfessional">
    <w:name w:val="Table Professional"/>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76DA"/>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476DA"/>
    <w:pPr>
      <w:spacing w:before="120" w:line="240" w:lineRule="auto"/>
      <w:ind w:left="794"/>
    </w:pPr>
    <w:rPr>
      <w:rFonts w:ascii="Calibri" w:eastAsia="Times New Roman" w:hAnsi="Calibri" w:cs="Calibri"/>
      <w:b/>
      <w:bCs/>
      <w:spacing w:val="0"/>
      <w:sz w:val="24"/>
      <w:szCs w:val="24"/>
    </w:rPr>
  </w:style>
  <w:style w:type="paragraph" w:styleId="TOC7">
    <w:name w:val="toc 7"/>
    <w:basedOn w:val="Normal"/>
    <w:next w:val="Normal"/>
    <w:autoRedefine/>
    <w:uiPriority w:val="49"/>
    <w:semiHidden/>
    <w:rsid w:val="005476DA"/>
    <w:pPr>
      <w:spacing w:before="100"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49"/>
    <w:semiHidden/>
    <w:rsid w:val="005476DA"/>
    <w:pPr>
      <w:spacing w:before="100"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49"/>
    <w:semiHidden/>
    <w:rsid w:val="005476DA"/>
    <w:pPr>
      <w:spacing w:before="100" w:line="240" w:lineRule="auto"/>
      <w:ind w:left="2835" w:right="2835"/>
    </w:pPr>
    <w:rPr>
      <w:rFonts w:ascii="Calibri" w:eastAsia="Times New Roman" w:hAnsi="Calibri" w:cs="Calibri"/>
      <w:spacing w:val="0"/>
      <w:sz w:val="22"/>
      <w:szCs w:val="22"/>
    </w:rPr>
  </w:style>
  <w:style w:type="paragraph" w:styleId="Revision">
    <w:name w:val="Revision"/>
    <w:hidden/>
    <w:uiPriority w:val="99"/>
    <w:semiHidden/>
    <w:rsid w:val="005476DA"/>
    <w:pPr>
      <w:spacing w:after="0" w:line="240" w:lineRule="auto"/>
    </w:pPr>
    <w:rPr>
      <w:rFonts w:ascii="Calibri" w:eastAsia="Times New Roman" w:hAnsi="Calibri" w:cs="Calibri"/>
      <w:sz w:val="22"/>
      <w:szCs w:val="22"/>
    </w:rPr>
  </w:style>
  <w:style w:type="paragraph" w:styleId="NormalWeb">
    <w:name w:val="Normal (Web)"/>
    <w:basedOn w:val="Normal"/>
    <w:uiPriority w:val="99"/>
    <w:semiHidden/>
    <w:unhideWhenUsed/>
    <w:rsid w:val="005476DA"/>
    <w:pPr>
      <w:spacing w:before="100" w:beforeAutospacing="1" w:afterAutospacing="1" w:line="240" w:lineRule="auto"/>
    </w:pPr>
    <w:rPr>
      <w:rFonts w:ascii="Times New Roman" w:hAnsi="Times New Roman" w:cs="Times New Roman"/>
      <w:spacing w:val="0"/>
      <w:sz w:val="24"/>
      <w:szCs w:val="24"/>
    </w:rPr>
  </w:style>
  <w:style w:type="paragraph" w:customStyle="1" w:styleId="Normalhanging">
    <w:name w:val="Normal hanging"/>
    <w:basedOn w:val="NormalIndent"/>
    <w:qFormat/>
    <w:rsid w:val="001D07DE"/>
    <w:pPr>
      <w:ind w:left="1260" w:hanging="540"/>
    </w:pPr>
  </w:style>
  <w:style w:type="paragraph" w:customStyle="1" w:styleId="Num1">
    <w:name w:val="Num1"/>
    <w:basedOn w:val="Normal"/>
    <w:qFormat/>
    <w:rsid w:val="00C36AA2"/>
    <w:pPr>
      <w:tabs>
        <w:tab w:val="num" w:pos="1296"/>
      </w:tabs>
      <w:spacing w:before="100" w:line="240" w:lineRule="auto"/>
      <w:ind w:left="1296" w:hanging="502"/>
    </w:pPr>
    <w:rPr>
      <w:rFonts w:ascii="Calibri" w:eastAsia="Times New Roman" w:hAnsi="Calibri" w:cs="Calibri"/>
      <w:spacing w:val="0"/>
      <w:sz w:val="22"/>
      <w:szCs w:val="22"/>
    </w:rPr>
  </w:style>
  <w:style w:type="paragraph" w:customStyle="1" w:styleId="TableHeader0">
    <w:name w:val="Table Header"/>
    <w:basedOn w:val="Tabletext"/>
    <w:uiPriority w:val="15"/>
    <w:qFormat/>
    <w:rsid w:val="00BB380C"/>
    <w:pPr>
      <w:keepNext/>
      <w:spacing w:before="40" w:after="40" w:line="240" w:lineRule="auto"/>
    </w:pPr>
    <w:rPr>
      <w:rFonts w:ascii="Calibri" w:eastAsia="Times New Roman" w:hAnsi="Calibri" w:cs="Calibri"/>
      <w:color w:val="333333"/>
      <w:spacing w:val="0"/>
      <w:sz w:val="24"/>
      <w:szCs w:val="22"/>
    </w:rPr>
  </w:style>
  <w:style w:type="paragraph" w:styleId="ListParagraph">
    <w:name w:val="List Paragraph"/>
    <w:basedOn w:val="Normal"/>
    <w:qFormat/>
    <w:rsid w:val="00BB380C"/>
    <w:pPr>
      <w:spacing w:before="100" w:line="240" w:lineRule="auto"/>
      <w:ind w:left="720"/>
      <w:contextualSpacing/>
    </w:pPr>
    <w:rPr>
      <w:rFonts w:ascii="Calibri" w:eastAsia="Times New Roman" w:hAnsi="Calibri" w:cs="Calibri"/>
      <w:spacing w:val="0"/>
      <w:sz w:val="22"/>
      <w:szCs w:val="22"/>
    </w:rPr>
  </w:style>
  <w:style w:type="character" w:styleId="Strong">
    <w:name w:val="Strong"/>
    <w:qFormat/>
    <w:rsid w:val="00BB380C"/>
    <w:rPr>
      <w:b/>
      <w:bCs/>
    </w:rPr>
  </w:style>
  <w:style w:type="table" w:customStyle="1" w:styleId="Mandatory1">
    <w:name w:val="Mandatory1"/>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Mandatory2">
    <w:name w:val="Mandatory2"/>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num1">
    <w:name w:val="Table num 1"/>
    <w:basedOn w:val="Normal"/>
    <w:uiPriority w:val="6"/>
    <w:rsid w:val="00FA0690"/>
    <w:pPr>
      <w:tabs>
        <w:tab w:val="num" w:pos="360"/>
      </w:tabs>
      <w:ind w:left="360" w:hanging="360"/>
    </w:pPr>
    <w:rPr>
      <w:sz w:val="17"/>
    </w:rPr>
  </w:style>
  <w:style w:type="paragraph" w:customStyle="1" w:styleId="Tablenum2">
    <w:name w:val="Table num 2"/>
    <w:basedOn w:val="Normal"/>
    <w:uiPriority w:val="6"/>
    <w:rsid w:val="00FA0690"/>
    <w:pPr>
      <w:tabs>
        <w:tab w:val="num" w:pos="720"/>
      </w:tabs>
      <w:ind w:left="720" w:hanging="360"/>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9827">
      <w:bodyDiv w:val="1"/>
      <w:marLeft w:val="0"/>
      <w:marRight w:val="0"/>
      <w:marTop w:val="0"/>
      <w:marBottom w:val="0"/>
      <w:divBdr>
        <w:top w:val="none" w:sz="0" w:space="0" w:color="auto"/>
        <w:left w:val="none" w:sz="0" w:space="0" w:color="auto"/>
        <w:bottom w:val="none" w:sz="0" w:space="0" w:color="auto"/>
        <w:right w:val="none" w:sz="0" w:space="0" w:color="auto"/>
      </w:divBdr>
    </w:div>
    <w:div w:id="5563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yperlink" Target="mailto:Financial.Frameworks@dtf.vic.gov.au"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cashmanagement@dtf.vic.gov.au" TargetMode="Externa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hyperlink" Target="javascript:void%20window.open('Popup/Outputs.htm','picture','height=200,width=300').focus()" TargetMode="Externa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javascript:void%20window.open('Popup/CAC.htm','picture','height=200,width=300').focus()" TargetMode="External"/><Relationship Id="rId44" Type="http://schemas.openxmlformats.org/officeDocument/2006/relationships/header" Target="header14.xml"/><Relationship Id="rId52"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image" Target="media/image6.png"/><Relationship Id="rId30" Type="http://schemas.openxmlformats.org/officeDocument/2006/relationships/hyperlink" Target="javascript:void%20window.open('Popup/Appropriation.htm','picture','height=200,width=300').focus()" TargetMode="Externa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13.xml"/></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A7BE-678B-4C5D-B399-D468B571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TotalTime>
  <Pages>48</Pages>
  <Words>11524</Words>
  <Characters>65693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cp:lastModifiedBy>
  <cp:revision>2</cp:revision>
  <cp:lastPrinted>2017-03-10T03:52:00Z</cp:lastPrinted>
  <dcterms:created xsi:type="dcterms:W3CDTF">2017-03-28T05:43:00Z</dcterms:created>
  <dcterms:modified xsi:type="dcterms:W3CDTF">2017-03-28T05:43:00Z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754a406f-6d89-461a-afd9-1afe497b5777</vt:lpwstr>
  </property>
  <property fmtid="{D5CDD505-2E9C-101B-9397-08002B2CF9AE}" pid="3" name="PSPFClassification">
    <vt:lpwstr>Do Not Mark</vt:lpwstr>
  </property>
</Properties>
</file>