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Default="00B11D75" w:rsidP="00440C3A">
      <w:pPr>
        <w:pStyle w:val="Subtitle"/>
        <w:rPr>
          <w:rFonts w:asciiTheme="minorHAnsi" w:hAnsiTheme="minorHAnsi" w:cstheme="minorHAnsi"/>
          <w:sz w:val="28"/>
          <w:szCs w:val="28"/>
        </w:rPr>
      </w:pPr>
      <w:r>
        <w:rPr>
          <w:rFonts w:asciiTheme="minorHAnsi" w:hAnsiTheme="minorHAnsi" w:cstheme="minorHAnsi"/>
          <w:sz w:val="28"/>
          <w:szCs w:val="28"/>
        </w:rPr>
        <w:t>September</w:t>
      </w:r>
      <w:r w:rsidR="00ED7CCB">
        <w:rPr>
          <w:rFonts w:asciiTheme="minorHAnsi" w:hAnsiTheme="minorHAnsi" w:cstheme="minorHAnsi"/>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3227"/>
        <w:gridCol w:w="7229"/>
      </w:tblGrid>
      <w:tr w:rsidR="002751C4" w:rsidTr="009D5E13">
        <w:trPr>
          <w:trHeight w:val="492"/>
        </w:trPr>
        <w:tc>
          <w:tcPr>
            <w:tcW w:w="3227" w:type="dxa"/>
          </w:tcPr>
          <w:p w:rsidR="002751C4" w:rsidRPr="00833E9D" w:rsidRDefault="002751C4" w:rsidP="009D5E13">
            <w:pPr>
              <w:pStyle w:val="Note"/>
              <w:spacing w:after="0"/>
            </w:pPr>
            <w:r>
              <w:lastRenderedPageBreak/>
              <w:t>This monthly newsletter outlines economic and financial developments.</w:t>
            </w:r>
          </w:p>
        </w:tc>
        <w:tc>
          <w:tcPr>
            <w:tcW w:w="7229" w:type="dxa"/>
          </w:tcPr>
          <w:p w:rsidR="002751C4" w:rsidRPr="006469B4" w:rsidRDefault="002F51A8" w:rsidP="00293A6B">
            <w:pPr>
              <w:pStyle w:val="Note"/>
              <w:spacing w:after="0"/>
              <w:jc w:val="center"/>
              <w:rPr>
                <w:b/>
                <w:color w:val="707068" w:themeColor="background2" w:themeShade="80"/>
              </w:rPr>
            </w:pPr>
            <w:r>
              <w:rPr>
                <w:b/>
                <w:color w:val="707068" w:themeColor="background2" w:themeShade="80"/>
              </w:rPr>
              <w:t xml:space="preserve">           </w:t>
            </w:r>
            <w:r w:rsidR="002751C4" w:rsidRPr="006469B4">
              <w:rPr>
                <w:b/>
                <w:color w:val="707068" w:themeColor="background2" w:themeShade="80"/>
              </w:rPr>
              <w:t>By David Ma</w:t>
            </w:r>
            <w:bookmarkStart w:id="0" w:name="_GoBack"/>
            <w:bookmarkEnd w:id="0"/>
            <w:r w:rsidR="002751C4" w:rsidRPr="006469B4">
              <w:rPr>
                <w:b/>
                <w:color w:val="707068" w:themeColor="background2" w:themeShade="80"/>
              </w:rPr>
              <w:t xml:space="preserve">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004104" w:rsidRDefault="00004104" w:rsidP="00103711">
      <w:pPr>
        <w:pStyle w:val="Bullet-highlight"/>
        <w:numPr>
          <w:ilvl w:val="0"/>
          <w:numId w:val="0"/>
        </w:numPr>
        <w:spacing w:after="0"/>
        <w:sectPr w:rsidR="00004104" w:rsidSect="00D847A0">
          <w:type w:val="continuous"/>
          <w:pgSz w:w="11906" w:h="16838" w:code="9"/>
          <w:pgMar w:top="3572" w:right="1134" w:bottom="1134" w:left="1134" w:header="709" w:footer="567" w:gutter="0"/>
          <w:cols w:space="567"/>
          <w:docGrid w:linePitch="360"/>
        </w:sectPr>
      </w:pPr>
    </w:p>
    <w:tbl>
      <w:tblPr>
        <w:tblW w:w="5951" w:type="dxa"/>
        <w:shd w:val="clear" w:color="auto" w:fill="99B8DC" w:themeFill="accent5"/>
        <w:tblLook w:val="04A0" w:firstRow="1" w:lastRow="0" w:firstColumn="1" w:lastColumn="0" w:noHBand="0" w:noVBand="1"/>
      </w:tblPr>
      <w:tblGrid>
        <w:gridCol w:w="1101"/>
        <w:gridCol w:w="2517"/>
        <w:gridCol w:w="2333"/>
      </w:tblGrid>
      <w:tr w:rsidR="002751C4" w:rsidRPr="00BB0BF9" w:rsidTr="008D06D9">
        <w:trPr>
          <w:gridAfter w:val="1"/>
          <w:wAfter w:w="2333" w:type="dxa"/>
          <w:trHeight w:val="8222"/>
        </w:trPr>
        <w:tc>
          <w:tcPr>
            <w:tcW w:w="3618" w:type="dxa"/>
            <w:gridSpan w:val="2"/>
            <w:shd w:val="clear" w:color="auto" w:fill="CCE3F5" w:themeFill="accent6"/>
          </w:tcPr>
          <w:p w:rsidR="008262D9" w:rsidRDefault="002751C4" w:rsidP="006E3C98">
            <w:pPr>
              <w:tabs>
                <w:tab w:val="left" w:pos="360"/>
              </w:tabs>
              <w:spacing w:before="240"/>
              <w:rPr>
                <w:b/>
                <w:color w:val="201547" w:themeColor="accent1"/>
                <w:sz w:val="32"/>
              </w:rPr>
            </w:pPr>
            <w:r w:rsidRPr="00103711">
              <w:rPr>
                <w:b/>
                <w:color w:val="201547" w:themeColor="accent1"/>
                <w:sz w:val="32"/>
              </w:rPr>
              <w:lastRenderedPageBreak/>
              <w:t>Highlights</w:t>
            </w:r>
          </w:p>
          <w:p w:rsidR="00C6502B" w:rsidRDefault="00C6502B" w:rsidP="00C6502B">
            <w:pPr>
              <w:pStyle w:val="Bullet-highlight"/>
            </w:pPr>
            <w:r w:rsidRPr="00C6502B">
              <w:t xml:space="preserve">Victoria's population </w:t>
            </w:r>
            <w:r>
              <w:t xml:space="preserve">growth </w:t>
            </w:r>
            <w:r w:rsidR="00D4690E">
              <w:t xml:space="preserve">was </w:t>
            </w:r>
            <w:r>
              <w:t xml:space="preserve">the strongest in the nation </w:t>
            </w:r>
            <w:r w:rsidR="00D4690E">
              <w:t xml:space="preserve">over the year to </w:t>
            </w:r>
            <w:r>
              <w:t>March</w:t>
            </w:r>
            <w:r w:rsidR="00D4690E">
              <w:t>.</w:t>
            </w:r>
            <w:r w:rsidRPr="00C6502B">
              <w:t xml:space="preserve"> </w:t>
            </w:r>
          </w:p>
          <w:p w:rsidR="00344153" w:rsidRDefault="00D4690E" w:rsidP="00C6502B">
            <w:pPr>
              <w:pStyle w:val="Bullet-highlight"/>
            </w:pPr>
            <w:r>
              <w:t>The l</w:t>
            </w:r>
            <w:r w:rsidR="00344153" w:rsidRPr="00AB50B0">
              <w:t xml:space="preserve">abour market </w:t>
            </w:r>
            <w:r>
              <w:t xml:space="preserve">remains strong driven by both </w:t>
            </w:r>
            <w:r w:rsidR="008B6F78">
              <w:t xml:space="preserve">full-time and part-time employment </w:t>
            </w:r>
            <w:r>
              <w:t>growth.</w:t>
            </w:r>
          </w:p>
          <w:p w:rsidR="00E36C62" w:rsidRDefault="009F7315" w:rsidP="00344153">
            <w:pPr>
              <w:pStyle w:val="Bullet-highlight"/>
            </w:pPr>
            <w:r>
              <w:t>Surveyed m</w:t>
            </w:r>
            <w:r w:rsidR="00E36C62">
              <w:t xml:space="preserve">anufacturing output </w:t>
            </w:r>
            <w:r w:rsidR="00730AFF">
              <w:t>expanded</w:t>
            </w:r>
            <w:r w:rsidR="00E36C62">
              <w:t xml:space="preserve"> </w:t>
            </w:r>
            <w:r w:rsidR="004942D6">
              <w:t xml:space="preserve">in August </w:t>
            </w:r>
            <w:r w:rsidR="00E36C62">
              <w:t xml:space="preserve">despite </w:t>
            </w:r>
            <w:r>
              <w:t xml:space="preserve">the drag from the </w:t>
            </w:r>
            <w:r w:rsidR="00E36C62">
              <w:t xml:space="preserve">withdrawal of automotive production. </w:t>
            </w:r>
          </w:p>
          <w:p w:rsidR="00730AFF" w:rsidRDefault="00730AFF" w:rsidP="00344153">
            <w:pPr>
              <w:pStyle w:val="Bullet-highlight"/>
            </w:pPr>
            <w:r>
              <w:t>Business conditions improved</w:t>
            </w:r>
            <w:r w:rsidR="004942D6">
              <w:t xml:space="preserve"> in August</w:t>
            </w:r>
            <w:r>
              <w:t xml:space="preserve"> to the highest level on record.</w:t>
            </w:r>
          </w:p>
          <w:p w:rsidR="000F0189" w:rsidRDefault="00730AFF" w:rsidP="00400CB5">
            <w:pPr>
              <w:pStyle w:val="Bullet-highlight"/>
            </w:pPr>
            <w:r>
              <w:t xml:space="preserve">The US labour market remained strong with unemployment </w:t>
            </w:r>
            <w:r w:rsidR="00A53933">
              <w:t>at 4.4</w:t>
            </w:r>
            <w:r w:rsidR="00A91DE4">
              <w:t> per cent</w:t>
            </w:r>
            <w:r w:rsidR="004942D6">
              <w:t xml:space="preserve"> in August</w:t>
            </w:r>
            <w:r w:rsidR="00A53933">
              <w:t>.</w:t>
            </w:r>
          </w:p>
          <w:p w:rsidR="008F55AB" w:rsidRDefault="009F7315" w:rsidP="009F7315">
            <w:pPr>
              <w:pStyle w:val="Bullet-highlight"/>
            </w:pPr>
            <w:r>
              <w:t>The e</w:t>
            </w:r>
            <w:r w:rsidR="008F55AB">
              <w:t>uro area’s recovery continue</w:t>
            </w:r>
            <w:r>
              <w:t>d</w:t>
            </w:r>
            <w:r w:rsidR="008F55AB">
              <w:t xml:space="preserve"> </w:t>
            </w:r>
            <w:r>
              <w:t xml:space="preserve">with </w:t>
            </w:r>
            <w:r w:rsidR="008F55AB">
              <w:t xml:space="preserve">GDP </w:t>
            </w:r>
            <w:r>
              <w:t xml:space="preserve">growth </w:t>
            </w:r>
            <w:r w:rsidR="008F55AB">
              <w:t>accelerat</w:t>
            </w:r>
            <w:r>
              <w:t>ing in the June quarter.</w:t>
            </w:r>
          </w:p>
          <w:p w:rsidR="007B44F4" w:rsidRPr="00BB0BF9" w:rsidRDefault="007B44F4" w:rsidP="009F7315">
            <w:pPr>
              <w:pStyle w:val="Bullet-highlight"/>
            </w:pPr>
            <w:r w:rsidRPr="006E3C98">
              <w:t>Japan’s</w:t>
            </w:r>
            <w:r>
              <w:t xml:space="preserve"> second quarter </w:t>
            </w:r>
            <w:r w:rsidRPr="006E3C98">
              <w:t>GDP</w:t>
            </w:r>
            <w:r>
              <w:t xml:space="preserve"> grew by an annualised rate of 2.5 per cent</w:t>
            </w:r>
            <w:r w:rsidR="006E3C98">
              <w:t>.</w:t>
            </w:r>
          </w:p>
        </w:tc>
      </w:tr>
      <w:tr w:rsidR="002751C4" w:rsidTr="008D06D9">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035EA8CD" wp14:editId="617E63FD">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850" w:type="dxa"/>
            <w:gridSpan w:val="2"/>
            <w:vAlign w:val="bottom"/>
          </w:tcPr>
          <w:p w:rsidR="002751C4" w:rsidRDefault="002751C4" w:rsidP="005164C2">
            <w:pPr>
              <w:pStyle w:val="Heading1"/>
            </w:pPr>
            <w:r>
              <w:t>Domestic developments</w:t>
            </w:r>
          </w:p>
        </w:tc>
      </w:tr>
    </w:tbl>
    <w:p w:rsidR="001C517E" w:rsidRDefault="00585DD0" w:rsidP="008D06D9">
      <w:pPr>
        <w:ind w:right="231"/>
      </w:pPr>
      <w:r>
        <w:t>E</w:t>
      </w:r>
      <w:r w:rsidR="001C517E" w:rsidRPr="00B17DE6">
        <w:t xml:space="preserve">conomic indicators </w:t>
      </w:r>
      <w:r w:rsidR="001C517E">
        <w:t>released</w:t>
      </w:r>
      <w:r w:rsidR="001C517E" w:rsidRPr="00B17DE6">
        <w:t xml:space="preserve"> </w:t>
      </w:r>
      <w:r>
        <w:t>in</w:t>
      </w:r>
      <w:r w:rsidR="001C517E">
        <w:t xml:space="preserve"> the past month </w:t>
      </w:r>
      <w:r w:rsidR="00AD2B6B">
        <w:t xml:space="preserve">are consistent with </w:t>
      </w:r>
      <w:r w:rsidR="00F90892">
        <w:t>strong economic conditions</w:t>
      </w:r>
      <w:r w:rsidR="00390E2F">
        <w:t xml:space="preserve"> in Victoria</w:t>
      </w:r>
      <w:r w:rsidR="00F90892">
        <w:t>.</w:t>
      </w:r>
    </w:p>
    <w:p w:rsidR="00875CE2" w:rsidRDefault="00C6502B" w:rsidP="008D06D9">
      <w:pPr>
        <w:ind w:right="231"/>
      </w:pPr>
      <w:r w:rsidRPr="00C6502B">
        <w:t xml:space="preserve">Victoria's </w:t>
      </w:r>
      <w:r w:rsidRPr="00C6502B">
        <w:rPr>
          <w:b/>
        </w:rPr>
        <w:t>population</w:t>
      </w:r>
      <w:r w:rsidRPr="00C6502B">
        <w:t xml:space="preserve"> increased 2.4 per cent over the year to the March quarter, the highest growth of all jurisdictions and above the na</w:t>
      </w:r>
      <w:r>
        <w:t>tional average of 1.6 per cent.</w:t>
      </w:r>
      <w:r w:rsidR="00875CE2">
        <w:t xml:space="preserve"> </w:t>
      </w:r>
      <w:r w:rsidR="00875CE2" w:rsidRPr="00875CE2">
        <w:rPr>
          <w:b/>
        </w:rPr>
        <w:t>Net overseas migration</w:t>
      </w:r>
      <w:r w:rsidR="00875CE2">
        <w:t xml:space="preserve"> was the largest contributor to growth, adding </w:t>
      </w:r>
      <w:r w:rsidR="00ED5C15">
        <w:t>83 400</w:t>
      </w:r>
      <w:r w:rsidR="00875CE2">
        <w:t xml:space="preserve"> persons over the year and accountin</w:t>
      </w:r>
      <w:r w:rsidR="00ED5C15">
        <w:t>g for 56</w:t>
      </w:r>
      <w:r w:rsidR="00A91DE4">
        <w:t> per cent</w:t>
      </w:r>
      <w:r w:rsidR="009C363B">
        <w:t xml:space="preserve"> of </w:t>
      </w:r>
      <w:r w:rsidR="00A741CB">
        <w:t>the growth</w:t>
      </w:r>
      <w:r w:rsidR="00875CE2">
        <w:t xml:space="preserve">. </w:t>
      </w:r>
    </w:p>
    <w:p w:rsidR="00C6502B" w:rsidRDefault="00D40BDF" w:rsidP="008D06D9">
      <w:pPr>
        <w:ind w:right="231"/>
      </w:pPr>
      <w:r>
        <w:t xml:space="preserve">Victoria’s </w:t>
      </w:r>
      <w:r w:rsidRPr="00545331">
        <w:rPr>
          <w:b/>
        </w:rPr>
        <w:t>labour market</w:t>
      </w:r>
      <w:r>
        <w:t xml:space="preserve"> continued to improve</w:t>
      </w:r>
      <w:r w:rsidR="00740CD4">
        <w:t xml:space="preserve"> </w:t>
      </w:r>
      <w:r w:rsidR="00DD15AD">
        <w:t>in August</w:t>
      </w:r>
      <w:r w:rsidR="00BD0FF9">
        <w:t>. Employment rose</w:t>
      </w:r>
      <w:r w:rsidR="003545BC">
        <w:t xml:space="preserve"> by 18 </w:t>
      </w:r>
      <w:r>
        <w:t>600</w:t>
      </w:r>
      <w:r w:rsidR="003545BC">
        <w:t xml:space="preserve"> </w:t>
      </w:r>
      <w:r w:rsidR="00740CD4">
        <w:t>per</w:t>
      </w:r>
      <w:r w:rsidR="00DD15AD">
        <w:t>sons</w:t>
      </w:r>
      <w:r w:rsidR="00BD0FF9">
        <w:t xml:space="preserve"> in the month</w:t>
      </w:r>
      <w:r w:rsidR="00606677">
        <w:t>, d</w:t>
      </w:r>
      <w:r w:rsidR="002144FB">
        <w:t>riven by increases in both full</w:t>
      </w:r>
      <w:r w:rsidR="002144FB">
        <w:noBreakHyphen/>
      </w:r>
      <w:r w:rsidR="00606677">
        <w:t xml:space="preserve">time </w:t>
      </w:r>
      <w:r w:rsidR="003A7B76">
        <w:t xml:space="preserve">and part-time </w:t>
      </w:r>
      <w:r w:rsidR="00606677">
        <w:t>employment.</w:t>
      </w:r>
      <w:r w:rsidR="00901961">
        <w:t xml:space="preserve"> Annual growth to August was 3.1</w:t>
      </w:r>
      <w:r w:rsidR="00A91DE4">
        <w:t> per cent</w:t>
      </w:r>
      <w:r w:rsidR="00901961">
        <w:t xml:space="preserve"> or 95 500 persons, the highest absolute increase among the states.</w:t>
      </w:r>
      <w:r w:rsidR="0083415F">
        <w:t xml:space="preserve"> ABS job vacancies in Victoria increased by </w:t>
      </w:r>
      <w:r w:rsidR="00656694">
        <w:t>25.3 per cent in the three months to August, suggesting a strong outlook for near term employment growth.</w:t>
      </w:r>
    </w:p>
    <w:p w:rsidR="005D5264" w:rsidRDefault="00C6502B" w:rsidP="008D06D9">
      <w:pPr>
        <w:ind w:right="231"/>
        <w:sectPr w:rsidR="005D5264" w:rsidSect="005D5264">
          <w:headerReference w:type="default" r:id="rId16"/>
          <w:footerReference w:type="default" r:id="rId17"/>
          <w:type w:val="continuous"/>
          <w:pgSz w:w="11906" w:h="16838" w:code="9"/>
          <w:pgMar w:top="964" w:right="1134" w:bottom="794" w:left="1134" w:header="709" w:footer="567" w:gutter="0"/>
          <w:cols w:num="2" w:space="562" w:equalWidth="0">
            <w:col w:w="3688" w:space="562"/>
            <w:col w:w="5388"/>
          </w:cols>
          <w:docGrid w:linePitch="360"/>
        </w:sectPr>
      </w:pPr>
      <w:r>
        <w:t>The unemployment rate remained elevated at 6.1 per cent in August</w:t>
      </w:r>
      <w:r w:rsidR="00232CFC">
        <w:t xml:space="preserve"> despite the strong employment growth</w:t>
      </w:r>
      <w:r>
        <w:t>. The unemployment rate</w:t>
      </w:r>
      <w:r w:rsidR="00A741CB">
        <w:t xml:space="preserve"> is being held up </w:t>
      </w:r>
      <w:r w:rsidR="00232CFC">
        <w:t xml:space="preserve">partly </w:t>
      </w:r>
      <w:r w:rsidR="00A741CB">
        <w:t xml:space="preserve">by the participation rate which increased to </w:t>
      </w:r>
      <w:r>
        <w:t>66.3 per cent</w:t>
      </w:r>
      <w:r w:rsidR="00A741CB">
        <w:t xml:space="preserve"> in August, its highest level on record</w:t>
      </w:r>
      <w:r>
        <w:t>.</w:t>
      </w:r>
    </w:p>
    <w:p w:rsidR="005D5264" w:rsidRDefault="005D5264" w:rsidP="008D06D9">
      <w:pPr>
        <w:ind w:right="231"/>
      </w:pPr>
      <w:r>
        <w:lastRenderedPageBreak/>
        <w:br w:type="page"/>
      </w:r>
    </w:p>
    <w:p w:rsidR="009C4050" w:rsidRDefault="00CA2C5D" w:rsidP="005D2153">
      <w:pPr>
        <w:ind w:right="231"/>
      </w:pPr>
      <w:r>
        <w:lastRenderedPageBreak/>
        <w:t xml:space="preserve">Victoria’s </w:t>
      </w:r>
      <w:r w:rsidR="00942CA3" w:rsidRPr="00925005">
        <w:rPr>
          <w:b/>
        </w:rPr>
        <w:t>Performance of Manufacturing Index</w:t>
      </w:r>
      <w:r w:rsidR="00942CA3">
        <w:t xml:space="preserve"> </w:t>
      </w:r>
      <w:r w:rsidR="00BD0FF9">
        <w:t xml:space="preserve">improved to 59.3 in August, the second highest value since the global financial crisis. The index has been in expansion </w:t>
      </w:r>
      <w:r w:rsidR="00925005">
        <w:t xml:space="preserve">for the past seven months </w:t>
      </w:r>
      <w:r w:rsidR="00C92189">
        <w:t xml:space="preserve">despite the ongoing withdrawal of automotive production from the </w:t>
      </w:r>
      <w:r w:rsidR="00CF410D">
        <w:t>S</w:t>
      </w:r>
      <w:r w:rsidR="00C92189">
        <w:t xml:space="preserve">tate. </w:t>
      </w:r>
      <w:r w:rsidR="005D2153">
        <w:t>The survey indicated that demand for locally manufactured chemicals, metals, and machinery and equipment</w:t>
      </w:r>
      <w:r w:rsidR="00151A8E">
        <w:t xml:space="preserve"> had increased, while challenges remain</w:t>
      </w:r>
      <w:r w:rsidR="00400CB5">
        <w:t>ed</w:t>
      </w:r>
      <w:r w:rsidR="00151A8E">
        <w:t xml:space="preserve"> from high input costs and the strong Australian dollar. </w:t>
      </w:r>
    </w:p>
    <w:p w:rsidR="00AD2B6B" w:rsidRDefault="00151A8E" w:rsidP="005D2153">
      <w:pPr>
        <w:ind w:right="231"/>
      </w:pPr>
      <w:r>
        <w:t>The m</w:t>
      </w:r>
      <w:r w:rsidR="00630F5C">
        <w:t xml:space="preserve">onthly NAB </w:t>
      </w:r>
      <w:r w:rsidR="00630F5C" w:rsidRPr="009C4050">
        <w:rPr>
          <w:b/>
        </w:rPr>
        <w:t xml:space="preserve">business </w:t>
      </w:r>
      <w:r w:rsidR="00F32969" w:rsidRPr="009C4050">
        <w:rPr>
          <w:b/>
        </w:rPr>
        <w:t>conditions</w:t>
      </w:r>
      <w:r w:rsidR="00630F5C">
        <w:t xml:space="preserve"> </w:t>
      </w:r>
      <w:r w:rsidR="009C4050">
        <w:t xml:space="preserve">index </w:t>
      </w:r>
      <w:r w:rsidR="006632CD">
        <w:t xml:space="preserve">in Victoria improved 10.5 points to +24.3 points in August, the highest reading on record. </w:t>
      </w:r>
      <w:r w:rsidR="00F569A1">
        <w:t xml:space="preserve">However, </w:t>
      </w:r>
      <w:r w:rsidR="00F569A1" w:rsidRPr="009C4050">
        <w:rPr>
          <w:b/>
        </w:rPr>
        <w:t>business confidence</w:t>
      </w:r>
      <w:r w:rsidR="00F569A1">
        <w:t xml:space="preserve">, </w:t>
      </w:r>
      <w:r w:rsidR="00630F5C">
        <w:t xml:space="preserve">weakened </w:t>
      </w:r>
      <w:r w:rsidR="006632CD">
        <w:t xml:space="preserve">9.5 points </w:t>
      </w:r>
      <w:r w:rsidR="007E3C36">
        <w:t xml:space="preserve">to </w:t>
      </w:r>
      <w:r w:rsidR="006632CD">
        <w:t>+</w:t>
      </w:r>
      <w:r w:rsidR="007E3C36">
        <w:t>3.0 index points</w:t>
      </w:r>
      <w:r w:rsidR="00E93118">
        <w:t>, the lowest since June last year.</w:t>
      </w:r>
      <w:r w:rsidR="009C5BCD">
        <w:t xml:space="preserve"> According to NAB, firms are mostly concerned with the outlook for customer demand and pressure on margins. </w:t>
      </w:r>
    </w:p>
    <w:p w:rsidR="007F5E9A" w:rsidRDefault="00D201DB" w:rsidP="004952C2">
      <w:pPr>
        <w:ind w:right="231"/>
      </w:pPr>
      <w:r w:rsidRPr="00B52852">
        <w:t xml:space="preserve">Victoria’s </w:t>
      </w:r>
      <w:r w:rsidRPr="00B52852">
        <w:rPr>
          <w:b/>
        </w:rPr>
        <w:t>h</w:t>
      </w:r>
      <w:r w:rsidR="007F5E9A" w:rsidRPr="00B52852">
        <w:rPr>
          <w:b/>
        </w:rPr>
        <w:t>ousehold consumption</w:t>
      </w:r>
      <w:r w:rsidR="007F5E9A" w:rsidRPr="00B52852">
        <w:t xml:space="preserve"> remains </w:t>
      </w:r>
      <w:r w:rsidRPr="00B52852">
        <w:t>strong</w:t>
      </w:r>
      <w:r w:rsidR="007F5E9A" w:rsidRPr="00B52852">
        <w:t xml:space="preserve">. </w:t>
      </w:r>
      <w:r w:rsidR="008A1A09" w:rsidRPr="00B52852">
        <w:t xml:space="preserve">The value of retail sales in Victoria </w:t>
      </w:r>
      <w:r w:rsidR="009A40BD" w:rsidRPr="00B52852">
        <w:t xml:space="preserve">grew </w:t>
      </w:r>
      <w:r w:rsidR="008A1A09" w:rsidRPr="00B52852">
        <w:t xml:space="preserve">3.4 per cent over the year to August 2017, above the national average of 2.1 per cent. </w:t>
      </w:r>
      <w:r w:rsidR="007F5E9A" w:rsidRPr="00B52852">
        <w:t>Victorian</w:t>
      </w:r>
      <w:r w:rsidR="007F5E9A">
        <w:t xml:space="preserve"> </w:t>
      </w:r>
      <w:r w:rsidR="007F5E9A" w:rsidRPr="006F2852">
        <w:rPr>
          <w:b/>
        </w:rPr>
        <w:t>consumer sentiment</w:t>
      </w:r>
      <w:r w:rsidR="007F5E9A">
        <w:t xml:space="preserve"> increased 4.2</w:t>
      </w:r>
      <w:r w:rsidR="00A91DE4">
        <w:t> per cent</w:t>
      </w:r>
      <w:r w:rsidR="007F5E9A">
        <w:t xml:space="preserve"> to 105.7 in September, the second highest growth behind South Australia (4.7</w:t>
      </w:r>
      <w:r w:rsidR="00A91DE4">
        <w:t> per cent</w:t>
      </w:r>
      <w:r w:rsidR="007F5E9A">
        <w:t xml:space="preserve"> to 89.7). </w:t>
      </w:r>
      <w:r w:rsidR="007F5E9A" w:rsidRPr="00CC35DA">
        <w:rPr>
          <w:b/>
        </w:rPr>
        <w:t>New motor vehicle sales</w:t>
      </w:r>
      <w:r w:rsidR="0035093C">
        <w:t xml:space="preserve"> in Victoria recorded</w:t>
      </w:r>
      <w:r w:rsidR="007F5E9A">
        <w:t xml:space="preserve"> modest positive growth (0.5</w:t>
      </w:r>
      <w:r w:rsidR="00A91DE4">
        <w:t> per cent</w:t>
      </w:r>
      <w:r w:rsidR="007F5E9A">
        <w:t xml:space="preserve">) in August, </w:t>
      </w:r>
      <w:r w:rsidR="005972E8">
        <w:t>while</w:t>
      </w:r>
      <w:r w:rsidR="007F5E9A">
        <w:t xml:space="preserve"> all other states and territories ex</w:t>
      </w:r>
      <w:r w:rsidR="005972E8">
        <w:t>cept Western Australia recorded</w:t>
      </w:r>
      <w:r w:rsidR="007F5E9A">
        <w:t xml:space="preserve"> negative growth rates. </w:t>
      </w:r>
    </w:p>
    <w:p w:rsidR="00CF410D" w:rsidRDefault="009C4050" w:rsidP="004952C2">
      <w:pPr>
        <w:ind w:right="231"/>
      </w:pPr>
      <w:r>
        <w:rPr>
          <w:b/>
        </w:rPr>
        <w:t xml:space="preserve">Residential property </w:t>
      </w:r>
      <w:r w:rsidR="00201145">
        <w:t>prices in Melbourne continued</w:t>
      </w:r>
      <w:r>
        <w:t xml:space="preserve"> to rise</w:t>
      </w:r>
      <w:r w:rsidR="00201145">
        <w:t xml:space="preserve"> with prices increasing</w:t>
      </w:r>
      <w:r w:rsidR="00201145" w:rsidRPr="00201145">
        <w:t xml:space="preserve"> 3.0</w:t>
      </w:r>
      <w:r w:rsidR="00A91DE4">
        <w:t> per cent</w:t>
      </w:r>
      <w:r w:rsidR="00201145" w:rsidRPr="00201145">
        <w:t xml:space="preserve"> in the June quarter, the highest of all the capital cities. Over the year, Melbourne residential property prices increased 13.8</w:t>
      </w:r>
      <w:r w:rsidR="00A91DE4">
        <w:t> per cent</w:t>
      </w:r>
      <w:r w:rsidR="00201145" w:rsidRPr="00201145">
        <w:t>, the equal highest of all capital cities alongside Sydney.</w:t>
      </w:r>
      <w:r w:rsidR="00201145">
        <w:t xml:space="preserve"> </w:t>
      </w:r>
    </w:p>
    <w:p w:rsidR="00CF410D" w:rsidRDefault="0054445F" w:rsidP="004952C2">
      <w:pPr>
        <w:ind w:right="231"/>
      </w:pPr>
      <w:r>
        <w:lastRenderedPageBreak/>
        <w:t xml:space="preserve">As a result of </w:t>
      </w:r>
      <w:r w:rsidR="005972E8">
        <w:t xml:space="preserve"> rising property prices and low income growth, </w:t>
      </w:r>
      <w:r w:rsidR="00CF410D" w:rsidRPr="00CF410D">
        <w:rPr>
          <w:b/>
        </w:rPr>
        <w:t>h</w:t>
      </w:r>
      <w:r w:rsidR="00DB4076" w:rsidRPr="00CF410D">
        <w:rPr>
          <w:b/>
        </w:rPr>
        <w:t>ousing</w:t>
      </w:r>
      <w:r w:rsidR="00DB4076" w:rsidRPr="007C2AFE">
        <w:rPr>
          <w:b/>
        </w:rPr>
        <w:t xml:space="preserve"> affordability</w:t>
      </w:r>
      <w:r w:rsidR="00DB4076">
        <w:t xml:space="preserve"> in Victoria deteriorated in the June quarter 2017</w:t>
      </w:r>
      <w:r>
        <w:t xml:space="preserve">. The </w:t>
      </w:r>
      <w:r w:rsidR="00C644B2">
        <w:t>p</w:t>
      </w:r>
      <w:r w:rsidR="00DB4076">
        <w:t>roportion of family income required to me</w:t>
      </w:r>
      <w:r w:rsidR="005972E8">
        <w:t xml:space="preserve">et housing </w:t>
      </w:r>
      <w:r>
        <w:t>repayments increased</w:t>
      </w:r>
      <w:r w:rsidR="00DB4076">
        <w:t xml:space="preserve"> </w:t>
      </w:r>
      <w:r w:rsidR="005972E8">
        <w:t>to 33.4</w:t>
      </w:r>
      <w:r w:rsidR="00A91DE4">
        <w:t> per cent</w:t>
      </w:r>
      <w:r w:rsidR="005972E8">
        <w:t xml:space="preserve"> in the June quarter </w:t>
      </w:r>
      <w:r w:rsidR="00DB4076">
        <w:t xml:space="preserve">from </w:t>
      </w:r>
      <w:r w:rsidR="007C2AFE">
        <w:t>32.5</w:t>
      </w:r>
      <w:r w:rsidR="00A91DE4">
        <w:t> per cent</w:t>
      </w:r>
      <w:r w:rsidR="007C2AFE">
        <w:t xml:space="preserve"> </w:t>
      </w:r>
      <w:r w:rsidR="005972E8">
        <w:t xml:space="preserve">in the previous quarter. </w:t>
      </w:r>
    </w:p>
    <w:p w:rsidR="009A40BD" w:rsidRDefault="009A40BD" w:rsidP="004952C2">
      <w:pPr>
        <w:ind w:right="231"/>
      </w:pPr>
      <w:r w:rsidRPr="00B52852">
        <w:rPr>
          <w:lang w:val="en-US"/>
        </w:rPr>
        <w:t xml:space="preserve">The value of total Victorian </w:t>
      </w:r>
      <w:r w:rsidRPr="00B52852">
        <w:rPr>
          <w:b/>
          <w:lang w:val="en-US"/>
        </w:rPr>
        <w:t>building approvals</w:t>
      </w:r>
      <w:r w:rsidRPr="00B52852">
        <w:rPr>
          <w:lang w:val="en-US"/>
        </w:rPr>
        <w:t xml:space="preserve"> fell 8.5 per cent in August, driven by </w:t>
      </w:r>
      <w:r w:rsidR="00AE51CD" w:rsidRPr="00B52852">
        <w:rPr>
          <w:lang w:val="en-US"/>
        </w:rPr>
        <w:t>falls</w:t>
      </w:r>
      <w:r w:rsidRPr="00B52852">
        <w:rPr>
          <w:lang w:val="en-US"/>
        </w:rPr>
        <w:t xml:space="preserve"> in residential and non</w:t>
      </w:r>
      <w:r w:rsidR="00AE51CD" w:rsidRPr="00B52852">
        <w:rPr>
          <w:lang w:val="en-US"/>
        </w:rPr>
        <w:noBreakHyphen/>
      </w:r>
      <w:r w:rsidRPr="00B52852">
        <w:rPr>
          <w:lang w:val="en-US"/>
        </w:rPr>
        <w:t>residential building approvals.</w:t>
      </w:r>
      <w:r w:rsidR="00AE51CD" w:rsidRPr="00B52852">
        <w:rPr>
          <w:lang w:val="en-US"/>
        </w:rPr>
        <w:t xml:space="preserve"> Despite the fall in August, Victoria had the second highest value of total building approvals over the year, behind New South Wales.</w:t>
      </w:r>
    </w:p>
    <w:p w:rsidR="009940EC" w:rsidRDefault="007F5E9A" w:rsidP="006E3C98">
      <w:pPr>
        <w:spacing w:after="360"/>
        <w:ind w:right="232"/>
      </w:pPr>
      <w:r>
        <w:t xml:space="preserve">The RBA left the </w:t>
      </w:r>
      <w:r w:rsidRPr="00B3469B">
        <w:rPr>
          <w:b/>
        </w:rPr>
        <w:t>cash rate</w:t>
      </w:r>
      <w:r>
        <w:t xml:space="preserve"> unchanged at 1.50</w:t>
      </w:r>
      <w:r w:rsidR="00A91DE4">
        <w:t> per cent</w:t>
      </w:r>
      <w:r>
        <w:t xml:space="preserve"> in August</w:t>
      </w:r>
      <w:r w:rsidR="0054445F">
        <w:t xml:space="preserve">. </w:t>
      </w:r>
      <w:r>
        <w:t>The RBA noted that there had been some tightening of credit conditions following supervisory measures to address rising household debt</w:t>
      </w:r>
      <w:r w:rsidR="00615C90">
        <w:t>.</w:t>
      </w:r>
    </w:p>
    <w:tbl>
      <w:tblPr>
        <w:tblpPr w:leftFromText="180" w:rightFromText="180" w:vertAnchor="text" w:horzAnchor="margin" w:tblpXSpec="right" w:tblpY="254"/>
        <w:tblW w:w="4698" w:type="dxa"/>
        <w:tblLook w:val="04A0" w:firstRow="1" w:lastRow="0" w:firstColumn="1" w:lastColumn="0" w:noHBand="0" w:noVBand="1"/>
      </w:tblPr>
      <w:tblGrid>
        <w:gridCol w:w="988"/>
        <w:gridCol w:w="3710"/>
      </w:tblGrid>
      <w:tr w:rsidR="00D33832" w:rsidRPr="00405FBA" w:rsidTr="00D33832">
        <w:tc>
          <w:tcPr>
            <w:tcW w:w="988" w:type="dxa"/>
          </w:tcPr>
          <w:p w:rsidR="00D33832" w:rsidRPr="00405FBA" w:rsidRDefault="00D33832" w:rsidP="00D33832">
            <w:r w:rsidRPr="00405FBA">
              <w:br w:type="column"/>
            </w:r>
            <w:r w:rsidRPr="00405FBA">
              <w:rPr>
                <w:noProof/>
                <w:lang w:eastAsia="en-AU"/>
              </w:rPr>
              <w:drawing>
                <wp:inline distT="0" distB="0" distL="0" distR="0" wp14:anchorId="734D8D7D" wp14:editId="0139FA3C">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D33832" w:rsidRPr="00405FBA" w:rsidRDefault="00D33832" w:rsidP="00D33832">
            <w:pPr>
              <w:pStyle w:val="Heading1"/>
            </w:pPr>
            <w:r>
              <w:t>Global developments</w:t>
            </w:r>
          </w:p>
        </w:tc>
      </w:tr>
    </w:tbl>
    <w:p w:rsidR="00B41B7B" w:rsidRDefault="00A70AAC" w:rsidP="004952C2">
      <w:pPr>
        <w:ind w:right="231"/>
      </w:pPr>
      <w:r>
        <w:t xml:space="preserve">Key indicators of the global economic outlook improved in the past month. </w:t>
      </w:r>
    </w:p>
    <w:p w:rsidR="007E353E" w:rsidRDefault="007E353E" w:rsidP="008B7AF1">
      <w:pPr>
        <w:ind w:right="231"/>
      </w:pPr>
      <w:r>
        <w:t xml:space="preserve">The US labour market continued to remain solid. </w:t>
      </w:r>
      <w:r w:rsidRPr="00D337B3">
        <w:rPr>
          <w:b/>
        </w:rPr>
        <w:t>Non-farm payroll employment</w:t>
      </w:r>
      <w:r>
        <w:t xml:space="preserve"> increased by 156 000 in August</w:t>
      </w:r>
      <w:r w:rsidR="00D337B3">
        <w:t xml:space="preserve"> </w:t>
      </w:r>
      <w:r w:rsidR="006F49BF">
        <w:t>with most job gains coming from manufacturing, construction, and professional and technical services sectors. T</w:t>
      </w:r>
      <w:r w:rsidR="00D337B3">
        <w:t xml:space="preserve">he unemployment rate </w:t>
      </w:r>
      <w:r w:rsidR="007373CA">
        <w:t xml:space="preserve">in August </w:t>
      </w:r>
      <w:r w:rsidR="00D337B3">
        <w:t>was little changed at 4.4</w:t>
      </w:r>
      <w:r w:rsidR="006F49BF">
        <w:t xml:space="preserve"> percent and</w:t>
      </w:r>
      <w:r w:rsidR="00D337B3">
        <w:t xml:space="preserve"> </w:t>
      </w:r>
      <w:r w:rsidR="006F49BF">
        <w:t>t</w:t>
      </w:r>
      <w:r w:rsidR="008B7AF1">
        <w:t>he labour force participation rate, at 62.9 percent</w:t>
      </w:r>
      <w:r w:rsidR="007373CA">
        <w:t>,</w:t>
      </w:r>
      <w:r w:rsidR="008B7AF1">
        <w:t xml:space="preserve"> has shown little movement over the past year.</w:t>
      </w:r>
    </w:p>
    <w:p w:rsidR="008B7AF1" w:rsidRDefault="008B7AF1" w:rsidP="008B7AF1">
      <w:pPr>
        <w:ind w:right="231"/>
      </w:pPr>
      <w:r>
        <w:t xml:space="preserve">The </w:t>
      </w:r>
      <w:r w:rsidRPr="008B7AF1">
        <w:rPr>
          <w:b/>
        </w:rPr>
        <w:t>US consumer price index</w:t>
      </w:r>
      <w:r>
        <w:t xml:space="preserve"> for all urban consumers rose 0.4</w:t>
      </w:r>
      <w:r w:rsidR="00A91DE4">
        <w:t> per cent</w:t>
      </w:r>
      <w:r>
        <w:t xml:space="preserve"> in August to record a 1.9</w:t>
      </w:r>
      <w:r w:rsidR="00A91DE4">
        <w:t> per cent</w:t>
      </w:r>
      <w:r>
        <w:t xml:space="preserve"> rise over the year. Increases in the indexes for gasoline </w:t>
      </w:r>
      <w:r w:rsidR="000257D1">
        <w:t>(6.3</w:t>
      </w:r>
      <w:r w:rsidR="00A91DE4">
        <w:t> per cent</w:t>
      </w:r>
      <w:r w:rsidR="000257D1">
        <w:t xml:space="preserve">) </w:t>
      </w:r>
      <w:r>
        <w:t xml:space="preserve">and shelter </w:t>
      </w:r>
      <w:r w:rsidR="000257D1">
        <w:lastRenderedPageBreak/>
        <w:t>(0.5</w:t>
      </w:r>
      <w:r w:rsidR="00A91DE4">
        <w:t> per cent</w:t>
      </w:r>
      <w:r w:rsidR="000257D1">
        <w:t xml:space="preserve">) </w:t>
      </w:r>
      <w:r>
        <w:t xml:space="preserve">accounted for </w:t>
      </w:r>
      <w:r w:rsidR="001A0248">
        <w:t>nearly all of the increase in the index in August.</w:t>
      </w:r>
    </w:p>
    <w:p w:rsidR="007D0DF6" w:rsidRDefault="007D0DF6" w:rsidP="008B7AF1">
      <w:pPr>
        <w:ind w:right="231"/>
      </w:pPr>
      <w:r w:rsidRPr="004A7973">
        <w:rPr>
          <w:b/>
        </w:rPr>
        <w:t>China</w:t>
      </w:r>
      <w:r>
        <w:t>’s economic indic</w:t>
      </w:r>
      <w:r w:rsidR="004A7973">
        <w:t xml:space="preserve">ators remained solid in August. The </w:t>
      </w:r>
      <w:proofErr w:type="spellStart"/>
      <w:r w:rsidR="004A7973">
        <w:t>Caixin</w:t>
      </w:r>
      <w:proofErr w:type="spellEnd"/>
      <w:r w:rsidR="004A7973">
        <w:t xml:space="preserve"> Manufacturing PMI rose to 51.6 in August from 51.1 in July, beating market expectation</w:t>
      </w:r>
      <w:r w:rsidR="00CF410D">
        <w:t>s</w:t>
      </w:r>
      <w:r w:rsidR="004A7973">
        <w:t xml:space="preserve"> of 50.9. It was the third straight month of expansion in manufacturing activity and the fastest since February. </w:t>
      </w:r>
    </w:p>
    <w:p w:rsidR="00C20BEE" w:rsidRDefault="00825C5F" w:rsidP="008B7AF1">
      <w:pPr>
        <w:ind w:right="231"/>
      </w:pPr>
      <w:r>
        <w:t xml:space="preserve">Euro area’s recovery continues as GDP accelerates and </w:t>
      </w:r>
      <w:r w:rsidR="00C644B2">
        <w:t>manufacturing</w:t>
      </w:r>
      <w:r>
        <w:t xml:space="preserve"> output remains strong. </w:t>
      </w:r>
      <w:r>
        <w:rPr>
          <w:b/>
        </w:rPr>
        <w:t>Eurozone GDP</w:t>
      </w:r>
      <w:r w:rsidR="007F5E9A">
        <w:t xml:space="preserve"> expanded</w:t>
      </w:r>
      <w:r>
        <w:t xml:space="preserve"> at an annual rate of 2.3</w:t>
      </w:r>
      <w:r w:rsidR="00A91DE4">
        <w:t> per cent</w:t>
      </w:r>
      <w:r>
        <w:t xml:space="preserve"> in the second quarter of 2017, the highest growth rate since 2011. </w:t>
      </w:r>
    </w:p>
    <w:p w:rsidR="00BB5A5B" w:rsidRDefault="00C20BEE" w:rsidP="008B7AF1">
      <w:pPr>
        <w:ind w:right="231"/>
      </w:pPr>
      <w:r>
        <w:t xml:space="preserve">The </w:t>
      </w:r>
      <w:r w:rsidR="00BB5A5B" w:rsidRPr="00825C5F">
        <w:rPr>
          <w:b/>
        </w:rPr>
        <w:t>Eurozone manufacturing PMI</w:t>
      </w:r>
      <w:r w:rsidR="00BB5A5B">
        <w:t xml:space="preserve"> in August (57.4) equalled June’s 74-month high. Accelerated manufacturing activity was supported by robust domestic </w:t>
      </w:r>
      <w:r w:rsidR="00BB5A5B">
        <w:lastRenderedPageBreak/>
        <w:t xml:space="preserve">demand and rising new export orders. </w:t>
      </w:r>
      <w:r w:rsidR="004900CF">
        <w:t>The services PMI for the Eurozone fell to 54.7 in August but the index is still among the best seen over the past six years.</w:t>
      </w:r>
    </w:p>
    <w:p w:rsidR="004900CF" w:rsidRDefault="00825C5F" w:rsidP="008B7AF1">
      <w:pPr>
        <w:ind w:right="231"/>
      </w:pPr>
      <w:r w:rsidRPr="001128C8">
        <w:rPr>
          <w:b/>
        </w:rPr>
        <w:t>Japan</w:t>
      </w:r>
      <w:r>
        <w:t xml:space="preserve">’s second quarter </w:t>
      </w:r>
      <w:r w:rsidRPr="001128C8">
        <w:rPr>
          <w:b/>
        </w:rPr>
        <w:t>GDP</w:t>
      </w:r>
      <w:r>
        <w:t xml:space="preserve"> grew by an annualised rate of 2.5</w:t>
      </w:r>
      <w:r w:rsidR="00A91DE4">
        <w:t> per cent</w:t>
      </w:r>
      <w:r>
        <w:t xml:space="preserve">, much weaker than </w:t>
      </w:r>
      <w:r w:rsidR="001128C8">
        <w:t xml:space="preserve">the last month’s </w:t>
      </w:r>
      <w:r>
        <w:t>preliminary estimate</w:t>
      </w:r>
      <w:r w:rsidR="001128C8">
        <w:t>s of 4.0</w:t>
      </w:r>
      <w:r w:rsidR="00A91DE4">
        <w:t> per cent</w:t>
      </w:r>
      <w:r w:rsidR="001128C8">
        <w:t xml:space="preserve">. </w:t>
      </w:r>
      <w:r w:rsidR="001128C8" w:rsidRPr="001128C8">
        <w:t>Despite t</w:t>
      </w:r>
      <w:r w:rsidR="001128C8">
        <w:t xml:space="preserve">he downward revision, Japan has </w:t>
      </w:r>
      <w:r w:rsidR="001128C8" w:rsidRPr="001128C8">
        <w:t xml:space="preserve">maintained </w:t>
      </w:r>
      <w:r w:rsidR="001128C8">
        <w:t>six</w:t>
      </w:r>
      <w:r w:rsidR="001128C8" w:rsidRPr="001128C8">
        <w:t xml:space="preserve"> straight quarter</w:t>
      </w:r>
      <w:r w:rsidR="001128C8">
        <w:t>s</w:t>
      </w:r>
      <w:r w:rsidR="001128C8" w:rsidRPr="001128C8">
        <w:t xml:space="preserve"> of growth, the longest run of economic expansion since 2006</w:t>
      </w:r>
      <w:r w:rsidR="001128C8">
        <w:t xml:space="preserve">. </w:t>
      </w:r>
      <w:r w:rsidR="00B37BE8">
        <w:t>Japanese Prime Minister called a snap election</w:t>
      </w:r>
      <w:r w:rsidR="00E75AB0">
        <w:t xml:space="preserve"> in August seeking support for a tough stance against North Korea’s nuclear threats and a </w:t>
      </w:r>
      <w:r w:rsidR="00B37BE8">
        <w:t xml:space="preserve">fresh mandate </w:t>
      </w:r>
      <w:r w:rsidR="00E75AB0">
        <w:t xml:space="preserve">to implement a </w:t>
      </w:r>
      <w:r w:rsidR="00B37BE8">
        <w:t>new economic stimulus program</w:t>
      </w:r>
      <w:r w:rsidR="00E75AB0">
        <w:t>.</w:t>
      </w:r>
      <w:r w:rsidR="00B37BE8">
        <w:t xml:space="preserve">  </w:t>
      </w:r>
    </w:p>
    <w:p w:rsidR="008C720A" w:rsidRPr="006E3C98" w:rsidRDefault="008C720A" w:rsidP="0093371B">
      <w:pPr>
        <w:spacing w:before="120"/>
        <w:rPr>
          <w:i/>
          <w:sz w:val="32"/>
        </w:rPr>
      </w:pPr>
    </w:p>
    <w:p w:rsidR="0093371B" w:rsidRDefault="0093371B" w:rsidP="0093371B">
      <w:pPr>
        <w:spacing w:before="120"/>
        <w:rPr>
          <w:i/>
          <w:sz w:val="20"/>
        </w:rPr>
      </w:pPr>
      <w:r>
        <w:rPr>
          <w:i/>
          <w:sz w:val="20"/>
        </w:rPr>
        <w:t>Note: A</w:t>
      </w:r>
      <w:r w:rsidRPr="009865C5">
        <w:rPr>
          <w:i/>
          <w:sz w:val="20"/>
        </w:rPr>
        <w:t xml:space="preserve">ll data reported in the newsletter is as at </w:t>
      </w:r>
      <w:r w:rsidR="00B52852">
        <w:rPr>
          <w:i/>
          <w:sz w:val="20"/>
        </w:rPr>
        <w:t>04</w:t>
      </w:r>
      <w:r w:rsidRPr="00FF1906">
        <w:rPr>
          <w:i/>
          <w:sz w:val="20"/>
        </w:rPr>
        <w:t> </w:t>
      </w:r>
      <w:r w:rsidR="00B52852">
        <w:rPr>
          <w:i/>
          <w:sz w:val="20"/>
        </w:rPr>
        <w:t>October</w:t>
      </w:r>
      <w:r>
        <w:rPr>
          <w:i/>
          <w:sz w:val="20"/>
        </w:rPr>
        <w:t> </w:t>
      </w:r>
      <w:r w:rsidRPr="009865C5">
        <w:rPr>
          <w:i/>
          <w:sz w:val="20"/>
        </w:rPr>
        <w:t>2017.</w:t>
      </w:r>
    </w:p>
    <w:p w:rsidR="0093371B" w:rsidRDefault="0093371B" w:rsidP="004952C2">
      <w:pPr>
        <w:ind w:right="231"/>
        <w:sectPr w:rsidR="0093371B" w:rsidSect="005D5264">
          <w:type w:val="continuous"/>
          <w:pgSz w:w="11906" w:h="16838" w:code="9"/>
          <w:pgMar w:top="964" w:right="1134" w:bottom="794" w:left="1134" w:header="709" w:footer="567" w:gutter="0"/>
          <w:cols w:num="2" w:space="561"/>
          <w:docGrid w:linePitch="360"/>
        </w:sectPr>
      </w:pPr>
    </w:p>
    <w:p w:rsidR="0093371B" w:rsidRDefault="0093371B" w:rsidP="0093371B">
      <w:pPr>
        <w:pStyle w:val="Caption"/>
      </w:pPr>
    </w:p>
    <w:p w:rsidR="0093371B" w:rsidRDefault="0093371B" w:rsidP="0093371B">
      <w:pPr>
        <w:pStyle w:val="Caption"/>
      </w:pPr>
      <w:r w:rsidRPr="00BA6B8C">
        <w:t>Movements</w:t>
      </w:r>
      <w:r>
        <w:t>*</w:t>
      </w:r>
      <w:r w:rsidRPr="00BA6B8C">
        <w:t xml:space="preserve"> in financial data over </w:t>
      </w:r>
      <w:r>
        <w:t>the past month</w:t>
      </w:r>
    </w:p>
    <w:tbl>
      <w:tblPr>
        <w:tblStyle w:val="TableGrid"/>
        <w:tblW w:w="5000" w:type="pct"/>
        <w:tblLook w:val="0420" w:firstRow="1" w:lastRow="0" w:firstColumn="0" w:lastColumn="0" w:noHBand="0" w:noVBand="1"/>
      </w:tblPr>
      <w:tblGrid>
        <w:gridCol w:w="3421"/>
        <w:gridCol w:w="1681"/>
        <w:gridCol w:w="1824"/>
        <w:gridCol w:w="2826"/>
      </w:tblGrid>
      <w:tr w:rsidR="0093371B" w:rsidRPr="001F0FBE" w:rsidTr="00AC1F14">
        <w:trPr>
          <w:cnfStyle w:val="100000000000" w:firstRow="1" w:lastRow="0" w:firstColumn="0" w:lastColumn="0" w:oddVBand="0" w:evenVBand="0" w:oddHBand="0" w:evenHBand="0" w:firstRowFirstColumn="0" w:firstRowLastColumn="0" w:lastRowFirstColumn="0" w:lastRowLastColumn="0"/>
        </w:trPr>
        <w:tc>
          <w:tcPr>
            <w:tcW w:w="1754" w:type="pct"/>
          </w:tcPr>
          <w:p w:rsidR="0093371B" w:rsidRPr="001F0FBE" w:rsidRDefault="0093371B" w:rsidP="00AC1F14">
            <w:pPr>
              <w:rPr>
                <w:highlight w:val="yellow"/>
              </w:rPr>
            </w:pPr>
          </w:p>
        </w:tc>
        <w:tc>
          <w:tcPr>
            <w:tcW w:w="862" w:type="pct"/>
            <w:vAlign w:val="center"/>
          </w:tcPr>
          <w:p w:rsidR="0093371B" w:rsidRPr="001679C0" w:rsidRDefault="00B52852" w:rsidP="00B52852">
            <w:pPr>
              <w:jc w:val="right"/>
            </w:pPr>
            <w:r>
              <w:t>04</w:t>
            </w:r>
            <w:r w:rsidR="006D7E80">
              <w:t>-</w:t>
            </w:r>
            <w:r>
              <w:t>Oct</w:t>
            </w:r>
            <w:r w:rsidR="006D7E80">
              <w:t>-17</w:t>
            </w:r>
          </w:p>
        </w:tc>
        <w:tc>
          <w:tcPr>
            <w:tcW w:w="935" w:type="pct"/>
            <w:vAlign w:val="center"/>
          </w:tcPr>
          <w:p w:rsidR="0093371B" w:rsidRPr="001679C0" w:rsidRDefault="006D7E80" w:rsidP="00C20BEE">
            <w:pPr>
              <w:jc w:val="right"/>
            </w:pPr>
            <w:r>
              <w:t>31-Aug-17</w:t>
            </w:r>
          </w:p>
        </w:tc>
        <w:tc>
          <w:tcPr>
            <w:tcW w:w="1450" w:type="pct"/>
          </w:tcPr>
          <w:p w:rsidR="0093371B" w:rsidRPr="001679C0" w:rsidRDefault="0093371B" w:rsidP="00AC1F14">
            <w:pPr>
              <w:jc w:val="right"/>
            </w:pPr>
            <w:r w:rsidRPr="001679C0">
              <w:t>Change</w:t>
            </w:r>
          </w:p>
        </w:tc>
      </w:tr>
      <w:tr w:rsidR="0093371B" w:rsidRPr="001F0FBE" w:rsidTr="00AC1F14">
        <w:trPr>
          <w:cnfStyle w:val="000000100000" w:firstRow="0" w:lastRow="0" w:firstColumn="0" w:lastColumn="0" w:oddVBand="0" w:evenVBand="0" w:oddHBand="1" w:evenHBand="0" w:firstRowFirstColumn="0" w:firstRowLastColumn="0" w:lastRowFirstColumn="0" w:lastRowLastColumn="0"/>
        </w:trPr>
        <w:tc>
          <w:tcPr>
            <w:tcW w:w="1754" w:type="pct"/>
          </w:tcPr>
          <w:p w:rsidR="0093371B" w:rsidRPr="001679C0" w:rsidRDefault="0093371B" w:rsidP="00AC1F14">
            <w:r w:rsidRPr="001679C0">
              <w:t>AUD/USD</w:t>
            </w:r>
          </w:p>
        </w:tc>
        <w:tc>
          <w:tcPr>
            <w:tcW w:w="862" w:type="pct"/>
            <w:vAlign w:val="center"/>
          </w:tcPr>
          <w:p w:rsidR="0093371B" w:rsidRPr="00FB5C6B" w:rsidRDefault="00B52852" w:rsidP="00AC1F14">
            <w:pPr>
              <w:jc w:val="right"/>
              <w:rPr>
                <w:highlight w:val="yellow"/>
              </w:rPr>
            </w:pPr>
            <w:r>
              <w:t>0.785</w:t>
            </w:r>
            <w:r w:rsidR="006D7E80" w:rsidRPr="006D7E80">
              <w:t>9</w:t>
            </w:r>
          </w:p>
        </w:tc>
        <w:tc>
          <w:tcPr>
            <w:tcW w:w="935" w:type="pct"/>
            <w:vAlign w:val="center"/>
          </w:tcPr>
          <w:p w:rsidR="0093371B" w:rsidRPr="001679C0" w:rsidRDefault="006D7E80" w:rsidP="00AC1F14">
            <w:pPr>
              <w:jc w:val="right"/>
            </w:pPr>
            <w:r>
              <w:t>0.7898</w:t>
            </w:r>
          </w:p>
        </w:tc>
        <w:tc>
          <w:tcPr>
            <w:tcW w:w="1450" w:type="pct"/>
          </w:tcPr>
          <w:p w:rsidR="0093371B" w:rsidRPr="008C720A" w:rsidRDefault="00B52852" w:rsidP="00AC1F14">
            <w:pPr>
              <w:jc w:val="right"/>
            </w:pPr>
            <w:r>
              <w:t>-0.5</w:t>
            </w:r>
            <w:r w:rsidR="008C720A" w:rsidRPr="008C720A">
              <w:t xml:space="preserve"> per cent</w:t>
            </w:r>
          </w:p>
        </w:tc>
      </w:tr>
      <w:tr w:rsidR="0093371B" w:rsidRPr="001F0FBE" w:rsidTr="00AC1F14">
        <w:trPr>
          <w:cnfStyle w:val="000000010000" w:firstRow="0" w:lastRow="0" w:firstColumn="0" w:lastColumn="0" w:oddVBand="0" w:evenVBand="0" w:oddHBand="0" w:evenHBand="1" w:firstRowFirstColumn="0" w:firstRowLastColumn="0" w:lastRowFirstColumn="0" w:lastRowLastColumn="0"/>
        </w:trPr>
        <w:tc>
          <w:tcPr>
            <w:tcW w:w="1754" w:type="pct"/>
          </w:tcPr>
          <w:p w:rsidR="0093371B" w:rsidRPr="00CC6C1E" w:rsidRDefault="0093371B" w:rsidP="00AC1F14">
            <w:r w:rsidRPr="00CC6C1E">
              <w:t>ASX 200</w:t>
            </w:r>
          </w:p>
        </w:tc>
        <w:tc>
          <w:tcPr>
            <w:tcW w:w="862" w:type="pct"/>
            <w:vAlign w:val="center"/>
          </w:tcPr>
          <w:p w:rsidR="0093371B" w:rsidRPr="00C44E76" w:rsidRDefault="00B52852" w:rsidP="00AC1F14">
            <w:pPr>
              <w:jc w:val="right"/>
            </w:pPr>
            <w:r>
              <w:t>565</w:t>
            </w:r>
            <w:r w:rsidR="006D7E80">
              <w:t>2</w:t>
            </w:r>
          </w:p>
        </w:tc>
        <w:tc>
          <w:tcPr>
            <w:tcW w:w="935" w:type="pct"/>
            <w:vAlign w:val="center"/>
          </w:tcPr>
          <w:p w:rsidR="0093371B" w:rsidRPr="00CC6C1E" w:rsidRDefault="006D7E80" w:rsidP="00AC1F14">
            <w:pPr>
              <w:jc w:val="right"/>
            </w:pPr>
            <w:r>
              <w:t>5715</w:t>
            </w:r>
          </w:p>
        </w:tc>
        <w:tc>
          <w:tcPr>
            <w:tcW w:w="1450" w:type="pct"/>
          </w:tcPr>
          <w:p w:rsidR="0093371B" w:rsidRPr="008C720A" w:rsidRDefault="00B52852" w:rsidP="00AC1F14">
            <w:pPr>
              <w:jc w:val="right"/>
              <w:rPr>
                <w:highlight w:val="yellow"/>
              </w:rPr>
            </w:pPr>
            <w:r>
              <w:t>-1.1</w:t>
            </w:r>
            <w:r w:rsidR="008C720A" w:rsidRPr="008C720A">
              <w:t xml:space="preserve"> per cent</w:t>
            </w:r>
          </w:p>
        </w:tc>
      </w:tr>
      <w:tr w:rsidR="0093371B" w:rsidRPr="001F0FBE" w:rsidTr="00AC1F14">
        <w:trPr>
          <w:cnfStyle w:val="000000100000" w:firstRow="0" w:lastRow="0" w:firstColumn="0" w:lastColumn="0" w:oddVBand="0" w:evenVBand="0" w:oddHBand="1" w:evenHBand="0" w:firstRowFirstColumn="0" w:firstRowLastColumn="0" w:lastRowFirstColumn="0" w:lastRowLastColumn="0"/>
        </w:trPr>
        <w:tc>
          <w:tcPr>
            <w:tcW w:w="1754" w:type="pct"/>
          </w:tcPr>
          <w:p w:rsidR="0093371B" w:rsidRPr="004E5ED2" w:rsidRDefault="0093371B" w:rsidP="00AC1F14">
            <w:r w:rsidRPr="004E5ED2">
              <w:t>S&amp;P 500</w:t>
            </w:r>
          </w:p>
        </w:tc>
        <w:tc>
          <w:tcPr>
            <w:tcW w:w="862" w:type="pct"/>
            <w:vAlign w:val="center"/>
          </w:tcPr>
          <w:p w:rsidR="0093371B" w:rsidRPr="00C44E76" w:rsidRDefault="00B52852" w:rsidP="00AC1F14">
            <w:pPr>
              <w:jc w:val="right"/>
            </w:pPr>
            <w:r>
              <w:t>2538</w:t>
            </w:r>
          </w:p>
        </w:tc>
        <w:tc>
          <w:tcPr>
            <w:tcW w:w="935" w:type="pct"/>
            <w:vAlign w:val="center"/>
          </w:tcPr>
          <w:p w:rsidR="0093371B" w:rsidRPr="004E5ED2" w:rsidRDefault="006D7E80" w:rsidP="00AC1F14">
            <w:pPr>
              <w:jc w:val="right"/>
            </w:pPr>
            <w:r>
              <w:t>2472</w:t>
            </w:r>
          </w:p>
        </w:tc>
        <w:tc>
          <w:tcPr>
            <w:tcW w:w="1450" w:type="pct"/>
          </w:tcPr>
          <w:p w:rsidR="0093371B" w:rsidRPr="008C720A" w:rsidRDefault="00B52852" w:rsidP="00B52852">
            <w:pPr>
              <w:jc w:val="right"/>
            </w:pPr>
            <w:r>
              <w:t>2</w:t>
            </w:r>
            <w:r w:rsidR="008C720A" w:rsidRPr="008C720A">
              <w:t>.</w:t>
            </w:r>
            <w:r>
              <w:t>7</w:t>
            </w:r>
            <w:r w:rsidR="008C720A" w:rsidRPr="008C720A">
              <w:t xml:space="preserve"> per cent</w:t>
            </w:r>
          </w:p>
        </w:tc>
      </w:tr>
      <w:tr w:rsidR="0093371B" w:rsidRPr="001F0FBE" w:rsidTr="00AC1F14">
        <w:trPr>
          <w:cnfStyle w:val="000000010000" w:firstRow="0" w:lastRow="0" w:firstColumn="0" w:lastColumn="0" w:oddVBand="0" w:evenVBand="0" w:oddHBand="0" w:evenHBand="1" w:firstRowFirstColumn="0" w:firstRowLastColumn="0" w:lastRowFirstColumn="0" w:lastRowLastColumn="0"/>
        </w:trPr>
        <w:tc>
          <w:tcPr>
            <w:tcW w:w="1754" w:type="pct"/>
          </w:tcPr>
          <w:p w:rsidR="0093371B" w:rsidRPr="001F0FBE" w:rsidRDefault="0093371B" w:rsidP="00AC1F14">
            <w:pPr>
              <w:rPr>
                <w:highlight w:val="yellow"/>
              </w:rPr>
            </w:pPr>
            <w:r w:rsidRPr="00B411F8">
              <w:t>90 day bank bill rate</w:t>
            </w:r>
          </w:p>
        </w:tc>
        <w:tc>
          <w:tcPr>
            <w:tcW w:w="862" w:type="pct"/>
            <w:vAlign w:val="center"/>
          </w:tcPr>
          <w:p w:rsidR="0093371B" w:rsidRPr="00FB5C6B" w:rsidRDefault="00B52852" w:rsidP="00AC1F14">
            <w:pPr>
              <w:jc w:val="right"/>
              <w:rPr>
                <w:highlight w:val="yellow"/>
              </w:rPr>
            </w:pPr>
            <w:r>
              <w:t>1.70</w:t>
            </w:r>
          </w:p>
        </w:tc>
        <w:tc>
          <w:tcPr>
            <w:tcW w:w="935" w:type="pct"/>
            <w:vAlign w:val="center"/>
          </w:tcPr>
          <w:p w:rsidR="0093371B" w:rsidRPr="00B411F8" w:rsidRDefault="006D7E80" w:rsidP="00AC1F14">
            <w:pPr>
              <w:jc w:val="right"/>
            </w:pPr>
            <w:r>
              <w:t>1.71</w:t>
            </w:r>
          </w:p>
        </w:tc>
        <w:tc>
          <w:tcPr>
            <w:tcW w:w="1450" w:type="pct"/>
          </w:tcPr>
          <w:p w:rsidR="0093371B" w:rsidRPr="00B411F8" w:rsidRDefault="00B52852" w:rsidP="00AC1F14">
            <w:pPr>
              <w:jc w:val="right"/>
              <w:rPr>
                <w:color w:val="FF0000"/>
              </w:rPr>
            </w:pPr>
            <w:r>
              <w:t>-</w:t>
            </w:r>
            <w:r w:rsidR="008D0BF6" w:rsidRPr="008D0BF6">
              <w:t>0.0</w:t>
            </w:r>
            <w:r>
              <w:t>1</w:t>
            </w:r>
            <w:r w:rsidR="008D0BF6" w:rsidRPr="008D0BF6">
              <w:t xml:space="preserve"> percentage points</w:t>
            </w:r>
          </w:p>
        </w:tc>
      </w:tr>
      <w:tr w:rsidR="0093371B" w:rsidRPr="001F0FBE" w:rsidTr="00AC1F14">
        <w:trPr>
          <w:cnfStyle w:val="000000100000" w:firstRow="0" w:lastRow="0" w:firstColumn="0" w:lastColumn="0" w:oddVBand="0" w:evenVBand="0" w:oddHBand="1" w:evenHBand="0" w:firstRowFirstColumn="0" w:firstRowLastColumn="0" w:lastRowFirstColumn="0" w:lastRowLastColumn="0"/>
          <w:trHeight w:val="430"/>
        </w:trPr>
        <w:tc>
          <w:tcPr>
            <w:tcW w:w="1754" w:type="pct"/>
          </w:tcPr>
          <w:p w:rsidR="0093371B" w:rsidRPr="000F0746" w:rsidRDefault="0093371B" w:rsidP="00AC1F14">
            <w:pPr>
              <w:ind w:right="-381"/>
            </w:pPr>
            <w:r w:rsidRPr="000F0746">
              <w:t>10 year Commonwealth bond rate</w:t>
            </w:r>
          </w:p>
        </w:tc>
        <w:tc>
          <w:tcPr>
            <w:tcW w:w="862" w:type="pct"/>
            <w:vAlign w:val="center"/>
          </w:tcPr>
          <w:p w:rsidR="0093371B" w:rsidRPr="00B71AAD" w:rsidRDefault="008D0BF6" w:rsidP="00B52852">
            <w:pPr>
              <w:jc w:val="right"/>
            </w:pPr>
            <w:r>
              <w:t>2.8</w:t>
            </w:r>
            <w:r w:rsidR="00B52852">
              <w:t>2</w:t>
            </w:r>
          </w:p>
        </w:tc>
        <w:tc>
          <w:tcPr>
            <w:tcW w:w="935" w:type="pct"/>
            <w:vAlign w:val="center"/>
          </w:tcPr>
          <w:p w:rsidR="0093371B" w:rsidRPr="00B71AAD" w:rsidRDefault="006D7E80" w:rsidP="00AC1F14">
            <w:pPr>
              <w:jc w:val="right"/>
            </w:pPr>
            <w:r>
              <w:t>2.60</w:t>
            </w:r>
          </w:p>
        </w:tc>
        <w:tc>
          <w:tcPr>
            <w:tcW w:w="1450" w:type="pct"/>
          </w:tcPr>
          <w:p w:rsidR="0093371B" w:rsidRPr="001F0FBE" w:rsidRDefault="008D0BF6" w:rsidP="00B52852">
            <w:pPr>
              <w:jc w:val="right"/>
              <w:rPr>
                <w:color w:val="FF0000"/>
                <w:highlight w:val="yellow"/>
              </w:rPr>
            </w:pPr>
            <w:r w:rsidRPr="008D0BF6">
              <w:t>+0.2</w:t>
            </w:r>
            <w:r w:rsidR="00B52852">
              <w:t>2</w:t>
            </w:r>
            <w:r w:rsidRPr="008D0BF6">
              <w:t xml:space="preserve"> percentage points</w:t>
            </w:r>
          </w:p>
        </w:tc>
      </w:tr>
    </w:tbl>
    <w:p w:rsidR="0093371B" w:rsidRDefault="0093371B" w:rsidP="0093371B">
      <w:pPr>
        <w:rPr>
          <w:i/>
          <w:sz w:val="20"/>
        </w:rPr>
      </w:pPr>
      <w:r w:rsidRPr="007F677F">
        <w:rPr>
          <w:i/>
          <w:sz w:val="20"/>
        </w:rPr>
        <w:t>Note</w:t>
      </w:r>
      <w:r>
        <w:rPr>
          <w:i/>
          <w:sz w:val="20"/>
        </w:rPr>
        <w:t>s</w:t>
      </w:r>
      <w:r w:rsidRPr="007F677F">
        <w:rPr>
          <w:i/>
          <w:sz w:val="20"/>
        </w:rPr>
        <w:t xml:space="preserve">: </w:t>
      </w:r>
      <w:r>
        <w:rPr>
          <w:i/>
          <w:sz w:val="20"/>
        </w:rPr>
        <w:t>*</w:t>
      </w:r>
      <w:r w:rsidRPr="007F677F">
        <w:rPr>
          <w:i/>
          <w:sz w:val="20"/>
        </w:rPr>
        <w:t>Changes are based on t</w:t>
      </w:r>
      <w:r>
        <w:rPr>
          <w:i/>
          <w:sz w:val="20"/>
        </w:rPr>
        <w:t xml:space="preserve">he movement in unrounded figures. </w:t>
      </w: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93371B" w:rsidTr="00AC1F14">
        <w:trPr>
          <w:trHeight w:val="1223"/>
        </w:trPr>
        <w:tc>
          <w:tcPr>
            <w:tcW w:w="4082" w:type="dxa"/>
          </w:tcPr>
          <w:p w:rsidR="0093371B" w:rsidRPr="002868CD" w:rsidRDefault="0093371B" w:rsidP="00AC1F14">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93371B" w:rsidRDefault="0093371B" w:rsidP="00AC1F14">
            <w:pPr>
              <w:pStyle w:val="Note"/>
            </w:pPr>
          </w:p>
        </w:tc>
        <w:tc>
          <w:tcPr>
            <w:tcW w:w="4682" w:type="dxa"/>
            <w:vMerge w:val="restart"/>
            <w:vAlign w:val="bottom"/>
          </w:tcPr>
          <w:p w:rsidR="0093371B" w:rsidRDefault="0093371B" w:rsidP="00AC1F14">
            <w:pPr>
              <w:pStyle w:val="Note"/>
            </w:pPr>
            <w:r w:rsidRPr="000C21C3">
              <w:rPr>
                <w:noProof/>
                <w:lang w:eastAsia="en-AU"/>
              </w:rPr>
              <w:drawing>
                <wp:inline distT="0" distB="0" distL="0" distR="0" wp14:anchorId="7D675C6D" wp14:editId="0151B18B">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93371B" w:rsidRDefault="0093371B" w:rsidP="00AC1F14">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93371B" w:rsidTr="00AC1F14">
        <w:trPr>
          <w:trHeight w:val="1222"/>
        </w:trPr>
        <w:tc>
          <w:tcPr>
            <w:tcW w:w="4082" w:type="dxa"/>
            <w:vAlign w:val="bottom"/>
          </w:tcPr>
          <w:p w:rsidR="0093371B" w:rsidRDefault="0093371B" w:rsidP="00AC1F14">
            <w:pPr>
              <w:pStyle w:val="Note"/>
            </w:pPr>
            <w:r w:rsidRPr="00382510">
              <w:t>© State of Victoria 201</w:t>
            </w:r>
            <w:r>
              <w:t>7</w:t>
            </w:r>
          </w:p>
          <w:p w:rsidR="0093371B" w:rsidRPr="00382510" w:rsidRDefault="0093371B" w:rsidP="00AC1F14">
            <w:pPr>
              <w:pStyle w:val="Note"/>
              <w:spacing w:line="312" w:lineRule="auto"/>
            </w:pPr>
            <w:r w:rsidRPr="00382510">
              <w:t>Copyright queries may be directed to IPpolicy@dtf.vic.gov.au.</w:t>
            </w:r>
          </w:p>
        </w:tc>
        <w:tc>
          <w:tcPr>
            <w:tcW w:w="709" w:type="dxa"/>
            <w:vMerge/>
            <w:vAlign w:val="bottom"/>
          </w:tcPr>
          <w:p w:rsidR="0093371B" w:rsidRDefault="0093371B" w:rsidP="00AC1F14">
            <w:pPr>
              <w:pStyle w:val="Note"/>
            </w:pPr>
          </w:p>
        </w:tc>
        <w:tc>
          <w:tcPr>
            <w:tcW w:w="4682" w:type="dxa"/>
            <w:vMerge/>
            <w:vAlign w:val="bottom"/>
          </w:tcPr>
          <w:p w:rsidR="0093371B" w:rsidRPr="000C21C3" w:rsidRDefault="0093371B" w:rsidP="00AC1F14">
            <w:pPr>
              <w:pStyle w:val="Note"/>
              <w:rPr>
                <w:noProof/>
                <w:lang w:eastAsia="en-AU"/>
              </w:rPr>
            </w:pPr>
          </w:p>
        </w:tc>
      </w:tr>
    </w:tbl>
    <w:p w:rsidR="0093371B" w:rsidRPr="007F677F" w:rsidRDefault="0093371B" w:rsidP="0093371B">
      <w:pPr>
        <w:rPr>
          <w:noProof/>
          <w:lang w:eastAsia="en-AU"/>
        </w:rPr>
      </w:pPr>
    </w:p>
    <w:sectPr w:rsidR="0093371B" w:rsidRPr="007F677F" w:rsidSect="0093371B">
      <w:footerReference w:type="default" r:id="rId21"/>
      <w:type w:val="continuous"/>
      <w:pgSz w:w="11906" w:h="16838" w:code="9"/>
      <w:pgMar w:top="964" w:right="1134" w:bottom="794" w:left="1134" w:header="709" w:footer="567" w:gutter="0"/>
      <w:cols w:space="5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12" w:rsidRDefault="00093712" w:rsidP="001E7D0D">
      <w:pPr>
        <w:spacing w:after="0" w:line="240" w:lineRule="auto"/>
      </w:pPr>
      <w:r>
        <w:separator/>
      </w:r>
    </w:p>
  </w:endnote>
  <w:endnote w:type="continuationSeparator" w:id="0">
    <w:p w:rsidR="00093712" w:rsidRDefault="00093712"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E3EFE30" wp14:editId="61AA5993">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E63446">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268EF503" wp14:editId="555A4D07">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E63446">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E06656">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12" w:rsidRDefault="00093712" w:rsidP="001E7D0D">
      <w:pPr>
        <w:spacing w:after="0" w:line="240" w:lineRule="auto"/>
      </w:pPr>
      <w:r>
        <w:separator/>
      </w:r>
    </w:p>
  </w:footnote>
  <w:footnote w:type="continuationSeparator" w:id="0">
    <w:p w:rsidR="00093712" w:rsidRDefault="00093712"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695DAB24" wp14:editId="497B60EA">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1D41CCDF" wp14:editId="005D5504">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793314E" wp14:editId="04D72F52">
          <wp:simplePos x="0" y="0"/>
          <wp:positionH relativeFrom="column">
            <wp:posOffset>4679789</wp:posOffset>
          </wp:positionH>
          <wp:positionV relativeFrom="paragraph">
            <wp:posOffset>69850</wp:posOffset>
          </wp:positionV>
          <wp:extent cx="1567180" cy="467995"/>
          <wp:effectExtent l="0" t="0" r="0" b="8255"/>
          <wp:wrapNone/>
          <wp:docPr id="1" name="Picture 1"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21" w:rsidRDefault="007E5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51C8"/>
    <w:multiLevelType w:val="multilevel"/>
    <w:tmpl w:val="306ACA90"/>
    <w:lvl w:ilvl="0">
      <w:start w:val="1"/>
      <w:numFmt w:val="decimal"/>
      <w:pStyle w:val="Listnum"/>
      <w:lvlText w:val="%1."/>
      <w:lvlJc w:val="left"/>
      <w:pPr>
        <w:tabs>
          <w:tab w:val="num" w:pos="9075"/>
        </w:tabs>
        <w:ind w:left="9075" w:hanging="504"/>
      </w:pPr>
      <w:rPr>
        <w:rFonts w:hint="default"/>
      </w:rPr>
    </w:lvl>
    <w:lvl w:ilvl="1">
      <w:start w:val="1"/>
      <w:numFmt w:val="lowerLetter"/>
      <w:pStyle w:val="Listnum2"/>
      <w:lvlText w:val="(%2)"/>
      <w:lvlJc w:val="left"/>
      <w:pPr>
        <w:tabs>
          <w:tab w:val="num" w:pos="9579"/>
        </w:tabs>
        <w:ind w:left="9579" w:hanging="504"/>
      </w:pPr>
      <w:rPr>
        <w:rFonts w:hint="default"/>
      </w:rPr>
    </w:lvl>
    <w:lvl w:ilvl="2">
      <w:start w:val="1"/>
      <w:numFmt w:val="lowerRoman"/>
      <w:pStyle w:val="Listnum3"/>
      <w:lvlText w:val="(%3)"/>
      <w:lvlJc w:val="right"/>
      <w:pPr>
        <w:tabs>
          <w:tab w:val="num" w:pos="10083"/>
        </w:tabs>
        <w:ind w:left="10083" w:hanging="504"/>
      </w:pPr>
      <w:rPr>
        <w:rFonts w:hint="default"/>
      </w:rPr>
    </w:lvl>
    <w:lvl w:ilvl="3">
      <w:start w:val="1"/>
      <w:numFmt w:val="decimal"/>
      <w:lvlText w:val="%4."/>
      <w:lvlJc w:val="left"/>
      <w:pPr>
        <w:tabs>
          <w:tab w:val="num" w:pos="11153"/>
        </w:tabs>
        <w:ind w:left="10587" w:hanging="504"/>
      </w:pPr>
      <w:rPr>
        <w:rFonts w:hint="default"/>
      </w:rPr>
    </w:lvl>
    <w:lvl w:ilvl="4">
      <w:start w:val="1"/>
      <w:numFmt w:val="lowerLetter"/>
      <w:lvlText w:val="%5."/>
      <w:lvlJc w:val="left"/>
      <w:pPr>
        <w:tabs>
          <w:tab w:val="num" w:pos="11657"/>
        </w:tabs>
        <w:ind w:left="11091" w:hanging="504"/>
      </w:pPr>
      <w:rPr>
        <w:rFonts w:hint="default"/>
      </w:rPr>
    </w:lvl>
    <w:lvl w:ilvl="5">
      <w:start w:val="1"/>
      <w:numFmt w:val="lowerRoman"/>
      <w:lvlText w:val="%6."/>
      <w:lvlJc w:val="right"/>
      <w:pPr>
        <w:tabs>
          <w:tab w:val="num" w:pos="12161"/>
        </w:tabs>
        <w:ind w:left="11595" w:hanging="504"/>
      </w:pPr>
      <w:rPr>
        <w:rFonts w:hint="default"/>
      </w:rPr>
    </w:lvl>
    <w:lvl w:ilvl="6">
      <w:start w:val="1"/>
      <w:numFmt w:val="decimal"/>
      <w:lvlText w:val="%7."/>
      <w:lvlJc w:val="left"/>
      <w:pPr>
        <w:tabs>
          <w:tab w:val="num" w:pos="12665"/>
        </w:tabs>
        <w:ind w:left="12099" w:hanging="504"/>
      </w:pPr>
      <w:rPr>
        <w:rFonts w:hint="default"/>
      </w:rPr>
    </w:lvl>
    <w:lvl w:ilvl="7">
      <w:start w:val="1"/>
      <w:numFmt w:val="lowerLetter"/>
      <w:lvlText w:val="%8."/>
      <w:lvlJc w:val="left"/>
      <w:pPr>
        <w:tabs>
          <w:tab w:val="num" w:pos="13169"/>
        </w:tabs>
        <w:ind w:left="12603" w:hanging="504"/>
      </w:pPr>
      <w:rPr>
        <w:rFonts w:hint="default"/>
      </w:rPr>
    </w:lvl>
    <w:lvl w:ilvl="8">
      <w:start w:val="1"/>
      <w:numFmt w:val="lowerRoman"/>
      <w:lvlText w:val="%9."/>
      <w:lvlJc w:val="right"/>
      <w:pPr>
        <w:tabs>
          <w:tab w:val="num" w:pos="13673"/>
        </w:tabs>
        <w:ind w:left="13107" w:hanging="504"/>
      </w:pPr>
      <w:rPr>
        <w:rFonts w:hint="default"/>
      </w:rPr>
    </w:lvl>
  </w:abstractNum>
  <w:abstractNum w:abstractNumId="1">
    <w:nsid w:val="348C23D1"/>
    <w:multiLevelType w:val="hybridMultilevel"/>
    <w:tmpl w:val="934E8B8A"/>
    <w:lvl w:ilvl="0" w:tplc="A7F035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332250"/>
    <w:multiLevelType w:val="multilevel"/>
    <w:tmpl w:val="DA6E3D5C"/>
    <w:numStyleLink w:val="Highlightbulletstyle"/>
  </w:abstractNum>
  <w:abstractNum w:abstractNumId="3">
    <w:nsid w:val="5FB034FE"/>
    <w:multiLevelType w:val="hybridMultilevel"/>
    <w:tmpl w:val="EAFC73E8"/>
    <w:lvl w:ilvl="0" w:tplc="EBACE46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4065935"/>
    <w:multiLevelType w:val="multilevel"/>
    <w:tmpl w:val="DA6E3D5C"/>
    <w:numStyleLink w:val="Highlightbulletstyle"/>
  </w:abstractNum>
  <w:num w:numId="1">
    <w:abstractNumId w:val="4"/>
  </w:num>
  <w:num w:numId="2">
    <w:abstractNumId w:val="2"/>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013E"/>
    <w:rsid w:val="00003429"/>
    <w:rsid w:val="000037BC"/>
    <w:rsid w:val="00004104"/>
    <w:rsid w:val="00004F57"/>
    <w:rsid w:val="000053A6"/>
    <w:rsid w:val="00010651"/>
    <w:rsid w:val="00012FB4"/>
    <w:rsid w:val="00014A00"/>
    <w:rsid w:val="000160BC"/>
    <w:rsid w:val="00016356"/>
    <w:rsid w:val="000170B4"/>
    <w:rsid w:val="000176C9"/>
    <w:rsid w:val="00020018"/>
    <w:rsid w:val="00020292"/>
    <w:rsid w:val="00021D1F"/>
    <w:rsid w:val="00022C95"/>
    <w:rsid w:val="00023204"/>
    <w:rsid w:val="00023640"/>
    <w:rsid w:val="00025709"/>
    <w:rsid w:val="000257D1"/>
    <w:rsid w:val="00027A5D"/>
    <w:rsid w:val="00027C20"/>
    <w:rsid w:val="00031852"/>
    <w:rsid w:val="0003309C"/>
    <w:rsid w:val="00033485"/>
    <w:rsid w:val="00033C25"/>
    <w:rsid w:val="000359D7"/>
    <w:rsid w:val="00035A12"/>
    <w:rsid w:val="00036CD9"/>
    <w:rsid w:val="00037E9B"/>
    <w:rsid w:val="0004296F"/>
    <w:rsid w:val="00042C14"/>
    <w:rsid w:val="00044907"/>
    <w:rsid w:val="00045DBC"/>
    <w:rsid w:val="00046F57"/>
    <w:rsid w:val="00047DD7"/>
    <w:rsid w:val="0005013A"/>
    <w:rsid w:val="00051A06"/>
    <w:rsid w:val="00051BA4"/>
    <w:rsid w:val="00053341"/>
    <w:rsid w:val="00053F71"/>
    <w:rsid w:val="00054120"/>
    <w:rsid w:val="00054994"/>
    <w:rsid w:val="0005571F"/>
    <w:rsid w:val="00055855"/>
    <w:rsid w:val="000576D1"/>
    <w:rsid w:val="000611D9"/>
    <w:rsid w:val="00061229"/>
    <w:rsid w:val="0006130C"/>
    <w:rsid w:val="000621B6"/>
    <w:rsid w:val="00062BCA"/>
    <w:rsid w:val="000630DD"/>
    <w:rsid w:val="000636F8"/>
    <w:rsid w:val="00063D5E"/>
    <w:rsid w:val="0006406C"/>
    <w:rsid w:val="00064ECB"/>
    <w:rsid w:val="00065923"/>
    <w:rsid w:val="000660AA"/>
    <w:rsid w:val="0006662B"/>
    <w:rsid w:val="00066B58"/>
    <w:rsid w:val="00067C7B"/>
    <w:rsid w:val="000720FA"/>
    <w:rsid w:val="0007353B"/>
    <w:rsid w:val="00073A18"/>
    <w:rsid w:val="0007721B"/>
    <w:rsid w:val="000802EF"/>
    <w:rsid w:val="00081929"/>
    <w:rsid w:val="00081AA9"/>
    <w:rsid w:val="00082ABF"/>
    <w:rsid w:val="00083238"/>
    <w:rsid w:val="00083675"/>
    <w:rsid w:val="000848EB"/>
    <w:rsid w:val="0008503A"/>
    <w:rsid w:val="00085FDB"/>
    <w:rsid w:val="0008661D"/>
    <w:rsid w:val="00087930"/>
    <w:rsid w:val="00092EB0"/>
    <w:rsid w:val="00092FE6"/>
    <w:rsid w:val="00093712"/>
    <w:rsid w:val="00093F23"/>
    <w:rsid w:val="00095562"/>
    <w:rsid w:val="000974C7"/>
    <w:rsid w:val="00097DC0"/>
    <w:rsid w:val="000A1F05"/>
    <w:rsid w:val="000A3879"/>
    <w:rsid w:val="000A3DE5"/>
    <w:rsid w:val="000A6218"/>
    <w:rsid w:val="000A7A17"/>
    <w:rsid w:val="000B16BD"/>
    <w:rsid w:val="000B3A27"/>
    <w:rsid w:val="000B4020"/>
    <w:rsid w:val="000B64BA"/>
    <w:rsid w:val="000B6B2E"/>
    <w:rsid w:val="000B71CD"/>
    <w:rsid w:val="000C1774"/>
    <w:rsid w:val="000C19C6"/>
    <w:rsid w:val="000D2445"/>
    <w:rsid w:val="000D2A62"/>
    <w:rsid w:val="000D36C6"/>
    <w:rsid w:val="000D4112"/>
    <w:rsid w:val="000D517F"/>
    <w:rsid w:val="000D7E75"/>
    <w:rsid w:val="000E1FFA"/>
    <w:rsid w:val="000E2524"/>
    <w:rsid w:val="000E5E7D"/>
    <w:rsid w:val="000F0189"/>
    <w:rsid w:val="000F0746"/>
    <w:rsid w:val="000F167A"/>
    <w:rsid w:val="000F1769"/>
    <w:rsid w:val="000F2FBA"/>
    <w:rsid w:val="000F6675"/>
    <w:rsid w:val="000F6F43"/>
    <w:rsid w:val="000F7908"/>
    <w:rsid w:val="001010BD"/>
    <w:rsid w:val="00103711"/>
    <w:rsid w:val="00103EC5"/>
    <w:rsid w:val="00106242"/>
    <w:rsid w:val="00106365"/>
    <w:rsid w:val="001063B6"/>
    <w:rsid w:val="001071BD"/>
    <w:rsid w:val="00107EEF"/>
    <w:rsid w:val="00111246"/>
    <w:rsid w:val="0011281B"/>
    <w:rsid w:val="001128C8"/>
    <w:rsid w:val="001148E7"/>
    <w:rsid w:val="00114E7A"/>
    <w:rsid w:val="001178AE"/>
    <w:rsid w:val="001207CE"/>
    <w:rsid w:val="00123AFA"/>
    <w:rsid w:val="00125049"/>
    <w:rsid w:val="00126FFE"/>
    <w:rsid w:val="001272DB"/>
    <w:rsid w:val="00130B73"/>
    <w:rsid w:val="0013596B"/>
    <w:rsid w:val="001372E4"/>
    <w:rsid w:val="001428A1"/>
    <w:rsid w:val="001442F4"/>
    <w:rsid w:val="00144662"/>
    <w:rsid w:val="00146D13"/>
    <w:rsid w:val="00147E59"/>
    <w:rsid w:val="00151A8E"/>
    <w:rsid w:val="00155E50"/>
    <w:rsid w:val="001578F5"/>
    <w:rsid w:val="00157F5E"/>
    <w:rsid w:val="0016508F"/>
    <w:rsid w:val="001655C7"/>
    <w:rsid w:val="0016655B"/>
    <w:rsid w:val="001669BE"/>
    <w:rsid w:val="00166AAA"/>
    <w:rsid w:val="001679C0"/>
    <w:rsid w:val="001709F7"/>
    <w:rsid w:val="00170B8B"/>
    <w:rsid w:val="001716B5"/>
    <w:rsid w:val="00173104"/>
    <w:rsid w:val="00175390"/>
    <w:rsid w:val="001819F8"/>
    <w:rsid w:val="00181D8E"/>
    <w:rsid w:val="001835D6"/>
    <w:rsid w:val="0019025E"/>
    <w:rsid w:val="001906C0"/>
    <w:rsid w:val="00190B22"/>
    <w:rsid w:val="0019153C"/>
    <w:rsid w:val="00191DDE"/>
    <w:rsid w:val="00192916"/>
    <w:rsid w:val="00192A6E"/>
    <w:rsid w:val="00195637"/>
    <w:rsid w:val="001A0248"/>
    <w:rsid w:val="001A1164"/>
    <w:rsid w:val="001A179F"/>
    <w:rsid w:val="001A1E71"/>
    <w:rsid w:val="001A41C0"/>
    <w:rsid w:val="001A655A"/>
    <w:rsid w:val="001B0012"/>
    <w:rsid w:val="001B0E91"/>
    <w:rsid w:val="001B26DA"/>
    <w:rsid w:val="001B3301"/>
    <w:rsid w:val="001B35BD"/>
    <w:rsid w:val="001B49A6"/>
    <w:rsid w:val="001B59EB"/>
    <w:rsid w:val="001B6034"/>
    <w:rsid w:val="001C1CC5"/>
    <w:rsid w:val="001C1EC8"/>
    <w:rsid w:val="001C517E"/>
    <w:rsid w:val="001D0F0C"/>
    <w:rsid w:val="001D1AB4"/>
    <w:rsid w:val="001D2117"/>
    <w:rsid w:val="001D432C"/>
    <w:rsid w:val="001D5D39"/>
    <w:rsid w:val="001D71D3"/>
    <w:rsid w:val="001D7B30"/>
    <w:rsid w:val="001E03B1"/>
    <w:rsid w:val="001E1270"/>
    <w:rsid w:val="001E141A"/>
    <w:rsid w:val="001E2641"/>
    <w:rsid w:val="001E5D17"/>
    <w:rsid w:val="001E7172"/>
    <w:rsid w:val="001E777B"/>
    <w:rsid w:val="001E7A6D"/>
    <w:rsid w:val="001E7D0D"/>
    <w:rsid w:val="001E7D7B"/>
    <w:rsid w:val="001F03D2"/>
    <w:rsid w:val="001F0FBE"/>
    <w:rsid w:val="001F49F0"/>
    <w:rsid w:val="0020012F"/>
    <w:rsid w:val="002006B9"/>
    <w:rsid w:val="00200D1F"/>
    <w:rsid w:val="00201145"/>
    <w:rsid w:val="002014B8"/>
    <w:rsid w:val="00202582"/>
    <w:rsid w:val="00202BAF"/>
    <w:rsid w:val="00204F11"/>
    <w:rsid w:val="002068A8"/>
    <w:rsid w:val="0021040C"/>
    <w:rsid w:val="00212251"/>
    <w:rsid w:val="00213A0E"/>
    <w:rsid w:val="002144FB"/>
    <w:rsid w:val="00214512"/>
    <w:rsid w:val="0021468B"/>
    <w:rsid w:val="0021539B"/>
    <w:rsid w:val="0022157A"/>
    <w:rsid w:val="00222DFE"/>
    <w:rsid w:val="00223311"/>
    <w:rsid w:val="002237C1"/>
    <w:rsid w:val="002277E2"/>
    <w:rsid w:val="00230358"/>
    <w:rsid w:val="00231277"/>
    <w:rsid w:val="00232CFC"/>
    <w:rsid w:val="0023586C"/>
    <w:rsid w:val="002414D2"/>
    <w:rsid w:val="0024227B"/>
    <w:rsid w:val="002437D6"/>
    <w:rsid w:val="00244136"/>
    <w:rsid w:val="00245E95"/>
    <w:rsid w:val="00246C5C"/>
    <w:rsid w:val="00246F90"/>
    <w:rsid w:val="00253B12"/>
    <w:rsid w:val="00253D99"/>
    <w:rsid w:val="00256ABE"/>
    <w:rsid w:val="0025798D"/>
    <w:rsid w:val="00260213"/>
    <w:rsid w:val="00261436"/>
    <w:rsid w:val="00261D70"/>
    <w:rsid w:val="00262411"/>
    <w:rsid w:val="002638C9"/>
    <w:rsid w:val="00264C87"/>
    <w:rsid w:val="00264F48"/>
    <w:rsid w:val="0026593D"/>
    <w:rsid w:val="00266582"/>
    <w:rsid w:val="00267FD0"/>
    <w:rsid w:val="00270AF2"/>
    <w:rsid w:val="00270CF1"/>
    <w:rsid w:val="00270E44"/>
    <w:rsid w:val="00274C7F"/>
    <w:rsid w:val="002751C4"/>
    <w:rsid w:val="0028118E"/>
    <w:rsid w:val="00282F8F"/>
    <w:rsid w:val="00283D6B"/>
    <w:rsid w:val="00286478"/>
    <w:rsid w:val="002868CD"/>
    <w:rsid w:val="00287C9E"/>
    <w:rsid w:val="00290FB0"/>
    <w:rsid w:val="002920D2"/>
    <w:rsid w:val="00292C08"/>
    <w:rsid w:val="00293A6B"/>
    <w:rsid w:val="002A0EE8"/>
    <w:rsid w:val="002A4E54"/>
    <w:rsid w:val="002B0039"/>
    <w:rsid w:val="002B5C85"/>
    <w:rsid w:val="002B6763"/>
    <w:rsid w:val="002C094C"/>
    <w:rsid w:val="002C0ACC"/>
    <w:rsid w:val="002C0AF7"/>
    <w:rsid w:val="002C3FAE"/>
    <w:rsid w:val="002C4FEE"/>
    <w:rsid w:val="002C718D"/>
    <w:rsid w:val="002C7493"/>
    <w:rsid w:val="002C7495"/>
    <w:rsid w:val="002D09FD"/>
    <w:rsid w:val="002D2638"/>
    <w:rsid w:val="002D4B7B"/>
    <w:rsid w:val="002D52D6"/>
    <w:rsid w:val="002E323E"/>
    <w:rsid w:val="002E5840"/>
    <w:rsid w:val="002E5AB4"/>
    <w:rsid w:val="002E5FA6"/>
    <w:rsid w:val="002E61AC"/>
    <w:rsid w:val="002E73F4"/>
    <w:rsid w:val="002E7663"/>
    <w:rsid w:val="002F04BA"/>
    <w:rsid w:val="002F074B"/>
    <w:rsid w:val="002F13D9"/>
    <w:rsid w:val="002F21A5"/>
    <w:rsid w:val="002F3B96"/>
    <w:rsid w:val="002F46A5"/>
    <w:rsid w:val="002F51A8"/>
    <w:rsid w:val="002F5DE2"/>
    <w:rsid w:val="00300949"/>
    <w:rsid w:val="00301591"/>
    <w:rsid w:val="00306D76"/>
    <w:rsid w:val="0031220C"/>
    <w:rsid w:val="00315004"/>
    <w:rsid w:val="00320889"/>
    <w:rsid w:val="003228FA"/>
    <w:rsid w:val="003239BF"/>
    <w:rsid w:val="00323FC2"/>
    <w:rsid w:val="00331066"/>
    <w:rsid w:val="00331531"/>
    <w:rsid w:val="00335295"/>
    <w:rsid w:val="00335813"/>
    <w:rsid w:val="003371D7"/>
    <w:rsid w:val="00340C10"/>
    <w:rsid w:val="00341AD3"/>
    <w:rsid w:val="00344153"/>
    <w:rsid w:val="00345476"/>
    <w:rsid w:val="00345479"/>
    <w:rsid w:val="0034648C"/>
    <w:rsid w:val="00346694"/>
    <w:rsid w:val="00346980"/>
    <w:rsid w:val="00347992"/>
    <w:rsid w:val="00347A78"/>
    <w:rsid w:val="00347BE0"/>
    <w:rsid w:val="0035093C"/>
    <w:rsid w:val="00351EEC"/>
    <w:rsid w:val="003529D4"/>
    <w:rsid w:val="003533A8"/>
    <w:rsid w:val="003540A1"/>
    <w:rsid w:val="00354235"/>
    <w:rsid w:val="003545BC"/>
    <w:rsid w:val="00357F86"/>
    <w:rsid w:val="00360077"/>
    <w:rsid w:val="00360F22"/>
    <w:rsid w:val="00362CE1"/>
    <w:rsid w:val="00364C8F"/>
    <w:rsid w:val="0037175A"/>
    <w:rsid w:val="00372159"/>
    <w:rsid w:val="003806CD"/>
    <w:rsid w:val="00380DA2"/>
    <w:rsid w:val="00381798"/>
    <w:rsid w:val="00381C44"/>
    <w:rsid w:val="00381E61"/>
    <w:rsid w:val="0038201F"/>
    <w:rsid w:val="00382510"/>
    <w:rsid w:val="003831AB"/>
    <w:rsid w:val="00383918"/>
    <w:rsid w:val="003844EC"/>
    <w:rsid w:val="00384A23"/>
    <w:rsid w:val="003902A0"/>
    <w:rsid w:val="00390E2F"/>
    <w:rsid w:val="003915B9"/>
    <w:rsid w:val="00394326"/>
    <w:rsid w:val="00394456"/>
    <w:rsid w:val="003952AA"/>
    <w:rsid w:val="003A0F37"/>
    <w:rsid w:val="003A2CDC"/>
    <w:rsid w:val="003A3175"/>
    <w:rsid w:val="003A3AD2"/>
    <w:rsid w:val="003A4B92"/>
    <w:rsid w:val="003A5680"/>
    <w:rsid w:val="003A65EF"/>
    <w:rsid w:val="003A70B8"/>
    <w:rsid w:val="003A7B76"/>
    <w:rsid w:val="003B00F1"/>
    <w:rsid w:val="003B13CD"/>
    <w:rsid w:val="003B27C9"/>
    <w:rsid w:val="003B2B53"/>
    <w:rsid w:val="003B3D66"/>
    <w:rsid w:val="003B43F8"/>
    <w:rsid w:val="003B5CA2"/>
    <w:rsid w:val="003B66C0"/>
    <w:rsid w:val="003C20AB"/>
    <w:rsid w:val="003C3E82"/>
    <w:rsid w:val="003C5B4A"/>
    <w:rsid w:val="003C665B"/>
    <w:rsid w:val="003C690A"/>
    <w:rsid w:val="003C6D78"/>
    <w:rsid w:val="003D0FD1"/>
    <w:rsid w:val="003E3DDF"/>
    <w:rsid w:val="003E4F43"/>
    <w:rsid w:val="003E507C"/>
    <w:rsid w:val="003E5648"/>
    <w:rsid w:val="003E6813"/>
    <w:rsid w:val="003F1107"/>
    <w:rsid w:val="003F2540"/>
    <w:rsid w:val="003F6D30"/>
    <w:rsid w:val="003F77EE"/>
    <w:rsid w:val="003F78A6"/>
    <w:rsid w:val="003F78F1"/>
    <w:rsid w:val="0040027B"/>
    <w:rsid w:val="00400CB5"/>
    <w:rsid w:val="0040561C"/>
    <w:rsid w:val="00405FBA"/>
    <w:rsid w:val="00406EC6"/>
    <w:rsid w:val="00407DB0"/>
    <w:rsid w:val="0041014C"/>
    <w:rsid w:val="0041092A"/>
    <w:rsid w:val="00411C99"/>
    <w:rsid w:val="00412B93"/>
    <w:rsid w:val="00416A04"/>
    <w:rsid w:val="00423F92"/>
    <w:rsid w:val="004248E2"/>
    <w:rsid w:val="00425F13"/>
    <w:rsid w:val="004274C5"/>
    <w:rsid w:val="0043064C"/>
    <w:rsid w:val="0043096A"/>
    <w:rsid w:val="00434A99"/>
    <w:rsid w:val="00434C46"/>
    <w:rsid w:val="00435687"/>
    <w:rsid w:val="004371C3"/>
    <w:rsid w:val="00440C3A"/>
    <w:rsid w:val="004412FB"/>
    <w:rsid w:val="004431F4"/>
    <w:rsid w:val="0044340B"/>
    <w:rsid w:val="00443FD2"/>
    <w:rsid w:val="0044557B"/>
    <w:rsid w:val="00450F23"/>
    <w:rsid w:val="004512C0"/>
    <w:rsid w:val="0045265F"/>
    <w:rsid w:val="00453A5E"/>
    <w:rsid w:val="00453CBD"/>
    <w:rsid w:val="004556E4"/>
    <w:rsid w:val="00455CCF"/>
    <w:rsid w:val="00456F3B"/>
    <w:rsid w:val="0046250A"/>
    <w:rsid w:val="00466052"/>
    <w:rsid w:val="00466B30"/>
    <w:rsid w:val="00466CDB"/>
    <w:rsid w:val="00467FCB"/>
    <w:rsid w:val="0047038E"/>
    <w:rsid w:val="00474854"/>
    <w:rsid w:val="004767C0"/>
    <w:rsid w:val="004768B5"/>
    <w:rsid w:val="00476B96"/>
    <w:rsid w:val="00480F7B"/>
    <w:rsid w:val="00482DD3"/>
    <w:rsid w:val="004834E8"/>
    <w:rsid w:val="00483862"/>
    <w:rsid w:val="00484190"/>
    <w:rsid w:val="0048478A"/>
    <w:rsid w:val="00487A2E"/>
    <w:rsid w:val="004900CF"/>
    <w:rsid w:val="004904DE"/>
    <w:rsid w:val="004942D6"/>
    <w:rsid w:val="00494A89"/>
    <w:rsid w:val="004952C2"/>
    <w:rsid w:val="00496637"/>
    <w:rsid w:val="00497555"/>
    <w:rsid w:val="004A4775"/>
    <w:rsid w:val="004A4EDB"/>
    <w:rsid w:val="004A5EFF"/>
    <w:rsid w:val="004A60F4"/>
    <w:rsid w:val="004A7973"/>
    <w:rsid w:val="004B0DE0"/>
    <w:rsid w:val="004B10C4"/>
    <w:rsid w:val="004B3EAF"/>
    <w:rsid w:val="004B3EB7"/>
    <w:rsid w:val="004B6E36"/>
    <w:rsid w:val="004C0B0D"/>
    <w:rsid w:val="004C1EE8"/>
    <w:rsid w:val="004C2B18"/>
    <w:rsid w:val="004C630F"/>
    <w:rsid w:val="004C7246"/>
    <w:rsid w:val="004C7E75"/>
    <w:rsid w:val="004D2530"/>
    <w:rsid w:val="004D315E"/>
    <w:rsid w:val="004D34CD"/>
    <w:rsid w:val="004D4AC5"/>
    <w:rsid w:val="004D582C"/>
    <w:rsid w:val="004E06F1"/>
    <w:rsid w:val="004E15F5"/>
    <w:rsid w:val="004E1C48"/>
    <w:rsid w:val="004E5ED2"/>
    <w:rsid w:val="004E5F2F"/>
    <w:rsid w:val="004E638E"/>
    <w:rsid w:val="004E7510"/>
    <w:rsid w:val="004F011B"/>
    <w:rsid w:val="004F2C65"/>
    <w:rsid w:val="004F3C3A"/>
    <w:rsid w:val="004F5D02"/>
    <w:rsid w:val="004F5DD2"/>
    <w:rsid w:val="004F650A"/>
    <w:rsid w:val="004F7193"/>
    <w:rsid w:val="0050041F"/>
    <w:rsid w:val="00501B53"/>
    <w:rsid w:val="00502141"/>
    <w:rsid w:val="00502D70"/>
    <w:rsid w:val="00504D17"/>
    <w:rsid w:val="00506EEE"/>
    <w:rsid w:val="00507432"/>
    <w:rsid w:val="00516980"/>
    <w:rsid w:val="005175E4"/>
    <w:rsid w:val="0052125D"/>
    <w:rsid w:val="00521BA8"/>
    <w:rsid w:val="00521DAF"/>
    <w:rsid w:val="00521F88"/>
    <w:rsid w:val="005221D6"/>
    <w:rsid w:val="00522682"/>
    <w:rsid w:val="00523A27"/>
    <w:rsid w:val="00524654"/>
    <w:rsid w:val="005246FB"/>
    <w:rsid w:val="005256FC"/>
    <w:rsid w:val="00525DDD"/>
    <w:rsid w:val="00526938"/>
    <w:rsid w:val="00527102"/>
    <w:rsid w:val="005279B1"/>
    <w:rsid w:val="005316CE"/>
    <w:rsid w:val="005318CE"/>
    <w:rsid w:val="005325F0"/>
    <w:rsid w:val="00534395"/>
    <w:rsid w:val="00534B86"/>
    <w:rsid w:val="00534C19"/>
    <w:rsid w:val="005379E5"/>
    <w:rsid w:val="00537EC6"/>
    <w:rsid w:val="00543BB3"/>
    <w:rsid w:val="0054445F"/>
    <w:rsid w:val="00544A13"/>
    <w:rsid w:val="00545331"/>
    <w:rsid w:val="00545AA0"/>
    <w:rsid w:val="0054649F"/>
    <w:rsid w:val="005509BC"/>
    <w:rsid w:val="00552B82"/>
    <w:rsid w:val="00554F72"/>
    <w:rsid w:val="00557172"/>
    <w:rsid w:val="005572CF"/>
    <w:rsid w:val="005577EE"/>
    <w:rsid w:val="00557A3F"/>
    <w:rsid w:val="00561537"/>
    <w:rsid w:val="0056659D"/>
    <w:rsid w:val="00567A0F"/>
    <w:rsid w:val="00567B2A"/>
    <w:rsid w:val="00575F8D"/>
    <w:rsid w:val="00576235"/>
    <w:rsid w:val="00576DC6"/>
    <w:rsid w:val="005801E4"/>
    <w:rsid w:val="00580A73"/>
    <w:rsid w:val="005814E1"/>
    <w:rsid w:val="00582590"/>
    <w:rsid w:val="005859E0"/>
    <w:rsid w:val="00585DD0"/>
    <w:rsid w:val="00587AF4"/>
    <w:rsid w:val="00590640"/>
    <w:rsid w:val="00590DB3"/>
    <w:rsid w:val="0059113D"/>
    <w:rsid w:val="00595836"/>
    <w:rsid w:val="005972E8"/>
    <w:rsid w:val="005977E2"/>
    <w:rsid w:val="005A27E3"/>
    <w:rsid w:val="005A312B"/>
    <w:rsid w:val="005A3A8E"/>
    <w:rsid w:val="005A499A"/>
    <w:rsid w:val="005B02A3"/>
    <w:rsid w:val="005B500A"/>
    <w:rsid w:val="005B50FE"/>
    <w:rsid w:val="005B5D8C"/>
    <w:rsid w:val="005B6236"/>
    <w:rsid w:val="005B63FE"/>
    <w:rsid w:val="005B799A"/>
    <w:rsid w:val="005B7D8B"/>
    <w:rsid w:val="005C0112"/>
    <w:rsid w:val="005C2020"/>
    <w:rsid w:val="005C5FE2"/>
    <w:rsid w:val="005C66FE"/>
    <w:rsid w:val="005C6F29"/>
    <w:rsid w:val="005D2153"/>
    <w:rsid w:val="005D5264"/>
    <w:rsid w:val="005D5C2A"/>
    <w:rsid w:val="005D72B5"/>
    <w:rsid w:val="005D7D59"/>
    <w:rsid w:val="005E1419"/>
    <w:rsid w:val="005E1782"/>
    <w:rsid w:val="005E1F2C"/>
    <w:rsid w:val="005E217D"/>
    <w:rsid w:val="005E2185"/>
    <w:rsid w:val="005E26EE"/>
    <w:rsid w:val="005E4620"/>
    <w:rsid w:val="005E4A36"/>
    <w:rsid w:val="005E5BB9"/>
    <w:rsid w:val="005E64C4"/>
    <w:rsid w:val="005E672B"/>
    <w:rsid w:val="005E6800"/>
    <w:rsid w:val="005F0E15"/>
    <w:rsid w:val="005F34B4"/>
    <w:rsid w:val="005F6FEE"/>
    <w:rsid w:val="006000A0"/>
    <w:rsid w:val="0060422F"/>
    <w:rsid w:val="00604447"/>
    <w:rsid w:val="00606677"/>
    <w:rsid w:val="006068E2"/>
    <w:rsid w:val="00606BF1"/>
    <w:rsid w:val="00607271"/>
    <w:rsid w:val="006072A0"/>
    <w:rsid w:val="00610201"/>
    <w:rsid w:val="006119A1"/>
    <w:rsid w:val="006135AB"/>
    <w:rsid w:val="00613DBA"/>
    <w:rsid w:val="00615915"/>
    <w:rsid w:val="00615B0C"/>
    <w:rsid w:val="00615C90"/>
    <w:rsid w:val="006165B0"/>
    <w:rsid w:val="006202E5"/>
    <w:rsid w:val="00630F5C"/>
    <w:rsid w:val="00633A0A"/>
    <w:rsid w:val="006345C6"/>
    <w:rsid w:val="00634CB3"/>
    <w:rsid w:val="00637485"/>
    <w:rsid w:val="006375DD"/>
    <w:rsid w:val="00637684"/>
    <w:rsid w:val="00640214"/>
    <w:rsid w:val="006402C8"/>
    <w:rsid w:val="00641691"/>
    <w:rsid w:val="0064291B"/>
    <w:rsid w:val="00643BA9"/>
    <w:rsid w:val="00643BE0"/>
    <w:rsid w:val="006446D1"/>
    <w:rsid w:val="00650127"/>
    <w:rsid w:val="00652783"/>
    <w:rsid w:val="00653989"/>
    <w:rsid w:val="00653B5B"/>
    <w:rsid w:val="006552ED"/>
    <w:rsid w:val="00655ADA"/>
    <w:rsid w:val="00655B24"/>
    <w:rsid w:val="00655CCE"/>
    <w:rsid w:val="00656694"/>
    <w:rsid w:val="006619C8"/>
    <w:rsid w:val="00662DE8"/>
    <w:rsid w:val="006632CD"/>
    <w:rsid w:val="00664763"/>
    <w:rsid w:val="00664988"/>
    <w:rsid w:val="00666002"/>
    <w:rsid w:val="00666ED0"/>
    <w:rsid w:val="00667DB9"/>
    <w:rsid w:val="00670109"/>
    <w:rsid w:val="00670790"/>
    <w:rsid w:val="00670E78"/>
    <w:rsid w:val="006717DA"/>
    <w:rsid w:val="00675585"/>
    <w:rsid w:val="0068057E"/>
    <w:rsid w:val="00681947"/>
    <w:rsid w:val="00681BC4"/>
    <w:rsid w:val="00682B49"/>
    <w:rsid w:val="0068446F"/>
    <w:rsid w:val="0069059D"/>
    <w:rsid w:val="0069470E"/>
    <w:rsid w:val="0069622A"/>
    <w:rsid w:val="00697374"/>
    <w:rsid w:val="00697F1F"/>
    <w:rsid w:val="006A0CDF"/>
    <w:rsid w:val="006A1032"/>
    <w:rsid w:val="006A46A6"/>
    <w:rsid w:val="006A5C90"/>
    <w:rsid w:val="006A6FCC"/>
    <w:rsid w:val="006A745F"/>
    <w:rsid w:val="006A7ABD"/>
    <w:rsid w:val="006B11CA"/>
    <w:rsid w:val="006B3A0B"/>
    <w:rsid w:val="006B47AE"/>
    <w:rsid w:val="006B486C"/>
    <w:rsid w:val="006C0DF2"/>
    <w:rsid w:val="006C36AC"/>
    <w:rsid w:val="006C400D"/>
    <w:rsid w:val="006C4435"/>
    <w:rsid w:val="006C6503"/>
    <w:rsid w:val="006D2C01"/>
    <w:rsid w:val="006D2CF6"/>
    <w:rsid w:val="006D4C00"/>
    <w:rsid w:val="006D7E80"/>
    <w:rsid w:val="006E06AD"/>
    <w:rsid w:val="006E0DF0"/>
    <w:rsid w:val="006E169E"/>
    <w:rsid w:val="006E3ABA"/>
    <w:rsid w:val="006E3C98"/>
    <w:rsid w:val="006E401A"/>
    <w:rsid w:val="006E7709"/>
    <w:rsid w:val="006F2852"/>
    <w:rsid w:val="006F35EB"/>
    <w:rsid w:val="006F3B8C"/>
    <w:rsid w:val="006F49BF"/>
    <w:rsid w:val="006F6780"/>
    <w:rsid w:val="00700502"/>
    <w:rsid w:val="00700764"/>
    <w:rsid w:val="00703EBC"/>
    <w:rsid w:val="00705025"/>
    <w:rsid w:val="00706673"/>
    <w:rsid w:val="00706D3B"/>
    <w:rsid w:val="00707BF6"/>
    <w:rsid w:val="00710B79"/>
    <w:rsid w:val="00713948"/>
    <w:rsid w:val="00717ED7"/>
    <w:rsid w:val="00721ED1"/>
    <w:rsid w:val="00722C03"/>
    <w:rsid w:val="007231C4"/>
    <w:rsid w:val="00730AFF"/>
    <w:rsid w:val="00730EFC"/>
    <w:rsid w:val="00731D4A"/>
    <w:rsid w:val="007343DC"/>
    <w:rsid w:val="007347B8"/>
    <w:rsid w:val="0073506D"/>
    <w:rsid w:val="007364C8"/>
    <w:rsid w:val="00736912"/>
    <w:rsid w:val="007373CA"/>
    <w:rsid w:val="00740CD4"/>
    <w:rsid w:val="007410BD"/>
    <w:rsid w:val="007412D0"/>
    <w:rsid w:val="00742183"/>
    <w:rsid w:val="007460B7"/>
    <w:rsid w:val="00750856"/>
    <w:rsid w:val="0075117C"/>
    <w:rsid w:val="00751643"/>
    <w:rsid w:val="00762B7E"/>
    <w:rsid w:val="00765E58"/>
    <w:rsid w:val="00771375"/>
    <w:rsid w:val="00771BC6"/>
    <w:rsid w:val="00773A00"/>
    <w:rsid w:val="007757EB"/>
    <w:rsid w:val="0077773D"/>
    <w:rsid w:val="00780320"/>
    <w:rsid w:val="00781AB5"/>
    <w:rsid w:val="007873AC"/>
    <w:rsid w:val="00787CBC"/>
    <w:rsid w:val="00790F3C"/>
    <w:rsid w:val="007941D3"/>
    <w:rsid w:val="00795744"/>
    <w:rsid w:val="007972CA"/>
    <w:rsid w:val="007A03AA"/>
    <w:rsid w:val="007A139F"/>
    <w:rsid w:val="007A5AAD"/>
    <w:rsid w:val="007B0DDE"/>
    <w:rsid w:val="007B2E95"/>
    <w:rsid w:val="007B44F4"/>
    <w:rsid w:val="007B4BD4"/>
    <w:rsid w:val="007B66B0"/>
    <w:rsid w:val="007C08DB"/>
    <w:rsid w:val="007C2AFE"/>
    <w:rsid w:val="007C3C47"/>
    <w:rsid w:val="007C6047"/>
    <w:rsid w:val="007C7BE7"/>
    <w:rsid w:val="007D0358"/>
    <w:rsid w:val="007D0DF6"/>
    <w:rsid w:val="007D2B8B"/>
    <w:rsid w:val="007D618F"/>
    <w:rsid w:val="007D688E"/>
    <w:rsid w:val="007D6F02"/>
    <w:rsid w:val="007D7C97"/>
    <w:rsid w:val="007D7CAD"/>
    <w:rsid w:val="007E2960"/>
    <w:rsid w:val="007E2AD3"/>
    <w:rsid w:val="007E353E"/>
    <w:rsid w:val="007E3C36"/>
    <w:rsid w:val="007E4A14"/>
    <w:rsid w:val="007E5421"/>
    <w:rsid w:val="007E6072"/>
    <w:rsid w:val="007E6812"/>
    <w:rsid w:val="007E7CDF"/>
    <w:rsid w:val="007F2F37"/>
    <w:rsid w:val="007F5E9A"/>
    <w:rsid w:val="007F6738"/>
    <w:rsid w:val="007F677F"/>
    <w:rsid w:val="007F7DBD"/>
    <w:rsid w:val="00801834"/>
    <w:rsid w:val="00802FB2"/>
    <w:rsid w:val="00803E2C"/>
    <w:rsid w:val="008061D0"/>
    <w:rsid w:val="0081037E"/>
    <w:rsid w:val="00810385"/>
    <w:rsid w:val="008115C7"/>
    <w:rsid w:val="008124B6"/>
    <w:rsid w:val="00813058"/>
    <w:rsid w:val="00816160"/>
    <w:rsid w:val="0081749B"/>
    <w:rsid w:val="00820021"/>
    <w:rsid w:val="00821A3A"/>
    <w:rsid w:val="00825C5F"/>
    <w:rsid w:val="008262D9"/>
    <w:rsid w:val="00827595"/>
    <w:rsid w:val="00831501"/>
    <w:rsid w:val="00831F56"/>
    <w:rsid w:val="00833B24"/>
    <w:rsid w:val="00833E9D"/>
    <w:rsid w:val="0083415F"/>
    <w:rsid w:val="00834D07"/>
    <w:rsid w:val="00834D08"/>
    <w:rsid w:val="0083514C"/>
    <w:rsid w:val="00837C8E"/>
    <w:rsid w:val="008406AA"/>
    <w:rsid w:val="00840776"/>
    <w:rsid w:val="0084251F"/>
    <w:rsid w:val="008437E6"/>
    <w:rsid w:val="008447D1"/>
    <w:rsid w:val="008455DF"/>
    <w:rsid w:val="00846CB9"/>
    <w:rsid w:val="0085104F"/>
    <w:rsid w:val="00852C6A"/>
    <w:rsid w:val="0085460C"/>
    <w:rsid w:val="00855C1D"/>
    <w:rsid w:val="008563E7"/>
    <w:rsid w:val="008565B3"/>
    <w:rsid w:val="008659CB"/>
    <w:rsid w:val="00865D5B"/>
    <w:rsid w:val="008660A0"/>
    <w:rsid w:val="00866111"/>
    <w:rsid w:val="00872BD9"/>
    <w:rsid w:val="00872BDF"/>
    <w:rsid w:val="008741A1"/>
    <w:rsid w:val="00874CD5"/>
    <w:rsid w:val="00875CE2"/>
    <w:rsid w:val="00876989"/>
    <w:rsid w:val="00876AC6"/>
    <w:rsid w:val="0088301A"/>
    <w:rsid w:val="008851AB"/>
    <w:rsid w:val="00885DAC"/>
    <w:rsid w:val="00885F7D"/>
    <w:rsid w:val="00887B0E"/>
    <w:rsid w:val="008926D2"/>
    <w:rsid w:val="0089355C"/>
    <w:rsid w:val="00894224"/>
    <w:rsid w:val="0089514C"/>
    <w:rsid w:val="008A0C1C"/>
    <w:rsid w:val="008A1A09"/>
    <w:rsid w:val="008A3F4A"/>
    <w:rsid w:val="008B1C4A"/>
    <w:rsid w:val="008B2D78"/>
    <w:rsid w:val="008B5294"/>
    <w:rsid w:val="008B6091"/>
    <w:rsid w:val="008B6F78"/>
    <w:rsid w:val="008B7AF1"/>
    <w:rsid w:val="008C27B7"/>
    <w:rsid w:val="008C2BE2"/>
    <w:rsid w:val="008C5EB3"/>
    <w:rsid w:val="008C6468"/>
    <w:rsid w:val="008C67AB"/>
    <w:rsid w:val="008C720A"/>
    <w:rsid w:val="008D06D9"/>
    <w:rsid w:val="008D0BF6"/>
    <w:rsid w:val="008D419F"/>
    <w:rsid w:val="008D4C72"/>
    <w:rsid w:val="008D67D7"/>
    <w:rsid w:val="008D6A2F"/>
    <w:rsid w:val="008D7232"/>
    <w:rsid w:val="008E215E"/>
    <w:rsid w:val="008E2D29"/>
    <w:rsid w:val="008E5F1A"/>
    <w:rsid w:val="008F0AFB"/>
    <w:rsid w:val="008F253E"/>
    <w:rsid w:val="008F55AB"/>
    <w:rsid w:val="00901872"/>
    <w:rsid w:val="00901961"/>
    <w:rsid w:val="00904A36"/>
    <w:rsid w:val="009057D1"/>
    <w:rsid w:val="00906AF7"/>
    <w:rsid w:val="0091308E"/>
    <w:rsid w:val="009131FD"/>
    <w:rsid w:val="00917DA7"/>
    <w:rsid w:val="0092123B"/>
    <w:rsid w:val="00922FDD"/>
    <w:rsid w:val="00925005"/>
    <w:rsid w:val="00925104"/>
    <w:rsid w:val="00925EF7"/>
    <w:rsid w:val="009264E6"/>
    <w:rsid w:val="00927445"/>
    <w:rsid w:val="00927E0D"/>
    <w:rsid w:val="009315CA"/>
    <w:rsid w:val="00932A32"/>
    <w:rsid w:val="00932E2E"/>
    <w:rsid w:val="00933184"/>
    <w:rsid w:val="00933546"/>
    <w:rsid w:val="0093371B"/>
    <w:rsid w:val="00935902"/>
    <w:rsid w:val="00936D9D"/>
    <w:rsid w:val="009376A5"/>
    <w:rsid w:val="009379B3"/>
    <w:rsid w:val="00941922"/>
    <w:rsid w:val="00941FCC"/>
    <w:rsid w:val="00942979"/>
    <w:rsid w:val="00942CA3"/>
    <w:rsid w:val="009445EE"/>
    <w:rsid w:val="009506AF"/>
    <w:rsid w:val="00953332"/>
    <w:rsid w:val="00953D82"/>
    <w:rsid w:val="0095727E"/>
    <w:rsid w:val="00960B7C"/>
    <w:rsid w:val="00960C7E"/>
    <w:rsid w:val="00961DC4"/>
    <w:rsid w:val="0096265F"/>
    <w:rsid w:val="00964E4A"/>
    <w:rsid w:val="00965986"/>
    <w:rsid w:val="0096692A"/>
    <w:rsid w:val="00967403"/>
    <w:rsid w:val="009674BE"/>
    <w:rsid w:val="00970105"/>
    <w:rsid w:val="00970D75"/>
    <w:rsid w:val="0097342E"/>
    <w:rsid w:val="00974505"/>
    <w:rsid w:val="009752D8"/>
    <w:rsid w:val="00976953"/>
    <w:rsid w:val="00980269"/>
    <w:rsid w:val="00981525"/>
    <w:rsid w:val="00983012"/>
    <w:rsid w:val="00983408"/>
    <w:rsid w:val="009840B1"/>
    <w:rsid w:val="00985F99"/>
    <w:rsid w:val="009910AD"/>
    <w:rsid w:val="009918D2"/>
    <w:rsid w:val="009940EC"/>
    <w:rsid w:val="009946D6"/>
    <w:rsid w:val="00994DFD"/>
    <w:rsid w:val="009977C2"/>
    <w:rsid w:val="009A0CC6"/>
    <w:rsid w:val="009A3026"/>
    <w:rsid w:val="009A39A9"/>
    <w:rsid w:val="009A40BD"/>
    <w:rsid w:val="009A5772"/>
    <w:rsid w:val="009A5CE0"/>
    <w:rsid w:val="009A77B2"/>
    <w:rsid w:val="009B0BE4"/>
    <w:rsid w:val="009B6C4E"/>
    <w:rsid w:val="009B702A"/>
    <w:rsid w:val="009B76BE"/>
    <w:rsid w:val="009C363B"/>
    <w:rsid w:val="009C4050"/>
    <w:rsid w:val="009C533E"/>
    <w:rsid w:val="009C5582"/>
    <w:rsid w:val="009C5BCD"/>
    <w:rsid w:val="009C6442"/>
    <w:rsid w:val="009C66D2"/>
    <w:rsid w:val="009C6BE6"/>
    <w:rsid w:val="009D2C79"/>
    <w:rsid w:val="009D2F44"/>
    <w:rsid w:val="009D35B5"/>
    <w:rsid w:val="009D42BF"/>
    <w:rsid w:val="009D5E13"/>
    <w:rsid w:val="009E0F7A"/>
    <w:rsid w:val="009E13DC"/>
    <w:rsid w:val="009E176B"/>
    <w:rsid w:val="009E3C8A"/>
    <w:rsid w:val="009E5B95"/>
    <w:rsid w:val="009E5DC7"/>
    <w:rsid w:val="009E654E"/>
    <w:rsid w:val="009E6852"/>
    <w:rsid w:val="009E7726"/>
    <w:rsid w:val="009F022A"/>
    <w:rsid w:val="009F07F3"/>
    <w:rsid w:val="009F0F64"/>
    <w:rsid w:val="009F277F"/>
    <w:rsid w:val="009F61D0"/>
    <w:rsid w:val="009F7315"/>
    <w:rsid w:val="009F7CFF"/>
    <w:rsid w:val="00A0102A"/>
    <w:rsid w:val="00A011A5"/>
    <w:rsid w:val="00A03B82"/>
    <w:rsid w:val="00A05497"/>
    <w:rsid w:val="00A05F37"/>
    <w:rsid w:val="00A07DFA"/>
    <w:rsid w:val="00A1484B"/>
    <w:rsid w:val="00A14ADE"/>
    <w:rsid w:val="00A15447"/>
    <w:rsid w:val="00A16496"/>
    <w:rsid w:val="00A21056"/>
    <w:rsid w:val="00A21C79"/>
    <w:rsid w:val="00A226B1"/>
    <w:rsid w:val="00A22C6E"/>
    <w:rsid w:val="00A24EB7"/>
    <w:rsid w:val="00A25A6B"/>
    <w:rsid w:val="00A2697F"/>
    <w:rsid w:val="00A27B08"/>
    <w:rsid w:val="00A346D5"/>
    <w:rsid w:val="00A34E52"/>
    <w:rsid w:val="00A363B5"/>
    <w:rsid w:val="00A36F03"/>
    <w:rsid w:val="00A3710A"/>
    <w:rsid w:val="00A40F22"/>
    <w:rsid w:val="00A4205F"/>
    <w:rsid w:val="00A431B6"/>
    <w:rsid w:val="00A441AF"/>
    <w:rsid w:val="00A460F2"/>
    <w:rsid w:val="00A50B93"/>
    <w:rsid w:val="00A53933"/>
    <w:rsid w:val="00A54258"/>
    <w:rsid w:val="00A55ECA"/>
    <w:rsid w:val="00A60E8F"/>
    <w:rsid w:val="00A647DA"/>
    <w:rsid w:val="00A650C6"/>
    <w:rsid w:val="00A65B41"/>
    <w:rsid w:val="00A66E77"/>
    <w:rsid w:val="00A67716"/>
    <w:rsid w:val="00A67A0B"/>
    <w:rsid w:val="00A7050A"/>
    <w:rsid w:val="00A70602"/>
    <w:rsid w:val="00A70AAC"/>
    <w:rsid w:val="00A73E99"/>
    <w:rsid w:val="00A741CB"/>
    <w:rsid w:val="00A743D7"/>
    <w:rsid w:val="00A75E1E"/>
    <w:rsid w:val="00A82B38"/>
    <w:rsid w:val="00A91509"/>
    <w:rsid w:val="00A91DE4"/>
    <w:rsid w:val="00A93E7C"/>
    <w:rsid w:val="00A96140"/>
    <w:rsid w:val="00AA516F"/>
    <w:rsid w:val="00AA56BE"/>
    <w:rsid w:val="00AA68F7"/>
    <w:rsid w:val="00AA73B6"/>
    <w:rsid w:val="00AA744A"/>
    <w:rsid w:val="00AB30B6"/>
    <w:rsid w:val="00AB50B0"/>
    <w:rsid w:val="00AB67B5"/>
    <w:rsid w:val="00AB76CE"/>
    <w:rsid w:val="00AC0213"/>
    <w:rsid w:val="00AC0EFB"/>
    <w:rsid w:val="00AC14BE"/>
    <w:rsid w:val="00AC15BC"/>
    <w:rsid w:val="00AC3523"/>
    <w:rsid w:val="00AC47D6"/>
    <w:rsid w:val="00AC4B92"/>
    <w:rsid w:val="00AC77E6"/>
    <w:rsid w:val="00AD0968"/>
    <w:rsid w:val="00AD0D84"/>
    <w:rsid w:val="00AD2B6B"/>
    <w:rsid w:val="00AD2B97"/>
    <w:rsid w:val="00AD32EB"/>
    <w:rsid w:val="00AD5F43"/>
    <w:rsid w:val="00AD73F8"/>
    <w:rsid w:val="00AD7623"/>
    <w:rsid w:val="00AD7719"/>
    <w:rsid w:val="00AE2681"/>
    <w:rsid w:val="00AE310A"/>
    <w:rsid w:val="00AE51CD"/>
    <w:rsid w:val="00AE5766"/>
    <w:rsid w:val="00AF0029"/>
    <w:rsid w:val="00AF03D6"/>
    <w:rsid w:val="00AF3830"/>
    <w:rsid w:val="00AF4080"/>
    <w:rsid w:val="00AF7DCA"/>
    <w:rsid w:val="00B0209A"/>
    <w:rsid w:val="00B032DE"/>
    <w:rsid w:val="00B042A1"/>
    <w:rsid w:val="00B05EAE"/>
    <w:rsid w:val="00B067DD"/>
    <w:rsid w:val="00B0702F"/>
    <w:rsid w:val="00B074C1"/>
    <w:rsid w:val="00B108A8"/>
    <w:rsid w:val="00B11D75"/>
    <w:rsid w:val="00B124E0"/>
    <w:rsid w:val="00B12616"/>
    <w:rsid w:val="00B12E53"/>
    <w:rsid w:val="00B15EA3"/>
    <w:rsid w:val="00B17DE6"/>
    <w:rsid w:val="00B23E2F"/>
    <w:rsid w:val="00B24275"/>
    <w:rsid w:val="00B339BB"/>
    <w:rsid w:val="00B343CB"/>
    <w:rsid w:val="00B3469B"/>
    <w:rsid w:val="00B34D62"/>
    <w:rsid w:val="00B36881"/>
    <w:rsid w:val="00B36DC9"/>
    <w:rsid w:val="00B36EAD"/>
    <w:rsid w:val="00B37BE8"/>
    <w:rsid w:val="00B411F8"/>
    <w:rsid w:val="00B41B7B"/>
    <w:rsid w:val="00B42707"/>
    <w:rsid w:val="00B463E1"/>
    <w:rsid w:val="00B51377"/>
    <w:rsid w:val="00B52852"/>
    <w:rsid w:val="00B54575"/>
    <w:rsid w:val="00B55058"/>
    <w:rsid w:val="00B56033"/>
    <w:rsid w:val="00B56DF5"/>
    <w:rsid w:val="00B577E6"/>
    <w:rsid w:val="00B5781B"/>
    <w:rsid w:val="00B602FB"/>
    <w:rsid w:val="00B60937"/>
    <w:rsid w:val="00B62F40"/>
    <w:rsid w:val="00B7051C"/>
    <w:rsid w:val="00B71AAD"/>
    <w:rsid w:val="00B71C63"/>
    <w:rsid w:val="00B75088"/>
    <w:rsid w:val="00B7562B"/>
    <w:rsid w:val="00B7656C"/>
    <w:rsid w:val="00B81689"/>
    <w:rsid w:val="00B81B82"/>
    <w:rsid w:val="00B82663"/>
    <w:rsid w:val="00B82B2F"/>
    <w:rsid w:val="00B85D08"/>
    <w:rsid w:val="00B94489"/>
    <w:rsid w:val="00B94DA6"/>
    <w:rsid w:val="00B95141"/>
    <w:rsid w:val="00B97E06"/>
    <w:rsid w:val="00BA0CEA"/>
    <w:rsid w:val="00BA1124"/>
    <w:rsid w:val="00BA2604"/>
    <w:rsid w:val="00BA3154"/>
    <w:rsid w:val="00BA58EB"/>
    <w:rsid w:val="00BA65B2"/>
    <w:rsid w:val="00BA6713"/>
    <w:rsid w:val="00BA6B8C"/>
    <w:rsid w:val="00BB02F6"/>
    <w:rsid w:val="00BB032A"/>
    <w:rsid w:val="00BB07CD"/>
    <w:rsid w:val="00BB0BF9"/>
    <w:rsid w:val="00BB0D30"/>
    <w:rsid w:val="00BB20AA"/>
    <w:rsid w:val="00BB2557"/>
    <w:rsid w:val="00BB3C90"/>
    <w:rsid w:val="00BB5A5B"/>
    <w:rsid w:val="00BB5CEC"/>
    <w:rsid w:val="00BC0DCB"/>
    <w:rsid w:val="00BC0EF7"/>
    <w:rsid w:val="00BC0FAE"/>
    <w:rsid w:val="00BC2E59"/>
    <w:rsid w:val="00BC3E78"/>
    <w:rsid w:val="00BC672F"/>
    <w:rsid w:val="00BC6868"/>
    <w:rsid w:val="00BD0E69"/>
    <w:rsid w:val="00BD0FF9"/>
    <w:rsid w:val="00BD24EB"/>
    <w:rsid w:val="00BD2F35"/>
    <w:rsid w:val="00BD48CC"/>
    <w:rsid w:val="00BE3069"/>
    <w:rsid w:val="00BE3446"/>
    <w:rsid w:val="00BE4146"/>
    <w:rsid w:val="00BE514B"/>
    <w:rsid w:val="00BE7055"/>
    <w:rsid w:val="00BE7B97"/>
    <w:rsid w:val="00BF1A63"/>
    <w:rsid w:val="00BF321C"/>
    <w:rsid w:val="00BF619B"/>
    <w:rsid w:val="00BF74D8"/>
    <w:rsid w:val="00BF7D7D"/>
    <w:rsid w:val="00C03C8B"/>
    <w:rsid w:val="00C04C72"/>
    <w:rsid w:val="00C06A48"/>
    <w:rsid w:val="00C1101F"/>
    <w:rsid w:val="00C12C22"/>
    <w:rsid w:val="00C13752"/>
    <w:rsid w:val="00C15903"/>
    <w:rsid w:val="00C15F1B"/>
    <w:rsid w:val="00C20BEE"/>
    <w:rsid w:val="00C21D87"/>
    <w:rsid w:val="00C22A37"/>
    <w:rsid w:val="00C22FB4"/>
    <w:rsid w:val="00C2310E"/>
    <w:rsid w:val="00C2486C"/>
    <w:rsid w:val="00C25BFE"/>
    <w:rsid w:val="00C27218"/>
    <w:rsid w:val="00C3070A"/>
    <w:rsid w:val="00C316F5"/>
    <w:rsid w:val="00C32759"/>
    <w:rsid w:val="00C33630"/>
    <w:rsid w:val="00C33761"/>
    <w:rsid w:val="00C35431"/>
    <w:rsid w:val="00C4203F"/>
    <w:rsid w:val="00C42118"/>
    <w:rsid w:val="00C43A87"/>
    <w:rsid w:val="00C441C8"/>
    <w:rsid w:val="00C44ABD"/>
    <w:rsid w:val="00C44E76"/>
    <w:rsid w:val="00C464BC"/>
    <w:rsid w:val="00C513CC"/>
    <w:rsid w:val="00C5163C"/>
    <w:rsid w:val="00C52410"/>
    <w:rsid w:val="00C53480"/>
    <w:rsid w:val="00C5410B"/>
    <w:rsid w:val="00C5427E"/>
    <w:rsid w:val="00C542A9"/>
    <w:rsid w:val="00C5434C"/>
    <w:rsid w:val="00C569A3"/>
    <w:rsid w:val="00C60AF1"/>
    <w:rsid w:val="00C61C28"/>
    <w:rsid w:val="00C644B2"/>
    <w:rsid w:val="00C64AE9"/>
    <w:rsid w:val="00C6502B"/>
    <w:rsid w:val="00C65755"/>
    <w:rsid w:val="00C657FA"/>
    <w:rsid w:val="00C66A4E"/>
    <w:rsid w:val="00C67EA3"/>
    <w:rsid w:val="00C71A2D"/>
    <w:rsid w:val="00C7461C"/>
    <w:rsid w:val="00C75A3C"/>
    <w:rsid w:val="00C86481"/>
    <w:rsid w:val="00C86987"/>
    <w:rsid w:val="00C86AA1"/>
    <w:rsid w:val="00C87955"/>
    <w:rsid w:val="00C92189"/>
    <w:rsid w:val="00C94806"/>
    <w:rsid w:val="00C94ED7"/>
    <w:rsid w:val="00C9664F"/>
    <w:rsid w:val="00CA0732"/>
    <w:rsid w:val="00CA180A"/>
    <w:rsid w:val="00CA275E"/>
    <w:rsid w:val="00CA2C5D"/>
    <w:rsid w:val="00CA3441"/>
    <w:rsid w:val="00CA40FC"/>
    <w:rsid w:val="00CA4128"/>
    <w:rsid w:val="00CA6B20"/>
    <w:rsid w:val="00CB1FC1"/>
    <w:rsid w:val="00CB2339"/>
    <w:rsid w:val="00CB5401"/>
    <w:rsid w:val="00CB6120"/>
    <w:rsid w:val="00CB724D"/>
    <w:rsid w:val="00CB791F"/>
    <w:rsid w:val="00CB7BB7"/>
    <w:rsid w:val="00CB7F4A"/>
    <w:rsid w:val="00CC2A70"/>
    <w:rsid w:val="00CC3381"/>
    <w:rsid w:val="00CC35DA"/>
    <w:rsid w:val="00CC4342"/>
    <w:rsid w:val="00CC6C1E"/>
    <w:rsid w:val="00CD0DB4"/>
    <w:rsid w:val="00CD1E1B"/>
    <w:rsid w:val="00CE0719"/>
    <w:rsid w:val="00CE300C"/>
    <w:rsid w:val="00CE361F"/>
    <w:rsid w:val="00CE4B53"/>
    <w:rsid w:val="00CE7BB0"/>
    <w:rsid w:val="00CE7C75"/>
    <w:rsid w:val="00CF1073"/>
    <w:rsid w:val="00CF210D"/>
    <w:rsid w:val="00CF2349"/>
    <w:rsid w:val="00CF2CDF"/>
    <w:rsid w:val="00CF339B"/>
    <w:rsid w:val="00CF3D8B"/>
    <w:rsid w:val="00CF410D"/>
    <w:rsid w:val="00CF4BAB"/>
    <w:rsid w:val="00CF74BB"/>
    <w:rsid w:val="00D00E91"/>
    <w:rsid w:val="00D019BB"/>
    <w:rsid w:val="00D01F99"/>
    <w:rsid w:val="00D02311"/>
    <w:rsid w:val="00D03447"/>
    <w:rsid w:val="00D03B40"/>
    <w:rsid w:val="00D04B28"/>
    <w:rsid w:val="00D10165"/>
    <w:rsid w:val="00D109FF"/>
    <w:rsid w:val="00D11CA8"/>
    <w:rsid w:val="00D12950"/>
    <w:rsid w:val="00D136D1"/>
    <w:rsid w:val="00D13E42"/>
    <w:rsid w:val="00D14FA0"/>
    <w:rsid w:val="00D16D90"/>
    <w:rsid w:val="00D170E2"/>
    <w:rsid w:val="00D17E6E"/>
    <w:rsid w:val="00D201DB"/>
    <w:rsid w:val="00D2094E"/>
    <w:rsid w:val="00D23BD2"/>
    <w:rsid w:val="00D25C4F"/>
    <w:rsid w:val="00D2779D"/>
    <w:rsid w:val="00D30EAC"/>
    <w:rsid w:val="00D32372"/>
    <w:rsid w:val="00D32F5B"/>
    <w:rsid w:val="00D337B3"/>
    <w:rsid w:val="00D33825"/>
    <w:rsid w:val="00D33832"/>
    <w:rsid w:val="00D33EEA"/>
    <w:rsid w:val="00D4035D"/>
    <w:rsid w:val="00D40BDF"/>
    <w:rsid w:val="00D4106C"/>
    <w:rsid w:val="00D44DBB"/>
    <w:rsid w:val="00D4690E"/>
    <w:rsid w:val="00D4719C"/>
    <w:rsid w:val="00D478AB"/>
    <w:rsid w:val="00D50249"/>
    <w:rsid w:val="00D50BD3"/>
    <w:rsid w:val="00D5133B"/>
    <w:rsid w:val="00D55299"/>
    <w:rsid w:val="00D561C0"/>
    <w:rsid w:val="00D56286"/>
    <w:rsid w:val="00D57657"/>
    <w:rsid w:val="00D6224E"/>
    <w:rsid w:val="00D627AA"/>
    <w:rsid w:val="00D71C0C"/>
    <w:rsid w:val="00D73D8C"/>
    <w:rsid w:val="00D74D60"/>
    <w:rsid w:val="00D81F26"/>
    <w:rsid w:val="00D82C20"/>
    <w:rsid w:val="00D82ED6"/>
    <w:rsid w:val="00D847A0"/>
    <w:rsid w:val="00D84892"/>
    <w:rsid w:val="00D84E39"/>
    <w:rsid w:val="00D87559"/>
    <w:rsid w:val="00D93B76"/>
    <w:rsid w:val="00D95B60"/>
    <w:rsid w:val="00D96239"/>
    <w:rsid w:val="00D963E4"/>
    <w:rsid w:val="00D96C5D"/>
    <w:rsid w:val="00DA4C03"/>
    <w:rsid w:val="00DA526F"/>
    <w:rsid w:val="00DB1A1A"/>
    <w:rsid w:val="00DB1D1D"/>
    <w:rsid w:val="00DB1F96"/>
    <w:rsid w:val="00DB2C64"/>
    <w:rsid w:val="00DB4076"/>
    <w:rsid w:val="00DB5B98"/>
    <w:rsid w:val="00DB6329"/>
    <w:rsid w:val="00DB6F6F"/>
    <w:rsid w:val="00DC1432"/>
    <w:rsid w:val="00DC2A68"/>
    <w:rsid w:val="00DC43A0"/>
    <w:rsid w:val="00DC48FC"/>
    <w:rsid w:val="00DC7136"/>
    <w:rsid w:val="00DC78B4"/>
    <w:rsid w:val="00DD15AD"/>
    <w:rsid w:val="00DD259C"/>
    <w:rsid w:val="00DD5683"/>
    <w:rsid w:val="00DD77AA"/>
    <w:rsid w:val="00DD783C"/>
    <w:rsid w:val="00DE2069"/>
    <w:rsid w:val="00DE2338"/>
    <w:rsid w:val="00DE3D8E"/>
    <w:rsid w:val="00DE4583"/>
    <w:rsid w:val="00DE4AA3"/>
    <w:rsid w:val="00DE4F81"/>
    <w:rsid w:val="00DE61FA"/>
    <w:rsid w:val="00DE6A29"/>
    <w:rsid w:val="00DE74F0"/>
    <w:rsid w:val="00DF0B44"/>
    <w:rsid w:val="00DF100F"/>
    <w:rsid w:val="00DF19BC"/>
    <w:rsid w:val="00DF2029"/>
    <w:rsid w:val="00DF3025"/>
    <w:rsid w:val="00DF35C7"/>
    <w:rsid w:val="00DF6029"/>
    <w:rsid w:val="00DF6BCF"/>
    <w:rsid w:val="00E022B1"/>
    <w:rsid w:val="00E05878"/>
    <w:rsid w:val="00E06656"/>
    <w:rsid w:val="00E07D12"/>
    <w:rsid w:val="00E104B2"/>
    <w:rsid w:val="00E13399"/>
    <w:rsid w:val="00E16509"/>
    <w:rsid w:val="00E17CAD"/>
    <w:rsid w:val="00E226EC"/>
    <w:rsid w:val="00E23513"/>
    <w:rsid w:val="00E250FC"/>
    <w:rsid w:val="00E25471"/>
    <w:rsid w:val="00E265D8"/>
    <w:rsid w:val="00E317F3"/>
    <w:rsid w:val="00E36C16"/>
    <w:rsid w:val="00E36C62"/>
    <w:rsid w:val="00E37809"/>
    <w:rsid w:val="00E40BC0"/>
    <w:rsid w:val="00E42504"/>
    <w:rsid w:val="00E429D9"/>
    <w:rsid w:val="00E43FBF"/>
    <w:rsid w:val="00E443D7"/>
    <w:rsid w:val="00E446CC"/>
    <w:rsid w:val="00E44FC6"/>
    <w:rsid w:val="00E4564E"/>
    <w:rsid w:val="00E47D76"/>
    <w:rsid w:val="00E55C3F"/>
    <w:rsid w:val="00E60C52"/>
    <w:rsid w:val="00E611FD"/>
    <w:rsid w:val="00E61920"/>
    <w:rsid w:val="00E63446"/>
    <w:rsid w:val="00E6390E"/>
    <w:rsid w:val="00E65EEA"/>
    <w:rsid w:val="00E67679"/>
    <w:rsid w:val="00E71328"/>
    <w:rsid w:val="00E72367"/>
    <w:rsid w:val="00E75876"/>
    <w:rsid w:val="00E75AB0"/>
    <w:rsid w:val="00E80164"/>
    <w:rsid w:val="00E831F7"/>
    <w:rsid w:val="00E84536"/>
    <w:rsid w:val="00E85299"/>
    <w:rsid w:val="00E8551D"/>
    <w:rsid w:val="00E904CC"/>
    <w:rsid w:val="00E90A26"/>
    <w:rsid w:val="00E9249E"/>
    <w:rsid w:val="00E93118"/>
    <w:rsid w:val="00E935B6"/>
    <w:rsid w:val="00E95038"/>
    <w:rsid w:val="00E96437"/>
    <w:rsid w:val="00E9724A"/>
    <w:rsid w:val="00EA082F"/>
    <w:rsid w:val="00EA41B8"/>
    <w:rsid w:val="00EA5FDA"/>
    <w:rsid w:val="00EA6703"/>
    <w:rsid w:val="00EB0176"/>
    <w:rsid w:val="00EB15EC"/>
    <w:rsid w:val="00EB1897"/>
    <w:rsid w:val="00EB2EA9"/>
    <w:rsid w:val="00EC00CB"/>
    <w:rsid w:val="00EC2B7E"/>
    <w:rsid w:val="00EC53CB"/>
    <w:rsid w:val="00EC6B00"/>
    <w:rsid w:val="00ED0360"/>
    <w:rsid w:val="00ED0E66"/>
    <w:rsid w:val="00ED1B3D"/>
    <w:rsid w:val="00ED1F73"/>
    <w:rsid w:val="00ED5782"/>
    <w:rsid w:val="00ED5C15"/>
    <w:rsid w:val="00ED66AF"/>
    <w:rsid w:val="00ED688E"/>
    <w:rsid w:val="00ED7CCB"/>
    <w:rsid w:val="00EE021A"/>
    <w:rsid w:val="00EE0231"/>
    <w:rsid w:val="00EE31AA"/>
    <w:rsid w:val="00EE4151"/>
    <w:rsid w:val="00EE619A"/>
    <w:rsid w:val="00EE652E"/>
    <w:rsid w:val="00EE6BB5"/>
    <w:rsid w:val="00EF2FE7"/>
    <w:rsid w:val="00EF343E"/>
    <w:rsid w:val="00EF50A3"/>
    <w:rsid w:val="00EF59AF"/>
    <w:rsid w:val="00EF5B90"/>
    <w:rsid w:val="00EF5FE0"/>
    <w:rsid w:val="00EF6761"/>
    <w:rsid w:val="00F00EBF"/>
    <w:rsid w:val="00F02A19"/>
    <w:rsid w:val="00F02BA5"/>
    <w:rsid w:val="00F037AF"/>
    <w:rsid w:val="00F03B1B"/>
    <w:rsid w:val="00F049DC"/>
    <w:rsid w:val="00F06B50"/>
    <w:rsid w:val="00F078F0"/>
    <w:rsid w:val="00F10329"/>
    <w:rsid w:val="00F11348"/>
    <w:rsid w:val="00F12F87"/>
    <w:rsid w:val="00F14CAE"/>
    <w:rsid w:val="00F15B4E"/>
    <w:rsid w:val="00F15DD8"/>
    <w:rsid w:val="00F174A1"/>
    <w:rsid w:val="00F222DA"/>
    <w:rsid w:val="00F24548"/>
    <w:rsid w:val="00F24D58"/>
    <w:rsid w:val="00F27342"/>
    <w:rsid w:val="00F3092C"/>
    <w:rsid w:val="00F3177B"/>
    <w:rsid w:val="00F31838"/>
    <w:rsid w:val="00F32969"/>
    <w:rsid w:val="00F3530C"/>
    <w:rsid w:val="00F36D48"/>
    <w:rsid w:val="00F37974"/>
    <w:rsid w:val="00F418F8"/>
    <w:rsid w:val="00F423C1"/>
    <w:rsid w:val="00F42CD0"/>
    <w:rsid w:val="00F42FC6"/>
    <w:rsid w:val="00F43E28"/>
    <w:rsid w:val="00F503D9"/>
    <w:rsid w:val="00F53CE6"/>
    <w:rsid w:val="00F569A1"/>
    <w:rsid w:val="00F56D37"/>
    <w:rsid w:val="00F623CF"/>
    <w:rsid w:val="00F62672"/>
    <w:rsid w:val="00F637EE"/>
    <w:rsid w:val="00F63F06"/>
    <w:rsid w:val="00F64EAE"/>
    <w:rsid w:val="00F6524B"/>
    <w:rsid w:val="00F6696B"/>
    <w:rsid w:val="00F7361A"/>
    <w:rsid w:val="00F73875"/>
    <w:rsid w:val="00F73FDA"/>
    <w:rsid w:val="00F77CCC"/>
    <w:rsid w:val="00F800ED"/>
    <w:rsid w:val="00F817B0"/>
    <w:rsid w:val="00F82BD9"/>
    <w:rsid w:val="00F850AE"/>
    <w:rsid w:val="00F86551"/>
    <w:rsid w:val="00F87EFB"/>
    <w:rsid w:val="00F90892"/>
    <w:rsid w:val="00F92041"/>
    <w:rsid w:val="00F94020"/>
    <w:rsid w:val="00FA221B"/>
    <w:rsid w:val="00FA27EE"/>
    <w:rsid w:val="00FA31B4"/>
    <w:rsid w:val="00FA325A"/>
    <w:rsid w:val="00FA452C"/>
    <w:rsid w:val="00FA4867"/>
    <w:rsid w:val="00FA60F9"/>
    <w:rsid w:val="00FA7BFE"/>
    <w:rsid w:val="00FB0C29"/>
    <w:rsid w:val="00FB105E"/>
    <w:rsid w:val="00FB138B"/>
    <w:rsid w:val="00FB3EC2"/>
    <w:rsid w:val="00FB4C12"/>
    <w:rsid w:val="00FB522E"/>
    <w:rsid w:val="00FB5C6B"/>
    <w:rsid w:val="00FB78D5"/>
    <w:rsid w:val="00FC2759"/>
    <w:rsid w:val="00FC29A0"/>
    <w:rsid w:val="00FC2C27"/>
    <w:rsid w:val="00FC3C34"/>
    <w:rsid w:val="00FC46BB"/>
    <w:rsid w:val="00FC4DD9"/>
    <w:rsid w:val="00FC68A6"/>
    <w:rsid w:val="00FD0459"/>
    <w:rsid w:val="00FD1F64"/>
    <w:rsid w:val="00FD2703"/>
    <w:rsid w:val="00FD5CC6"/>
    <w:rsid w:val="00FE1F59"/>
    <w:rsid w:val="00FE2343"/>
    <w:rsid w:val="00FE2927"/>
    <w:rsid w:val="00FE2CF1"/>
    <w:rsid w:val="00FE4E7A"/>
    <w:rsid w:val="00FE679B"/>
    <w:rsid w:val="00FE6A25"/>
    <w:rsid w:val="00FE78D5"/>
    <w:rsid w:val="00FF13DC"/>
    <w:rsid w:val="00FF1906"/>
    <w:rsid w:val="00FF2CB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 w:type="character" w:customStyle="1" w:styleId="apple-converted-space">
    <w:name w:val="apple-converted-space"/>
    <w:basedOn w:val="DefaultParagraphFont"/>
    <w:rsid w:val="00F6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 w:type="paragraph" w:customStyle="1" w:styleId="Listnum">
    <w:name w:val="List num"/>
    <w:basedOn w:val="Normal"/>
    <w:qFormat/>
    <w:rsid w:val="00231277"/>
    <w:pPr>
      <w:numPr>
        <w:numId w:val="4"/>
      </w:numPr>
      <w:spacing w:before="240" w:after="240" w:line="240" w:lineRule="auto"/>
    </w:pPr>
    <w:rPr>
      <w:rFonts w:eastAsia="Times New Roman" w:cs="Arial"/>
      <w:bCs/>
      <w:color w:val="000000" w:themeColor="text1"/>
      <w:spacing w:val="2"/>
      <w:sz w:val="20"/>
    </w:rPr>
  </w:style>
  <w:style w:type="paragraph" w:customStyle="1" w:styleId="Listnum2">
    <w:name w:val="List num 2"/>
    <w:basedOn w:val="Normal"/>
    <w:rsid w:val="00231277"/>
    <w:pPr>
      <w:numPr>
        <w:ilvl w:val="1"/>
        <w:numId w:val="4"/>
      </w:numPr>
      <w:spacing w:after="0" w:line="240" w:lineRule="auto"/>
    </w:pPr>
    <w:rPr>
      <w:rFonts w:eastAsia="Times New Roman" w:cs="Times New Roman"/>
      <w:color w:val="000000" w:themeColor="text1"/>
      <w:spacing w:val="2"/>
      <w:sz w:val="20"/>
      <w:szCs w:val="20"/>
    </w:rPr>
  </w:style>
  <w:style w:type="paragraph" w:customStyle="1" w:styleId="Listnum3">
    <w:name w:val="List num 3"/>
    <w:basedOn w:val="Normal"/>
    <w:rsid w:val="00231277"/>
    <w:pPr>
      <w:numPr>
        <w:ilvl w:val="2"/>
        <w:numId w:val="4"/>
      </w:numPr>
      <w:spacing w:after="0" w:line="240" w:lineRule="auto"/>
    </w:pPr>
    <w:rPr>
      <w:rFonts w:eastAsia="Times New Roman" w:cs="Times New Roman"/>
      <w:color w:val="000000" w:themeColor="text1"/>
      <w:spacing w:val="2"/>
      <w:sz w:val="20"/>
      <w:szCs w:val="20"/>
    </w:rPr>
  </w:style>
  <w:style w:type="character" w:styleId="Hyperlink">
    <w:name w:val="Hyperlink"/>
    <w:basedOn w:val="DefaultParagraphFont"/>
    <w:uiPriority w:val="99"/>
    <w:unhideWhenUsed/>
    <w:rsid w:val="00DC2A68"/>
    <w:rPr>
      <w:color w:val="0000FF" w:themeColor="hyperlink"/>
      <w:u w:val="single"/>
    </w:rPr>
  </w:style>
  <w:style w:type="character" w:styleId="FollowedHyperlink">
    <w:name w:val="FollowedHyperlink"/>
    <w:basedOn w:val="DefaultParagraphFont"/>
    <w:uiPriority w:val="99"/>
    <w:semiHidden/>
    <w:unhideWhenUsed/>
    <w:rsid w:val="003B66C0"/>
    <w:rPr>
      <w:color w:val="800080" w:themeColor="followedHyperlink"/>
      <w:u w:val="single"/>
    </w:rPr>
  </w:style>
  <w:style w:type="character" w:customStyle="1" w:styleId="apple-converted-space">
    <w:name w:val="apple-converted-space"/>
    <w:basedOn w:val="DefaultParagraphFont"/>
    <w:rsid w:val="00F6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0162">
      <w:bodyDiv w:val="1"/>
      <w:marLeft w:val="0"/>
      <w:marRight w:val="0"/>
      <w:marTop w:val="0"/>
      <w:marBottom w:val="0"/>
      <w:divBdr>
        <w:top w:val="none" w:sz="0" w:space="0" w:color="auto"/>
        <w:left w:val="none" w:sz="0" w:space="0" w:color="auto"/>
        <w:bottom w:val="none" w:sz="0" w:space="0" w:color="auto"/>
        <w:right w:val="none" w:sz="0" w:space="0" w:color="auto"/>
      </w:divBdr>
      <w:divsChild>
        <w:div w:id="406533201">
          <w:marLeft w:val="274"/>
          <w:marRight w:val="0"/>
          <w:marTop w:val="0"/>
          <w:marBottom w:val="120"/>
          <w:divBdr>
            <w:top w:val="none" w:sz="0" w:space="0" w:color="auto"/>
            <w:left w:val="none" w:sz="0" w:space="0" w:color="auto"/>
            <w:bottom w:val="none" w:sz="0" w:space="0" w:color="auto"/>
            <w:right w:val="none" w:sz="0" w:space="0" w:color="auto"/>
          </w:divBdr>
        </w:div>
      </w:divsChild>
    </w:div>
    <w:div w:id="710885020">
      <w:bodyDiv w:val="1"/>
      <w:marLeft w:val="0"/>
      <w:marRight w:val="0"/>
      <w:marTop w:val="0"/>
      <w:marBottom w:val="0"/>
      <w:divBdr>
        <w:top w:val="none" w:sz="0" w:space="0" w:color="auto"/>
        <w:left w:val="none" w:sz="0" w:space="0" w:color="auto"/>
        <w:bottom w:val="none" w:sz="0" w:space="0" w:color="auto"/>
        <w:right w:val="none" w:sz="0" w:space="0" w:color="auto"/>
      </w:divBdr>
    </w:div>
    <w:div w:id="1657145467">
      <w:bodyDiv w:val="1"/>
      <w:marLeft w:val="0"/>
      <w:marRight w:val="0"/>
      <w:marTop w:val="0"/>
      <w:marBottom w:val="0"/>
      <w:divBdr>
        <w:top w:val="none" w:sz="0" w:space="0" w:color="auto"/>
        <w:left w:val="none" w:sz="0" w:space="0" w:color="auto"/>
        <w:bottom w:val="none" w:sz="0" w:space="0" w:color="auto"/>
        <w:right w:val="none" w:sz="0" w:space="0" w:color="auto"/>
      </w:divBdr>
    </w:div>
    <w:div w:id="1705251394">
      <w:bodyDiv w:val="1"/>
      <w:marLeft w:val="0"/>
      <w:marRight w:val="0"/>
      <w:marTop w:val="0"/>
      <w:marBottom w:val="0"/>
      <w:divBdr>
        <w:top w:val="none" w:sz="0" w:space="0" w:color="auto"/>
        <w:left w:val="none" w:sz="0" w:space="0" w:color="auto"/>
        <w:bottom w:val="none" w:sz="0" w:space="0" w:color="auto"/>
        <w:right w:val="none" w:sz="0" w:space="0" w:color="auto"/>
      </w:divBdr>
    </w:div>
    <w:div w:id="1750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3ACB-BC0D-4A04-91E1-C88B09CC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2017-10-03T00:00:00Z</cp:lastPrinted>
  <dcterms:created xsi:type="dcterms:W3CDTF">2018-01-23T23:38:00Z</dcterms:created>
  <dcterms:modified xsi:type="dcterms:W3CDTF">2018-01-23T23:38:00Z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423158b5-c75e-4b5f-8951-d17db8b8f2ee</vt:lpwstr>
  </property>
  <property fmtid="{D5CDD505-2E9C-101B-9397-08002B2CF9AE}" pid="3" name="PSPFClassification">
    <vt:lpwstr>Do Not Mark</vt:lpwstr>
  </property>
</Properties>
</file>