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A0" w:rsidRPr="00BB5CEC" w:rsidRDefault="00BB5CEC" w:rsidP="00440C3A">
      <w:pPr>
        <w:pStyle w:val="Subtitle"/>
        <w:rPr>
          <w:rFonts w:asciiTheme="minorHAnsi" w:hAnsiTheme="minorHAnsi" w:cstheme="minorHAnsi"/>
          <w:sz w:val="28"/>
          <w:szCs w:val="28"/>
        </w:rPr>
        <w:sectPr w:rsidR="00D847A0" w:rsidRPr="00BB5CEC" w:rsidSect="004B3EB7">
          <w:headerReference w:type="default" r:id="rId9"/>
          <w:footerReference w:type="default" r:id="rId10"/>
          <w:type w:val="continuous"/>
          <w:pgSz w:w="11906" w:h="16838" w:code="9"/>
          <w:pgMar w:top="3572" w:right="1134" w:bottom="1134" w:left="1134" w:header="709" w:footer="567" w:gutter="0"/>
          <w:cols w:num="2" w:space="567" w:equalWidth="0">
            <w:col w:w="2858" w:space="567"/>
            <w:col w:w="6213"/>
          </w:cols>
          <w:docGrid w:linePitch="360"/>
        </w:sectPr>
      </w:pPr>
      <w:bookmarkStart w:id="0" w:name="_GoBack"/>
      <w:bookmarkEnd w:id="0"/>
      <w:r w:rsidRPr="00BB5CEC">
        <w:rPr>
          <w:rFonts w:asciiTheme="minorHAnsi" w:hAnsiTheme="minorHAnsi" w:cstheme="minorHAnsi"/>
          <w:sz w:val="28"/>
          <w:szCs w:val="28"/>
        </w:rPr>
        <w:t>SEPTEMBER</w:t>
      </w:r>
      <w:r w:rsidR="00103711" w:rsidRPr="00BB5CEC">
        <w:rPr>
          <w:rFonts w:asciiTheme="minorHAnsi" w:hAnsiTheme="minorHAnsi" w:cstheme="minorHAnsi"/>
          <w:sz w:val="28"/>
          <w:szCs w:val="28"/>
        </w:rPr>
        <w:t xml:space="preserve"> </w:t>
      </w:r>
      <w:r w:rsidR="00F77CCC" w:rsidRPr="00BB5CEC">
        <w:rPr>
          <w:rFonts w:asciiTheme="minorHAnsi" w:hAnsiTheme="minorHAnsi" w:cstheme="minorHAnsi"/>
          <w:sz w:val="28"/>
          <w:szCs w:val="28"/>
        </w:rPr>
        <w:t>2016</w:t>
      </w:r>
    </w:p>
    <w:tbl>
      <w:tblPr>
        <w:tblW w:w="10456" w:type="dxa"/>
        <w:tblLayout w:type="fixed"/>
        <w:tblLook w:val="04A0" w:firstRow="1" w:lastRow="0" w:firstColumn="1" w:lastColumn="0" w:noHBand="0" w:noVBand="1"/>
      </w:tblPr>
      <w:tblGrid>
        <w:gridCol w:w="2992"/>
        <w:gridCol w:w="7464"/>
      </w:tblGrid>
      <w:tr w:rsidR="00103711" w:rsidTr="00103711">
        <w:trPr>
          <w:trHeight w:val="492"/>
        </w:trPr>
        <w:tc>
          <w:tcPr>
            <w:tcW w:w="2992" w:type="dxa"/>
          </w:tcPr>
          <w:p w:rsidR="00103711" w:rsidRPr="00833E9D" w:rsidRDefault="00103711" w:rsidP="00103711">
            <w:pPr>
              <w:pStyle w:val="Note"/>
              <w:spacing w:after="0"/>
            </w:pPr>
            <w:r w:rsidRPr="00103711">
              <w:rPr>
                <w:b/>
              </w:rPr>
              <w:lastRenderedPageBreak/>
              <w:t>Scope:</w:t>
            </w:r>
            <w:r>
              <w:t xml:space="preserve"> This monthly newsletter outlines economic </w:t>
            </w:r>
            <w:r w:rsidR="003540A1">
              <w:t xml:space="preserve">and financial </w:t>
            </w:r>
            <w:r>
              <w:t>developments in Victoria, nationally and globally.</w:t>
            </w:r>
          </w:p>
        </w:tc>
        <w:tc>
          <w:tcPr>
            <w:tcW w:w="7464" w:type="dxa"/>
          </w:tcPr>
          <w:p w:rsidR="00103711" w:rsidRPr="00D847A0" w:rsidRDefault="00ED2AF5" w:rsidP="00103711">
            <w:pPr>
              <w:pStyle w:val="Note"/>
              <w:spacing w:after="0"/>
              <w:jc w:val="right"/>
              <w:rPr>
                <w:color w:val="53565A" w:themeColor="text2"/>
              </w:rPr>
            </w:pPr>
            <w:r w:rsidRPr="00BB2684">
              <w:rPr>
                <w:b/>
                <w:color w:val="53565A" w:themeColor="text2"/>
              </w:rPr>
              <w:t xml:space="preserve">By David Martine, </w:t>
            </w:r>
            <w:r w:rsidRPr="00BB2684">
              <w:rPr>
                <w:b/>
                <w:i/>
                <w:color w:val="53565A" w:themeColor="text2"/>
              </w:rPr>
              <w:t>Secretary</w:t>
            </w:r>
            <w:r w:rsidRPr="00BB2684">
              <w:rPr>
                <w:b/>
                <w:color w:val="53565A" w:themeColor="text2"/>
              </w:rPr>
              <w:t>, Treasury and Finance</w:t>
            </w:r>
          </w:p>
        </w:tc>
      </w:tr>
    </w:tbl>
    <w:p w:rsidR="009B0BE4" w:rsidRDefault="009B0BE4" w:rsidP="00D847A0">
      <w:pPr>
        <w:pStyle w:val="Note"/>
        <w:jc w:val="right"/>
        <w:rPr>
          <w:b/>
          <w:color w:val="53565A" w:themeColor="text2"/>
        </w:rPr>
        <w:sectPr w:rsidR="009B0BE4" w:rsidSect="00D847A0">
          <w:type w:val="continuous"/>
          <w:pgSz w:w="11906" w:h="16838" w:code="9"/>
          <w:pgMar w:top="3572" w:right="1134" w:bottom="1134" w:left="1134" w:header="709" w:footer="567" w:gutter="0"/>
          <w:cols w:space="567"/>
          <w:docGrid w:linePitch="360"/>
        </w:sectPr>
      </w:pPr>
    </w:p>
    <w:p w:rsidR="00BB0BF9" w:rsidRDefault="00BB0BF9" w:rsidP="00103711">
      <w:pPr>
        <w:pStyle w:val="Bullet-highlight"/>
        <w:numPr>
          <w:ilvl w:val="0"/>
          <w:numId w:val="0"/>
        </w:numPr>
        <w:spacing w:after="0"/>
      </w:pPr>
    </w:p>
    <w:p w:rsidR="00BB0BF9" w:rsidRDefault="00BB0BF9" w:rsidP="00103711">
      <w:pPr>
        <w:pStyle w:val="Bullet-highlight"/>
        <w:numPr>
          <w:ilvl w:val="0"/>
          <w:numId w:val="0"/>
        </w:numPr>
        <w:spacing w:after="0"/>
        <w:sectPr w:rsidR="00BB0BF9" w:rsidSect="00D847A0">
          <w:type w:val="continuous"/>
          <w:pgSz w:w="11906" w:h="16838" w:code="9"/>
          <w:pgMar w:top="3572" w:right="1134" w:bottom="1134" w:left="1134" w:header="709" w:footer="567" w:gutter="0"/>
          <w:cols w:space="567"/>
          <w:docGrid w:linePitch="360"/>
        </w:sectPr>
      </w:pPr>
    </w:p>
    <w:tbl>
      <w:tblPr>
        <w:tblW w:w="7054" w:type="dxa"/>
        <w:shd w:val="clear" w:color="auto" w:fill="99B8DC" w:themeFill="accent5"/>
        <w:tblLook w:val="04A0" w:firstRow="1" w:lastRow="0" w:firstColumn="1" w:lastColumn="0" w:noHBand="0" w:noVBand="1"/>
      </w:tblPr>
      <w:tblGrid>
        <w:gridCol w:w="1101"/>
        <w:gridCol w:w="1701"/>
        <w:gridCol w:w="4252"/>
      </w:tblGrid>
      <w:tr w:rsidR="00BB0BF9" w:rsidRPr="00BB0BF9" w:rsidTr="006135AB">
        <w:trPr>
          <w:gridAfter w:val="1"/>
          <w:wAfter w:w="4252" w:type="dxa"/>
          <w:trHeight w:val="9492"/>
        </w:trPr>
        <w:tc>
          <w:tcPr>
            <w:tcW w:w="2802" w:type="dxa"/>
            <w:gridSpan w:val="2"/>
            <w:shd w:val="clear" w:color="auto" w:fill="CCE3F5" w:themeFill="accent6"/>
          </w:tcPr>
          <w:p w:rsidR="00BB0BF9" w:rsidRPr="00103711" w:rsidRDefault="00261D70" w:rsidP="002F5DE2">
            <w:pPr>
              <w:spacing w:before="200"/>
              <w:rPr>
                <w:b/>
                <w:color w:val="201547" w:themeColor="accent1"/>
                <w:sz w:val="32"/>
              </w:rPr>
            </w:pPr>
            <w:r>
              <w:rPr>
                <w:b/>
                <w:color w:val="201547" w:themeColor="accent1"/>
                <w:sz w:val="32"/>
              </w:rPr>
              <w:lastRenderedPageBreak/>
              <w:t xml:space="preserve">   </w:t>
            </w:r>
            <w:r w:rsidR="00BB0BF9" w:rsidRPr="00103711">
              <w:rPr>
                <w:b/>
                <w:color w:val="201547" w:themeColor="accent1"/>
                <w:sz w:val="32"/>
              </w:rPr>
              <w:t>Highlights</w:t>
            </w:r>
          </w:p>
          <w:p w:rsidR="005E2185" w:rsidRDefault="005E2185" w:rsidP="005E2185">
            <w:pPr>
              <w:pStyle w:val="Bullet-highlight"/>
            </w:pPr>
            <w:r>
              <w:t xml:space="preserve">Victoria had the highest </w:t>
            </w:r>
            <w:r w:rsidRPr="00ED2AF5">
              <w:rPr>
                <w:b/>
              </w:rPr>
              <w:t>state final demand</w:t>
            </w:r>
            <w:r>
              <w:t xml:space="preserve"> growth for the 2015-16 financial year. </w:t>
            </w:r>
            <w:r w:rsidR="00ED2AF5">
              <w:t xml:space="preserve">The State’s </w:t>
            </w:r>
            <w:r>
              <w:t>economy has been growing for seven consecutive quarters.</w:t>
            </w:r>
          </w:p>
          <w:p w:rsidR="006135AB" w:rsidRPr="00BB0BF9" w:rsidRDefault="006135AB" w:rsidP="005E2185">
            <w:pPr>
              <w:pStyle w:val="Bullet-highlight"/>
            </w:pPr>
            <w:r>
              <w:t xml:space="preserve">Australia’s </w:t>
            </w:r>
            <w:r w:rsidRPr="00ED2AF5">
              <w:rPr>
                <w:b/>
              </w:rPr>
              <w:t>GDP</w:t>
            </w:r>
            <w:r>
              <w:t xml:space="preserve"> figures show strong annual growth despite a decline in mining investment.</w:t>
            </w:r>
          </w:p>
          <w:p w:rsidR="005E2185" w:rsidRDefault="005E2185" w:rsidP="005E2185">
            <w:pPr>
              <w:pStyle w:val="Bullet-highlight"/>
            </w:pPr>
            <w:r>
              <w:t>Victoria has the lowest regional unemployment of the states.</w:t>
            </w:r>
          </w:p>
          <w:p w:rsidR="001372E4" w:rsidRDefault="001372E4" w:rsidP="001372E4">
            <w:pPr>
              <w:pStyle w:val="Bullet-highlight"/>
            </w:pPr>
            <w:r>
              <w:t xml:space="preserve">Despite </w:t>
            </w:r>
            <w:r w:rsidRPr="004B15B5">
              <w:rPr>
                <w:b/>
              </w:rPr>
              <w:t>employment</w:t>
            </w:r>
            <w:r>
              <w:t xml:space="preserve"> </w:t>
            </w:r>
            <w:r w:rsidR="0068446F">
              <w:t>increasing in July</w:t>
            </w:r>
            <w:r>
              <w:t xml:space="preserve">, the </w:t>
            </w:r>
            <w:r w:rsidRPr="004B15B5">
              <w:rPr>
                <w:b/>
              </w:rPr>
              <w:t>unemployment rate</w:t>
            </w:r>
            <w:r>
              <w:t xml:space="preserve"> rose to 5.9 per cent, as participation grew to its highest level in over three years.</w:t>
            </w:r>
          </w:p>
          <w:p w:rsidR="006135AB" w:rsidRPr="00BB0BF9" w:rsidRDefault="001372E4" w:rsidP="001372E4">
            <w:pPr>
              <w:pStyle w:val="Bullet-highlight"/>
            </w:pPr>
            <w:r>
              <w:t xml:space="preserve">Stimulus measures appear to be improving confidence in Britain following </w:t>
            </w:r>
            <w:r w:rsidR="004B15B5">
              <w:t xml:space="preserve">the shock of </w:t>
            </w:r>
            <w:r>
              <w:t xml:space="preserve">June’s </w:t>
            </w:r>
            <w:r w:rsidRPr="004B15B5">
              <w:rPr>
                <w:b/>
              </w:rPr>
              <w:t>Brexit</w:t>
            </w:r>
            <w:r>
              <w:t xml:space="preserve"> vote.</w:t>
            </w:r>
          </w:p>
        </w:tc>
      </w:tr>
      <w:tr w:rsidR="00047DD7" w:rsidTr="00047DD7">
        <w:tblPrEx>
          <w:shd w:val="clear" w:color="auto" w:fill="auto"/>
        </w:tblPrEx>
        <w:tc>
          <w:tcPr>
            <w:tcW w:w="1101" w:type="dxa"/>
          </w:tcPr>
          <w:p w:rsidR="00047DD7" w:rsidRDefault="00103711" w:rsidP="00047DD7">
            <w:r>
              <w:rPr>
                <w:noProof/>
                <w:lang w:eastAsia="en-AU"/>
              </w:rPr>
              <w:lastRenderedPageBreak/>
              <w:drawing>
                <wp:inline distT="0" distB="0" distL="0" distR="0" wp14:anchorId="75FB7DF6" wp14:editId="4C1C49A4">
                  <wp:extent cx="512935" cy="36000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935" cy="360000"/>
                          </a:xfrm>
                          <a:prstGeom prst="rect">
                            <a:avLst/>
                          </a:prstGeom>
                          <a:noFill/>
                          <a:ln>
                            <a:noFill/>
                          </a:ln>
                        </pic:spPr>
                      </pic:pic>
                    </a:graphicData>
                  </a:graphic>
                </wp:inline>
              </w:drawing>
            </w:r>
          </w:p>
        </w:tc>
        <w:tc>
          <w:tcPr>
            <w:tcW w:w="5953" w:type="dxa"/>
            <w:gridSpan w:val="2"/>
            <w:vAlign w:val="bottom"/>
          </w:tcPr>
          <w:p w:rsidR="00047DD7" w:rsidRDefault="003A0F37" w:rsidP="00047DD7">
            <w:pPr>
              <w:pStyle w:val="Heading1"/>
            </w:pPr>
            <w:r>
              <w:t>Domestic</w:t>
            </w:r>
            <w:r w:rsidR="00047DD7">
              <w:t xml:space="preserve"> developments</w:t>
            </w:r>
          </w:p>
        </w:tc>
      </w:tr>
    </w:tbl>
    <w:p w:rsidR="004B15B5" w:rsidRDefault="00BA2604" w:rsidP="00BA2604">
      <w:r>
        <w:t xml:space="preserve">The </w:t>
      </w:r>
      <w:r w:rsidR="00EA41B8">
        <w:t>June</w:t>
      </w:r>
      <w:r>
        <w:t xml:space="preserve"> quarter </w:t>
      </w:r>
      <w:r w:rsidRPr="00EE31AA">
        <w:rPr>
          <w:rStyle w:val="Emphasis"/>
        </w:rPr>
        <w:t>national accounts</w:t>
      </w:r>
      <w:r>
        <w:t xml:space="preserve"> released at the start of </w:t>
      </w:r>
      <w:r w:rsidR="00EA41B8">
        <w:t>September</w:t>
      </w:r>
      <w:r>
        <w:t xml:space="preserve"> shows that Victorian state final demand gr</w:t>
      </w:r>
      <w:r w:rsidR="00EA41B8">
        <w:t xml:space="preserve">owth was the fastest of the </w:t>
      </w:r>
      <w:r w:rsidR="001372E4">
        <w:t>states for the 2015-16 financial year.</w:t>
      </w:r>
      <w:r w:rsidR="00EA41B8">
        <w:t xml:space="preserve"> </w:t>
      </w:r>
    </w:p>
    <w:p w:rsidR="00BA2604" w:rsidRDefault="00DF3025" w:rsidP="00BA2604">
      <w:r>
        <w:t xml:space="preserve">This reflected robust growth in private consumption and dwelling investment. After adjusting for the transfer of private sector assets to the public sector (on completion of the Victorian Comprehensive Cancer Centre), underlying business investment was also strong. Over the quarter, Victoria recorded the equal highest state final demand growth (alongside Tasmania) at 1.1 per cent. </w:t>
      </w:r>
    </w:p>
    <w:p w:rsidR="004B15B5" w:rsidRDefault="00BA2604" w:rsidP="00BA2604">
      <w:r>
        <w:t xml:space="preserve">Nationally, </w:t>
      </w:r>
      <w:r w:rsidR="00EA41B8" w:rsidRPr="004B15B5">
        <w:rPr>
          <w:b/>
        </w:rPr>
        <w:t>gross domestic product</w:t>
      </w:r>
      <w:r w:rsidR="00EA41B8">
        <w:t xml:space="preserve"> grew by </w:t>
      </w:r>
      <w:r w:rsidR="00FE78D5">
        <w:t>2.9 per cent over the past financial year</w:t>
      </w:r>
      <w:r>
        <w:t xml:space="preserve">, </w:t>
      </w:r>
      <w:r w:rsidR="00EA41B8">
        <w:t>roughly in line with market expectations</w:t>
      </w:r>
      <w:r w:rsidR="00521F88">
        <w:t xml:space="preserve">, and exceeding the </w:t>
      </w:r>
      <w:r w:rsidR="00521F88">
        <w:rPr>
          <w:i/>
        </w:rPr>
        <w:t xml:space="preserve">2016-17 Commonwealth Budget </w:t>
      </w:r>
      <w:r w:rsidR="00521F88">
        <w:t>forecast of 2.5 per cent</w:t>
      </w:r>
      <w:r w:rsidR="00EA41B8">
        <w:t>.</w:t>
      </w:r>
      <w:r w:rsidR="00412B93">
        <w:t xml:space="preserve"> </w:t>
      </w:r>
    </w:p>
    <w:p w:rsidR="00494A89" w:rsidRDefault="00412B93" w:rsidP="00BA2604">
      <w:r>
        <w:t xml:space="preserve">This is the strongest </w:t>
      </w:r>
      <w:r w:rsidR="00521F88">
        <w:t>financial year growth</w:t>
      </w:r>
      <w:r>
        <w:t xml:space="preserve"> in four years</w:t>
      </w:r>
      <w:r w:rsidR="00494A89">
        <w:t>.</w:t>
      </w:r>
      <w:r w:rsidR="00DF3025">
        <w:t xml:space="preserve"> Strong contributions</w:t>
      </w:r>
      <w:r w:rsidR="00494A89">
        <w:t xml:space="preserve"> </w:t>
      </w:r>
      <w:r w:rsidR="00DF3025">
        <w:t>by household consumption and net exports</w:t>
      </w:r>
      <w:r w:rsidR="00521F88">
        <w:t xml:space="preserve"> more than offset declining business investment. This indicates the transition to more diverse growth as the mining investment boom continues to unwind.</w:t>
      </w:r>
      <w:r w:rsidR="00DF3025">
        <w:t xml:space="preserve"> </w:t>
      </w:r>
    </w:p>
    <w:p w:rsidR="004B15B5" w:rsidRDefault="00DF3025" w:rsidP="00BA2604">
      <w:r>
        <w:t xml:space="preserve">The terms of trade </w:t>
      </w:r>
      <w:r w:rsidR="002E5AB4">
        <w:t>rose</w:t>
      </w:r>
      <w:r>
        <w:t xml:space="preserve"> on a quarterly basis</w:t>
      </w:r>
      <w:r w:rsidR="002E5AB4">
        <w:t xml:space="preserve"> for the first time </w:t>
      </w:r>
      <w:r w:rsidR="006375DD">
        <w:t>since 2013</w:t>
      </w:r>
      <w:r w:rsidR="002E5AB4">
        <w:t xml:space="preserve">, reflecting a slight recovery in commodities such as iron ore. </w:t>
      </w:r>
    </w:p>
    <w:p w:rsidR="002F5DE2" w:rsidRDefault="00DF3025" w:rsidP="00BA2604">
      <w:r>
        <w:t>This indicates an improvement in purchasing power for Australians.</w:t>
      </w:r>
    </w:p>
    <w:p w:rsidR="004B15B5" w:rsidRDefault="004B15B5" w:rsidP="00BA2604">
      <w:pPr>
        <w:sectPr w:rsidR="004B15B5" w:rsidSect="002F5DE2">
          <w:type w:val="continuous"/>
          <w:pgSz w:w="11906" w:h="16838" w:code="9"/>
          <w:pgMar w:top="3572" w:right="1134" w:bottom="1134" w:left="1134" w:header="709" w:footer="567" w:gutter="0"/>
          <w:cols w:num="2" w:space="568" w:equalWidth="0">
            <w:col w:w="2835" w:space="568"/>
            <w:col w:w="6235"/>
          </w:cols>
          <w:docGrid w:linePitch="360"/>
        </w:sectPr>
      </w:pPr>
    </w:p>
    <w:p w:rsidR="00450F23" w:rsidRPr="00450F23" w:rsidRDefault="00450F23" w:rsidP="00A933BA">
      <w:r>
        <w:lastRenderedPageBreak/>
        <w:t xml:space="preserve">Although </w:t>
      </w:r>
      <w:r w:rsidRPr="00494A89">
        <w:rPr>
          <w:b/>
        </w:rPr>
        <w:t>building approvals</w:t>
      </w:r>
      <w:r>
        <w:t xml:space="preserve"> </w:t>
      </w:r>
      <w:r w:rsidR="00155380">
        <w:t xml:space="preserve">in Victoria </w:t>
      </w:r>
      <w:r>
        <w:t xml:space="preserve">recorded a sharp fall in July, monthly results </w:t>
      </w:r>
      <w:r w:rsidR="00063D5E">
        <w:t>can be</w:t>
      </w:r>
      <w:r>
        <w:t xml:space="preserve"> volatile, and annual growth remains the second highest of the states, driven by residential approvals. Strong population growth and low interest rates are likely to support the property market in the near</w:t>
      </w:r>
      <w:r>
        <w:noBreakHyphen/>
        <w:t>term.</w:t>
      </w:r>
    </w:p>
    <w:p w:rsidR="005E2185" w:rsidRDefault="005E2185" w:rsidP="00A933BA">
      <w:r w:rsidRPr="00494A89">
        <w:rPr>
          <w:b/>
        </w:rPr>
        <w:t>Employment growth</w:t>
      </w:r>
      <w:r>
        <w:t xml:space="preserve"> in Victoria was positive for the sixth consecutive month. 93 000 jobs have been added since July 2015, with 89 500 of these jobs full time. This represents the fastest jobs growth of </w:t>
      </w:r>
      <w:r w:rsidR="006E06AD">
        <w:t>any state</w:t>
      </w:r>
      <w:r>
        <w:t xml:space="preserve">. </w:t>
      </w:r>
    </w:p>
    <w:p w:rsidR="005E2185" w:rsidRDefault="005E2185" w:rsidP="00A933BA">
      <w:r>
        <w:t>However, the Victorian</w:t>
      </w:r>
      <w:r w:rsidRPr="00E826F3">
        <w:rPr>
          <w:b/>
        </w:rPr>
        <w:t xml:space="preserve"> unemployment rate</w:t>
      </w:r>
      <w:r>
        <w:t xml:space="preserve"> increased to 5.9 per cent in July, to be above the national average. This is partially explained by an increase in participation, which is now at its highest in three years.</w:t>
      </w:r>
    </w:p>
    <w:p w:rsidR="005E2185" w:rsidRDefault="005E2185" w:rsidP="00A933BA">
      <w:r>
        <w:t xml:space="preserve">Victoria had the </w:t>
      </w:r>
      <w:r w:rsidR="006E06AD">
        <w:t xml:space="preserve">nation’s </w:t>
      </w:r>
      <w:r>
        <w:t xml:space="preserve">lowest </w:t>
      </w:r>
      <w:r w:rsidRPr="001B6402">
        <w:rPr>
          <w:b/>
        </w:rPr>
        <w:t xml:space="preserve">regional unemployment </w:t>
      </w:r>
      <w:r>
        <w:t>rate in the three months to July at 5.5 per cent and second highest regional employment growth. However, this has not benefited regions evenly, and the unemployment rate is still above the regional national average in the Latrobe-Gippsland area, at 8.6 per cent. Participation in this region is also very low.</w:t>
      </w:r>
    </w:p>
    <w:p w:rsidR="005E2185" w:rsidRDefault="00063D5E" w:rsidP="00A933BA">
      <w:r>
        <w:t xml:space="preserve">Victoria </w:t>
      </w:r>
      <w:r w:rsidR="005E2185">
        <w:t xml:space="preserve">had the highest </w:t>
      </w:r>
      <w:r w:rsidR="005E2185" w:rsidRPr="00EE31AA">
        <w:rPr>
          <w:rStyle w:val="Emphasis"/>
        </w:rPr>
        <w:t>consumer sentiment</w:t>
      </w:r>
      <w:r w:rsidR="005E2185">
        <w:t xml:space="preserve"> of the states in the August survey, increasing by 4.9 per cent over the month. According to Westpac, increases following an R</w:t>
      </w:r>
      <w:r w:rsidR="003540A1">
        <w:t>BA interest rate cut are common.</w:t>
      </w:r>
      <w:r w:rsidR="005E2185">
        <w:t xml:space="preserve"> </w:t>
      </w:r>
      <w:r w:rsidR="003540A1">
        <w:t>H</w:t>
      </w:r>
      <w:r w:rsidR="005E2185">
        <w:t>owever this month’s rise was more muted than in May, possibly due to the unexpected nature of the May cut.</w:t>
      </w:r>
    </w:p>
    <w:p w:rsidR="005E2185" w:rsidRDefault="005E2185" w:rsidP="005E2185">
      <w:r>
        <w:t xml:space="preserve">The latest release of the NAB </w:t>
      </w:r>
      <w:r w:rsidR="00155380">
        <w:rPr>
          <w:rStyle w:val="Emphasis"/>
        </w:rPr>
        <w:t xml:space="preserve">business </w:t>
      </w:r>
      <w:r w:rsidRPr="00EE31AA">
        <w:rPr>
          <w:rStyle w:val="Emphasis"/>
        </w:rPr>
        <w:t>survey</w:t>
      </w:r>
      <w:r>
        <w:t xml:space="preserve"> (for </w:t>
      </w:r>
      <w:r w:rsidR="00155380">
        <w:t xml:space="preserve">August) shows that both confidence and conditions rose </w:t>
      </w:r>
      <w:r>
        <w:t>in Victoria</w:t>
      </w:r>
      <w:r w:rsidR="00155380">
        <w:t>.</w:t>
      </w:r>
      <w:r>
        <w:t xml:space="preserve"> </w:t>
      </w:r>
      <w:r w:rsidR="00155380">
        <w:t>B</w:t>
      </w:r>
      <w:r>
        <w:t xml:space="preserve">oth measures </w:t>
      </w:r>
      <w:r w:rsidR="00155380">
        <w:t>are</w:t>
      </w:r>
      <w:r>
        <w:t xml:space="preserve"> </w:t>
      </w:r>
      <w:r w:rsidR="00155380">
        <w:t>above</w:t>
      </w:r>
      <w:r>
        <w:t xml:space="preserve"> </w:t>
      </w:r>
      <w:r w:rsidR="00155380">
        <w:t xml:space="preserve">the national average, with </w:t>
      </w:r>
      <w:r w:rsidR="00155380" w:rsidRPr="00155380">
        <w:t>Victoria the only state to record an increase in business conditions</w:t>
      </w:r>
      <w:r w:rsidR="00155380">
        <w:t>.</w:t>
      </w:r>
    </w:p>
    <w:tbl>
      <w:tblPr>
        <w:tblW w:w="4919" w:type="dxa"/>
        <w:tblLook w:val="04A0" w:firstRow="1" w:lastRow="0" w:firstColumn="1" w:lastColumn="0" w:noHBand="0" w:noVBand="1"/>
      </w:tblPr>
      <w:tblGrid>
        <w:gridCol w:w="1023"/>
        <w:gridCol w:w="3896"/>
      </w:tblGrid>
      <w:tr w:rsidR="00047DD7" w:rsidTr="00DA66C3">
        <w:trPr>
          <w:trHeight w:val="843"/>
        </w:trPr>
        <w:tc>
          <w:tcPr>
            <w:tcW w:w="1023" w:type="dxa"/>
          </w:tcPr>
          <w:p w:rsidR="00047DD7" w:rsidRDefault="002868CD" w:rsidP="00EE60CF">
            <w:r>
              <w:lastRenderedPageBreak/>
              <w:br w:type="column"/>
            </w:r>
            <w:r w:rsidR="00047DD7">
              <w:rPr>
                <w:noProof/>
                <w:lang w:eastAsia="en-AU"/>
              </w:rPr>
              <w:drawing>
                <wp:inline distT="0" distB="0" distL="0" distR="0" wp14:anchorId="7998E5D6" wp14:editId="79B64185">
                  <wp:extent cx="468000" cy="468000"/>
                  <wp:effectExtent l="0" t="0" r="8255" b="8255"/>
                  <wp:docPr id="14" name="Picture 14" descr="H:\temp\Economic Policy Newsletter\Stock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Economic Policy Newsletter\Stockmarket.png"/>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3896" w:type="dxa"/>
            <w:vAlign w:val="bottom"/>
          </w:tcPr>
          <w:p w:rsidR="00047DD7" w:rsidRDefault="00047DD7" w:rsidP="00EE60CF">
            <w:pPr>
              <w:pStyle w:val="Heading1"/>
            </w:pPr>
            <w:r>
              <w:t>Financial markets</w:t>
            </w:r>
          </w:p>
        </w:tc>
      </w:tr>
    </w:tbl>
    <w:p w:rsidR="00DB6329" w:rsidRDefault="00EE619A" w:rsidP="00DA66C3">
      <w:pPr>
        <w:spacing w:line="288" w:lineRule="auto"/>
      </w:pPr>
      <w:r>
        <w:t>The Bank of England undertook a quantitative easing program</w:t>
      </w:r>
      <w:r w:rsidR="00DB6329">
        <w:t xml:space="preserve"> in August</w:t>
      </w:r>
      <w:r>
        <w:t xml:space="preserve"> to ease the effects of </w:t>
      </w:r>
      <w:r w:rsidRPr="004B15B5">
        <w:rPr>
          <w:b/>
        </w:rPr>
        <w:t>Brexit</w:t>
      </w:r>
      <w:r>
        <w:t>. This appears to have been successful in the short term, as British con</w:t>
      </w:r>
      <w:r w:rsidR="00435687">
        <w:t>sumer confidence has recovered from the initial shock</w:t>
      </w:r>
      <w:r w:rsidR="00DB6329">
        <w:t>.</w:t>
      </w:r>
    </w:p>
    <w:p w:rsidR="00EE619A" w:rsidRDefault="00053341" w:rsidP="00EE619A">
      <w:r>
        <w:t xml:space="preserve">PMI data from the </w:t>
      </w:r>
      <w:r w:rsidR="00DB6329">
        <w:t>Eurozone</w:t>
      </w:r>
      <w:r>
        <w:t xml:space="preserve"> also </w:t>
      </w:r>
      <w:r w:rsidR="00DB6329">
        <w:t xml:space="preserve">showed signs of resilience </w:t>
      </w:r>
      <w:r>
        <w:t xml:space="preserve">despite </w:t>
      </w:r>
      <w:r w:rsidRPr="004B15B5">
        <w:rPr>
          <w:b/>
        </w:rPr>
        <w:t>Brexit</w:t>
      </w:r>
      <w:r>
        <w:t xml:space="preserve"> concerns</w:t>
      </w:r>
      <w:r w:rsidR="00EE619A">
        <w:t xml:space="preserve">. However, </w:t>
      </w:r>
      <w:r w:rsidR="00DB6329">
        <w:t>August figures show that the Euro area is continuing to s</w:t>
      </w:r>
      <w:r w:rsidR="00063D5E">
        <w:t xml:space="preserve">truggle with very low inflation, </w:t>
      </w:r>
      <w:r w:rsidR="003540A1">
        <w:t xml:space="preserve">prompting market analysts to </w:t>
      </w:r>
      <w:r w:rsidR="00063D5E">
        <w:t>suggest that the European Central Bank may consider further stimulus at its September meeting.</w:t>
      </w:r>
    </w:p>
    <w:p w:rsidR="00DA66C3" w:rsidRDefault="00EE619A" w:rsidP="00EE619A">
      <w:r>
        <w:t xml:space="preserve">The </w:t>
      </w:r>
      <w:r w:rsidRPr="00EE31AA">
        <w:rPr>
          <w:rStyle w:val="Emphasis"/>
        </w:rPr>
        <w:t>US Federal Reserve</w:t>
      </w:r>
      <w:r>
        <w:t xml:space="preserve"> indicated  a</w:t>
      </w:r>
      <w:r w:rsidR="000F2FBA">
        <w:t xml:space="preserve"> strong</w:t>
      </w:r>
      <w:r>
        <w:t xml:space="preserve"> willingness to raise the federal funds</w:t>
      </w:r>
      <w:r w:rsidR="000F2FBA">
        <w:t xml:space="preserve"> rate in statements made at the beginning of the month. However, subsequent data released showed jobs growth below market expectations, and </w:t>
      </w:r>
      <w:r w:rsidR="00053341">
        <w:t>a sharp decline in activity in the services sector</w:t>
      </w:r>
      <w:r w:rsidR="000F2FBA">
        <w:t xml:space="preserve">. This dampened expectations of a rate rise in September, </w:t>
      </w:r>
      <w:r w:rsidR="00DA66C3">
        <w:t>with</w:t>
      </w:r>
      <w:r w:rsidR="000F2FBA">
        <w:t xml:space="preserve"> </w:t>
      </w:r>
      <w:r w:rsidR="00053341">
        <w:t xml:space="preserve">market expectations of </w:t>
      </w:r>
      <w:r w:rsidR="00DA66C3">
        <w:t>a likely</w:t>
      </w:r>
      <w:r w:rsidR="000F2FBA">
        <w:t xml:space="preserve"> rate rise by </w:t>
      </w:r>
      <w:r w:rsidR="00063D5E">
        <w:t>the end of 2016</w:t>
      </w:r>
      <w:r w:rsidR="000F2FBA">
        <w:t xml:space="preserve"> </w:t>
      </w:r>
      <w:r w:rsidR="00DA66C3">
        <w:t>falling</w:t>
      </w:r>
      <w:r w:rsidR="000F2FBA">
        <w:t xml:space="preserve"> to </w:t>
      </w:r>
      <w:r w:rsidR="00DB6329">
        <w:t>around</w:t>
      </w:r>
      <w:r w:rsidR="000F2FBA">
        <w:t xml:space="preserve"> 50 per cent. </w:t>
      </w:r>
    </w:p>
    <w:p w:rsidR="00EE619A" w:rsidRPr="00C52EE1" w:rsidRDefault="00EE619A" w:rsidP="00DA66C3">
      <w:r>
        <w:t xml:space="preserve">The </w:t>
      </w:r>
      <w:r w:rsidRPr="00C52EE1">
        <w:rPr>
          <w:b/>
        </w:rPr>
        <w:t>AUD</w:t>
      </w:r>
      <w:r>
        <w:rPr>
          <w:b/>
        </w:rPr>
        <w:t xml:space="preserve"> </w:t>
      </w:r>
      <w:r>
        <w:t xml:space="preserve">remains persistently strong despite the recent RBA cash rate cut. </w:t>
      </w:r>
      <w:r w:rsidR="00816160">
        <w:t xml:space="preserve">This </w:t>
      </w:r>
      <w:r w:rsidR="00450F23">
        <w:t xml:space="preserve">is likely to continue following </w:t>
      </w:r>
      <w:r w:rsidR="00816160">
        <w:t>dampened expe</w:t>
      </w:r>
      <w:r w:rsidR="000F2FBA">
        <w:t>ctations of a US rate rise.</w:t>
      </w:r>
    </w:p>
    <w:p w:rsidR="006E06AD" w:rsidRDefault="00EE619A" w:rsidP="00EE619A">
      <w:r>
        <w:t xml:space="preserve">The </w:t>
      </w:r>
      <w:r w:rsidRPr="00EE31AA">
        <w:rPr>
          <w:rStyle w:val="Emphasis"/>
        </w:rPr>
        <w:t>RBA</w:t>
      </w:r>
      <w:r>
        <w:t xml:space="preserve"> held the cash rate steady at 1.5 per cent in September, after lowering the cash rate to a historic low in August.</w:t>
      </w:r>
      <w:r w:rsidRPr="00974841">
        <w:rPr>
          <w:rFonts w:ascii="Verdana" w:hAnsi="Verdana" w:cs="Verdana"/>
          <w:b/>
          <w:bCs/>
          <w:color w:val="000000"/>
          <w:sz w:val="20"/>
          <w:szCs w:val="20"/>
        </w:rPr>
        <w:t xml:space="preserve"> </w:t>
      </w:r>
      <w:r w:rsidRPr="00974841">
        <w:t xml:space="preserve">Apart from the housing sector, </w:t>
      </w:r>
      <w:r>
        <w:t xml:space="preserve">which showed fresh signs of strength, </w:t>
      </w:r>
      <w:r w:rsidRPr="00974841">
        <w:t>the RBA’s assessment of the economy was largely unchanged.</w:t>
      </w:r>
      <w:r w:rsidR="00ED2AF5">
        <w:t xml:space="preserve"> </w:t>
      </w:r>
      <w:r w:rsidR="006E06AD">
        <w:t>This was the last RBA board meeting with Glenn Stevens as Governor. He is retiring on 17 September, to be replaced by his current Deputy Governor, Dr Phillip Lowe.</w:t>
      </w:r>
    </w:p>
    <w:p w:rsidR="002868CD" w:rsidRDefault="002868CD" w:rsidP="004B6E36">
      <w:pPr>
        <w:pStyle w:val="Bullet-highlight"/>
        <w:numPr>
          <w:ilvl w:val="0"/>
          <w:numId w:val="0"/>
        </w:numPr>
        <w:ind w:left="284" w:hanging="284"/>
      </w:pPr>
    </w:p>
    <w:p w:rsidR="00D30EAC" w:rsidRDefault="00D30EAC" w:rsidP="004B6E36">
      <w:pPr>
        <w:pStyle w:val="Bullet-highlight"/>
        <w:numPr>
          <w:ilvl w:val="0"/>
          <w:numId w:val="0"/>
        </w:numPr>
        <w:ind w:left="284" w:hanging="284"/>
        <w:sectPr w:rsidR="00D30EAC" w:rsidSect="00474854">
          <w:headerReference w:type="default" r:id="rId13"/>
          <w:type w:val="continuous"/>
          <w:pgSz w:w="11906" w:h="16838" w:code="9"/>
          <w:pgMar w:top="964" w:right="1134" w:bottom="794" w:left="1134" w:header="709" w:footer="567" w:gutter="0"/>
          <w:cols w:num="2" w:space="567"/>
          <w:docGrid w:linePitch="360"/>
        </w:sectPr>
      </w:pPr>
    </w:p>
    <w:p w:rsidR="00D00E91" w:rsidRPr="00DA66C3" w:rsidRDefault="00D30EAC" w:rsidP="00BA6B8C">
      <w:pPr>
        <w:pStyle w:val="Caption"/>
        <w:rPr>
          <w:sz w:val="24"/>
          <w:szCs w:val="24"/>
        </w:rPr>
      </w:pPr>
      <w:r w:rsidRPr="00DA66C3">
        <w:rPr>
          <w:sz w:val="24"/>
          <w:szCs w:val="24"/>
        </w:rPr>
        <w:lastRenderedPageBreak/>
        <w:t xml:space="preserve">Movements in financial data over </w:t>
      </w:r>
      <w:r w:rsidR="00466CDB" w:rsidRPr="00DA66C3">
        <w:rPr>
          <w:sz w:val="24"/>
          <w:szCs w:val="24"/>
        </w:rPr>
        <w:t>August</w:t>
      </w:r>
      <w:r w:rsidRPr="00DA66C3">
        <w:rPr>
          <w:sz w:val="24"/>
          <w:szCs w:val="24"/>
        </w:rPr>
        <w:t xml:space="preserve"> 2016</w:t>
      </w:r>
    </w:p>
    <w:tbl>
      <w:tblPr>
        <w:tblStyle w:val="TableGrid"/>
        <w:tblW w:w="5000" w:type="pct"/>
        <w:tblLook w:val="0420" w:firstRow="1" w:lastRow="0" w:firstColumn="0" w:lastColumn="0" w:noHBand="0" w:noVBand="1"/>
      </w:tblPr>
      <w:tblGrid>
        <w:gridCol w:w="3458"/>
        <w:gridCol w:w="1701"/>
        <w:gridCol w:w="1845"/>
        <w:gridCol w:w="2861"/>
      </w:tblGrid>
      <w:tr w:rsidR="009E176B" w:rsidRPr="00DA66C3" w:rsidTr="002868CD">
        <w:trPr>
          <w:cnfStyle w:val="100000000000" w:firstRow="1" w:lastRow="0" w:firstColumn="0" w:lastColumn="0" w:oddVBand="0" w:evenVBand="0" w:oddHBand="0" w:evenHBand="0" w:firstRowFirstColumn="0" w:firstRowLastColumn="0" w:lastRowFirstColumn="0" w:lastRowLastColumn="0"/>
        </w:trPr>
        <w:tc>
          <w:tcPr>
            <w:tcW w:w="1753" w:type="pct"/>
          </w:tcPr>
          <w:p w:rsidR="009A5772" w:rsidRPr="002B7CD5" w:rsidRDefault="009A5772" w:rsidP="0023586C">
            <w:pPr>
              <w:rPr>
                <w:b/>
                <w:sz w:val="20"/>
                <w:szCs w:val="20"/>
              </w:rPr>
            </w:pPr>
          </w:p>
        </w:tc>
        <w:tc>
          <w:tcPr>
            <w:tcW w:w="862" w:type="pct"/>
          </w:tcPr>
          <w:p w:rsidR="009A5772" w:rsidRPr="00DA66C3" w:rsidRDefault="00450F23" w:rsidP="00967403">
            <w:pPr>
              <w:jc w:val="right"/>
              <w:rPr>
                <w:b/>
                <w:sz w:val="20"/>
                <w:szCs w:val="20"/>
              </w:rPr>
            </w:pPr>
            <w:r w:rsidRPr="00DA66C3">
              <w:rPr>
                <w:b/>
                <w:sz w:val="20"/>
                <w:szCs w:val="20"/>
              </w:rPr>
              <w:t>06 Sep 2016</w:t>
            </w:r>
          </w:p>
        </w:tc>
        <w:tc>
          <w:tcPr>
            <w:tcW w:w="935" w:type="pct"/>
          </w:tcPr>
          <w:p w:rsidR="009A5772" w:rsidRPr="00DA66C3" w:rsidRDefault="00466052" w:rsidP="00450F23">
            <w:pPr>
              <w:jc w:val="right"/>
              <w:rPr>
                <w:b/>
                <w:sz w:val="20"/>
                <w:szCs w:val="20"/>
              </w:rPr>
            </w:pPr>
            <w:r w:rsidRPr="00DA66C3">
              <w:rPr>
                <w:b/>
                <w:sz w:val="20"/>
                <w:szCs w:val="20"/>
              </w:rPr>
              <w:t>05</w:t>
            </w:r>
            <w:r w:rsidR="00967403" w:rsidRPr="00DA66C3">
              <w:rPr>
                <w:b/>
                <w:sz w:val="20"/>
                <w:szCs w:val="20"/>
              </w:rPr>
              <w:t xml:space="preserve"> </w:t>
            </w:r>
            <w:r w:rsidR="00450F23" w:rsidRPr="00DA66C3">
              <w:rPr>
                <w:b/>
                <w:sz w:val="20"/>
                <w:szCs w:val="20"/>
              </w:rPr>
              <w:t>August</w:t>
            </w:r>
            <w:r w:rsidR="00967403" w:rsidRPr="00DA66C3">
              <w:rPr>
                <w:b/>
                <w:sz w:val="20"/>
                <w:szCs w:val="20"/>
              </w:rPr>
              <w:t xml:space="preserve"> 2016</w:t>
            </w:r>
          </w:p>
        </w:tc>
        <w:tc>
          <w:tcPr>
            <w:tcW w:w="1451" w:type="pct"/>
          </w:tcPr>
          <w:p w:rsidR="009A5772" w:rsidRPr="00DA66C3" w:rsidRDefault="00967403" w:rsidP="00967403">
            <w:pPr>
              <w:jc w:val="right"/>
              <w:rPr>
                <w:b/>
                <w:sz w:val="20"/>
                <w:szCs w:val="20"/>
              </w:rPr>
            </w:pPr>
            <w:r w:rsidRPr="00DA66C3">
              <w:rPr>
                <w:b/>
                <w:sz w:val="20"/>
                <w:szCs w:val="20"/>
              </w:rPr>
              <w:t>Change</w:t>
            </w:r>
          </w:p>
        </w:tc>
      </w:tr>
      <w:tr w:rsidR="009E176B" w:rsidRPr="00DA66C3" w:rsidTr="002868CD">
        <w:trPr>
          <w:cnfStyle w:val="000000100000" w:firstRow="0" w:lastRow="0" w:firstColumn="0" w:lastColumn="0" w:oddVBand="0" w:evenVBand="0" w:oddHBand="1" w:evenHBand="0" w:firstRowFirstColumn="0" w:firstRowLastColumn="0" w:lastRowFirstColumn="0" w:lastRowLastColumn="0"/>
        </w:trPr>
        <w:tc>
          <w:tcPr>
            <w:tcW w:w="1753" w:type="pct"/>
          </w:tcPr>
          <w:p w:rsidR="009A5772" w:rsidRPr="002B7CD5" w:rsidRDefault="00967403" w:rsidP="0023586C">
            <w:pPr>
              <w:rPr>
                <w:b/>
                <w:sz w:val="20"/>
                <w:szCs w:val="20"/>
              </w:rPr>
            </w:pPr>
            <w:r w:rsidRPr="002B7CD5">
              <w:rPr>
                <w:b/>
                <w:sz w:val="20"/>
                <w:szCs w:val="20"/>
              </w:rPr>
              <w:t>AUD/USD</w:t>
            </w:r>
          </w:p>
        </w:tc>
        <w:tc>
          <w:tcPr>
            <w:tcW w:w="862" w:type="pct"/>
          </w:tcPr>
          <w:p w:rsidR="009A5772" w:rsidRPr="00DA66C3" w:rsidRDefault="00450F23" w:rsidP="00967403">
            <w:pPr>
              <w:jc w:val="right"/>
              <w:rPr>
                <w:sz w:val="20"/>
                <w:szCs w:val="20"/>
              </w:rPr>
            </w:pPr>
            <w:r w:rsidRPr="00DA66C3">
              <w:rPr>
                <w:sz w:val="20"/>
                <w:szCs w:val="20"/>
              </w:rPr>
              <w:t>0.76</w:t>
            </w:r>
          </w:p>
        </w:tc>
        <w:tc>
          <w:tcPr>
            <w:tcW w:w="935" w:type="pct"/>
          </w:tcPr>
          <w:p w:rsidR="009A5772" w:rsidRPr="00DA66C3" w:rsidRDefault="00466052" w:rsidP="00967403">
            <w:pPr>
              <w:jc w:val="right"/>
              <w:rPr>
                <w:sz w:val="20"/>
                <w:szCs w:val="20"/>
              </w:rPr>
            </w:pPr>
            <w:r w:rsidRPr="00DA66C3">
              <w:rPr>
                <w:sz w:val="20"/>
                <w:szCs w:val="20"/>
              </w:rPr>
              <w:t>0.77</w:t>
            </w:r>
          </w:p>
        </w:tc>
        <w:tc>
          <w:tcPr>
            <w:tcW w:w="1451" w:type="pct"/>
          </w:tcPr>
          <w:p w:rsidR="009A5772" w:rsidRPr="00DA66C3" w:rsidRDefault="00466052" w:rsidP="00967403">
            <w:pPr>
              <w:jc w:val="right"/>
              <w:rPr>
                <w:sz w:val="20"/>
                <w:szCs w:val="20"/>
              </w:rPr>
            </w:pPr>
            <w:r w:rsidRPr="00DA66C3">
              <w:rPr>
                <w:sz w:val="20"/>
                <w:szCs w:val="20"/>
              </w:rPr>
              <w:t>-0.0</w:t>
            </w:r>
            <w:r w:rsidR="00466CDB" w:rsidRPr="00DA66C3">
              <w:rPr>
                <w:sz w:val="20"/>
                <w:szCs w:val="20"/>
              </w:rPr>
              <w:t>0</w:t>
            </w:r>
            <w:r w:rsidR="00967403" w:rsidRPr="00DA66C3">
              <w:rPr>
                <w:sz w:val="20"/>
                <w:szCs w:val="20"/>
              </w:rPr>
              <w:t xml:space="preserve"> per cent</w:t>
            </w:r>
          </w:p>
        </w:tc>
      </w:tr>
      <w:tr w:rsidR="009E176B" w:rsidRPr="00DA66C3" w:rsidTr="002868CD">
        <w:trPr>
          <w:cnfStyle w:val="000000010000" w:firstRow="0" w:lastRow="0" w:firstColumn="0" w:lastColumn="0" w:oddVBand="0" w:evenVBand="0" w:oddHBand="0" w:evenHBand="1" w:firstRowFirstColumn="0" w:firstRowLastColumn="0" w:lastRowFirstColumn="0" w:lastRowLastColumn="0"/>
        </w:trPr>
        <w:tc>
          <w:tcPr>
            <w:tcW w:w="1753" w:type="pct"/>
          </w:tcPr>
          <w:p w:rsidR="009A5772" w:rsidRPr="002B7CD5" w:rsidRDefault="00967403" w:rsidP="0023586C">
            <w:pPr>
              <w:rPr>
                <w:b/>
                <w:sz w:val="20"/>
                <w:szCs w:val="20"/>
              </w:rPr>
            </w:pPr>
            <w:r w:rsidRPr="002B7CD5">
              <w:rPr>
                <w:b/>
                <w:sz w:val="20"/>
                <w:szCs w:val="20"/>
              </w:rPr>
              <w:t>ASX 200</w:t>
            </w:r>
          </w:p>
        </w:tc>
        <w:tc>
          <w:tcPr>
            <w:tcW w:w="862" w:type="pct"/>
          </w:tcPr>
          <w:p w:rsidR="009A5772" w:rsidRPr="00DA66C3" w:rsidRDefault="00466CDB" w:rsidP="00967403">
            <w:pPr>
              <w:jc w:val="right"/>
              <w:rPr>
                <w:sz w:val="20"/>
                <w:szCs w:val="20"/>
              </w:rPr>
            </w:pPr>
            <w:r w:rsidRPr="00DA66C3">
              <w:rPr>
                <w:sz w:val="20"/>
                <w:szCs w:val="20"/>
              </w:rPr>
              <w:t>5 413</w:t>
            </w:r>
          </w:p>
        </w:tc>
        <w:tc>
          <w:tcPr>
            <w:tcW w:w="935" w:type="pct"/>
          </w:tcPr>
          <w:p w:rsidR="009A5772" w:rsidRPr="00DA66C3" w:rsidRDefault="00466CDB" w:rsidP="00967403">
            <w:pPr>
              <w:jc w:val="right"/>
              <w:rPr>
                <w:sz w:val="20"/>
                <w:szCs w:val="20"/>
              </w:rPr>
            </w:pPr>
            <w:r w:rsidRPr="00DA66C3">
              <w:rPr>
                <w:sz w:val="20"/>
                <w:szCs w:val="20"/>
              </w:rPr>
              <w:t>5 497</w:t>
            </w:r>
          </w:p>
        </w:tc>
        <w:tc>
          <w:tcPr>
            <w:tcW w:w="1451" w:type="pct"/>
          </w:tcPr>
          <w:p w:rsidR="009A5772" w:rsidRPr="00DA66C3" w:rsidRDefault="00466CDB" w:rsidP="00967403">
            <w:pPr>
              <w:jc w:val="right"/>
              <w:rPr>
                <w:sz w:val="20"/>
                <w:szCs w:val="20"/>
              </w:rPr>
            </w:pPr>
            <w:r w:rsidRPr="00DA66C3">
              <w:rPr>
                <w:sz w:val="20"/>
                <w:szCs w:val="20"/>
              </w:rPr>
              <w:t>-0.02</w:t>
            </w:r>
            <w:r w:rsidR="00967403" w:rsidRPr="00DA66C3">
              <w:rPr>
                <w:sz w:val="20"/>
                <w:szCs w:val="20"/>
              </w:rPr>
              <w:t xml:space="preserve"> per cent</w:t>
            </w:r>
          </w:p>
        </w:tc>
      </w:tr>
      <w:tr w:rsidR="009E176B" w:rsidRPr="00DA66C3" w:rsidTr="002868CD">
        <w:trPr>
          <w:cnfStyle w:val="000000100000" w:firstRow="0" w:lastRow="0" w:firstColumn="0" w:lastColumn="0" w:oddVBand="0" w:evenVBand="0" w:oddHBand="1" w:evenHBand="0" w:firstRowFirstColumn="0" w:firstRowLastColumn="0" w:lastRowFirstColumn="0" w:lastRowLastColumn="0"/>
        </w:trPr>
        <w:tc>
          <w:tcPr>
            <w:tcW w:w="1753" w:type="pct"/>
          </w:tcPr>
          <w:p w:rsidR="009A5772" w:rsidRPr="002B7CD5" w:rsidRDefault="00967403" w:rsidP="0023586C">
            <w:pPr>
              <w:rPr>
                <w:b/>
                <w:sz w:val="20"/>
                <w:szCs w:val="20"/>
              </w:rPr>
            </w:pPr>
            <w:r w:rsidRPr="002B7CD5">
              <w:rPr>
                <w:b/>
                <w:sz w:val="20"/>
                <w:szCs w:val="20"/>
              </w:rPr>
              <w:t>S&amp;P 500</w:t>
            </w:r>
          </w:p>
        </w:tc>
        <w:tc>
          <w:tcPr>
            <w:tcW w:w="862" w:type="pct"/>
          </w:tcPr>
          <w:p w:rsidR="009A5772" w:rsidRPr="00DA66C3" w:rsidRDefault="00466CDB" w:rsidP="00967403">
            <w:pPr>
              <w:jc w:val="right"/>
              <w:rPr>
                <w:sz w:val="20"/>
                <w:szCs w:val="20"/>
              </w:rPr>
            </w:pPr>
            <w:r w:rsidRPr="00DA66C3">
              <w:rPr>
                <w:sz w:val="20"/>
                <w:szCs w:val="20"/>
              </w:rPr>
              <w:t>2 186</w:t>
            </w:r>
          </w:p>
        </w:tc>
        <w:tc>
          <w:tcPr>
            <w:tcW w:w="935" w:type="pct"/>
          </w:tcPr>
          <w:p w:rsidR="009A5772" w:rsidRPr="00DA66C3" w:rsidRDefault="00466CDB" w:rsidP="00967403">
            <w:pPr>
              <w:jc w:val="right"/>
              <w:rPr>
                <w:sz w:val="20"/>
                <w:szCs w:val="20"/>
              </w:rPr>
            </w:pPr>
            <w:r w:rsidRPr="00DA66C3">
              <w:rPr>
                <w:sz w:val="20"/>
                <w:szCs w:val="20"/>
              </w:rPr>
              <w:t>2 183</w:t>
            </w:r>
          </w:p>
        </w:tc>
        <w:tc>
          <w:tcPr>
            <w:tcW w:w="1451" w:type="pct"/>
          </w:tcPr>
          <w:p w:rsidR="009A5772" w:rsidRPr="00DA66C3" w:rsidRDefault="00466CDB" w:rsidP="00466CDB">
            <w:pPr>
              <w:jc w:val="right"/>
              <w:rPr>
                <w:sz w:val="20"/>
                <w:szCs w:val="20"/>
              </w:rPr>
            </w:pPr>
            <w:r w:rsidRPr="00DA66C3">
              <w:rPr>
                <w:sz w:val="20"/>
                <w:szCs w:val="20"/>
              </w:rPr>
              <w:t>+0.00 per cent</w:t>
            </w:r>
            <w:r w:rsidR="00466052" w:rsidRPr="00DA66C3">
              <w:rPr>
                <w:sz w:val="20"/>
                <w:szCs w:val="20"/>
              </w:rPr>
              <w:t xml:space="preserve">                     </w:t>
            </w:r>
          </w:p>
        </w:tc>
      </w:tr>
      <w:tr w:rsidR="009E176B" w:rsidRPr="00DA66C3" w:rsidTr="002868CD">
        <w:trPr>
          <w:cnfStyle w:val="000000010000" w:firstRow="0" w:lastRow="0" w:firstColumn="0" w:lastColumn="0" w:oddVBand="0" w:evenVBand="0" w:oddHBand="0" w:evenHBand="1" w:firstRowFirstColumn="0" w:firstRowLastColumn="0" w:lastRowFirstColumn="0" w:lastRowLastColumn="0"/>
        </w:trPr>
        <w:tc>
          <w:tcPr>
            <w:tcW w:w="1753" w:type="pct"/>
          </w:tcPr>
          <w:p w:rsidR="009E176B" w:rsidRPr="002B7CD5" w:rsidRDefault="009E176B" w:rsidP="0023586C">
            <w:pPr>
              <w:rPr>
                <w:b/>
                <w:sz w:val="20"/>
                <w:szCs w:val="20"/>
              </w:rPr>
            </w:pPr>
            <w:r w:rsidRPr="002B7CD5">
              <w:rPr>
                <w:b/>
                <w:sz w:val="20"/>
                <w:szCs w:val="20"/>
              </w:rPr>
              <w:t>90 day bank bill rate</w:t>
            </w:r>
          </w:p>
        </w:tc>
        <w:tc>
          <w:tcPr>
            <w:tcW w:w="862" w:type="pct"/>
          </w:tcPr>
          <w:p w:rsidR="009E176B" w:rsidRPr="00DA66C3" w:rsidRDefault="00466052" w:rsidP="00967403">
            <w:pPr>
              <w:jc w:val="right"/>
              <w:rPr>
                <w:sz w:val="20"/>
                <w:szCs w:val="20"/>
              </w:rPr>
            </w:pPr>
            <w:r w:rsidRPr="00DA66C3">
              <w:rPr>
                <w:sz w:val="20"/>
                <w:szCs w:val="20"/>
              </w:rPr>
              <w:t>1.72</w:t>
            </w:r>
          </w:p>
        </w:tc>
        <w:tc>
          <w:tcPr>
            <w:tcW w:w="935" w:type="pct"/>
          </w:tcPr>
          <w:p w:rsidR="009E176B" w:rsidRPr="00DA66C3" w:rsidRDefault="00466052" w:rsidP="00967403">
            <w:pPr>
              <w:jc w:val="right"/>
              <w:rPr>
                <w:sz w:val="20"/>
                <w:szCs w:val="20"/>
              </w:rPr>
            </w:pPr>
            <w:r w:rsidRPr="00DA66C3">
              <w:rPr>
                <w:sz w:val="20"/>
                <w:szCs w:val="20"/>
              </w:rPr>
              <w:t>1.79</w:t>
            </w:r>
          </w:p>
        </w:tc>
        <w:tc>
          <w:tcPr>
            <w:tcW w:w="1451" w:type="pct"/>
          </w:tcPr>
          <w:p w:rsidR="009E176B" w:rsidRPr="00DA66C3" w:rsidRDefault="00466CDB" w:rsidP="00967403">
            <w:pPr>
              <w:jc w:val="right"/>
              <w:rPr>
                <w:sz w:val="20"/>
                <w:szCs w:val="20"/>
              </w:rPr>
            </w:pPr>
            <w:r w:rsidRPr="00DA66C3">
              <w:rPr>
                <w:sz w:val="20"/>
                <w:szCs w:val="20"/>
              </w:rPr>
              <w:t>-0.04 per cent</w:t>
            </w:r>
          </w:p>
        </w:tc>
      </w:tr>
      <w:tr w:rsidR="009E176B" w:rsidRPr="00DA66C3" w:rsidTr="002868CD">
        <w:trPr>
          <w:cnfStyle w:val="000000100000" w:firstRow="0" w:lastRow="0" w:firstColumn="0" w:lastColumn="0" w:oddVBand="0" w:evenVBand="0" w:oddHBand="1" w:evenHBand="0" w:firstRowFirstColumn="0" w:firstRowLastColumn="0" w:lastRowFirstColumn="0" w:lastRowLastColumn="0"/>
        </w:trPr>
        <w:tc>
          <w:tcPr>
            <w:tcW w:w="1753" w:type="pct"/>
          </w:tcPr>
          <w:p w:rsidR="009E176B" w:rsidRPr="002B7CD5" w:rsidRDefault="009E176B" w:rsidP="0023586C">
            <w:pPr>
              <w:rPr>
                <w:b/>
                <w:sz w:val="20"/>
                <w:szCs w:val="20"/>
              </w:rPr>
            </w:pPr>
            <w:r w:rsidRPr="002B7CD5">
              <w:rPr>
                <w:b/>
                <w:sz w:val="20"/>
                <w:szCs w:val="20"/>
              </w:rPr>
              <w:t>10 year Commonwealth bond rate</w:t>
            </w:r>
          </w:p>
        </w:tc>
        <w:tc>
          <w:tcPr>
            <w:tcW w:w="862" w:type="pct"/>
          </w:tcPr>
          <w:p w:rsidR="009E176B" w:rsidRPr="00DA66C3" w:rsidRDefault="00466052" w:rsidP="00967403">
            <w:pPr>
              <w:jc w:val="right"/>
              <w:rPr>
                <w:sz w:val="20"/>
                <w:szCs w:val="20"/>
              </w:rPr>
            </w:pPr>
            <w:r w:rsidRPr="00DA66C3">
              <w:rPr>
                <w:sz w:val="20"/>
                <w:szCs w:val="20"/>
              </w:rPr>
              <w:t>1.9</w:t>
            </w:r>
            <w:r w:rsidR="009E176B" w:rsidRPr="00DA66C3">
              <w:rPr>
                <w:sz w:val="20"/>
                <w:szCs w:val="20"/>
              </w:rPr>
              <w:t>0</w:t>
            </w:r>
          </w:p>
        </w:tc>
        <w:tc>
          <w:tcPr>
            <w:tcW w:w="935" w:type="pct"/>
          </w:tcPr>
          <w:p w:rsidR="009E176B" w:rsidRPr="00DA66C3" w:rsidRDefault="00466052" w:rsidP="00967403">
            <w:pPr>
              <w:jc w:val="right"/>
              <w:rPr>
                <w:sz w:val="20"/>
                <w:szCs w:val="20"/>
              </w:rPr>
            </w:pPr>
            <w:r w:rsidRPr="00DA66C3">
              <w:rPr>
                <w:sz w:val="20"/>
                <w:szCs w:val="20"/>
              </w:rPr>
              <w:t>1.87</w:t>
            </w:r>
          </w:p>
        </w:tc>
        <w:tc>
          <w:tcPr>
            <w:tcW w:w="1451" w:type="pct"/>
          </w:tcPr>
          <w:p w:rsidR="009E176B" w:rsidRPr="00DA66C3" w:rsidRDefault="00466052" w:rsidP="00967403">
            <w:pPr>
              <w:jc w:val="right"/>
              <w:rPr>
                <w:sz w:val="20"/>
                <w:szCs w:val="20"/>
              </w:rPr>
            </w:pPr>
            <w:r w:rsidRPr="00DA66C3">
              <w:rPr>
                <w:sz w:val="20"/>
                <w:szCs w:val="20"/>
              </w:rPr>
              <w:t>+0.0</w:t>
            </w:r>
            <w:r w:rsidR="00466CDB" w:rsidRPr="00DA66C3">
              <w:rPr>
                <w:sz w:val="20"/>
                <w:szCs w:val="20"/>
              </w:rPr>
              <w:t>3</w:t>
            </w:r>
            <w:r w:rsidR="009E176B" w:rsidRPr="00DA66C3">
              <w:rPr>
                <w:sz w:val="20"/>
                <w:szCs w:val="20"/>
              </w:rPr>
              <w:t xml:space="preserve"> percentage points</w:t>
            </w:r>
          </w:p>
        </w:tc>
      </w:tr>
    </w:tbl>
    <w:p w:rsidR="0023586C" w:rsidRPr="0023586C" w:rsidRDefault="0023586C" w:rsidP="0023586C"/>
    <w:sectPr w:rsidR="0023586C" w:rsidRPr="0023586C" w:rsidSect="002868CD">
      <w:footerReference w:type="default" r:id="rId14"/>
      <w:pgSz w:w="11906" w:h="16838" w:code="9"/>
      <w:pgMar w:top="1134" w:right="1021" w:bottom="1440"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E0" w:rsidRDefault="00643BE0" w:rsidP="001E7D0D">
      <w:pPr>
        <w:spacing w:after="0" w:line="240" w:lineRule="auto"/>
      </w:pPr>
      <w:r>
        <w:separator/>
      </w:r>
    </w:p>
  </w:endnote>
  <w:endnote w:type="continuationSeparator" w:id="0">
    <w:p w:rsidR="00643BE0" w:rsidRDefault="00643BE0" w:rsidP="001E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29" w:rsidRPr="00BC672F" w:rsidRDefault="00BC672F" w:rsidP="00474854">
    <w:pPr>
      <w:pStyle w:val="Footer"/>
      <w:rPr>
        <w:rStyle w:val="PageNumber"/>
      </w:rPr>
    </w:pPr>
    <w:r>
      <w:rPr>
        <w:noProof/>
        <w:lang w:eastAsia="en-AU"/>
      </w:rPr>
      <mc:AlternateContent>
        <mc:Choice Requires="wps">
          <w:drawing>
            <wp:anchor distT="0" distB="0" distL="114300" distR="114300" simplePos="0" relativeHeight="251670528" behindDoc="1" locked="0" layoutInCell="1" allowOverlap="1" wp14:anchorId="012E097E" wp14:editId="5E2ECC29">
              <wp:simplePos x="0" y="0"/>
              <wp:positionH relativeFrom="column">
                <wp:posOffset>5868670</wp:posOffset>
              </wp:positionH>
              <wp:positionV relativeFrom="paragraph">
                <wp:posOffset>-1368425</wp:posOffset>
              </wp:positionV>
              <wp:extent cx="3085200" cy="2127600"/>
              <wp:effectExtent l="0" t="0" r="1270" b="6350"/>
              <wp:wrapNone/>
              <wp:docPr id="7" name="Trapezoid 7"/>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7" o:spid="_x0000_s1026" style="position:absolute;margin-left:462.1pt;margin-top:-107.75pt;width:242.95pt;height:16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" path="m,2127600l995547,,2089653,r995547,2127600l,2127600xe" fillcolor="#53565a [3215]" stroked="f" strokeweight="2pt">
              <v:path arrowok="t" o:connecttype="custom" o:connectlocs="0,2127600;995547,0;2089653,0;3085200,2127600;0,2127600" o:connectangles="0,0,0,0,0"/>
            </v:shape>
          </w:pict>
        </mc:Fallback>
      </mc:AlternateContent>
    </w:r>
    <w:r w:rsidR="00CF1073">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843F26">
      <w:rPr>
        <w:rStyle w:val="PageNumber"/>
        <w:noProof/>
      </w:rPr>
      <w:t>2</w:t>
    </w:r>
    <w:r w:rsidRPr="00BC672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C" w:rsidRDefault="00BA6B8C"/>
  <w:tbl>
    <w:tblPr>
      <w:tblStyle w:val="TableGrid"/>
      <w:tblW w:w="0" w:type="auto"/>
      <w:tblBorders>
        <w:bottom w:val="none" w:sz="0" w:space="0" w:color="auto"/>
      </w:tblBorders>
      <w:tblLayout w:type="fixed"/>
      <w:tblCellMar>
        <w:left w:w="113" w:type="dxa"/>
        <w:right w:w="113" w:type="dxa"/>
      </w:tblCellMar>
      <w:tblLook w:val="0600" w:firstRow="0" w:lastRow="0" w:firstColumn="0" w:lastColumn="0" w:noHBand="1" w:noVBand="1"/>
    </w:tblPr>
    <w:tblGrid>
      <w:gridCol w:w="4082"/>
      <w:gridCol w:w="709"/>
      <w:gridCol w:w="4349"/>
    </w:tblGrid>
    <w:tr w:rsidR="00382510" w:rsidTr="00BA6B8C">
      <w:trPr>
        <w:trHeight w:val="1223"/>
      </w:trPr>
      <w:tc>
        <w:tcPr>
          <w:tcW w:w="4082" w:type="dxa"/>
        </w:tcPr>
        <w:p w:rsidR="00382510" w:rsidRPr="002868CD" w:rsidRDefault="00382510" w:rsidP="002868CD">
          <w:pPr>
            <w:pStyle w:val="Note"/>
            <w:pBdr>
              <w:top w:val="single" w:sz="6" w:space="1" w:color="004EA8" w:themeColor="accent2"/>
              <w:bottom w:val="single" w:sz="6" w:space="1" w:color="004EA8" w:themeColor="accent2"/>
            </w:pBdr>
            <w:rPr>
              <w:color w:val="004EA8" w:themeColor="accent2"/>
            </w:rPr>
          </w:pPr>
          <w:r w:rsidRPr="002868CD">
            <w:rPr>
              <w:b/>
              <w:color w:val="004EA8" w:themeColor="accent2"/>
            </w:rPr>
            <w:t xml:space="preserve">Disclaimer: </w:t>
          </w:r>
          <w:r w:rsidRPr="002868CD">
            <w:rPr>
              <w:color w:val="004EA8" w:themeColor="accent2"/>
            </w:rPr>
            <w:t>No responsibility is taken for any action(s) taken on the basis of information contained in this Newsletter nor for any errors or omissions in that information.</w:t>
          </w:r>
        </w:p>
      </w:tc>
      <w:tc>
        <w:tcPr>
          <w:tcW w:w="709" w:type="dxa"/>
          <w:vMerge w:val="restart"/>
          <w:vAlign w:val="bottom"/>
        </w:tcPr>
        <w:p w:rsidR="00382510" w:rsidRDefault="00382510" w:rsidP="00BA6B8C">
          <w:pPr>
            <w:pStyle w:val="Note"/>
          </w:pPr>
        </w:p>
      </w:tc>
      <w:tc>
        <w:tcPr>
          <w:tcW w:w="4349" w:type="dxa"/>
          <w:vMerge w:val="restart"/>
          <w:vAlign w:val="bottom"/>
        </w:tcPr>
        <w:p w:rsidR="00382510" w:rsidRDefault="00474854" w:rsidP="00BA6B8C">
          <w:pPr>
            <w:pStyle w:val="Note"/>
          </w:pPr>
          <w:r>
            <w:rPr>
              <w:noProof/>
              <w:lang w:eastAsia="en-AU"/>
            </w:rPr>
            <mc:AlternateContent>
              <mc:Choice Requires="wps">
                <w:drawing>
                  <wp:anchor distT="0" distB="0" distL="114300" distR="114300" simplePos="0" relativeHeight="251672576" behindDoc="1" locked="0" layoutInCell="1" allowOverlap="1" wp14:anchorId="3EEF38B0" wp14:editId="7A5E8CC1">
                    <wp:simplePos x="0" y="0"/>
                    <wp:positionH relativeFrom="column">
                      <wp:posOffset>2732405</wp:posOffset>
                    </wp:positionH>
                    <wp:positionV relativeFrom="paragraph">
                      <wp:posOffset>293370</wp:posOffset>
                    </wp:positionV>
                    <wp:extent cx="3328035" cy="2295525"/>
                    <wp:effectExtent l="0" t="0" r="5715" b="9525"/>
                    <wp:wrapNone/>
                    <wp:docPr id="33" name="Trapezoid 33"/>
                    <wp:cNvGraphicFramePr/>
                    <a:graphic xmlns:a="http://schemas.openxmlformats.org/drawingml/2006/main">
                      <a:graphicData uri="http://schemas.microsoft.com/office/word/2010/wordprocessingShape">
                        <wps:wsp>
                          <wps:cNvSpPr/>
                          <wps:spPr>
                            <a:xfrm>
                              <a:off x="0" y="0"/>
                              <a:ext cx="3328035" cy="2295525"/>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3" o:spid="_x0000_s1026" style="position:absolute;margin-left:215.15pt;margin-top:23.1pt;width:262.05pt;height:18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8035,229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" path="m,2295525l1074122,,2253913,,3328035,2295525,,2295525xe" fillcolor="#53565a [3215]" stroked="f" strokeweight="2pt">
                    <v:path arrowok="t" o:connecttype="custom" o:connectlocs="0,2295525;1074122,0;2253913,0;3328035,2295525;0,2295525" o:connectangles="0,0,0,0,0"/>
                  </v:shape>
                </w:pict>
              </mc:Fallback>
            </mc:AlternateContent>
          </w:r>
          <w:r w:rsidR="00382510" w:rsidRPr="000C21C3">
            <w:rPr>
              <w:noProof/>
              <w:lang w:eastAsia="en-AU"/>
            </w:rPr>
            <w:drawing>
              <wp:inline distT="0" distB="0" distL="0" distR="0" wp14:anchorId="184AB9A2" wp14:editId="05C03686">
                <wp:extent cx="1117460" cy="393651"/>
                <wp:effectExtent l="0" t="0" r="6985" b="6985"/>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382510" w:rsidRDefault="00382510" w:rsidP="00BA6B8C">
          <w:pPr>
            <w:pStyle w:val="Note"/>
          </w:pPr>
          <w:r w:rsidRPr="00382510">
            <w:t xml:space="preserve">You are free to re-use this work under a Creative Commons Attribution 4.0 licence, provided you credit the State of Victoria (Department of Treasury and Finance) as author, indicate if changes were made and comply with the other licence terms. </w:t>
          </w:r>
          <w:r>
            <w:br/>
          </w:r>
          <w:r w:rsidRPr="00382510">
            <w:t>The licence does not apply to any branding, including Government logos.</w:t>
          </w:r>
        </w:p>
      </w:tc>
    </w:tr>
    <w:tr w:rsidR="00382510" w:rsidTr="00BA6B8C">
      <w:trPr>
        <w:trHeight w:val="1222"/>
      </w:trPr>
      <w:tc>
        <w:tcPr>
          <w:tcW w:w="4082" w:type="dxa"/>
          <w:vAlign w:val="bottom"/>
        </w:tcPr>
        <w:p w:rsidR="00382510" w:rsidRDefault="00382510" w:rsidP="00BA6B8C">
          <w:pPr>
            <w:pStyle w:val="Note"/>
          </w:pPr>
          <w:r w:rsidRPr="00382510">
            <w:t>© State of Victoria 2016</w:t>
          </w:r>
        </w:p>
        <w:p w:rsidR="00382510" w:rsidRPr="00382510" w:rsidRDefault="00382510" w:rsidP="00BA6B8C">
          <w:pPr>
            <w:pStyle w:val="Note"/>
            <w:spacing w:line="312" w:lineRule="auto"/>
          </w:pPr>
          <w:r w:rsidRPr="00382510">
            <w:t>Copyright queries may be directed to IPpolicy@dtf.vic.gov.au.</w:t>
          </w:r>
        </w:p>
      </w:tc>
      <w:tc>
        <w:tcPr>
          <w:tcW w:w="709" w:type="dxa"/>
          <w:vMerge/>
          <w:vAlign w:val="bottom"/>
        </w:tcPr>
        <w:p w:rsidR="00382510" w:rsidRDefault="00382510" w:rsidP="00BA6B8C">
          <w:pPr>
            <w:pStyle w:val="Note"/>
          </w:pPr>
        </w:p>
      </w:tc>
      <w:tc>
        <w:tcPr>
          <w:tcW w:w="4349" w:type="dxa"/>
          <w:vMerge/>
          <w:vAlign w:val="bottom"/>
        </w:tcPr>
        <w:p w:rsidR="00382510" w:rsidRPr="000C21C3" w:rsidRDefault="00382510" w:rsidP="00BA6B8C">
          <w:pPr>
            <w:pStyle w:val="Note"/>
            <w:rPr>
              <w:noProof/>
              <w:lang w:eastAsia="en-AU"/>
            </w:rPr>
          </w:pPr>
        </w:p>
      </w:tc>
    </w:tr>
  </w:tbl>
  <w:p w:rsidR="00D02311" w:rsidRPr="00BA6B8C" w:rsidRDefault="00D02311" w:rsidP="00474854">
    <w:pPr>
      <w:pStyle w:val="Footer"/>
      <w:rPr>
        <w:rStyle w:val="PageNumber"/>
      </w:rPr>
    </w:pPr>
    <w:r w:rsidRPr="00BA6B8C">
      <w:rPr>
        <w:rStyle w:val="PageNumber"/>
      </w:rPr>
      <w:tab/>
    </w:r>
    <w:r w:rsidRPr="00BA6B8C">
      <w:rPr>
        <w:rStyle w:val="PageNumber"/>
      </w:rPr>
      <w:tab/>
    </w:r>
    <w:r w:rsidRPr="00BA6B8C">
      <w:rPr>
        <w:rStyle w:val="PageNumber"/>
      </w:rPr>
      <w:fldChar w:fldCharType="begin"/>
    </w:r>
    <w:r w:rsidRPr="00BA6B8C">
      <w:rPr>
        <w:rStyle w:val="PageNumber"/>
      </w:rPr>
      <w:instrText xml:space="preserve"> PAGE  \* Arabic  \* MERGEFORMAT </w:instrText>
    </w:r>
    <w:r w:rsidRPr="00BA6B8C">
      <w:rPr>
        <w:rStyle w:val="PageNumber"/>
      </w:rPr>
      <w:fldChar w:fldCharType="separate"/>
    </w:r>
    <w:r w:rsidR="00843F26">
      <w:rPr>
        <w:rStyle w:val="PageNumber"/>
        <w:noProof/>
      </w:rPr>
      <w:t>3</w:t>
    </w:r>
    <w:r w:rsidRPr="00BA6B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E0" w:rsidRDefault="00643BE0" w:rsidP="001E7D0D">
      <w:pPr>
        <w:spacing w:after="0" w:line="240" w:lineRule="auto"/>
      </w:pPr>
      <w:r>
        <w:separator/>
      </w:r>
    </w:p>
  </w:footnote>
  <w:footnote w:type="continuationSeparator" w:id="0">
    <w:p w:rsidR="00643BE0" w:rsidRDefault="00643BE0" w:rsidP="001E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A2" w:rsidRPr="00575F8D" w:rsidRDefault="00381C44" w:rsidP="00440C3A">
    <w:pPr>
      <w:pStyle w:val="Header"/>
    </w:pPr>
    <w:r w:rsidRPr="00440C3A">
      <w:rPr>
        <w:smallCaps/>
        <w:noProof/>
        <w:lang w:eastAsia="en-AU"/>
      </w:rPr>
      <mc:AlternateContent>
        <mc:Choice Requires="wps">
          <w:drawing>
            <wp:anchor distT="0" distB="0" distL="114300" distR="114300" simplePos="0" relativeHeight="251681792" behindDoc="1" locked="0" layoutInCell="1" allowOverlap="1" wp14:anchorId="3BECA0E7" wp14:editId="7FE5816D">
              <wp:simplePos x="0" y="0"/>
              <wp:positionH relativeFrom="column">
                <wp:posOffset>-921385</wp:posOffset>
              </wp:positionH>
              <wp:positionV relativeFrom="paragraph">
                <wp:posOffset>-473710</wp:posOffset>
              </wp:positionV>
              <wp:extent cx="6614160" cy="2933700"/>
              <wp:effectExtent l="0" t="0" r="0" b="0"/>
              <wp:wrapNone/>
              <wp:docPr id="2" name="Rectangle 2"/>
              <wp:cNvGraphicFramePr/>
              <a:graphic xmlns:a="http://schemas.openxmlformats.org/drawingml/2006/main">
                <a:graphicData uri="http://schemas.microsoft.com/office/word/2010/wordprocessingShape">
                  <wps:wsp>
                    <wps:cNvSpPr/>
                    <wps:spPr>
                      <a:xfrm>
                        <a:off x="0" y="0"/>
                        <a:ext cx="6614160" cy="2933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2.55pt;margin-top:-37.3pt;width:520.8pt;height:2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" fillcolor="#201547 [3204]" stroked="f" strokeweight="2pt"/>
          </w:pict>
        </mc:Fallback>
      </mc:AlternateContent>
    </w:r>
    <w:r w:rsidR="004B3EB7" w:rsidRPr="00440C3A">
      <w:rPr>
        <w:smallCaps/>
        <w:noProof/>
        <w:lang w:eastAsia="en-AU"/>
      </w:rPr>
      <mc:AlternateContent>
        <mc:Choice Requires="wps">
          <w:drawing>
            <wp:anchor distT="0" distB="0" distL="114300" distR="114300" simplePos="0" relativeHeight="251691008" behindDoc="0" locked="0" layoutInCell="1" allowOverlap="1" wp14:anchorId="22A325B1" wp14:editId="67E9AAC6">
              <wp:simplePos x="0" y="0"/>
              <wp:positionH relativeFrom="column">
                <wp:posOffset>4003040</wp:posOffset>
              </wp:positionH>
              <wp:positionV relativeFrom="paragraph">
                <wp:posOffset>-743585</wp:posOffset>
              </wp:positionV>
              <wp:extent cx="6523355" cy="3206115"/>
              <wp:effectExtent l="0" t="0" r="0" b="0"/>
              <wp:wrapNone/>
              <wp:docPr id="5" name="Trapezoid 5"/>
              <wp:cNvGraphicFramePr/>
              <a:graphic xmlns:a="http://schemas.openxmlformats.org/drawingml/2006/main">
                <a:graphicData uri="http://schemas.microsoft.com/office/word/2010/wordprocessingShape">
                  <wps:wsp>
                    <wps:cNvSpPr/>
                    <wps:spPr>
                      <a:xfrm>
                        <a:off x="0" y="0"/>
                        <a:ext cx="6523355" cy="3206115"/>
                      </a:xfrm>
                      <a:prstGeom prst="trapezoid">
                        <a:avLst>
                          <a:gd name="adj" fmla="val 46792"/>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5" o:spid="_x0000_s1026" style="position:absolute;margin-left:315.2pt;margin-top:-58.55pt;width:513.65pt;height:25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3355,32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" path="m,3206115l1500205,,5023150,,6523355,3206115,,3206115xe" fillcolor="#0072ce [3206]" stroked="f" strokeweight="2pt">
              <v:path arrowok="t" o:connecttype="custom" o:connectlocs="0,3206115;1500205,0;5023150,0;6523355,3206115;0,3206115" o:connectangles="0,0,0,0,0"/>
            </v:shape>
          </w:pict>
        </mc:Fallback>
      </mc:AlternateContent>
    </w:r>
    <w:r w:rsidR="004B3EB7" w:rsidRPr="00440C3A">
      <w:rPr>
        <w:smallCaps/>
        <w:noProof/>
        <w:lang w:eastAsia="en-AU"/>
      </w:rPr>
      <w:drawing>
        <wp:anchor distT="0" distB="0" distL="114300" distR="114300" simplePos="0" relativeHeight="251693056" behindDoc="0" locked="0" layoutInCell="1" allowOverlap="1" wp14:anchorId="0A4965F8" wp14:editId="3CD98E1F">
          <wp:simplePos x="0" y="0"/>
          <wp:positionH relativeFrom="column">
            <wp:posOffset>4679789</wp:posOffset>
          </wp:positionH>
          <wp:positionV relativeFrom="paragraph">
            <wp:posOffset>69850</wp:posOffset>
          </wp:positionV>
          <wp:extent cx="1567180" cy="467995"/>
          <wp:effectExtent l="0" t="0" r="0" b="8255"/>
          <wp:wrapNone/>
          <wp:docPr id="4" name="Picture 4" descr="T:\Corpcom_CSS\COMMUNICATIONS\Logos and branding\Brand Victoria logos DTF\Victoria State Government DTF\Victoria State Gov DTF right aligned\png\Victoria State Gov DTF right revers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com_CSS\COMMUNICATIONS\Logos and branding\Brand Victoria logos DTF\Victoria State Government DTF\Victoria State Gov DTF right aligned\png\Victoria State Gov DTF right revers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C3A" w:rsidRPr="00440C3A">
      <w:rPr>
        <w:smallCaps/>
      </w:rPr>
      <w:t>ECONOMIC</w:t>
    </w:r>
    <w:r w:rsidR="00440C3A">
      <w:br/>
    </w:r>
    <w:r w:rsidR="00440C3A" w:rsidRPr="00053F71">
      <w:rPr>
        <w:b w:val="0"/>
        <w:sz w:val="56"/>
      </w:rPr>
      <w:t>UPDATE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7C" w:rsidRPr="003E507C" w:rsidRDefault="003E507C" w:rsidP="002F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32250"/>
    <w:multiLevelType w:val="multilevel"/>
    <w:tmpl w:val="DA6E3D5C"/>
    <w:numStyleLink w:val="Highlightbulletstyle"/>
  </w:abstractNum>
  <w:abstractNum w:abstractNumId="1">
    <w:nsid w:val="63D10536"/>
    <w:multiLevelType w:val="multilevel"/>
    <w:tmpl w:val="DA6E3D5C"/>
    <w:styleLink w:val="Highlightbulletstyle"/>
    <w:lvl w:ilvl="0">
      <w:start w:val="1"/>
      <w:numFmt w:val="bullet"/>
      <w:pStyle w:val="Bullet-highlight"/>
      <w:lvlText w:val="►"/>
      <w:lvlJc w:val="left"/>
      <w:pPr>
        <w:ind w:left="284" w:hanging="284"/>
      </w:pPr>
      <w:rPr>
        <w:rFonts w:ascii="Arial" w:hAnsi="Aria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4065935"/>
    <w:multiLevelType w:val="multilevel"/>
    <w:tmpl w:val="DA6E3D5C"/>
    <w:numStyleLink w:val="Highlightbulletstyle"/>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BD"/>
    <w:rsid w:val="000037BC"/>
    <w:rsid w:val="00027A5D"/>
    <w:rsid w:val="00047DD7"/>
    <w:rsid w:val="00053341"/>
    <w:rsid w:val="00053F71"/>
    <w:rsid w:val="00061229"/>
    <w:rsid w:val="00063D5E"/>
    <w:rsid w:val="00076621"/>
    <w:rsid w:val="000F2FBA"/>
    <w:rsid w:val="00103711"/>
    <w:rsid w:val="001372E4"/>
    <w:rsid w:val="00155380"/>
    <w:rsid w:val="00181D8E"/>
    <w:rsid w:val="001E7D0D"/>
    <w:rsid w:val="00202582"/>
    <w:rsid w:val="00222DFE"/>
    <w:rsid w:val="0023586C"/>
    <w:rsid w:val="00261D70"/>
    <w:rsid w:val="002868CD"/>
    <w:rsid w:val="002B7CD5"/>
    <w:rsid w:val="002E5AB4"/>
    <w:rsid w:val="002F5DE2"/>
    <w:rsid w:val="003540A1"/>
    <w:rsid w:val="00380DA2"/>
    <w:rsid w:val="00381C44"/>
    <w:rsid w:val="00382510"/>
    <w:rsid w:val="003902A0"/>
    <w:rsid w:val="003A0F37"/>
    <w:rsid w:val="003E507C"/>
    <w:rsid w:val="00412B93"/>
    <w:rsid w:val="00435687"/>
    <w:rsid w:val="00440C3A"/>
    <w:rsid w:val="00443FD2"/>
    <w:rsid w:val="00450F23"/>
    <w:rsid w:val="00453CBD"/>
    <w:rsid w:val="00466052"/>
    <w:rsid w:val="00466CDB"/>
    <w:rsid w:val="00474854"/>
    <w:rsid w:val="00494A89"/>
    <w:rsid w:val="004B15B5"/>
    <w:rsid w:val="004B3EB7"/>
    <w:rsid w:val="004B6E36"/>
    <w:rsid w:val="004F7193"/>
    <w:rsid w:val="00521F88"/>
    <w:rsid w:val="00561537"/>
    <w:rsid w:val="00575F8D"/>
    <w:rsid w:val="005E2185"/>
    <w:rsid w:val="0060422F"/>
    <w:rsid w:val="006135AB"/>
    <w:rsid w:val="006375DD"/>
    <w:rsid w:val="00643BE0"/>
    <w:rsid w:val="006619C8"/>
    <w:rsid w:val="00664763"/>
    <w:rsid w:val="0068446F"/>
    <w:rsid w:val="006A7ABD"/>
    <w:rsid w:val="006E06AD"/>
    <w:rsid w:val="006E3ABA"/>
    <w:rsid w:val="00721ED1"/>
    <w:rsid w:val="007D0C5F"/>
    <w:rsid w:val="007D6F02"/>
    <w:rsid w:val="00816160"/>
    <w:rsid w:val="00833E9D"/>
    <w:rsid w:val="008406AA"/>
    <w:rsid w:val="00843F26"/>
    <w:rsid w:val="0089514C"/>
    <w:rsid w:val="008E215E"/>
    <w:rsid w:val="00904A36"/>
    <w:rsid w:val="00917DA7"/>
    <w:rsid w:val="0092123B"/>
    <w:rsid w:val="009379B3"/>
    <w:rsid w:val="0096692A"/>
    <w:rsid w:val="00967403"/>
    <w:rsid w:val="009A3026"/>
    <w:rsid w:val="009A5772"/>
    <w:rsid w:val="009B0BE4"/>
    <w:rsid w:val="009E176B"/>
    <w:rsid w:val="00A05497"/>
    <w:rsid w:val="00A05F37"/>
    <w:rsid w:val="00A7050A"/>
    <w:rsid w:val="00AE310A"/>
    <w:rsid w:val="00B56DF5"/>
    <w:rsid w:val="00BA2604"/>
    <w:rsid w:val="00BA6B8C"/>
    <w:rsid w:val="00BB0BF9"/>
    <w:rsid w:val="00BB5CEC"/>
    <w:rsid w:val="00BC672F"/>
    <w:rsid w:val="00C60AF1"/>
    <w:rsid w:val="00C71A2D"/>
    <w:rsid w:val="00CE300C"/>
    <w:rsid w:val="00CF1073"/>
    <w:rsid w:val="00D00E91"/>
    <w:rsid w:val="00D02311"/>
    <w:rsid w:val="00D30EAC"/>
    <w:rsid w:val="00D65EC4"/>
    <w:rsid w:val="00D847A0"/>
    <w:rsid w:val="00DA66C3"/>
    <w:rsid w:val="00DB6329"/>
    <w:rsid w:val="00DF3025"/>
    <w:rsid w:val="00EA41B8"/>
    <w:rsid w:val="00ED2AF5"/>
    <w:rsid w:val="00EE31AA"/>
    <w:rsid w:val="00EE619A"/>
    <w:rsid w:val="00F037AF"/>
    <w:rsid w:val="00F6524B"/>
    <w:rsid w:val="00F73FDA"/>
    <w:rsid w:val="00F77CCC"/>
    <w:rsid w:val="00FE7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creativecommons.org/licenses/by/3.0/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05AD7-6D58-443D-8B29-6D5662E2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Economic update</vt:lpstr>
    </vt:vector>
  </TitlesOfParts>
  <Company>Victorian Government</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update</dc:title>
  <dc:creator>Department of Treasury and Finance</dc:creator>
  <cp:lastModifiedBy>Louise Koschmann</cp:lastModifiedBy>
  <cp:revision>2</cp:revision>
  <cp:lastPrinted>2016-09-13T06:01:00Z</cp:lastPrinted>
  <dcterms:created xsi:type="dcterms:W3CDTF">2018-01-24T02:58:00Z</dcterms:created>
  <dcterms:modified xsi:type="dcterms:W3CDTF">2018-01-24T02:58:00Z</dcterms:modified>
</cp:coreProperties>
</file>