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Default="002F46A5" w:rsidP="00440C3A">
      <w:pPr>
        <w:pStyle w:val="Subtitle"/>
        <w:rPr>
          <w:rFonts w:asciiTheme="minorHAnsi" w:hAnsiTheme="minorHAnsi" w:cstheme="minorHAnsi"/>
          <w:sz w:val="28"/>
          <w:szCs w:val="28"/>
        </w:rPr>
      </w:pPr>
      <w:bookmarkStart w:id="0" w:name="_GoBack"/>
      <w:bookmarkEnd w:id="0"/>
      <w:r>
        <w:rPr>
          <w:rFonts w:asciiTheme="minorHAnsi" w:hAnsiTheme="minorHAnsi" w:cstheme="minorHAnsi"/>
          <w:sz w:val="28"/>
          <w:szCs w:val="28"/>
        </w:rPr>
        <w:t>August</w:t>
      </w:r>
      <w:r w:rsidR="00ED7CCB">
        <w:rPr>
          <w:rFonts w:asciiTheme="minorHAnsi" w:hAnsiTheme="minorHAnsi" w:cstheme="minorHAnsi"/>
          <w:sz w:val="28"/>
          <w:szCs w:val="28"/>
        </w:rPr>
        <w:t xml:space="preserve"> 2017</w:t>
      </w:r>
    </w:p>
    <w:p w:rsidR="002751C4" w:rsidRPr="002751C4" w:rsidRDefault="002751C4" w:rsidP="002751C4">
      <w:pPr>
        <w:sectPr w:rsidR="002751C4" w:rsidRPr="002751C4"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p>
    <w:tbl>
      <w:tblPr>
        <w:tblW w:w="10456" w:type="dxa"/>
        <w:tblLayout w:type="fixed"/>
        <w:tblLook w:val="04A0" w:firstRow="1" w:lastRow="0" w:firstColumn="1" w:lastColumn="0" w:noHBand="0" w:noVBand="1"/>
      </w:tblPr>
      <w:tblGrid>
        <w:gridCol w:w="3227"/>
        <w:gridCol w:w="7229"/>
      </w:tblGrid>
      <w:tr w:rsidR="002751C4" w:rsidTr="009D5E13">
        <w:trPr>
          <w:trHeight w:val="492"/>
        </w:trPr>
        <w:tc>
          <w:tcPr>
            <w:tcW w:w="3227" w:type="dxa"/>
          </w:tcPr>
          <w:p w:rsidR="002751C4" w:rsidRPr="00833E9D" w:rsidRDefault="002751C4" w:rsidP="009D5E13">
            <w:pPr>
              <w:pStyle w:val="Note"/>
              <w:spacing w:after="0"/>
            </w:pPr>
            <w:r>
              <w:lastRenderedPageBreak/>
              <w:t>This monthly newsletter outlines economic and financial developments.</w:t>
            </w:r>
          </w:p>
        </w:tc>
        <w:tc>
          <w:tcPr>
            <w:tcW w:w="7229" w:type="dxa"/>
          </w:tcPr>
          <w:p w:rsidR="002751C4" w:rsidRPr="006469B4" w:rsidRDefault="008D06D9" w:rsidP="00293A6B">
            <w:pPr>
              <w:pStyle w:val="Note"/>
              <w:spacing w:after="0"/>
              <w:jc w:val="center"/>
              <w:rPr>
                <w:b/>
                <w:color w:val="707068" w:themeColor="background2" w:themeShade="80"/>
              </w:rPr>
            </w:pPr>
            <w:r>
              <w:rPr>
                <w:b/>
                <w:color w:val="707068" w:themeColor="background2" w:themeShade="80"/>
              </w:rPr>
              <w:t xml:space="preserve">  </w:t>
            </w:r>
            <w:r w:rsidR="00293A6B">
              <w:rPr>
                <w:b/>
                <w:color w:val="707068" w:themeColor="background2" w:themeShade="80"/>
              </w:rPr>
              <w:t xml:space="preserve"> </w:t>
            </w:r>
            <w:r w:rsidR="002751C4" w:rsidRPr="006469B4">
              <w:rPr>
                <w:b/>
                <w:color w:val="707068" w:themeColor="background2" w:themeShade="80"/>
              </w:rPr>
              <w:t xml:space="preserve">By David Martine,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004104" w:rsidRDefault="00004104" w:rsidP="00103711">
      <w:pPr>
        <w:pStyle w:val="Bullet-highlight"/>
        <w:numPr>
          <w:ilvl w:val="0"/>
          <w:numId w:val="0"/>
        </w:numPr>
        <w:spacing w:after="0"/>
        <w:sectPr w:rsidR="00004104" w:rsidSect="00D847A0">
          <w:type w:val="continuous"/>
          <w:pgSz w:w="11906" w:h="16838" w:code="9"/>
          <w:pgMar w:top="3572" w:right="1134" w:bottom="1134" w:left="1134" w:header="709" w:footer="567" w:gutter="0"/>
          <w:cols w:space="567"/>
          <w:docGrid w:linePitch="360"/>
        </w:sectPr>
      </w:pPr>
    </w:p>
    <w:tbl>
      <w:tblPr>
        <w:tblW w:w="5951" w:type="dxa"/>
        <w:shd w:val="clear" w:color="auto" w:fill="99B8DC" w:themeFill="accent5"/>
        <w:tblLook w:val="04A0" w:firstRow="1" w:lastRow="0" w:firstColumn="1" w:lastColumn="0" w:noHBand="0" w:noVBand="1"/>
      </w:tblPr>
      <w:tblGrid>
        <w:gridCol w:w="1101"/>
        <w:gridCol w:w="2517"/>
        <w:gridCol w:w="2333"/>
      </w:tblGrid>
      <w:tr w:rsidR="002751C4" w:rsidRPr="00BB0BF9" w:rsidTr="00375B3E">
        <w:trPr>
          <w:gridAfter w:val="1"/>
          <w:wAfter w:w="2333" w:type="dxa"/>
          <w:trHeight w:val="8222"/>
        </w:trPr>
        <w:tc>
          <w:tcPr>
            <w:tcW w:w="3618" w:type="dxa"/>
            <w:gridSpan w:val="2"/>
            <w:shd w:val="clear" w:color="auto" w:fill="CCE3F5" w:themeFill="accent6"/>
          </w:tcPr>
          <w:p w:rsidR="00260213" w:rsidRDefault="002751C4" w:rsidP="0073687E">
            <w:pPr>
              <w:tabs>
                <w:tab w:val="left" w:pos="360"/>
              </w:tabs>
              <w:spacing w:before="280" w:after="0"/>
              <w:rPr>
                <w:b/>
                <w:color w:val="201547" w:themeColor="accent1"/>
                <w:sz w:val="32"/>
              </w:rPr>
            </w:pPr>
            <w:r w:rsidRPr="00103711">
              <w:rPr>
                <w:b/>
                <w:color w:val="201547" w:themeColor="accent1"/>
                <w:sz w:val="32"/>
              </w:rPr>
              <w:lastRenderedPageBreak/>
              <w:t>Highlights</w:t>
            </w:r>
          </w:p>
          <w:p w:rsidR="0073687E" w:rsidRPr="0073687E" w:rsidRDefault="0073687E" w:rsidP="0073687E">
            <w:pPr>
              <w:tabs>
                <w:tab w:val="left" w:pos="360"/>
              </w:tabs>
              <w:spacing w:before="200" w:after="0"/>
              <w:contextualSpacing/>
              <w:rPr>
                <w:b/>
                <w:color w:val="201547" w:themeColor="accent1"/>
                <w:sz w:val="14"/>
              </w:rPr>
            </w:pPr>
          </w:p>
          <w:p w:rsidR="005B7141" w:rsidRPr="00CC4B9D" w:rsidRDefault="00CF5DB1" w:rsidP="005B7141">
            <w:pPr>
              <w:pStyle w:val="Bullet-highlight"/>
              <w:rPr>
                <w:sz w:val="23"/>
                <w:szCs w:val="23"/>
              </w:rPr>
            </w:pPr>
            <w:r w:rsidRPr="00CC4B9D">
              <w:rPr>
                <w:sz w:val="23"/>
                <w:szCs w:val="23"/>
              </w:rPr>
              <w:t xml:space="preserve">Victoria’s economy remains strong with </w:t>
            </w:r>
            <w:r w:rsidR="005B7141" w:rsidRPr="00CC4B9D">
              <w:rPr>
                <w:sz w:val="23"/>
                <w:szCs w:val="23"/>
              </w:rPr>
              <w:t xml:space="preserve">broad-based </w:t>
            </w:r>
            <w:r w:rsidRPr="00CC4B9D">
              <w:rPr>
                <w:sz w:val="23"/>
                <w:szCs w:val="23"/>
              </w:rPr>
              <w:t xml:space="preserve">growth </w:t>
            </w:r>
            <w:r w:rsidR="005B7141" w:rsidRPr="00CC4B9D">
              <w:rPr>
                <w:sz w:val="23"/>
                <w:szCs w:val="23"/>
              </w:rPr>
              <w:t>in the June quarter.</w:t>
            </w:r>
          </w:p>
          <w:p w:rsidR="00344153" w:rsidRPr="00CC4B9D" w:rsidRDefault="009D5E13" w:rsidP="00344153">
            <w:pPr>
              <w:pStyle w:val="Bullet-highlight"/>
              <w:rPr>
                <w:sz w:val="23"/>
                <w:szCs w:val="23"/>
              </w:rPr>
            </w:pPr>
            <w:r w:rsidRPr="00CC4B9D">
              <w:rPr>
                <w:sz w:val="23"/>
                <w:szCs w:val="23"/>
              </w:rPr>
              <w:t>L</w:t>
            </w:r>
            <w:r w:rsidR="00344153" w:rsidRPr="00CC4B9D">
              <w:rPr>
                <w:sz w:val="23"/>
                <w:szCs w:val="23"/>
              </w:rPr>
              <w:t xml:space="preserve">abour market conditions remain strong </w:t>
            </w:r>
            <w:r w:rsidRPr="00CC4B9D">
              <w:rPr>
                <w:sz w:val="23"/>
                <w:szCs w:val="23"/>
              </w:rPr>
              <w:t xml:space="preserve">despite </w:t>
            </w:r>
            <w:r w:rsidR="00C22A37" w:rsidRPr="00CC4B9D">
              <w:rPr>
                <w:sz w:val="23"/>
                <w:szCs w:val="23"/>
              </w:rPr>
              <w:t xml:space="preserve">flat </w:t>
            </w:r>
            <w:r w:rsidR="00662DE8" w:rsidRPr="00CC4B9D">
              <w:rPr>
                <w:sz w:val="23"/>
                <w:szCs w:val="23"/>
              </w:rPr>
              <w:t xml:space="preserve">employment </w:t>
            </w:r>
            <w:r w:rsidRPr="00CC4B9D">
              <w:rPr>
                <w:sz w:val="23"/>
                <w:szCs w:val="23"/>
              </w:rPr>
              <w:t xml:space="preserve">growth </w:t>
            </w:r>
            <w:r w:rsidR="00C64AE9" w:rsidRPr="00CC4B9D">
              <w:rPr>
                <w:sz w:val="23"/>
                <w:szCs w:val="23"/>
              </w:rPr>
              <w:t xml:space="preserve">in </w:t>
            </w:r>
            <w:r w:rsidR="00344153" w:rsidRPr="00CC4B9D">
              <w:rPr>
                <w:sz w:val="23"/>
                <w:szCs w:val="23"/>
              </w:rPr>
              <w:t>Ju</w:t>
            </w:r>
            <w:r w:rsidR="00C64AE9" w:rsidRPr="00CC4B9D">
              <w:rPr>
                <w:sz w:val="23"/>
                <w:szCs w:val="23"/>
              </w:rPr>
              <w:t>ly</w:t>
            </w:r>
            <w:r w:rsidRPr="00CC4B9D">
              <w:rPr>
                <w:sz w:val="23"/>
                <w:szCs w:val="23"/>
              </w:rPr>
              <w:t>.</w:t>
            </w:r>
          </w:p>
          <w:p w:rsidR="00F90892" w:rsidRPr="00CC4B9D" w:rsidRDefault="009D5E13" w:rsidP="00344153">
            <w:pPr>
              <w:pStyle w:val="Bullet-highlight"/>
              <w:rPr>
                <w:sz w:val="23"/>
                <w:szCs w:val="23"/>
              </w:rPr>
            </w:pPr>
            <w:r w:rsidRPr="00CC4B9D">
              <w:rPr>
                <w:sz w:val="23"/>
                <w:szCs w:val="23"/>
              </w:rPr>
              <w:t>W</w:t>
            </w:r>
            <w:r w:rsidR="00F90892" w:rsidRPr="00CC4B9D">
              <w:rPr>
                <w:sz w:val="23"/>
                <w:szCs w:val="23"/>
              </w:rPr>
              <w:t>age</w:t>
            </w:r>
            <w:r w:rsidR="00662DE8" w:rsidRPr="00CC4B9D">
              <w:rPr>
                <w:sz w:val="23"/>
                <w:szCs w:val="23"/>
              </w:rPr>
              <w:t>s</w:t>
            </w:r>
            <w:r w:rsidR="00F90892" w:rsidRPr="00CC4B9D">
              <w:rPr>
                <w:sz w:val="23"/>
                <w:szCs w:val="23"/>
              </w:rPr>
              <w:t xml:space="preserve"> grew </w:t>
            </w:r>
            <w:r w:rsidR="00662DE8" w:rsidRPr="00CC4B9D">
              <w:rPr>
                <w:sz w:val="23"/>
                <w:szCs w:val="23"/>
              </w:rPr>
              <w:t xml:space="preserve">by </w:t>
            </w:r>
            <w:r w:rsidR="00230358" w:rsidRPr="00CC4B9D">
              <w:rPr>
                <w:sz w:val="23"/>
                <w:szCs w:val="23"/>
              </w:rPr>
              <w:t xml:space="preserve">2.0 </w:t>
            </w:r>
            <w:r w:rsidR="00662DE8" w:rsidRPr="00CC4B9D">
              <w:rPr>
                <w:sz w:val="23"/>
                <w:szCs w:val="23"/>
              </w:rPr>
              <w:t xml:space="preserve">per cent over the year to </w:t>
            </w:r>
            <w:r w:rsidR="00230358" w:rsidRPr="00CC4B9D">
              <w:rPr>
                <w:sz w:val="23"/>
                <w:szCs w:val="23"/>
              </w:rPr>
              <w:t>June</w:t>
            </w:r>
            <w:r w:rsidR="00662DE8" w:rsidRPr="00CC4B9D">
              <w:rPr>
                <w:sz w:val="23"/>
                <w:szCs w:val="23"/>
              </w:rPr>
              <w:t xml:space="preserve">, </w:t>
            </w:r>
            <w:r w:rsidR="00771BC6" w:rsidRPr="00CC4B9D">
              <w:rPr>
                <w:sz w:val="23"/>
                <w:szCs w:val="23"/>
              </w:rPr>
              <w:t>close to the record</w:t>
            </w:r>
            <w:r w:rsidR="00AA744A" w:rsidRPr="00CC4B9D">
              <w:rPr>
                <w:sz w:val="23"/>
                <w:szCs w:val="23"/>
              </w:rPr>
              <w:t xml:space="preserve"> </w:t>
            </w:r>
            <w:r w:rsidR="00662DE8" w:rsidRPr="00CC4B9D">
              <w:rPr>
                <w:sz w:val="23"/>
                <w:szCs w:val="23"/>
              </w:rPr>
              <w:t>low</w:t>
            </w:r>
            <w:r w:rsidR="00771BC6" w:rsidRPr="00CC4B9D">
              <w:rPr>
                <w:sz w:val="23"/>
                <w:szCs w:val="23"/>
              </w:rPr>
              <w:t xml:space="preserve">s since </w:t>
            </w:r>
            <w:r w:rsidR="00636AB1" w:rsidRPr="00CC4B9D">
              <w:rPr>
                <w:sz w:val="23"/>
                <w:szCs w:val="23"/>
              </w:rPr>
              <w:t xml:space="preserve">the </w:t>
            </w:r>
            <w:r w:rsidR="00771BC6" w:rsidRPr="00CC4B9D">
              <w:rPr>
                <w:sz w:val="23"/>
                <w:szCs w:val="23"/>
              </w:rPr>
              <w:t xml:space="preserve">1970s. </w:t>
            </w:r>
          </w:p>
          <w:p w:rsidR="004E638E" w:rsidRPr="00CC4B9D" w:rsidRDefault="009D5E13" w:rsidP="00C15903">
            <w:pPr>
              <w:pStyle w:val="Bullet-highlight"/>
              <w:rPr>
                <w:sz w:val="23"/>
                <w:szCs w:val="23"/>
              </w:rPr>
            </w:pPr>
            <w:r w:rsidRPr="00CC4B9D">
              <w:rPr>
                <w:sz w:val="23"/>
                <w:szCs w:val="23"/>
              </w:rPr>
              <w:t xml:space="preserve">The annual rise in </w:t>
            </w:r>
            <w:r w:rsidR="00345479" w:rsidRPr="00CC4B9D">
              <w:rPr>
                <w:sz w:val="23"/>
                <w:szCs w:val="23"/>
              </w:rPr>
              <w:t>r</w:t>
            </w:r>
            <w:r w:rsidR="004B10C4" w:rsidRPr="00CC4B9D">
              <w:rPr>
                <w:sz w:val="23"/>
                <w:szCs w:val="23"/>
              </w:rPr>
              <w:t xml:space="preserve">etail sales </w:t>
            </w:r>
            <w:r w:rsidR="00662DE8" w:rsidRPr="00CC4B9D">
              <w:rPr>
                <w:sz w:val="23"/>
                <w:szCs w:val="23"/>
              </w:rPr>
              <w:t xml:space="preserve">volumes </w:t>
            </w:r>
            <w:r w:rsidRPr="00CC4B9D">
              <w:rPr>
                <w:sz w:val="23"/>
                <w:szCs w:val="23"/>
              </w:rPr>
              <w:t>to June was the highest among</w:t>
            </w:r>
            <w:r w:rsidR="00636AB1" w:rsidRPr="00CC4B9D">
              <w:rPr>
                <w:sz w:val="23"/>
                <w:szCs w:val="23"/>
              </w:rPr>
              <w:t xml:space="preserve"> </w:t>
            </w:r>
            <w:r w:rsidR="00662DE8" w:rsidRPr="00CC4B9D">
              <w:rPr>
                <w:sz w:val="23"/>
                <w:szCs w:val="23"/>
              </w:rPr>
              <w:t>the states</w:t>
            </w:r>
            <w:r w:rsidRPr="00CC4B9D">
              <w:rPr>
                <w:sz w:val="23"/>
                <w:szCs w:val="23"/>
              </w:rPr>
              <w:t>.</w:t>
            </w:r>
          </w:p>
          <w:p w:rsidR="004B10C4" w:rsidRPr="00CC4B9D" w:rsidRDefault="009D5E13" w:rsidP="00C15903">
            <w:pPr>
              <w:pStyle w:val="Bullet-highlight"/>
              <w:rPr>
                <w:sz w:val="23"/>
                <w:szCs w:val="23"/>
              </w:rPr>
            </w:pPr>
            <w:r w:rsidRPr="00CC4B9D">
              <w:rPr>
                <w:sz w:val="23"/>
                <w:szCs w:val="23"/>
              </w:rPr>
              <w:t>C</w:t>
            </w:r>
            <w:r w:rsidR="004B10C4" w:rsidRPr="00CC4B9D">
              <w:rPr>
                <w:sz w:val="23"/>
                <w:szCs w:val="23"/>
              </w:rPr>
              <w:t>onsumer and business confiden</w:t>
            </w:r>
            <w:r w:rsidR="00662DE8" w:rsidRPr="00CC4B9D">
              <w:rPr>
                <w:sz w:val="23"/>
                <w:szCs w:val="23"/>
              </w:rPr>
              <w:t>ce</w:t>
            </w:r>
            <w:r w:rsidR="004B10C4" w:rsidRPr="00CC4B9D">
              <w:rPr>
                <w:sz w:val="23"/>
                <w:szCs w:val="23"/>
              </w:rPr>
              <w:t xml:space="preserve"> rose in the month</w:t>
            </w:r>
            <w:r w:rsidRPr="00CC4B9D">
              <w:rPr>
                <w:sz w:val="23"/>
                <w:szCs w:val="23"/>
              </w:rPr>
              <w:t>.</w:t>
            </w:r>
          </w:p>
          <w:p w:rsidR="005C66FE" w:rsidRPr="00CC4B9D" w:rsidRDefault="00344153" w:rsidP="00F90892">
            <w:pPr>
              <w:pStyle w:val="Bullet-highlight"/>
              <w:rPr>
                <w:sz w:val="23"/>
                <w:szCs w:val="23"/>
              </w:rPr>
            </w:pPr>
            <w:r w:rsidRPr="00CC4B9D">
              <w:rPr>
                <w:sz w:val="23"/>
                <w:szCs w:val="23"/>
              </w:rPr>
              <w:t xml:space="preserve">Melbourne's house price growth was the </w:t>
            </w:r>
            <w:r w:rsidR="00B863A4" w:rsidRPr="00CC4B9D">
              <w:rPr>
                <w:sz w:val="23"/>
                <w:szCs w:val="23"/>
              </w:rPr>
              <w:t xml:space="preserve">second </w:t>
            </w:r>
            <w:r w:rsidRPr="00CC4B9D">
              <w:rPr>
                <w:sz w:val="23"/>
                <w:szCs w:val="23"/>
              </w:rPr>
              <w:t>highest among</w:t>
            </w:r>
            <w:r w:rsidR="00375B3E" w:rsidRPr="00CC4B9D">
              <w:rPr>
                <w:sz w:val="23"/>
                <w:szCs w:val="23"/>
              </w:rPr>
              <w:t>st</w:t>
            </w:r>
            <w:r w:rsidRPr="00CC4B9D">
              <w:rPr>
                <w:sz w:val="23"/>
                <w:szCs w:val="23"/>
              </w:rPr>
              <w:t xml:space="preserve"> the </w:t>
            </w:r>
            <w:r w:rsidR="005923C3" w:rsidRPr="00CC4B9D">
              <w:rPr>
                <w:sz w:val="23"/>
                <w:szCs w:val="23"/>
              </w:rPr>
              <w:t>state</w:t>
            </w:r>
            <w:r w:rsidRPr="00CC4B9D">
              <w:rPr>
                <w:sz w:val="23"/>
                <w:szCs w:val="23"/>
              </w:rPr>
              <w:t xml:space="preserve"> capitals in </w:t>
            </w:r>
            <w:r w:rsidR="00C25C05" w:rsidRPr="00CC4B9D">
              <w:rPr>
                <w:sz w:val="23"/>
                <w:szCs w:val="23"/>
              </w:rPr>
              <w:t>August</w:t>
            </w:r>
            <w:r w:rsidR="00DD5D31" w:rsidRPr="00CC4B9D">
              <w:rPr>
                <w:sz w:val="23"/>
                <w:szCs w:val="23"/>
              </w:rPr>
              <w:t>.</w:t>
            </w:r>
          </w:p>
          <w:p w:rsidR="00F90892" w:rsidRPr="00CC4B9D" w:rsidRDefault="00F02F29" w:rsidP="00F90892">
            <w:pPr>
              <w:pStyle w:val="Bullet-highlight"/>
              <w:rPr>
                <w:sz w:val="23"/>
                <w:szCs w:val="23"/>
              </w:rPr>
            </w:pPr>
            <w:r w:rsidRPr="00CC4B9D">
              <w:rPr>
                <w:sz w:val="23"/>
                <w:szCs w:val="23"/>
              </w:rPr>
              <w:t>Total b</w:t>
            </w:r>
            <w:r w:rsidR="00F90892" w:rsidRPr="00CC4B9D">
              <w:rPr>
                <w:sz w:val="23"/>
                <w:szCs w:val="23"/>
              </w:rPr>
              <w:t xml:space="preserve">uilding approvals </w:t>
            </w:r>
            <w:r w:rsidR="00D47A32" w:rsidRPr="00CC4B9D">
              <w:rPr>
                <w:sz w:val="23"/>
                <w:szCs w:val="23"/>
              </w:rPr>
              <w:t>increased</w:t>
            </w:r>
            <w:r w:rsidR="00F90892" w:rsidRPr="00CC4B9D">
              <w:rPr>
                <w:sz w:val="23"/>
                <w:szCs w:val="23"/>
              </w:rPr>
              <w:t xml:space="preserve"> in </w:t>
            </w:r>
            <w:r w:rsidR="00C22A37" w:rsidRPr="00CC4B9D">
              <w:rPr>
                <w:sz w:val="23"/>
                <w:szCs w:val="23"/>
              </w:rPr>
              <w:t>July</w:t>
            </w:r>
            <w:r w:rsidR="00DD5D31" w:rsidRPr="00CC4B9D">
              <w:rPr>
                <w:sz w:val="23"/>
                <w:szCs w:val="23"/>
              </w:rPr>
              <w:t>.</w:t>
            </w:r>
          </w:p>
          <w:p w:rsidR="000F0189" w:rsidRPr="00BB0BF9" w:rsidRDefault="00300949" w:rsidP="00126FFE">
            <w:pPr>
              <w:pStyle w:val="Bullet-highlight"/>
            </w:pPr>
            <w:r w:rsidRPr="00CC4B9D">
              <w:rPr>
                <w:sz w:val="23"/>
                <w:szCs w:val="23"/>
              </w:rPr>
              <w:t xml:space="preserve">The </w:t>
            </w:r>
            <w:r w:rsidR="00CF3D8B" w:rsidRPr="00CC4B9D">
              <w:rPr>
                <w:sz w:val="23"/>
                <w:szCs w:val="23"/>
              </w:rPr>
              <w:t xml:space="preserve">US economy expanded at an annualised rate of </w:t>
            </w:r>
            <w:r w:rsidR="00126FFE" w:rsidRPr="00CC4B9D">
              <w:rPr>
                <w:sz w:val="23"/>
                <w:szCs w:val="23"/>
              </w:rPr>
              <w:t>3.0</w:t>
            </w:r>
            <w:r w:rsidR="00CF3D8B" w:rsidRPr="00CC4B9D">
              <w:rPr>
                <w:sz w:val="23"/>
                <w:szCs w:val="23"/>
              </w:rPr>
              <w:t xml:space="preserve"> </w:t>
            </w:r>
            <w:r w:rsidR="00345479" w:rsidRPr="00CC4B9D">
              <w:rPr>
                <w:sz w:val="23"/>
                <w:szCs w:val="23"/>
              </w:rPr>
              <w:br/>
            </w:r>
            <w:r w:rsidRPr="00CC4B9D">
              <w:rPr>
                <w:sz w:val="23"/>
                <w:szCs w:val="23"/>
              </w:rPr>
              <w:t xml:space="preserve">per cent in the </w:t>
            </w:r>
            <w:r w:rsidR="00771BC6" w:rsidRPr="00CC4B9D">
              <w:rPr>
                <w:sz w:val="23"/>
                <w:szCs w:val="23"/>
              </w:rPr>
              <w:t>June</w:t>
            </w:r>
            <w:r w:rsidR="00C22A37" w:rsidRPr="00CC4B9D">
              <w:rPr>
                <w:sz w:val="23"/>
                <w:szCs w:val="23"/>
              </w:rPr>
              <w:t xml:space="preserve"> </w:t>
            </w:r>
            <w:r w:rsidRPr="00CC4B9D">
              <w:rPr>
                <w:sz w:val="23"/>
                <w:szCs w:val="23"/>
              </w:rPr>
              <w:t>quarter of 2017</w:t>
            </w:r>
            <w:r w:rsidR="00DD5D31" w:rsidRPr="00CC4B9D">
              <w:rPr>
                <w:sz w:val="23"/>
                <w:szCs w:val="23"/>
              </w:rPr>
              <w:t>.</w:t>
            </w:r>
          </w:p>
        </w:tc>
      </w:tr>
      <w:tr w:rsidR="002751C4" w:rsidTr="00375B3E">
        <w:tblPrEx>
          <w:shd w:val="clear" w:color="auto" w:fill="auto"/>
        </w:tblPrEx>
        <w:tc>
          <w:tcPr>
            <w:tcW w:w="1101" w:type="dxa"/>
          </w:tcPr>
          <w:p w:rsidR="002751C4" w:rsidRDefault="002751C4" w:rsidP="005164C2">
            <w:pPr>
              <w:keepNext/>
            </w:pPr>
            <w:r>
              <w:rPr>
                <w:noProof/>
                <w:lang w:eastAsia="en-AU"/>
              </w:rPr>
              <w:lastRenderedPageBreak/>
              <w:drawing>
                <wp:inline distT="0" distB="0" distL="0" distR="0" wp14:anchorId="30030C0C" wp14:editId="7FF1F8E7">
                  <wp:extent cx="512935" cy="3600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850" w:type="dxa"/>
            <w:gridSpan w:val="2"/>
            <w:vAlign w:val="bottom"/>
          </w:tcPr>
          <w:p w:rsidR="002751C4" w:rsidRDefault="00C63217" w:rsidP="005164C2">
            <w:pPr>
              <w:pStyle w:val="Heading1"/>
            </w:pPr>
            <w:r>
              <w:t>Domestic developments</w:t>
            </w:r>
          </w:p>
        </w:tc>
      </w:tr>
    </w:tbl>
    <w:p w:rsidR="001C517E" w:rsidRDefault="00585DD0" w:rsidP="008D06D9">
      <w:pPr>
        <w:ind w:right="231"/>
      </w:pPr>
      <w:r>
        <w:t>E</w:t>
      </w:r>
      <w:r w:rsidR="001C517E" w:rsidRPr="00B17DE6">
        <w:t xml:space="preserve">conomic indicators </w:t>
      </w:r>
      <w:r w:rsidR="001C517E">
        <w:t>released</w:t>
      </w:r>
      <w:r w:rsidR="001C517E" w:rsidRPr="00B17DE6">
        <w:t xml:space="preserve"> </w:t>
      </w:r>
      <w:r>
        <w:t>in</w:t>
      </w:r>
      <w:r w:rsidR="001C517E">
        <w:t xml:space="preserve"> the past month </w:t>
      </w:r>
      <w:r w:rsidR="00AD2B6B">
        <w:t xml:space="preserve">are consistent with </w:t>
      </w:r>
      <w:r w:rsidR="00F90892">
        <w:t>strong economic conditions</w:t>
      </w:r>
      <w:r w:rsidR="00390E2F">
        <w:t xml:space="preserve"> in Victoria</w:t>
      </w:r>
      <w:r w:rsidR="00F90892">
        <w:t>.</w:t>
      </w:r>
    </w:p>
    <w:p w:rsidR="003D74B2" w:rsidRDefault="00C63217" w:rsidP="00CC4B9D">
      <w:pPr>
        <w:spacing w:after="160"/>
        <w:ind w:right="232"/>
      </w:pPr>
      <w:r>
        <w:t xml:space="preserve">Victorian </w:t>
      </w:r>
      <w:r w:rsidRPr="003D74B2">
        <w:rPr>
          <w:b/>
        </w:rPr>
        <w:t>state final demand</w:t>
      </w:r>
      <w:r>
        <w:t xml:space="preserve"> grew 1.3 per cent in the June quarter 2017 and 4.7 per cent over the year. </w:t>
      </w:r>
      <w:r w:rsidR="003D74B2">
        <w:t xml:space="preserve">This was the </w:t>
      </w:r>
      <w:r>
        <w:t xml:space="preserve">second highest </w:t>
      </w:r>
      <w:r w:rsidR="003D74B2">
        <w:t xml:space="preserve">quarterly </w:t>
      </w:r>
      <w:r>
        <w:t xml:space="preserve">growth and the highest </w:t>
      </w:r>
      <w:r w:rsidR="003D74B2">
        <w:t>annual growth in state final demand of all the states</w:t>
      </w:r>
      <w:r>
        <w:t xml:space="preserve">. </w:t>
      </w:r>
    </w:p>
    <w:p w:rsidR="003D74B2" w:rsidRDefault="003D74B2" w:rsidP="00CC4B9D">
      <w:pPr>
        <w:spacing w:after="160"/>
        <w:ind w:right="232"/>
      </w:pPr>
      <w:r>
        <w:t>Growth was broad-based with positive contributions from a</w:t>
      </w:r>
      <w:r w:rsidR="00C63217">
        <w:t xml:space="preserve">ll components except for public </w:t>
      </w:r>
      <w:r w:rsidR="004E1115">
        <w:t>demand</w:t>
      </w:r>
      <w:r w:rsidR="00C63217">
        <w:t xml:space="preserve">. </w:t>
      </w:r>
    </w:p>
    <w:p w:rsidR="003D74B2" w:rsidRDefault="003D74B2" w:rsidP="00CC4B9D">
      <w:pPr>
        <w:spacing w:after="160"/>
        <w:ind w:right="232"/>
      </w:pPr>
      <w:r w:rsidRPr="00B20A93">
        <w:rPr>
          <w:b/>
        </w:rPr>
        <w:t>Household</w:t>
      </w:r>
      <w:r>
        <w:t xml:space="preserve"> </w:t>
      </w:r>
      <w:r w:rsidRPr="00B20A93">
        <w:rPr>
          <w:b/>
        </w:rPr>
        <w:t>consumption</w:t>
      </w:r>
      <w:r>
        <w:t xml:space="preserve"> grew 0.8 per cent in the quarter and 3.4 per cent over the year, driven by clothing and footwear, and furnishings and household equipment</w:t>
      </w:r>
      <w:r w:rsidR="004E1115">
        <w:t xml:space="preserve"> growth</w:t>
      </w:r>
      <w:r>
        <w:t xml:space="preserve">. These gains were partially offset by losses in electricity, gas and other fuel spending. </w:t>
      </w:r>
    </w:p>
    <w:p w:rsidR="003D74B2" w:rsidRDefault="003D74B2" w:rsidP="00CC4B9D">
      <w:pPr>
        <w:spacing w:after="160"/>
        <w:ind w:right="232"/>
      </w:pPr>
      <w:r w:rsidRPr="00B20A93">
        <w:rPr>
          <w:b/>
        </w:rPr>
        <w:t>Business investment</w:t>
      </w:r>
      <w:r>
        <w:t xml:space="preserve"> bounced back from a weak March quarter and grew 7.0 per cent in the June quarter and 20.5 per cent over the year. The quarterly bounce was mostly driven by non-dwelling construction.</w:t>
      </w:r>
    </w:p>
    <w:p w:rsidR="003D74B2" w:rsidRDefault="003D74B2" w:rsidP="00CC4B9D">
      <w:pPr>
        <w:spacing w:after="160"/>
        <w:ind w:right="232"/>
        <w:sectPr w:rsidR="003D74B2" w:rsidSect="008D06D9">
          <w:headerReference w:type="default" r:id="rId16"/>
          <w:footerReference w:type="default" r:id="rId17"/>
          <w:type w:val="continuous"/>
          <w:pgSz w:w="11906" w:h="16838" w:code="9"/>
          <w:pgMar w:top="964" w:right="1134" w:bottom="794" w:left="1134" w:header="709" w:footer="567" w:gutter="0"/>
          <w:cols w:num="2" w:space="562" w:equalWidth="0">
            <w:col w:w="3625" w:space="562"/>
            <w:col w:w="5451"/>
          </w:cols>
          <w:docGrid w:linePitch="360"/>
        </w:sectPr>
      </w:pPr>
      <w:r w:rsidRPr="00B20A93">
        <w:rPr>
          <w:b/>
        </w:rPr>
        <w:t>Dwelling investment</w:t>
      </w:r>
      <w:r>
        <w:t xml:space="preserve"> growth was positive but subdued with growth of 0.6 per cent in the quarter and 0.1 per cent over the year. Growth in alterations and additions was weighed down by subdued growth in </w:t>
      </w:r>
      <w:r w:rsidR="004E1115">
        <w:t>new dwellings</w:t>
      </w:r>
      <w:r>
        <w:t>.</w:t>
      </w:r>
    </w:p>
    <w:p w:rsidR="00C63217" w:rsidRDefault="003D74B2" w:rsidP="00B20A93">
      <w:pPr>
        <w:ind w:right="231"/>
      </w:pPr>
      <w:r w:rsidRPr="00B20A93">
        <w:rPr>
          <w:b/>
        </w:rPr>
        <w:lastRenderedPageBreak/>
        <w:t>Public demand</w:t>
      </w:r>
      <w:r>
        <w:t xml:space="preserve"> </w:t>
      </w:r>
      <w:r w:rsidR="00B20A93">
        <w:t xml:space="preserve">fell </w:t>
      </w:r>
      <w:r>
        <w:t>0.1</w:t>
      </w:r>
      <w:r w:rsidR="00B20A93">
        <w:t> </w:t>
      </w:r>
      <w:r>
        <w:t>per</w:t>
      </w:r>
      <w:r w:rsidR="00B20A93">
        <w:t> </w:t>
      </w:r>
      <w:r>
        <w:t xml:space="preserve">cent in the quarter but </w:t>
      </w:r>
      <w:r w:rsidR="00B20A93">
        <w:t xml:space="preserve">was </w:t>
      </w:r>
      <w:r>
        <w:t xml:space="preserve">2.3 per cent </w:t>
      </w:r>
      <w:r w:rsidR="00375B3E">
        <w:t xml:space="preserve">higher </w:t>
      </w:r>
      <w:r>
        <w:t>over the year.</w:t>
      </w:r>
    </w:p>
    <w:p w:rsidR="00023204" w:rsidRDefault="00C22A37" w:rsidP="00023204">
      <w:pPr>
        <w:ind w:right="231"/>
      </w:pPr>
      <w:r w:rsidRPr="0021468B">
        <w:t>Victoria</w:t>
      </w:r>
      <w:r>
        <w:t>’s</w:t>
      </w:r>
      <w:r w:rsidRPr="0021468B">
        <w:t xml:space="preserve"> </w:t>
      </w:r>
      <w:r w:rsidR="00023204" w:rsidRPr="0021468B">
        <w:rPr>
          <w:b/>
        </w:rPr>
        <w:t xml:space="preserve">labour market </w:t>
      </w:r>
      <w:r w:rsidR="00CF3D8B">
        <w:t>remain</w:t>
      </w:r>
      <w:r w:rsidR="00AD2B6B">
        <w:t>s</w:t>
      </w:r>
      <w:r w:rsidR="00CF3D8B">
        <w:t xml:space="preserve"> </w:t>
      </w:r>
      <w:r w:rsidR="004E36F7">
        <w:t>strong</w:t>
      </w:r>
      <w:r w:rsidR="00CF3D8B">
        <w:t xml:space="preserve"> but </w:t>
      </w:r>
      <w:r w:rsidR="00AD2B6B">
        <w:t>e</w:t>
      </w:r>
      <w:r w:rsidR="00023204" w:rsidRPr="00FC2759">
        <w:t xml:space="preserve">mployment </w:t>
      </w:r>
      <w:r w:rsidR="008C2BE2">
        <w:t>was</w:t>
      </w:r>
      <w:r>
        <w:t xml:space="preserve"> flat</w:t>
      </w:r>
      <w:r w:rsidR="00345479">
        <w:t xml:space="preserve"> </w:t>
      </w:r>
      <w:r w:rsidR="00390E2F">
        <w:t>in</w:t>
      </w:r>
      <w:r w:rsidR="00AD2B6B">
        <w:t xml:space="preserve"> July. A</w:t>
      </w:r>
      <w:r w:rsidR="00390E2F">
        <w:t>nnual growth</w:t>
      </w:r>
      <w:r w:rsidR="0085104F">
        <w:t xml:space="preserve"> to July</w:t>
      </w:r>
      <w:r w:rsidR="00390E2F">
        <w:t xml:space="preserve"> </w:t>
      </w:r>
      <w:r w:rsidR="0085104F">
        <w:t>was</w:t>
      </w:r>
      <w:r w:rsidR="00390E2F">
        <w:t xml:space="preserve"> </w:t>
      </w:r>
      <w:r w:rsidR="0021468B">
        <w:t>2.8</w:t>
      </w:r>
      <w:r w:rsidR="00023204">
        <w:t xml:space="preserve"> per cent </w:t>
      </w:r>
      <w:r w:rsidR="00390E2F">
        <w:t>or</w:t>
      </w:r>
      <w:r w:rsidR="00AA744A">
        <w:t xml:space="preserve"> </w:t>
      </w:r>
      <w:r w:rsidR="0021468B">
        <w:t>85</w:t>
      </w:r>
      <w:r w:rsidR="00023204">
        <w:t> </w:t>
      </w:r>
      <w:r w:rsidR="00994DFD" w:rsidRPr="00FC2759">
        <w:t>800</w:t>
      </w:r>
      <w:r w:rsidR="00994DFD">
        <w:t> </w:t>
      </w:r>
      <w:r w:rsidR="00023204" w:rsidRPr="00FC2759">
        <w:t>persons</w:t>
      </w:r>
      <w:r w:rsidR="00023204">
        <w:t xml:space="preserve">, the highest </w:t>
      </w:r>
      <w:r w:rsidR="00994DFD">
        <w:t>absolute</w:t>
      </w:r>
      <w:r w:rsidR="00390E2F">
        <w:t xml:space="preserve"> </w:t>
      </w:r>
      <w:r w:rsidR="00023204">
        <w:t>increase among the states</w:t>
      </w:r>
      <w:r w:rsidR="00023204" w:rsidRPr="00FC2759">
        <w:t>.</w:t>
      </w:r>
      <w:r w:rsidR="00023204">
        <w:t xml:space="preserve"> </w:t>
      </w:r>
      <w:r w:rsidR="00953332">
        <w:t xml:space="preserve">The unemployment rate </w:t>
      </w:r>
      <w:r w:rsidR="0085104F">
        <w:t xml:space="preserve">rose to </w:t>
      </w:r>
      <w:r w:rsidR="00953332">
        <w:t xml:space="preserve">6.1 per cent </w:t>
      </w:r>
      <w:r w:rsidR="0085104F">
        <w:t xml:space="preserve">from 5.9 per cent </w:t>
      </w:r>
      <w:r w:rsidR="00953332">
        <w:t>and t</w:t>
      </w:r>
      <w:r w:rsidR="00023204">
        <w:t xml:space="preserve">he participation rate </w:t>
      </w:r>
      <w:r w:rsidR="008C2BE2">
        <w:t>was</w:t>
      </w:r>
      <w:r w:rsidR="0085104F">
        <w:t xml:space="preserve"> </w:t>
      </w:r>
      <w:r w:rsidR="00023204">
        <w:t xml:space="preserve">66.0 per cent. </w:t>
      </w:r>
    </w:p>
    <w:p w:rsidR="000170B4" w:rsidRDefault="005C6F29" w:rsidP="004952C2">
      <w:pPr>
        <w:ind w:right="231"/>
      </w:pPr>
      <w:r>
        <w:t xml:space="preserve">Victorian </w:t>
      </w:r>
      <w:r w:rsidRPr="00260213">
        <w:rPr>
          <w:b/>
        </w:rPr>
        <w:t>wage</w:t>
      </w:r>
      <w:r w:rsidR="00AD2B6B">
        <w:rPr>
          <w:b/>
        </w:rPr>
        <w:t>s</w:t>
      </w:r>
      <w:r w:rsidR="00D87559">
        <w:t xml:space="preserve"> grew 2.0 per cent over the year to</w:t>
      </w:r>
      <w:r>
        <w:t xml:space="preserve"> </w:t>
      </w:r>
      <w:r w:rsidR="00AA744A">
        <w:t xml:space="preserve">June </w:t>
      </w:r>
      <w:r>
        <w:t>201</w:t>
      </w:r>
      <w:r w:rsidR="00D81F26">
        <w:t>7</w:t>
      </w:r>
      <w:r>
        <w:t xml:space="preserve">, </w:t>
      </w:r>
      <w:r w:rsidR="00AA744A">
        <w:t>close to the</w:t>
      </w:r>
      <w:r>
        <w:t xml:space="preserve"> </w:t>
      </w:r>
      <w:r w:rsidR="00AD2B6B">
        <w:t xml:space="preserve">lowest </w:t>
      </w:r>
      <w:r w:rsidR="003B13CD">
        <w:t>record</w:t>
      </w:r>
      <w:r w:rsidR="0085104F">
        <w:t>ed</w:t>
      </w:r>
      <w:r w:rsidR="00AD2B6B">
        <w:t xml:space="preserve"> </w:t>
      </w:r>
      <w:r w:rsidR="0085104F">
        <w:t xml:space="preserve">growth </w:t>
      </w:r>
      <w:r w:rsidR="00AA744A">
        <w:t>of 1.9 per cent</w:t>
      </w:r>
      <w:r w:rsidR="00F15DD8">
        <w:t xml:space="preserve"> in December 2016</w:t>
      </w:r>
      <w:r w:rsidR="00AD2B6B">
        <w:t xml:space="preserve">. </w:t>
      </w:r>
      <w:r w:rsidR="0085104F">
        <w:t>H</w:t>
      </w:r>
      <w:r w:rsidR="000170B4">
        <w:t xml:space="preserve">ealth care and social assistance, and </w:t>
      </w:r>
      <w:r w:rsidR="0085104F">
        <w:t xml:space="preserve">the </w:t>
      </w:r>
      <w:r w:rsidR="000170B4">
        <w:t>utility</w:t>
      </w:r>
      <w:r w:rsidR="0085104F">
        <w:t xml:space="preserve"> sector recorded the strongest growth</w:t>
      </w:r>
      <w:r w:rsidR="00543BB3">
        <w:t>.</w:t>
      </w:r>
    </w:p>
    <w:p w:rsidR="008D06D9" w:rsidRDefault="000170B4" w:rsidP="004952C2">
      <w:pPr>
        <w:ind w:right="231"/>
      </w:pPr>
      <w:r>
        <w:t xml:space="preserve">Victoria’s </w:t>
      </w:r>
      <w:r w:rsidRPr="00BF321C">
        <w:rPr>
          <w:b/>
        </w:rPr>
        <w:t>population</w:t>
      </w:r>
      <w:r>
        <w:t xml:space="preserve"> growth </w:t>
      </w:r>
      <w:r w:rsidR="0085104F">
        <w:t xml:space="preserve">remained </w:t>
      </w:r>
      <w:r w:rsidR="00AD2B6B">
        <w:t xml:space="preserve">strong </w:t>
      </w:r>
      <w:r w:rsidR="0085104F">
        <w:t xml:space="preserve">across </w:t>
      </w:r>
      <w:r>
        <w:t xml:space="preserve">metropolitan and regional areas. Melbourne’s </w:t>
      </w:r>
      <w:r w:rsidRPr="00BF321C">
        <w:t>population</w:t>
      </w:r>
      <w:r>
        <w:t xml:space="preserve"> </w:t>
      </w:r>
      <w:r w:rsidR="0085104F">
        <w:t xml:space="preserve">rose </w:t>
      </w:r>
      <w:r>
        <w:t xml:space="preserve">by 2.7 per cent </w:t>
      </w:r>
      <w:r w:rsidR="00AD2B6B">
        <w:t>in</w:t>
      </w:r>
      <w:r>
        <w:t xml:space="preserve"> 2015-16, </w:t>
      </w:r>
      <w:r w:rsidR="00AD2B6B">
        <w:t xml:space="preserve">higher than </w:t>
      </w:r>
      <w:r>
        <w:t xml:space="preserve">the growth rates </w:t>
      </w:r>
      <w:r w:rsidR="00AD2B6B">
        <w:t xml:space="preserve">in </w:t>
      </w:r>
      <w:r>
        <w:t xml:space="preserve">all other capital cities. Regional </w:t>
      </w:r>
      <w:r w:rsidRPr="00340C10">
        <w:t xml:space="preserve">Victoria’s population </w:t>
      </w:r>
      <w:r w:rsidR="00AD2B6B">
        <w:t>grew</w:t>
      </w:r>
      <w:r>
        <w:t xml:space="preserve"> 1.4 per cent over</w:t>
      </w:r>
      <w:r w:rsidR="00994DFD">
        <w:t xml:space="preserve"> the year, the highest in regional Australia.</w:t>
      </w:r>
      <w:r>
        <w:t xml:space="preserve"> </w:t>
      </w:r>
    </w:p>
    <w:p w:rsidR="00D14FA0" w:rsidRDefault="00994DFD" w:rsidP="00D14FA0">
      <w:r>
        <w:t xml:space="preserve">Indicators for household consumption were generally positive. </w:t>
      </w:r>
      <w:r w:rsidR="00D14FA0">
        <w:t xml:space="preserve">Victoria’s </w:t>
      </w:r>
      <w:r w:rsidR="00D14FA0" w:rsidRPr="002D09FD">
        <w:rPr>
          <w:b/>
        </w:rPr>
        <w:t>retail sales</w:t>
      </w:r>
      <w:r w:rsidR="00D14FA0">
        <w:t xml:space="preserve"> </w:t>
      </w:r>
      <w:r>
        <w:t xml:space="preserve">volumes </w:t>
      </w:r>
      <w:r w:rsidR="00D14FA0">
        <w:t xml:space="preserve">grew 3.5 per cent over the year to </w:t>
      </w:r>
      <w:r>
        <w:t xml:space="preserve">the </w:t>
      </w:r>
      <w:r w:rsidR="00D14FA0">
        <w:t>June quarter 2017</w:t>
      </w:r>
      <w:r w:rsidR="00543BB3">
        <w:t>,</w:t>
      </w:r>
      <w:r w:rsidR="0085104F">
        <w:t xml:space="preserve"> </w:t>
      </w:r>
      <w:r w:rsidR="00F90892">
        <w:t>the highest growth of all states</w:t>
      </w:r>
      <w:r w:rsidR="00D14FA0">
        <w:t xml:space="preserve">. </w:t>
      </w:r>
      <w:r w:rsidR="00476B96">
        <w:t xml:space="preserve">According to </w:t>
      </w:r>
      <w:r w:rsidR="00D14FA0">
        <w:t>NAB</w:t>
      </w:r>
      <w:r>
        <w:t>’s</w:t>
      </w:r>
      <w:r w:rsidR="00D14FA0">
        <w:t xml:space="preserve"> Online Retail Sales Index</w:t>
      </w:r>
      <w:r w:rsidR="00476B96">
        <w:t xml:space="preserve">, </w:t>
      </w:r>
      <w:r w:rsidR="00D14FA0">
        <w:t xml:space="preserve">Victoria </w:t>
      </w:r>
      <w:r w:rsidR="00476B96">
        <w:t xml:space="preserve">also </w:t>
      </w:r>
      <w:r w:rsidR="00D14FA0">
        <w:t xml:space="preserve">recorded the strongest growth </w:t>
      </w:r>
      <w:r>
        <w:t xml:space="preserve">in </w:t>
      </w:r>
      <w:r w:rsidR="00D14FA0">
        <w:t xml:space="preserve">online spending over the </w:t>
      </w:r>
      <w:r>
        <w:t>year</w:t>
      </w:r>
      <w:r w:rsidR="00D14FA0">
        <w:t xml:space="preserve"> to June. </w:t>
      </w:r>
      <w:r w:rsidR="00D14FA0" w:rsidRPr="006A745F">
        <w:t xml:space="preserve">Victorian </w:t>
      </w:r>
      <w:r w:rsidR="00D14FA0" w:rsidRPr="006A745F">
        <w:rPr>
          <w:b/>
        </w:rPr>
        <w:t>consumer sentiment</w:t>
      </w:r>
      <w:r w:rsidR="00D14FA0">
        <w:t xml:space="preserve"> increased 4.2 per cent to 101.4 in August. Views on both </w:t>
      </w:r>
      <w:r w:rsidR="00D14FA0" w:rsidRPr="00BB3C90">
        <w:t xml:space="preserve">economic conditions </w:t>
      </w:r>
      <w:r w:rsidR="00D14FA0">
        <w:t xml:space="preserve">and family finances </w:t>
      </w:r>
      <w:r w:rsidR="00D14FA0" w:rsidRPr="00BB3C90">
        <w:t xml:space="preserve">over the next </w:t>
      </w:r>
      <w:r w:rsidR="00D14FA0">
        <w:t>12 months</w:t>
      </w:r>
      <w:r w:rsidR="00D14FA0" w:rsidRPr="00BB3C90">
        <w:t xml:space="preserve"> </w:t>
      </w:r>
      <w:r w:rsidR="00D14FA0">
        <w:t xml:space="preserve">improved. </w:t>
      </w:r>
    </w:p>
    <w:p w:rsidR="005C6F29" w:rsidRDefault="00D14FA0" w:rsidP="00351EEC">
      <w:r>
        <w:t xml:space="preserve">Victoria’s </w:t>
      </w:r>
      <w:r>
        <w:rPr>
          <w:b/>
        </w:rPr>
        <w:t xml:space="preserve">Performance </w:t>
      </w:r>
      <w:r w:rsidRPr="00BB3C90">
        <w:rPr>
          <w:b/>
        </w:rPr>
        <w:t xml:space="preserve">of Manufacturing Index </w:t>
      </w:r>
      <w:r>
        <w:t xml:space="preserve">has been in expansion for the past </w:t>
      </w:r>
      <w:r w:rsidR="009C187C">
        <w:t>seven</w:t>
      </w:r>
      <w:r>
        <w:t xml:space="preserve"> months </w:t>
      </w:r>
      <w:r w:rsidR="00994DFD">
        <w:t xml:space="preserve">and </w:t>
      </w:r>
      <w:r>
        <w:t>improve</w:t>
      </w:r>
      <w:r w:rsidR="00994DFD">
        <w:t xml:space="preserve">d further </w:t>
      </w:r>
      <w:r>
        <w:t>to 5</w:t>
      </w:r>
      <w:r w:rsidR="009C187C">
        <w:t>9</w:t>
      </w:r>
      <w:r>
        <w:t>.</w:t>
      </w:r>
      <w:r w:rsidR="009C187C">
        <w:t>3</w:t>
      </w:r>
      <w:r>
        <w:t xml:space="preserve"> in </w:t>
      </w:r>
      <w:r w:rsidR="008E665F">
        <w:t>August</w:t>
      </w:r>
      <w:r>
        <w:t xml:space="preserve">. The survey indicates that demand for locally manufactured materials, machinery and equipment had increased, while challenges remain from high input costs and </w:t>
      </w:r>
      <w:r w:rsidR="00E90A26">
        <w:t xml:space="preserve">the </w:t>
      </w:r>
      <w:r>
        <w:t xml:space="preserve">strong Australian dollar. </w:t>
      </w:r>
      <w:r w:rsidR="005C6F29">
        <w:t xml:space="preserve">The </w:t>
      </w:r>
      <w:r w:rsidR="005C6F29">
        <w:lastRenderedPageBreak/>
        <w:t xml:space="preserve">monthly </w:t>
      </w:r>
      <w:r w:rsidR="005C6F29" w:rsidRPr="00D14FA0">
        <w:t xml:space="preserve">NAB </w:t>
      </w:r>
      <w:r w:rsidR="00166AAA">
        <w:rPr>
          <w:b/>
        </w:rPr>
        <w:t>b</w:t>
      </w:r>
      <w:r w:rsidR="00E90A26">
        <w:rPr>
          <w:b/>
        </w:rPr>
        <w:t xml:space="preserve">usiness </w:t>
      </w:r>
      <w:r w:rsidR="005C6F29" w:rsidRPr="00362CE1">
        <w:rPr>
          <w:b/>
        </w:rPr>
        <w:t xml:space="preserve">confidence </w:t>
      </w:r>
      <w:r w:rsidR="00166AAA" w:rsidRPr="00166AAA">
        <w:t>series</w:t>
      </w:r>
      <w:r w:rsidR="00166AAA">
        <w:rPr>
          <w:b/>
        </w:rPr>
        <w:t xml:space="preserve"> </w:t>
      </w:r>
      <w:r w:rsidR="005C6F29">
        <w:t xml:space="preserve">rose 7 points to 13 index points and </w:t>
      </w:r>
      <w:r w:rsidR="005C6F29" w:rsidRPr="00362CE1">
        <w:rPr>
          <w:b/>
        </w:rPr>
        <w:t>business</w:t>
      </w:r>
      <w:r w:rsidR="005C6F29">
        <w:rPr>
          <w:b/>
        </w:rPr>
        <w:t xml:space="preserve"> conditions </w:t>
      </w:r>
      <w:r w:rsidR="005C6F29" w:rsidRPr="00C61C28">
        <w:t xml:space="preserve">remain at </w:t>
      </w:r>
      <w:r w:rsidR="00E90A26">
        <w:t xml:space="preserve">a </w:t>
      </w:r>
      <w:r w:rsidR="005C6F29" w:rsidRPr="00C61C28">
        <w:t xml:space="preserve">solid </w:t>
      </w:r>
      <w:r w:rsidR="00543BB3" w:rsidRPr="00C61C28">
        <w:t>level</w:t>
      </w:r>
      <w:r w:rsidR="00543BB3">
        <w:t xml:space="preserve"> of </w:t>
      </w:r>
      <w:r w:rsidR="005C6F29">
        <w:t>13 index point</w:t>
      </w:r>
      <w:r w:rsidR="00636AB1">
        <w:t>s</w:t>
      </w:r>
      <w:r w:rsidR="00E90A26">
        <w:t>.</w:t>
      </w:r>
    </w:p>
    <w:p w:rsidR="00351EEC" w:rsidRDefault="00681BC4" w:rsidP="00351EEC">
      <w:r>
        <w:t xml:space="preserve">Residential </w:t>
      </w:r>
      <w:r w:rsidR="00344153">
        <w:t xml:space="preserve">property prices continue to </w:t>
      </w:r>
      <w:r w:rsidR="000A1F05">
        <w:t>rise</w:t>
      </w:r>
      <w:r w:rsidR="00351EEC">
        <w:t xml:space="preserve">. </w:t>
      </w:r>
      <w:r w:rsidR="00344153">
        <w:t xml:space="preserve">The </w:t>
      </w:r>
      <w:proofErr w:type="spellStart"/>
      <w:r w:rsidR="00344153" w:rsidRPr="003A4B92">
        <w:rPr>
          <w:b/>
        </w:rPr>
        <w:t>CoreLogic</w:t>
      </w:r>
      <w:proofErr w:type="spellEnd"/>
      <w:r w:rsidR="00344153" w:rsidRPr="003A4B92">
        <w:rPr>
          <w:b/>
        </w:rPr>
        <w:t xml:space="preserve"> RP Data Home Value Index</w:t>
      </w:r>
      <w:r w:rsidR="00344153">
        <w:t xml:space="preserve"> for Melbourne increased </w:t>
      </w:r>
      <w:r w:rsidR="00DD5D31">
        <w:br/>
      </w:r>
      <w:r w:rsidR="000A1F05">
        <w:t>1</w:t>
      </w:r>
      <w:r w:rsidR="00C57AC9">
        <w:t>2</w:t>
      </w:r>
      <w:r w:rsidR="000A1F05">
        <w:t>.</w:t>
      </w:r>
      <w:r w:rsidR="00C57AC9">
        <w:t>7</w:t>
      </w:r>
      <w:r w:rsidR="00DD5D31">
        <w:t xml:space="preserve"> </w:t>
      </w:r>
      <w:r w:rsidR="00344153" w:rsidRPr="003A4B92">
        <w:t xml:space="preserve">per cent over the year to </w:t>
      </w:r>
      <w:r w:rsidR="00C57AC9">
        <w:t>August</w:t>
      </w:r>
      <w:r w:rsidR="00773A00">
        <w:t>,</w:t>
      </w:r>
      <w:r w:rsidR="00344153" w:rsidRPr="003A4B92">
        <w:t xml:space="preserve"> the </w:t>
      </w:r>
      <w:r w:rsidR="00C57AC9">
        <w:t xml:space="preserve">second </w:t>
      </w:r>
      <w:r w:rsidR="00344153" w:rsidRPr="003A4B92">
        <w:t xml:space="preserve">highest </w:t>
      </w:r>
      <w:r w:rsidR="00664988">
        <w:t>of all</w:t>
      </w:r>
      <w:r w:rsidR="00344153" w:rsidRPr="003A4B92">
        <w:t xml:space="preserve"> </w:t>
      </w:r>
      <w:r w:rsidR="00E90A26">
        <w:t xml:space="preserve">the </w:t>
      </w:r>
      <w:r w:rsidR="00664988">
        <w:t>s</w:t>
      </w:r>
      <w:r w:rsidR="00344153" w:rsidRPr="003A4B92">
        <w:t>tate capitals.</w:t>
      </w:r>
      <w:r w:rsidR="00D14FA0">
        <w:t xml:space="preserve"> </w:t>
      </w:r>
      <w:r w:rsidR="00D14FA0" w:rsidRPr="00260213">
        <w:rPr>
          <w:b/>
        </w:rPr>
        <w:t>Housing finance</w:t>
      </w:r>
      <w:r w:rsidR="00D14FA0">
        <w:t xml:space="preserve"> data shows that t</w:t>
      </w:r>
      <w:r w:rsidR="00C44ABD">
        <w:t xml:space="preserve">he average size of </w:t>
      </w:r>
      <w:r w:rsidR="00351EEC">
        <w:t>loan approvals</w:t>
      </w:r>
      <w:r w:rsidR="004D2530">
        <w:t xml:space="preserve"> to owner occupiers</w:t>
      </w:r>
      <w:r w:rsidR="00351EEC">
        <w:t xml:space="preserve"> </w:t>
      </w:r>
      <w:r w:rsidR="00C44ABD">
        <w:t xml:space="preserve">for </w:t>
      </w:r>
      <w:r w:rsidR="00166AAA">
        <w:t xml:space="preserve">the </w:t>
      </w:r>
      <w:r w:rsidR="00C44ABD">
        <w:t xml:space="preserve">construction and purchase of new dwellings </w:t>
      </w:r>
      <w:r w:rsidR="00166AAA">
        <w:t xml:space="preserve">increased in June, </w:t>
      </w:r>
      <w:r w:rsidR="00C44ABD">
        <w:t xml:space="preserve">but decreased slightly </w:t>
      </w:r>
      <w:r w:rsidR="00351EEC">
        <w:t xml:space="preserve">for </w:t>
      </w:r>
      <w:r w:rsidR="00166AAA">
        <w:t xml:space="preserve">the </w:t>
      </w:r>
      <w:r w:rsidR="004D2530">
        <w:t>purchas</w:t>
      </w:r>
      <w:r w:rsidR="00166AAA">
        <w:t xml:space="preserve">e </w:t>
      </w:r>
      <w:r w:rsidR="004D2530">
        <w:t xml:space="preserve">of </w:t>
      </w:r>
      <w:r w:rsidR="00351EEC">
        <w:t>established dwellings.</w:t>
      </w:r>
      <w:r w:rsidR="00344153" w:rsidRPr="003A4B92">
        <w:t xml:space="preserve"> </w:t>
      </w:r>
    </w:p>
    <w:p w:rsidR="00344153" w:rsidRDefault="00E90A26" w:rsidP="00344153">
      <w:r>
        <w:t>The b</w:t>
      </w:r>
      <w:r w:rsidR="00653B5B" w:rsidRPr="00D14FA0">
        <w:t xml:space="preserve">uilding </w:t>
      </w:r>
      <w:r w:rsidR="00653B5B">
        <w:t>construction</w:t>
      </w:r>
      <w:r w:rsidR="00351EEC">
        <w:t xml:space="preserve"> </w:t>
      </w:r>
      <w:r w:rsidR="00653B5B">
        <w:t xml:space="preserve">pipeline </w:t>
      </w:r>
      <w:r w:rsidR="00351EEC">
        <w:t>remain</w:t>
      </w:r>
      <w:r w:rsidR="00653B5B">
        <w:t>s</w:t>
      </w:r>
      <w:r w:rsidR="00351EEC">
        <w:t xml:space="preserve"> strong</w:t>
      </w:r>
      <w:r w:rsidR="00653B5B">
        <w:t xml:space="preserve"> in Victoria</w:t>
      </w:r>
      <w:r w:rsidR="00351EEC">
        <w:t xml:space="preserve">. </w:t>
      </w:r>
      <w:r w:rsidR="00027C20">
        <w:t xml:space="preserve">The </w:t>
      </w:r>
      <w:r w:rsidR="00C7461C">
        <w:t xml:space="preserve">total </w:t>
      </w:r>
      <w:r w:rsidR="00027C20" w:rsidRPr="00C7461C">
        <w:rPr>
          <w:b/>
        </w:rPr>
        <w:t>value of</w:t>
      </w:r>
      <w:r w:rsidR="00027C20">
        <w:t xml:space="preserve"> </w:t>
      </w:r>
      <w:r w:rsidR="003B13CD">
        <w:br/>
      </w:r>
      <w:r w:rsidR="00027C20" w:rsidRPr="00F90892">
        <w:rPr>
          <w:b/>
        </w:rPr>
        <w:t>building approvals</w:t>
      </w:r>
      <w:r w:rsidR="00027C20" w:rsidRPr="00653B5B">
        <w:t xml:space="preserve"> </w:t>
      </w:r>
      <w:r w:rsidR="00166AAA">
        <w:t xml:space="preserve">rose </w:t>
      </w:r>
      <w:r w:rsidR="00C7461C">
        <w:t xml:space="preserve">3.3 per cent in July, </w:t>
      </w:r>
      <w:r w:rsidR="00166AAA">
        <w:t xml:space="preserve">the </w:t>
      </w:r>
      <w:r w:rsidR="00C7461C">
        <w:t xml:space="preserve">second </w:t>
      </w:r>
      <w:r w:rsidR="00027C20" w:rsidRPr="00653B5B">
        <w:t>highest</w:t>
      </w:r>
      <w:r w:rsidR="00027C20">
        <w:t xml:space="preserve"> </w:t>
      </w:r>
      <w:r w:rsidR="00C7461C">
        <w:t xml:space="preserve">growth </w:t>
      </w:r>
      <w:r w:rsidR="00027C20">
        <w:t xml:space="preserve">amongst </w:t>
      </w:r>
      <w:r>
        <w:t xml:space="preserve">the </w:t>
      </w:r>
      <w:r w:rsidR="00027C20">
        <w:t>states</w:t>
      </w:r>
      <w:r w:rsidR="00027C20" w:rsidRPr="00653B5B">
        <w:t>.</w:t>
      </w:r>
      <w:r w:rsidR="00027C20" w:rsidRPr="005B63FE">
        <w:t xml:space="preserve"> </w:t>
      </w:r>
      <w:r w:rsidR="00C44ABD">
        <w:t>The</w:t>
      </w:r>
      <w:r w:rsidR="00653B5B">
        <w:t xml:space="preserve"> </w:t>
      </w:r>
      <w:r w:rsidRPr="00C7461C">
        <w:rPr>
          <w:b/>
        </w:rPr>
        <w:t xml:space="preserve">number </w:t>
      </w:r>
      <w:r w:rsidR="00653B5B" w:rsidRPr="00C7461C">
        <w:rPr>
          <w:b/>
        </w:rPr>
        <w:t xml:space="preserve">of </w:t>
      </w:r>
      <w:r w:rsidR="00C7461C" w:rsidRPr="00C7461C">
        <w:rPr>
          <w:b/>
        </w:rPr>
        <w:t>dwelling</w:t>
      </w:r>
      <w:r w:rsidR="00C7461C">
        <w:rPr>
          <w:b/>
        </w:rPr>
        <w:t xml:space="preserve"> units</w:t>
      </w:r>
      <w:r w:rsidR="00653B5B" w:rsidRPr="00F90892">
        <w:t xml:space="preserve"> </w:t>
      </w:r>
      <w:r w:rsidR="00C7461C">
        <w:t>approved fell slightly</w:t>
      </w:r>
      <w:r w:rsidR="00C61C28">
        <w:t xml:space="preserve"> in Ju</w:t>
      </w:r>
      <w:r w:rsidR="00C7461C">
        <w:t>ly</w:t>
      </w:r>
      <w:r>
        <w:t xml:space="preserve"> </w:t>
      </w:r>
      <w:r w:rsidR="00F02F29">
        <w:t>and</w:t>
      </w:r>
      <w:r>
        <w:t xml:space="preserve"> remain</w:t>
      </w:r>
      <w:r w:rsidR="00F02F29">
        <w:t>s</w:t>
      </w:r>
      <w:r>
        <w:t xml:space="preserve"> at elevated levels</w:t>
      </w:r>
      <w:r w:rsidR="00653B5B">
        <w:t xml:space="preserve">. </w:t>
      </w:r>
    </w:p>
    <w:p w:rsidR="00190B22" w:rsidRDefault="00231277" w:rsidP="002277E2">
      <w:r w:rsidRPr="002277E2">
        <w:t>The</w:t>
      </w:r>
      <w:r w:rsidR="003D0FD1" w:rsidRPr="002277E2">
        <w:t xml:space="preserve"> RBA</w:t>
      </w:r>
      <w:r w:rsidR="00EB2EA9">
        <w:t xml:space="preserve"> </w:t>
      </w:r>
      <w:r w:rsidR="003D0FD1" w:rsidRPr="002277E2">
        <w:t>left the</w:t>
      </w:r>
      <w:r w:rsidRPr="002277E2">
        <w:t xml:space="preserve"> </w:t>
      </w:r>
      <w:r w:rsidRPr="002277E2">
        <w:rPr>
          <w:b/>
        </w:rPr>
        <w:t>cash rate</w:t>
      </w:r>
      <w:r w:rsidRPr="002277E2">
        <w:t xml:space="preserve"> unchanged at 1.50</w:t>
      </w:r>
      <w:r w:rsidR="005D5C2A" w:rsidRPr="002277E2">
        <w:t> </w:t>
      </w:r>
      <w:r w:rsidRPr="002277E2">
        <w:t>per</w:t>
      </w:r>
      <w:r w:rsidR="005D5C2A" w:rsidRPr="002277E2">
        <w:t> </w:t>
      </w:r>
      <w:r w:rsidRPr="002277E2">
        <w:t>cent</w:t>
      </w:r>
      <w:r w:rsidR="008D4C72" w:rsidRPr="002277E2">
        <w:t xml:space="preserve">. </w:t>
      </w:r>
      <w:r w:rsidR="00E90A26">
        <w:t xml:space="preserve">The </w:t>
      </w:r>
      <w:r w:rsidR="00166AAA">
        <w:t>RBA</w:t>
      </w:r>
      <w:r w:rsidR="00E90A26">
        <w:t xml:space="preserve"> </w:t>
      </w:r>
      <w:r w:rsidR="008D4C72" w:rsidRPr="002277E2">
        <w:t>noted</w:t>
      </w:r>
      <w:r w:rsidRPr="002277E2">
        <w:t xml:space="preserve"> that</w:t>
      </w:r>
      <w:r w:rsidR="007F6738" w:rsidRPr="002277E2">
        <w:t xml:space="preserve"> the</w:t>
      </w:r>
      <w:r w:rsidRPr="002277E2">
        <w:t xml:space="preserve"> </w:t>
      </w:r>
      <w:r w:rsidR="00615915" w:rsidRPr="002277E2">
        <w:t>unchanged policy</w:t>
      </w:r>
      <w:r w:rsidR="007F6738" w:rsidRPr="002277E2">
        <w:t xml:space="preserve"> stance</w:t>
      </w:r>
      <w:r w:rsidR="00615915" w:rsidRPr="002277E2">
        <w:t xml:space="preserve"> </w:t>
      </w:r>
      <w:r w:rsidR="00855C1D" w:rsidRPr="002277E2">
        <w:t xml:space="preserve">is </w:t>
      </w:r>
      <w:r w:rsidR="00615915" w:rsidRPr="002277E2">
        <w:t xml:space="preserve">consistent with sustainable </w:t>
      </w:r>
      <w:r w:rsidR="00166AAA">
        <w:t xml:space="preserve">economic </w:t>
      </w:r>
      <w:r w:rsidR="00615915" w:rsidRPr="002277E2">
        <w:t xml:space="preserve">growth </w:t>
      </w:r>
      <w:r w:rsidR="009F07F3">
        <w:t xml:space="preserve">and </w:t>
      </w:r>
      <w:r w:rsidR="00166AAA">
        <w:t xml:space="preserve">in </w:t>
      </w:r>
      <w:r w:rsidR="009F07F3">
        <w:t xml:space="preserve">achieving the inflation target over </w:t>
      </w:r>
      <w:r w:rsidR="00166AAA">
        <w:t>the cycle</w:t>
      </w:r>
      <w:r w:rsidR="009F07F3">
        <w:t xml:space="preserve">. </w:t>
      </w:r>
      <w:r w:rsidR="003B13CD">
        <w:t>It is also</w:t>
      </w:r>
      <w:r w:rsidR="0069622A">
        <w:t xml:space="preserve"> noted</w:t>
      </w:r>
      <w:r w:rsidR="00FB522E">
        <w:t xml:space="preserve"> </w:t>
      </w:r>
      <w:r w:rsidR="00166AAA">
        <w:t xml:space="preserve">its heightened </w:t>
      </w:r>
      <w:r w:rsidR="00E90A26">
        <w:t xml:space="preserve">monitoring </w:t>
      </w:r>
      <w:r w:rsidR="00F15DD8">
        <w:t xml:space="preserve">of </w:t>
      </w:r>
      <w:r w:rsidR="00190B22">
        <w:t>risk</w:t>
      </w:r>
      <w:r w:rsidR="00166AAA">
        <w:t>s</w:t>
      </w:r>
      <w:r w:rsidR="00190B22">
        <w:t xml:space="preserve"> associated with high household debt in </w:t>
      </w:r>
      <w:r w:rsidR="00166AAA">
        <w:t xml:space="preserve">the current </w:t>
      </w:r>
      <w:r w:rsidR="00190B22">
        <w:t>low inflation environment.</w:t>
      </w:r>
    </w:p>
    <w:tbl>
      <w:tblPr>
        <w:tblW w:w="4698" w:type="dxa"/>
        <w:tblLook w:val="04A0" w:firstRow="1" w:lastRow="0" w:firstColumn="1" w:lastColumn="0" w:noHBand="0" w:noVBand="1"/>
      </w:tblPr>
      <w:tblGrid>
        <w:gridCol w:w="988"/>
        <w:gridCol w:w="3710"/>
      </w:tblGrid>
      <w:tr w:rsidR="00047DD7" w:rsidRPr="00405FBA" w:rsidTr="002751C4">
        <w:tc>
          <w:tcPr>
            <w:tcW w:w="988" w:type="dxa"/>
          </w:tcPr>
          <w:p w:rsidR="00047DD7" w:rsidRPr="00405FBA" w:rsidRDefault="002868CD" w:rsidP="00EE60CF">
            <w:r w:rsidRPr="00405FBA">
              <w:br w:type="column"/>
            </w:r>
            <w:r w:rsidR="00047DD7" w:rsidRPr="00405FBA">
              <w:rPr>
                <w:noProof/>
                <w:lang w:eastAsia="en-AU"/>
              </w:rPr>
              <w:drawing>
                <wp:inline distT="0" distB="0" distL="0" distR="0" wp14:anchorId="3FC3216C" wp14:editId="3BE6142A">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10" w:type="dxa"/>
            <w:vAlign w:val="bottom"/>
          </w:tcPr>
          <w:p w:rsidR="00047DD7" w:rsidRPr="00405FBA" w:rsidRDefault="008B2D78" w:rsidP="00EE60CF">
            <w:pPr>
              <w:pStyle w:val="Heading1"/>
            </w:pPr>
            <w:r>
              <w:t>Global developments</w:t>
            </w:r>
          </w:p>
        </w:tc>
      </w:tr>
    </w:tbl>
    <w:p w:rsidR="00E611FD" w:rsidRDefault="00166AAA" w:rsidP="00976953">
      <w:pPr>
        <w:spacing w:before="120"/>
      </w:pPr>
      <w:r>
        <w:t>Key i</w:t>
      </w:r>
      <w:r w:rsidR="00E90A26">
        <w:t>ndicators of t</w:t>
      </w:r>
      <w:r w:rsidR="00CF3D8B">
        <w:t xml:space="preserve">he global economic </w:t>
      </w:r>
      <w:r w:rsidR="00BF321C">
        <w:t xml:space="preserve">outlook improved </w:t>
      </w:r>
      <w:r w:rsidR="00CF3D8B">
        <w:t>in the past month</w:t>
      </w:r>
      <w:r w:rsidR="0004296F">
        <w:t>.</w:t>
      </w:r>
      <w:r w:rsidR="00DF19BC">
        <w:t xml:space="preserve"> </w:t>
      </w:r>
    </w:p>
    <w:p w:rsidR="00D74D60" w:rsidRDefault="00976953" w:rsidP="001578F5">
      <w:pPr>
        <w:spacing w:before="120"/>
      </w:pPr>
      <w:r w:rsidRPr="00AC0EFB">
        <w:rPr>
          <w:b/>
        </w:rPr>
        <w:t>US</w:t>
      </w:r>
      <w:r w:rsidR="00AC0EFB" w:rsidRPr="00AC0EFB">
        <w:rPr>
          <w:b/>
        </w:rPr>
        <w:t xml:space="preserve"> GDP</w:t>
      </w:r>
      <w:r w:rsidR="00AC0EFB">
        <w:t xml:space="preserve"> </w:t>
      </w:r>
      <w:r w:rsidR="00A60E8F">
        <w:t>grew</w:t>
      </w:r>
      <w:r w:rsidR="00AC0EFB">
        <w:t xml:space="preserve"> at a</w:t>
      </w:r>
      <w:r w:rsidR="00E611FD">
        <w:t>n</w:t>
      </w:r>
      <w:r w:rsidR="00AC0EFB">
        <w:t xml:space="preserve"> annual rate </w:t>
      </w:r>
      <w:r w:rsidR="00E611FD">
        <w:t xml:space="preserve">of </w:t>
      </w:r>
      <w:r w:rsidR="00DD5D31">
        <w:br/>
      </w:r>
      <w:r w:rsidR="00126FFE">
        <w:t>3.0</w:t>
      </w:r>
      <w:r w:rsidR="00DD5D31">
        <w:t xml:space="preserve"> </w:t>
      </w:r>
      <w:r w:rsidR="00E611FD">
        <w:t xml:space="preserve">per cent </w:t>
      </w:r>
      <w:r w:rsidR="00AC0EFB">
        <w:t xml:space="preserve">in the </w:t>
      </w:r>
      <w:r w:rsidR="00A60E8F">
        <w:t>second</w:t>
      </w:r>
      <w:r w:rsidR="00AC0EFB">
        <w:t xml:space="preserve"> quarter</w:t>
      </w:r>
      <w:r w:rsidR="00E90A26">
        <w:t xml:space="preserve"> of 2017</w:t>
      </w:r>
      <w:r w:rsidR="00166AAA">
        <w:t>.  Activity was</w:t>
      </w:r>
      <w:r w:rsidR="00BE7B97">
        <w:t xml:space="preserve"> </w:t>
      </w:r>
      <w:r w:rsidR="00E90A26">
        <w:t xml:space="preserve">mostly </w:t>
      </w:r>
      <w:r w:rsidR="00BE7B97">
        <w:t>driven by household spending</w:t>
      </w:r>
      <w:r w:rsidR="00A60E8F">
        <w:t xml:space="preserve"> and</w:t>
      </w:r>
      <w:r w:rsidR="00BE7B97">
        <w:t xml:space="preserve"> business investment. </w:t>
      </w:r>
      <w:r w:rsidR="00F73875">
        <w:t xml:space="preserve">The strong </w:t>
      </w:r>
      <w:r w:rsidR="00E90A26">
        <w:t xml:space="preserve">household </w:t>
      </w:r>
      <w:r w:rsidR="00F73875">
        <w:t xml:space="preserve">spending </w:t>
      </w:r>
      <w:r w:rsidR="00D74D60">
        <w:t xml:space="preserve">data continued in July with </w:t>
      </w:r>
      <w:r w:rsidR="00F73875">
        <w:t>retail and food service</w:t>
      </w:r>
      <w:r w:rsidR="00D74D60">
        <w:t xml:space="preserve"> sales growing </w:t>
      </w:r>
      <w:r w:rsidR="00F73875">
        <w:t xml:space="preserve">4.2 per cent </w:t>
      </w:r>
      <w:r w:rsidR="00166AAA">
        <w:t>annually</w:t>
      </w:r>
      <w:r w:rsidR="00D74D60">
        <w:t>.</w:t>
      </w:r>
    </w:p>
    <w:p w:rsidR="001578F5" w:rsidRPr="00F73875" w:rsidRDefault="00D74D60" w:rsidP="001578F5">
      <w:pPr>
        <w:spacing w:before="120"/>
      </w:pPr>
      <w:r>
        <w:t xml:space="preserve">US </w:t>
      </w:r>
      <w:r>
        <w:rPr>
          <w:b/>
        </w:rPr>
        <w:t>n</w:t>
      </w:r>
      <w:r w:rsidR="008D06D9">
        <w:rPr>
          <w:b/>
        </w:rPr>
        <w:t>on</w:t>
      </w:r>
      <w:r>
        <w:rPr>
          <w:b/>
        </w:rPr>
        <w:t>-</w:t>
      </w:r>
      <w:r w:rsidR="00976953" w:rsidRPr="003A4B92">
        <w:rPr>
          <w:b/>
        </w:rPr>
        <w:t>farm payrolls</w:t>
      </w:r>
      <w:r w:rsidR="007E6812">
        <w:t xml:space="preserve"> rose</w:t>
      </w:r>
      <w:r w:rsidR="00976953" w:rsidRPr="003A4B92">
        <w:t xml:space="preserve"> </w:t>
      </w:r>
      <w:r w:rsidR="005923C3">
        <w:t xml:space="preserve">by </w:t>
      </w:r>
      <w:r w:rsidR="008D06D9">
        <w:t>2</w:t>
      </w:r>
      <w:r w:rsidR="007E6812">
        <w:t>09</w:t>
      </w:r>
      <w:r w:rsidR="008D06D9">
        <w:t> </w:t>
      </w:r>
      <w:r w:rsidR="00976953">
        <w:t>000 in Ju</w:t>
      </w:r>
      <w:r w:rsidR="007E6812">
        <w:t xml:space="preserve">ly, with </w:t>
      </w:r>
      <w:r w:rsidR="00166AAA">
        <w:t xml:space="preserve">widespread </w:t>
      </w:r>
      <w:r w:rsidR="007E6812">
        <w:t>gains across sectors.</w:t>
      </w:r>
      <w:r w:rsidR="00976953">
        <w:t xml:space="preserve"> </w:t>
      </w:r>
      <w:r w:rsidR="00976953">
        <w:lastRenderedPageBreak/>
        <w:t>The unem</w:t>
      </w:r>
      <w:r w:rsidR="00976953" w:rsidRPr="003A4B92">
        <w:t xml:space="preserve">ployment </w:t>
      </w:r>
      <w:r w:rsidR="00976953">
        <w:t xml:space="preserve">rate </w:t>
      </w:r>
      <w:r w:rsidR="00DE3D8E">
        <w:t>was little changed at</w:t>
      </w:r>
      <w:r w:rsidR="007E6812">
        <w:t xml:space="preserve"> 4.3 per cent</w:t>
      </w:r>
      <w:r w:rsidR="008B6091">
        <w:t xml:space="preserve"> </w:t>
      </w:r>
      <w:r w:rsidR="00A60E8F">
        <w:t xml:space="preserve">despite an increase in the participation rate. </w:t>
      </w:r>
      <w:r w:rsidR="007B2E95">
        <w:t>Wage pressure</w:t>
      </w:r>
      <w:r>
        <w:t>s remain modest</w:t>
      </w:r>
      <w:r w:rsidR="007B2E95">
        <w:t xml:space="preserve"> with </w:t>
      </w:r>
      <w:r w:rsidR="00DE3D8E">
        <w:t xml:space="preserve">average hourly earnings </w:t>
      </w:r>
      <w:r w:rsidR="007B2E95">
        <w:t>growing</w:t>
      </w:r>
      <w:r w:rsidR="00DE3D8E">
        <w:t xml:space="preserve"> by </w:t>
      </w:r>
      <w:r w:rsidR="000C19C6">
        <w:t>2.</w:t>
      </w:r>
      <w:r>
        <w:t>5 </w:t>
      </w:r>
      <w:r w:rsidR="00DE3D8E">
        <w:t xml:space="preserve">per cent </w:t>
      </w:r>
      <w:r w:rsidR="000C19C6">
        <w:t>over the year to</w:t>
      </w:r>
      <w:r w:rsidR="00DE3D8E">
        <w:t xml:space="preserve"> July</w:t>
      </w:r>
      <w:r w:rsidR="007B2E95">
        <w:t xml:space="preserve">. </w:t>
      </w:r>
      <w:r w:rsidR="001578F5" w:rsidRPr="00ED688E">
        <w:t xml:space="preserve">The </w:t>
      </w:r>
      <w:r w:rsidR="001578F5" w:rsidRPr="00F73875">
        <w:rPr>
          <w:b/>
        </w:rPr>
        <w:t>Federal Reserve</w:t>
      </w:r>
      <w:r w:rsidR="000636F8" w:rsidRPr="00F73875">
        <w:t xml:space="preserve"> </w:t>
      </w:r>
      <w:r w:rsidR="00F73875">
        <w:t>le</w:t>
      </w:r>
      <w:r w:rsidR="00166AAA">
        <w:t>ft</w:t>
      </w:r>
      <w:r w:rsidR="00F73875">
        <w:t xml:space="preserve"> </w:t>
      </w:r>
      <w:r w:rsidR="00166AAA">
        <w:t>its</w:t>
      </w:r>
      <w:r w:rsidR="00543BB3">
        <w:t xml:space="preserve"> </w:t>
      </w:r>
      <w:r w:rsidR="00166AAA">
        <w:t xml:space="preserve">policy </w:t>
      </w:r>
      <w:r w:rsidR="00F73875">
        <w:t xml:space="preserve">rate unchanged </w:t>
      </w:r>
      <w:r w:rsidR="00166AAA">
        <w:t xml:space="preserve">in </w:t>
      </w:r>
      <w:r w:rsidR="00F73875">
        <w:t>July</w:t>
      </w:r>
      <w:r w:rsidR="00166AAA">
        <w:t xml:space="preserve"> but </w:t>
      </w:r>
      <w:r w:rsidR="00F73875">
        <w:t>signalled it w</w:t>
      </w:r>
      <w:r w:rsidR="00166AAA">
        <w:t>ould</w:t>
      </w:r>
      <w:r w:rsidR="00F73875">
        <w:t xml:space="preserve"> </w:t>
      </w:r>
      <w:r w:rsidR="00166AAA">
        <w:t>begin normalising rates</w:t>
      </w:r>
      <w:r w:rsidR="00636AB1">
        <w:t xml:space="preserve"> </w:t>
      </w:r>
      <w:r w:rsidR="003F6D30">
        <w:t>relatively soon</w:t>
      </w:r>
      <w:r w:rsidR="0016655B" w:rsidRPr="00F73875">
        <w:t>.</w:t>
      </w:r>
    </w:p>
    <w:p w:rsidR="003F1107" w:rsidRDefault="007C08DB" w:rsidP="00270E44">
      <w:pPr>
        <w:spacing w:before="120"/>
      </w:pPr>
      <w:r w:rsidRPr="005E1782">
        <w:rPr>
          <w:b/>
        </w:rPr>
        <w:t>Euro</w:t>
      </w:r>
      <w:r w:rsidR="005E1782" w:rsidRPr="005E1782">
        <w:rPr>
          <w:b/>
        </w:rPr>
        <w:t xml:space="preserve">zone </w:t>
      </w:r>
      <w:r w:rsidR="00545AA0" w:rsidRPr="005E1782">
        <w:rPr>
          <w:b/>
        </w:rPr>
        <w:t>GDP</w:t>
      </w:r>
      <w:r w:rsidR="005E1782">
        <w:t xml:space="preserve"> expanded</w:t>
      </w:r>
      <w:r w:rsidR="00545AA0">
        <w:t xml:space="preserve"> </w:t>
      </w:r>
      <w:r>
        <w:t>at an annual rate of 2.</w:t>
      </w:r>
      <w:r w:rsidR="005E1782">
        <w:t>2</w:t>
      </w:r>
      <w:r>
        <w:t xml:space="preserve"> </w:t>
      </w:r>
      <w:r w:rsidR="00545AA0">
        <w:t xml:space="preserve">per cent in the second quarter of the </w:t>
      </w:r>
      <w:r w:rsidR="00D74D60">
        <w:t>2017</w:t>
      </w:r>
      <w:r w:rsidR="00545AA0">
        <w:t xml:space="preserve">, </w:t>
      </w:r>
      <w:r>
        <w:t xml:space="preserve">bolstered by </w:t>
      </w:r>
      <w:r w:rsidR="00D84E39">
        <w:t>high</w:t>
      </w:r>
      <w:r>
        <w:t xml:space="preserve"> business </w:t>
      </w:r>
      <w:r w:rsidR="00D84E39">
        <w:t xml:space="preserve">confidence, improved export demand </w:t>
      </w:r>
      <w:r>
        <w:t xml:space="preserve">and </w:t>
      </w:r>
      <w:r w:rsidR="00166AAA">
        <w:t xml:space="preserve">lower </w:t>
      </w:r>
      <w:r>
        <w:t>unemployment</w:t>
      </w:r>
      <w:r w:rsidR="00771BC6">
        <w:t xml:space="preserve">, </w:t>
      </w:r>
      <w:r>
        <w:t xml:space="preserve">which </w:t>
      </w:r>
      <w:r w:rsidR="00166AAA">
        <w:t xml:space="preserve">at </w:t>
      </w:r>
      <w:r w:rsidR="00D84E39">
        <w:t xml:space="preserve">9.1 per cent </w:t>
      </w:r>
      <w:r w:rsidR="00166AAA">
        <w:t>was at it</w:t>
      </w:r>
      <w:r w:rsidR="00543BB3">
        <w:t>s</w:t>
      </w:r>
      <w:r w:rsidR="00166AAA">
        <w:t xml:space="preserve"> lowest </w:t>
      </w:r>
      <w:r>
        <w:t xml:space="preserve">since 2009. </w:t>
      </w:r>
      <w:r w:rsidR="00D74D60">
        <w:t>A</w:t>
      </w:r>
      <w:r w:rsidR="002638C9">
        <w:t xml:space="preserve">nnual inflation </w:t>
      </w:r>
      <w:r w:rsidR="00D74D60">
        <w:t>was</w:t>
      </w:r>
      <w:r w:rsidR="002638C9">
        <w:t xml:space="preserve"> </w:t>
      </w:r>
      <w:r w:rsidR="00F623CF">
        <w:t>s</w:t>
      </w:r>
      <w:r w:rsidR="002638C9">
        <w:t xml:space="preserve">table </w:t>
      </w:r>
      <w:r w:rsidR="00F623CF">
        <w:t xml:space="preserve">at </w:t>
      </w:r>
      <w:r w:rsidR="002638C9">
        <w:t>1.</w:t>
      </w:r>
      <w:r w:rsidR="00D74D60">
        <w:t>3 </w:t>
      </w:r>
      <w:r w:rsidR="002638C9">
        <w:t xml:space="preserve">per cent in July. </w:t>
      </w:r>
      <w:r w:rsidR="003F6D30">
        <w:t xml:space="preserve">The </w:t>
      </w:r>
      <w:r w:rsidR="003F6D30" w:rsidRPr="003F6D30">
        <w:rPr>
          <w:b/>
        </w:rPr>
        <w:t>European Central Bank</w:t>
      </w:r>
      <w:r w:rsidR="003F6D30">
        <w:t xml:space="preserve"> left its easy monetary policy </w:t>
      </w:r>
      <w:r w:rsidR="00166AAA">
        <w:t xml:space="preserve">settings </w:t>
      </w:r>
      <w:r w:rsidR="003F6D30">
        <w:t xml:space="preserve">unchanged in July but signalled </w:t>
      </w:r>
      <w:r w:rsidR="00F75202">
        <w:t xml:space="preserve">that </w:t>
      </w:r>
      <w:r w:rsidR="00D74D60">
        <w:t xml:space="preserve">future </w:t>
      </w:r>
      <w:r w:rsidR="003F6D30">
        <w:t xml:space="preserve">discussion on </w:t>
      </w:r>
      <w:r w:rsidR="00D01F99">
        <w:t xml:space="preserve">winding back quantitative easing </w:t>
      </w:r>
      <w:r w:rsidR="00F75202">
        <w:t xml:space="preserve">would take place </w:t>
      </w:r>
      <w:r w:rsidR="003F6D30">
        <w:t xml:space="preserve">later this year. </w:t>
      </w:r>
    </w:p>
    <w:p w:rsidR="00147E59" w:rsidRDefault="00147E59" w:rsidP="00270E44">
      <w:pPr>
        <w:spacing w:before="120"/>
      </w:pPr>
      <w:r w:rsidRPr="00B55058">
        <w:rPr>
          <w:b/>
        </w:rPr>
        <w:t>China</w:t>
      </w:r>
      <w:r w:rsidR="00D74D60">
        <w:rPr>
          <w:b/>
        </w:rPr>
        <w:t>’s</w:t>
      </w:r>
      <w:r>
        <w:t xml:space="preserve"> economic indicators remain</w:t>
      </w:r>
      <w:r w:rsidR="00D74D60">
        <w:t>ed</w:t>
      </w:r>
      <w:r>
        <w:t xml:space="preserve"> solid</w:t>
      </w:r>
      <w:r w:rsidR="00D74D60">
        <w:t xml:space="preserve"> in the month</w:t>
      </w:r>
      <w:r>
        <w:t>.</w:t>
      </w:r>
      <w:r w:rsidR="00DF19BC" w:rsidRPr="00147E59">
        <w:t xml:space="preserve"> </w:t>
      </w:r>
      <w:r w:rsidR="00B55058">
        <w:t xml:space="preserve">The </w:t>
      </w:r>
      <w:r w:rsidR="00D74D60" w:rsidRPr="00D01F99">
        <w:rPr>
          <w:b/>
        </w:rPr>
        <w:t xml:space="preserve">Manufacturing </w:t>
      </w:r>
      <w:r w:rsidR="00D74D60" w:rsidRPr="00D01F99">
        <w:rPr>
          <w:b/>
        </w:rPr>
        <w:lastRenderedPageBreak/>
        <w:t>PMI</w:t>
      </w:r>
      <w:r w:rsidR="00D74D60">
        <w:t xml:space="preserve"> </w:t>
      </w:r>
      <w:r w:rsidR="00AA744A">
        <w:t>was flat at 51.6</w:t>
      </w:r>
      <w:r w:rsidR="00D74D60">
        <w:t xml:space="preserve"> in July, </w:t>
      </w:r>
      <w:r w:rsidR="00AA744A">
        <w:t>while</w:t>
      </w:r>
      <w:r w:rsidR="00D74D60">
        <w:t xml:space="preserve"> the services </w:t>
      </w:r>
      <w:r w:rsidR="00B55058">
        <w:t xml:space="preserve">PMI </w:t>
      </w:r>
      <w:r w:rsidR="00D74D60">
        <w:t xml:space="preserve">declined </w:t>
      </w:r>
      <w:r w:rsidR="00AA744A">
        <w:t>0.4</w:t>
      </w:r>
      <w:r w:rsidR="00D74D60">
        <w:t xml:space="preserve"> points to </w:t>
      </w:r>
      <w:r w:rsidR="00AA744A">
        <w:t>54.5</w:t>
      </w:r>
      <w:r w:rsidR="00D74D60">
        <w:t xml:space="preserve"> suggesting </w:t>
      </w:r>
      <w:r w:rsidR="00B55058">
        <w:t xml:space="preserve">a slightly slower pace of growth in </w:t>
      </w:r>
      <w:r w:rsidR="00D74D60">
        <w:t xml:space="preserve">the </w:t>
      </w:r>
      <w:r w:rsidR="00B55058">
        <w:t xml:space="preserve">service sector. </w:t>
      </w:r>
      <w:r w:rsidR="00C64AE9">
        <w:t xml:space="preserve">Chinese economic growth is expected to </w:t>
      </w:r>
      <w:r w:rsidR="00D74D60">
        <w:t xml:space="preserve">moderate </w:t>
      </w:r>
      <w:r w:rsidR="00C64AE9">
        <w:t xml:space="preserve">in the coming quarter as authorities continue to </w:t>
      </w:r>
      <w:r w:rsidR="00D74D60">
        <w:t xml:space="preserve">manage </w:t>
      </w:r>
      <w:r w:rsidR="00C64AE9">
        <w:t>financial risks.</w:t>
      </w:r>
      <w:r w:rsidR="00270E44">
        <w:t xml:space="preserve"> </w:t>
      </w:r>
    </w:p>
    <w:p w:rsidR="00653989" w:rsidRDefault="002006B9" w:rsidP="00653989">
      <w:pPr>
        <w:spacing w:before="120"/>
      </w:pPr>
      <w:r w:rsidRPr="002006B9">
        <w:rPr>
          <w:b/>
        </w:rPr>
        <w:t>Japan</w:t>
      </w:r>
      <w:r w:rsidRPr="002006B9">
        <w:t xml:space="preserve">’s </w:t>
      </w:r>
      <w:r>
        <w:t xml:space="preserve">second quarter </w:t>
      </w:r>
      <w:r w:rsidRPr="00D01F99">
        <w:rPr>
          <w:b/>
        </w:rPr>
        <w:t>GDP</w:t>
      </w:r>
      <w:r>
        <w:t xml:space="preserve"> grew by a</w:t>
      </w:r>
      <w:r w:rsidR="00FE6A25">
        <w:t>n</w:t>
      </w:r>
      <w:r>
        <w:t xml:space="preserve"> annual</w:t>
      </w:r>
      <w:r w:rsidR="00FE6A25">
        <w:t>ise</w:t>
      </w:r>
      <w:r w:rsidR="00D74D60">
        <w:t>d</w:t>
      </w:r>
      <w:r w:rsidR="00FE6A25">
        <w:t xml:space="preserve"> </w:t>
      </w:r>
      <w:r>
        <w:t>rate of 4.0 per cent</w:t>
      </w:r>
      <w:r w:rsidR="00FE6A25">
        <w:t>, mainly drive</w:t>
      </w:r>
      <w:r w:rsidR="00D74D60">
        <w:t>n</w:t>
      </w:r>
      <w:r w:rsidR="00FE6A25">
        <w:t xml:space="preserve"> by domestic demand. The</w:t>
      </w:r>
      <w:r>
        <w:t xml:space="preserve"> </w:t>
      </w:r>
      <w:r w:rsidR="00FE6A25">
        <w:t xml:space="preserve">July trade data also </w:t>
      </w:r>
      <w:r w:rsidR="00F817B0">
        <w:t>underscore</w:t>
      </w:r>
      <w:r w:rsidR="00D74D60">
        <w:t>d</w:t>
      </w:r>
      <w:r w:rsidR="00F817B0">
        <w:t xml:space="preserve"> its export-led recovery with strong growth in </w:t>
      </w:r>
      <w:r w:rsidR="00FE6A25">
        <w:t>exports and imports</w:t>
      </w:r>
      <w:r w:rsidR="00F817B0">
        <w:t>. Activity is expected to continue to improve</w:t>
      </w:r>
      <w:r w:rsidR="00147E59">
        <w:t xml:space="preserve">, </w:t>
      </w:r>
      <w:r w:rsidR="00D01F99">
        <w:t xml:space="preserve">partly reflecting an improving outlook for </w:t>
      </w:r>
      <w:r w:rsidR="00F817B0">
        <w:t>wage</w:t>
      </w:r>
      <w:r w:rsidR="00147E59">
        <w:t xml:space="preserve"> and </w:t>
      </w:r>
      <w:r w:rsidR="00D01F99">
        <w:t xml:space="preserve">consumer price </w:t>
      </w:r>
      <w:r w:rsidR="00147E59">
        <w:t>inflation.</w:t>
      </w:r>
      <w:r w:rsidR="00F817B0">
        <w:t xml:space="preserve"> </w:t>
      </w:r>
    </w:p>
    <w:p w:rsidR="008D06D9" w:rsidRDefault="008D06D9" w:rsidP="008D06D9">
      <w:pPr>
        <w:spacing w:before="120" w:after="0"/>
      </w:pPr>
    </w:p>
    <w:p w:rsidR="007E5421" w:rsidRDefault="00736912" w:rsidP="00933546">
      <w:pPr>
        <w:spacing w:before="120"/>
        <w:rPr>
          <w:i/>
          <w:sz w:val="20"/>
        </w:rPr>
      </w:pPr>
      <w:r>
        <w:rPr>
          <w:i/>
          <w:sz w:val="20"/>
        </w:rPr>
        <w:t>Note: A</w:t>
      </w:r>
      <w:r w:rsidR="00246C5C" w:rsidRPr="009865C5">
        <w:rPr>
          <w:i/>
          <w:sz w:val="20"/>
        </w:rPr>
        <w:t xml:space="preserve">ll data reported in the newsletter is as at </w:t>
      </w:r>
      <w:r w:rsidR="00E56897">
        <w:rPr>
          <w:i/>
          <w:sz w:val="20"/>
        </w:rPr>
        <w:t>6</w:t>
      </w:r>
      <w:r w:rsidR="00FA7BFE" w:rsidRPr="00FF1906">
        <w:rPr>
          <w:i/>
          <w:sz w:val="20"/>
        </w:rPr>
        <w:t> </w:t>
      </w:r>
      <w:r w:rsidR="000625A4">
        <w:rPr>
          <w:i/>
          <w:sz w:val="20"/>
        </w:rPr>
        <w:t>September</w:t>
      </w:r>
      <w:r w:rsidR="00231277">
        <w:rPr>
          <w:i/>
          <w:sz w:val="20"/>
        </w:rPr>
        <w:t> </w:t>
      </w:r>
      <w:r w:rsidR="00246C5C" w:rsidRPr="009865C5">
        <w:rPr>
          <w:i/>
          <w:sz w:val="20"/>
        </w:rPr>
        <w:t>2017.</w:t>
      </w:r>
    </w:p>
    <w:p w:rsidR="008D06D9" w:rsidRDefault="008D06D9" w:rsidP="00933546">
      <w:pPr>
        <w:spacing w:before="120"/>
      </w:pPr>
    </w:p>
    <w:p w:rsidR="005E1782" w:rsidRPr="007E5421" w:rsidRDefault="005E1782" w:rsidP="00933546">
      <w:pPr>
        <w:spacing w:before="120"/>
        <w:sectPr w:rsidR="005E1782" w:rsidRPr="007E5421" w:rsidSect="008D06D9">
          <w:pgSz w:w="11906" w:h="16838" w:code="9"/>
          <w:pgMar w:top="964" w:right="1134" w:bottom="794" w:left="1134" w:header="709" w:footer="567" w:gutter="0"/>
          <w:cols w:num="2" w:space="386"/>
          <w:docGrid w:linePitch="360"/>
        </w:sectPr>
      </w:pPr>
    </w:p>
    <w:p w:rsidR="00230358" w:rsidRDefault="00230358" w:rsidP="00230358"/>
    <w:p w:rsidR="00D17E6E" w:rsidRDefault="00D17E6E" w:rsidP="00D17E6E">
      <w:pPr>
        <w:pStyle w:val="Caption"/>
      </w:pPr>
      <w:r w:rsidRPr="00BA6B8C">
        <w:t>Movements</w:t>
      </w:r>
      <w:r w:rsidR="00771375">
        <w:t>*</w:t>
      </w:r>
      <w:r w:rsidRPr="00BA6B8C">
        <w:t xml:space="preserve"> in financial data over </w:t>
      </w:r>
      <w:r>
        <w:t>the past month</w:t>
      </w:r>
    </w:p>
    <w:tbl>
      <w:tblPr>
        <w:tblStyle w:val="TableGrid"/>
        <w:tblW w:w="5000" w:type="pct"/>
        <w:tblLook w:val="0420" w:firstRow="1" w:lastRow="0" w:firstColumn="0" w:lastColumn="0" w:noHBand="0" w:noVBand="1"/>
      </w:tblPr>
      <w:tblGrid>
        <w:gridCol w:w="3460"/>
        <w:gridCol w:w="1701"/>
        <w:gridCol w:w="1845"/>
        <w:gridCol w:w="2859"/>
      </w:tblGrid>
      <w:tr w:rsidR="00D6224E" w:rsidRPr="001F0FBE" w:rsidTr="00D6224E">
        <w:trPr>
          <w:cnfStyle w:val="100000000000" w:firstRow="1" w:lastRow="0" w:firstColumn="0" w:lastColumn="0" w:oddVBand="0" w:evenVBand="0" w:oddHBand="0" w:evenHBand="0" w:firstRowFirstColumn="0" w:firstRowLastColumn="0" w:lastRowFirstColumn="0" w:lastRowLastColumn="0"/>
        </w:trPr>
        <w:tc>
          <w:tcPr>
            <w:tcW w:w="1754" w:type="pct"/>
          </w:tcPr>
          <w:p w:rsidR="00D6224E" w:rsidRPr="001F0FBE" w:rsidRDefault="00D6224E" w:rsidP="005E371D">
            <w:pPr>
              <w:rPr>
                <w:highlight w:val="yellow"/>
              </w:rPr>
            </w:pPr>
          </w:p>
        </w:tc>
        <w:tc>
          <w:tcPr>
            <w:tcW w:w="862" w:type="pct"/>
            <w:vAlign w:val="center"/>
          </w:tcPr>
          <w:p w:rsidR="00D6224E" w:rsidRPr="001679C0" w:rsidRDefault="00E56897" w:rsidP="00E56897">
            <w:pPr>
              <w:jc w:val="right"/>
            </w:pPr>
            <w:r>
              <w:t>6</w:t>
            </w:r>
            <w:r w:rsidR="00D6224E" w:rsidRPr="001679C0">
              <w:t>-</w:t>
            </w:r>
            <w:r>
              <w:t>Sep</w:t>
            </w:r>
            <w:r w:rsidR="00D6224E" w:rsidRPr="001679C0">
              <w:t>-17</w:t>
            </w:r>
          </w:p>
        </w:tc>
        <w:tc>
          <w:tcPr>
            <w:tcW w:w="935" w:type="pct"/>
            <w:vAlign w:val="center"/>
          </w:tcPr>
          <w:p w:rsidR="00D6224E" w:rsidRPr="001679C0" w:rsidRDefault="00D6224E" w:rsidP="004E36F7">
            <w:pPr>
              <w:jc w:val="right"/>
            </w:pPr>
            <w:r w:rsidRPr="001679C0">
              <w:t>3</w:t>
            </w:r>
            <w:r w:rsidR="004E36F7">
              <w:t>1</w:t>
            </w:r>
            <w:r w:rsidRPr="001679C0">
              <w:t>-</w:t>
            </w:r>
            <w:r>
              <w:t>Ju</w:t>
            </w:r>
            <w:r w:rsidR="004E36F7">
              <w:t>l</w:t>
            </w:r>
            <w:r w:rsidRPr="001679C0">
              <w:t>-17</w:t>
            </w:r>
          </w:p>
        </w:tc>
        <w:tc>
          <w:tcPr>
            <w:tcW w:w="1450" w:type="pct"/>
          </w:tcPr>
          <w:p w:rsidR="00D6224E" w:rsidRPr="001679C0" w:rsidRDefault="00D6224E" w:rsidP="005E371D">
            <w:pPr>
              <w:jc w:val="right"/>
            </w:pPr>
            <w:r w:rsidRPr="001679C0">
              <w:t>Change</w:t>
            </w:r>
          </w:p>
        </w:tc>
      </w:tr>
      <w:tr w:rsidR="00D6224E" w:rsidRPr="001F0FBE" w:rsidTr="00D6224E">
        <w:trPr>
          <w:cnfStyle w:val="000000100000" w:firstRow="0" w:lastRow="0" w:firstColumn="0" w:lastColumn="0" w:oddVBand="0" w:evenVBand="0" w:oddHBand="1" w:evenHBand="0" w:firstRowFirstColumn="0" w:firstRowLastColumn="0" w:lastRowFirstColumn="0" w:lastRowLastColumn="0"/>
        </w:trPr>
        <w:tc>
          <w:tcPr>
            <w:tcW w:w="1754" w:type="pct"/>
          </w:tcPr>
          <w:p w:rsidR="00D6224E" w:rsidRPr="001679C0" w:rsidRDefault="00D6224E" w:rsidP="005E371D">
            <w:r w:rsidRPr="001679C0">
              <w:t>AUD/USD</w:t>
            </w:r>
          </w:p>
        </w:tc>
        <w:tc>
          <w:tcPr>
            <w:tcW w:w="862" w:type="pct"/>
            <w:vAlign w:val="center"/>
          </w:tcPr>
          <w:p w:rsidR="00D6224E" w:rsidRPr="00FB5C6B" w:rsidRDefault="00A40F22" w:rsidP="00032292">
            <w:pPr>
              <w:jc w:val="right"/>
              <w:rPr>
                <w:highlight w:val="yellow"/>
              </w:rPr>
            </w:pPr>
            <w:r w:rsidRPr="00C44E76">
              <w:t>0.7</w:t>
            </w:r>
            <w:r w:rsidR="00032292">
              <w:t>993</w:t>
            </w:r>
          </w:p>
        </w:tc>
        <w:tc>
          <w:tcPr>
            <w:tcW w:w="935" w:type="pct"/>
            <w:vAlign w:val="center"/>
          </w:tcPr>
          <w:p w:rsidR="00D6224E" w:rsidRPr="001679C0" w:rsidRDefault="00D6224E" w:rsidP="004E36F7">
            <w:pPr>
              <w:jc w:val="right"/>
            </w:pPr>
            <w:r w:rsidRPr="001679C0">
              <w:t>0.7</w:t>
            </w:r>
            <w:r w:rsidR="004E36F7">
              <w:t>987</w:t>
            </w:r>
          </w:p>
        </w:tc>
        <w:tc>
          <w:tcPr>
            <w:tcW w:w="1450" w:type="pct"/>
          </w:tcPr>
          <w:p w:rsidR="00D6224E" w:rsidRPr="001679C0" w:rsidRDefault="00032292" w:rsidP="00032292">
            <w:pPr>
              <w:jc w:val="right"/>
              <w:rPr>
                <w:color w:val="FF0000"/>
              </w:rPr>
            </w:pPr>
            <w:r>
              <w:t>+0</w:t>
            </w:r>
            <w:r w:rsidR="004E36F7">
              <w:t>.1</w:t>
            </w:r>
            <w:r w:rsidR="00D6224E" w:rsidRPr="001679C0">
              <w:t> per cent</w:t>
            </w:r>
          </w:p>
        </w:tc>
      </w:tr>
      <w:tr w:rsidR="00D6224E" w:rsidRPr="001F0FBE" w:rsidTr="00D6224E">
        <w:trPr>
          <w:cnfStyle w:val="000000010000" w:firstRow="0" w:lastRow="0" w:firstColumn="0" w:lastColumn="0" w:oddVBand="0" w:evenVBand="0" w:oddHBand="0" w:evenHBand="1" w:firstRowFirstColumn="0" w:firstRowLastColumn="0" w:lastRowFirstColumn="0" w:lastRowLastColumn="0"/>
        </w:trPr>
        <w:tc>
          <w:tcPr>
            <w:tcW w:w="1754" w:type="pct"/>
          </w:tcPr>
          <w:p w:rsidR="00D6224E" w:rsidRPr="00CC6C1E" w:rsidRDefault="00D6224E" w:rsidP="005E371D">
            <w:r w:rsidRPr="00CC6C1E">
              <w:t>ASX 200</w:t>
            </w:r>
          </w:p>
        </w:tc>
        <w:tc>
          <w:tcPr>
            <w:tcW w:w="862" w:type="pct"/>
            <w:vAlign w:val="center"/>
          </w:tcPr>
          <w:p w:rsidR="00D6224E" w:rsidRPr="00C44E76" w:rsidRDefault="00A40F22" w:rsidP="00032292">
            <w:pPr>
              <w:jc w:val="right"/>
            </w:pPr>
            <w:r w:rsidRPr="00C44E76">
              <w:t>5,</w:t>
            </w:r>
            <w:r w:rsidR="00032292">
              <w:t>690</w:t>
            </w:r>
          </w:p>
        </w:tc>
        <w:tc>
          <w:tcPr>
            <w:tcW w:w="935" w:type="pct"/>
            <w:vAlign w:val="center"/>
          </w:tcPr>
          <w:p w:rsidR="00D6224E" w:rsidRPr="00CC6C1E" w:rsidRDefault="00D6224E" w:rsidP="002D1F4C">
            <w:pPr>
              <w:jc w:val="right"/>
            </w:pPr>
            <w:r w:rsidRPr="00CC6C1E">
              <w:t>5,721</w:t>
            </w:r>
          </w:p>
        </w:tc>
        <w:tc>
          <w:tcPr>
            <w:tcW w:w="1450" w:type="pct"/>
          </w:tcPr>
          <w:p w:rsidR="00D6224E" w:rsidRPr="001F0FBE" w:rsidRDefault="00364C8F" w:rsidP="00032292">
            <w:pPr>
              <w:jc w:val="right"/>
              <w:rPr>
                <w:color w:val="FF0000"/>
                <w:highlight w:val="yellow"/>
              </w:rPr>
            </w:pPr>
            <w:r>
              <w:t>-0.</w:t>
            </w:r>
            <w:r w:rsidR="00032292">
              <w:t>5</w:t>
            </w:r>
            <w:r w:rsidR="00A40F22" w:rsidRPr="004E5ED2">
              <w:t> per cent</w:t>
            </w:r>
            <w:r w:rsidR="00A40F22">
              <w:rPr>
                <w:color w:val="FF0000"/>
              </w:rPr>
              <w:t xml:space="preserve">          </w:t>
            </w:r>
            <w:r w:rsidR="00A40F22" w:rsidRPr="004E5ED2">
              <w:rPr>
                <w:color w:val="FF0000"/>
              </w:rPr>
              <w:t xml:space="preserve"> </w:t>
            </w:r>
          </w:p>
        </w:tc>
      </w:tr>
      <w:tr w:rsidR="00D6224E" w:rsidRPr="001F0FBE" w:rsidTr="00D6224E">
        <w:trPr>
          <w:cnfStyle w:val="000000100000" w:firstRow="0" w:lastRow="0" w:firstColumn="0" w:lastColumn="0" w:oddVBand="0" w:evenVBand="0" w:oddHBand="1" w:evenHBand="0" w:firstRowFirstColumn="0" w:firstRowLastColumn="0" w:lastRowFirstColumn="0" w:lastRowLastColumn="0"/>
        </w:trPr>
        <w:tc>
          <w:tcPr>
            <w:tcW w:w="1754" w:type="pct"/>
          </w:tcPr>
          <w:p w:rsidR="00D6224E" w:rsidRPr="004E5ED2" w:rsidRDefault="00D6224E" w:rsidP="005E371D">
            <w:r w:rsidRPr="004E5ED2">
              <w:t>S&amp;P 500</w:t>
            </w:r>
          </w:p>
        </w:tc>
        <w:tc>
          <w:tcPr>
            <w:tcW w:w="862" w:type="pct"/>
            <w:vAlign w:val="center"/>
          </w:tcPr>
          <w:p w:rsidR="00D6224E" w:rsidRPr="00C44E76" w:rsidRDefault="00D6224E" w:rsidP="00032292">
            <w:pPr>
              <w:jc w:val="right"/>
            </w:pPr>
            <w:r w:rsidRPr="00C44E76">
              <w:t>2,4</w:t>
            </w:r>
            <w:r w:rsidR="00032292">
              <w:t>66</w:t>
            </w:r>
          </w:p>
        </w:tc>
        <w:tc>
          <w:tcPr>
            <w:tcW w:w="935" w:type="pct"/>
            <w:vAlign w:val="center"/>
          </w:tcPr>
          <w:p w:rsidR="00D6224E" w:rsidRPr="004E5ED2" w:rsidRDefault="00D6224E" w:rsidP="004E36F7">
            <w:pPr>
              <w:jc w:val="right"/>
            </w:pPr>
            <w:r w:rsidRPr="004E5ED2">
              <w:t>2,4</w:t>
            </w:r>
            <w:r w:rsidR="004E36F7">
              <w:t>70</w:t>
            </w:r>
          </w:p>
        </w:tc>
        <w:tc>
          <w:tcPr>
            <w:tcW w:w="1450" w:type="pct"/>
          </w:tcPr>
          <w:p w:rsidR="00D6224E" w:rsidRPr="004E5ED2" w:rsidRDefault="000B2E3A" w:rsidP="00032292">
            <w:pPr>
              <w:jc w:val="right"/>
              <w:rPr>
                <w:color w:val="FF0000"/>
              </w:rPr>
            </w:pPr>
            <w:r>
              <w:t>-</w:t>
            </w:r>
            <w:r w:rsidR="00A40F22">
              <w:t>0.</w:t>
            </w:r>
            <w:r w:rsidR="00032292">
              <w:t>2</w:t>
            </w:r>
            <w:r w:rsidR="00D6224E" w:rsidRPr="004E5ED2">
              <w:t> per cent</w:t>
            </w:r>
            <w:r w:rsidR="00D6224E">
              <w:rPr>
                <w:color w:val="FF0000"/>
              </w:rPr>
              <w:t xml:space="preserve">          </w:t>
            </w:r>
            <w:r w:rsidR="00D6224E" w:rsidRPr="004E5ED2">
              <w:rPr>
                <w:color w:val="FF0000"/>
              </w:rPr>
              <w:t xml:space="preserve"> </w:t>
            </w:r>
          </w:p>
        </w:tc>
      </w:tr>
      <w:tr w:rsidR="00D6224E" w:rsidRPr="001F0FBE" w:rsidTr="00D6224E">
        <w:trPr>
          <w:cnfStyle w:val="000000010000" w:firstRow="0" w:lastRow="0" w:firstColumn="0" w:lastColumn="0" w:oddVBand="0" w:evenVBand="0" w:oddHBand="0" w:evenHBand="1" w:firstRowFirstColumn="0" w:firstRowLastColumn="0" w:lastRowFirstColumn="0" w:lastRowLastColumn="0"/>
        </w:trPr>
        <w:tc>
          <w:tcPr>
            <w:tcW w:w="1754" w:type="pct"/>
          </w:tcPr>
          <w:p w:rsidR="00D6224E" w:rsidRPr="001F0FBE" w:rsidRDefault="00D6224E" w:rsidP="005E371D">
            <w:pPr>
              <w:rPr>
                <w:highlight w:val="yellow"/>
              </w:rPr>
            </w:pPr>
            <w:r w:rsidRPr="00B411F8">
              <w:t>90 day bank bill rate</w:t>
            </w:r>
          </w:p>
        </w:tc>
        <w:tc>
          <w:tcPr>
            <w:tcW w:w="862" w:type="pct"/>
            <w:vAlign w:val="center"/>
          </w:tcPr>
          <w:p w:rsidR="00D6224E" w:rsidRPr="000D2F04" w:rsidRDefault="00D6224E" w:rsidP="00032292">
            <w:pPr>
              <w:jc w:val="right"/>
            </w:pPr>
            <w:r w:rsidRPr="000D2F04">
              <w:t>1.7</w:t>
            </w:r>
            <w:r w:rsidR="00032292">
              <w:t>4</w:t>
            </w:r>
          </w:p>
        </w:tc>
        <w:tc>
          <w:tcPr>
            <w:tcW w:w="935" w:type="pct"/>
            <w:vAlign w:val="center"/>
          </w:tcPr>
          <w:p w:rsidR="00D6224E" w:rsidRPr="00B411F8" w:rsidRDefault="00D6224E" w:rsidP="00032292">
            <w:pPr>
              <w:jc w:val="right"/>
            </w:pPr>
            <w:r w:rsidRPr="00B411F8">
              <w:t>1.</w:t>
            </w:r>
            <w:r w:rsidR="00032292">
              <w:t>69</w:t>
            </w:r>
          </w:p>
        </w:tc>
        <w:tc>
          <w:tcPr>
            <w:tcW w:w="1450" w:type="pct"/>
          </w:tcPr>
          <w:p w:rsidR="00D6224E" w:rsidRPr="00B411F8" w:rsidRDefault="00032292" w:rsidP="00032292">
            <w:pPr>
              <w:jc w:val="right"/>
              <w:rPr>
                <w:color w:val="FF0000"/>
              </w:rPr>
            </w:pPr>
            <w:r>
              <w:t xml:space="preserve">+0.05 </w:t>
            </w:r>
            <w:r w:rsidRPr="001679C0">
              <w:t>percentage points</w:t>
            </w:r>
          </w:p>
        </w:tc>
      </w:tr>
      <w:tr w:rsidR="00D6224E" w:rsidRPr="001F0FBE" w:rsidTr="00D6224E">
        <w:trPr>
          <w:cnfStyle w:val="000000100000" w:firstRow="0" w:lastRow="0" w:firstColumn="0" w:lastColumn="0" w:oddVBand="0" w:evenVBand="0" w:oddHBand="1" w:evenHBand="0" w:firstRowFirstColumn="0" w:firstRowLastColumn="0" w:lastRowFirstColumn="0" w:lastRowLastColumn="0"/>
          <w:trHeight w:val="430"/>
        </w:trPr>
        <w:tc>
          <w:tcPr>
            <w:tcW w:w="1754" w:type="pct"/>
          </w:tcPr>
          <w:p w:rsidR="00D6224E" w:rsidRPr="000F0746" w:rsidRDefault="00D6224E" w:rsidP="005E371D">
            <w:pPr>
              <w:ind w:right="-381"/>
            </w:pPr>
            <w:r w:rsidRPr="000F0746">
              <w:t>10 year Commonwealth bond rate</w:t>
            </w:r>
          </w:p>
        </w:tc>
        <w:tc>
          <w:tcPr>
            <w:tcW w:w="862" w:type="pct"/>
            <w:vAlign w:val="center"/>
          </w:tcPr>
          <w:p w:rsidR="00D6224E" w:rsidRPr="000D2F04" w:rsidRDefault="00D6224E" w:rsidP="000B2E3A">
            <w:pPr>
              <w:jc w:val="right"/>
            </w:pPr>
            <w:r w:rsidRPr="000D2F04">
              <w:t>2.</w:t>
            </w:r>
            <w:r w:rsidR="00032292">
              <w:t>6</w:t>
            </w:r>
            <w:r w:rsidR="000B2E3A">
              <w:t>0</w:t>
            </w:r>
          </w:p>
        </w:tc>
        <w:tc>
          <w:tcPr>
            <w:tcW w:w="935" w:type="pct"/>
            <w:vAlign w:val="center"/>
          </w:tcPr>
          <w:p w:rsidR="00D6224E" w:rsidRPr="000F0746" w:rsidRDefault="00D6224E" w:rsidP="004E36F7">
            <w:pPr>
              <w:jc w:val="right"/>
            </w:pPr>
            <w:r w:rsidRPr="000F0746">
              <w:t>2.</w:t>
            </w:r>
            <w:r w:rsidR="004E36F7">
              <w:t>69</w:t>
            </w:r>
          </w:p>
        </w:tc>
        <w:tc>
          <w:tcPr>
            <w:tcW w:w="1450" w:type="pct"/>
          </w:tcPr>
          <w:p w:rsidR="00D6224E" w:rsidRPr="001F0FBE" w:rsidRDefault="000B2E3A" w:rsidP="000B2E3A">
            <w:pPr>
              <w:jc w:val="right"/>
              <w:rPr>
                <w:color w:val="FF0000"/>
                <w:highlight w:val="yellow"/>
              </w:rPr>
            </w:pPr>
            <w:r>
              <w:t>-</w:t>
            </w:r>
            <w:r w:rsidR="00213A0E">
              <w:t>0.</w:t>
            </w:r>
            <w:r w:rsidR="00B31BDA">
              <w:t>0</w:t>
            </w:r>
            <w:r>
              <w:t>9</w:t>
            </w:r>
            <w:r w:rsidR="00D6224E" w:rsidRPr="001679C0">
              <w:t xml:space="preserve"> percentage points</w:t>
            </w:r>
          </w:p>
        </w:tc>
      </w:tr>
    </w:tbl>
    <w:p w:rsidR="00230358" w:rsidRDefault="00D17E6E" w:rsidP="001E141A">
      <w:pPr>
        <w:rPr>
          <w:i/>
          <w:sz w:val="20"/>
        </w:rPr>
      </w:pPr>
      <w:r w:rsidRPr="007F677F">
        <w:rPr>
          <w:i/>
          <w:sz w:val="20"/>
        </w:rPr>
        <w:t>Note</w:t>
      </w:r>
      <w:r w:rsidR="00771375">
        <w:rPr>
          <w:i/>
          <w:sz w:val="20"/>
        </w:rPr>
        <w:t>s</w:t>
      </w:r>
      <w:r w:rsidRPr="007F677F">
        <w:rPr>
          <w:i/>
          <w:sz w:val="20"/>
        </w:rPr>
        <w:t xml:space="preserve">: </w:t>
      </w:r>
      <w:r w:rsidR="00771375">
        <w:rPr>
          <w:i/>
          <w:sz w:val="20"/>
        </w:rPr>
        <w:t>*</w:t>
      </w:r>
      <w:r w:rsidRPr="007F677F">
        <w:rPr>
          <w:i/>
          <w:sz w:val="20"/>
        </w:rPr>
        <w:t>Changes are based on t</w:t>
      </w:r>
      <w:r w:rsidR="00C94806">
        <w:rPr>
          <w:i/>
          <w:sz w:val="20"/>
        </w:rPr>
        <w:t>he movement in unrounded figures</w:t>
      </w:r>
      <w:r w:rsidR="00771375">
        <w:rPr>
          <w:i/>
          <w:sz w:val="20"/>
        </w:rPr>
        <w:t xml:space="preserve">. </w:t>
      </w: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C94806" w:rsidTr="002751C4">
        <w:trPr>
          <w:trHeight w:val="1223"/>
        </w:trPr>
        <w:tc>
          <w:tcPr>
            <w:tcW w:w="4082" w:type="dxa"/>
          </w:tcPr>
          <w:p w:rsidR="00C94806" w:rsidRPr="002868CD" w:rsidRDefault="00C94806" w:rsidP="001D2117">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C94806" w:rsidRDefault="00C94806" w:rsidP="001D2117">
            <w:pPr>
              <w:pStyle w:val="Note"/>
            </w:pPr>
          </w:p>
        </w:tc>
        <w:tc>
          <w:tcPr>
            <w:tcW w:w="4682" w:type="dxa"/>
            <w:vMerge w:val="restart"/>
            <w:vAlign w:val="bottom"/>
          </w:tcPr>
          <w:p w:rsidR="00C94806" w:rsidRDefault="00C94806" w:rsidP="001D2117">
            <w:pPr>
              <w:pStyle w:val="Note"/>
            </w:pPr>
            <w:r w:rsidRPr="000C21C3">
              <w:rPr>
                <w:noProof/>
                <w:lang w:eastAsia="en-AU"/>
              </w:rPr>
              <w:drawing>
                <wp:inline distT="0" distB="0" distL="0" distR="0" wp14:anchorId="13EAF2F8" wp14:editId="3777CAB8">
                  <wp:extent cx="1117460" cy="393651"/>
                  <wp:effectExtent l="0" t="0" r="6985" b="698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C94806" w:rsidRDefault="00C94806" w:rsidP="001D2117">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C94806" w:rsidTr="002751C4">
        <w:trPr>
          <w:trHeight w:val="1222"/>
        </w:trPr>
        <w:tc>
          <w:tcPr>
            <w:tcW w:w="4082" w:type="dxa"/>
            <w:vAlign w:val="bottom"/>
          </w:tcPr>
          <w:p w:rsidR="00C94806" w:rsidRDefault="00C94806" w:rsidP="001D2117">
            <w:pPr>
              <w:pStyle w:val="Note"/>
            </w:pPr>
            <w:r w:rsidRPr="00382510">
              <w:t>© State of Victoria 201</w:t>
            </w:r>
            <w:r w:rsidR="00ED7CCB">
              <w:t>7</w:t>
            </w:r>
          </w:p>
          <w:p w:rsidR="00C94806" w:rsidRPr="00382510" w:rsidRDefault="00C94806" w:rsidP="001D2117">
            <w:pPr>
              <w:pStyle w:val="Note"/>
              <w:spacing w:line="312" w:lineRule="auto"/>
            </w:pPr>
            <w:r w:rsidRPr="00382510">
              <w:t>Copyright queries may be directed to IPpolicy@dtf.vic.gov.au.</w:t>
            </w:r>
          </w:p>
        </w:tc>
        <w:tc>
          <w:tcPr>
            <w:tcW w:w="709" w:type="dxa"/>
            <w:vMerge/>
            <w:vAlign w:val="bottom"/>
          </w:tcPr>
          <w:p w:rsidR="00C94806" w:rsidRDefault="00C94806" w:rsidP="001D2117">
            <w:pPr>
              <w:pStyle w:val="Note"/>
            </w:pPr>
          </w:p>
        </w:tc>
        <w:tc>
          <w:tcPr>
            <w:tcW w:w="4682" w:type="dxa"/>
            <w:vMerge/>
            <w:vAlign w:val="bottom"/>
          </w:tcPr>
          <w:p w:rsidR="00C94806" w:rsidRPr="000C21C3" w:rsidRDefault="00C94806" w:rsidP="001D2117">
            <w:pPr>
              <w:pStyle w:val="Note"/>
              <w:rPr>
                <w:noProof/>
                <w:lang w:eastAsia="en-AU"/>
              </w:rPr>
            </w:pPr>
          </w:p>
        </w:tc>
      </w:tr>
    </w:tbl>
    <w:p w:rsidR="00CC6C1E" w:rsidRPr="007F677F" w:rsidRDefault="00CC6C1E" w:rsidP="0069622A">
      <w:pPr>
        <w:rPr>
          <w:noProof/>
          <w:lang w:eastAsia="en-AU"/>
        </w:rPr>
      </w:pPr>
    </w:p>
    <w:sectPr w:rsidR="00CC6C1E" w:rsidRPr="007F677F" w:rsidSect="001D2117">
      <w:footerReference w:type="default" r:id="rId21"/>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12" w:rsidRDefault="00093712" w:rsidP="001E7D0D">
      <w:pPr>
        <w:spacing w:after="0" w:line="240" w:lineRule="auto"/>
      </w:pPr>
      <w:r>
        <w:separator/>
      </w:r>
    </w:p>
  </w:endnote>
  <w:endnote w:type="continuationSeparator" w:id="0">
    <w:p w:rsidR="00093712" w:rsidRDefault="00093712"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4AE6A3CE" wp14:editId="0D26EE2E">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85263D">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2E847296" wp14:editId="2A2CB844">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85263D">
      <w:rPr>
        <w:rStyle w:val="PageNumber"/>
        <w:noProof/>
      </w:rPr>
      <w:t>3</w:t>
    </w:r>
    <w:r w:rsidRPr="00BC672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0625A4">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12" w:rsidRDefault="00093712" w:rsidP="001E7D0D">
      <w:pPr>
        <w:spacing w:after="0" w:line="240" w:lineRule="auto"/>
      </w:pPr>
      <w:r>
        <w:separator/>
      </w:r>
    </w:p>
  </w:footnote>
  <w:footnote w:type="continuationSeparator" w:id="0">
    <w:p w:rsidR="00093712" w:rsidRDefault="00093712"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0AF4CEB5" wp14:editId="6CAAB837">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6C69F43D" wp14:editId="37CBB555">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1CF84A62" wp14:editId="7C4A5688">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51C8"/>
    <w:multiLevelType w:val="multilevel"/>
    <w:tmpl w:val="306ACA90"/>
    <w:lvl w:ilvl="0">
      <w:start w:val="1"/>
      <w:numFmt w:val="decimal"/>
      <w:pStyle w:val="Listnum"/>
      <w:lvlText w:val="%1."/>
      <w:lvlJc w:val="left"/>
      <w:pPr>
        <w:tabs>
          <w:tab w:val="num" w:pos="9075"/>
        </w:tabs>
        <w:ind w:left="9075" w:hanging="504"/>
      </w:pPr>
      <w:rPr>
        <w:rFonts w:hint="default"/>
      </w:rPr>
    </w:lvl>
    <w:lvl w:ilvl="1">
      <w:start w:val="1"/>
      <w:numFmt w:val="lowerLetter"/>
      <w:pStyle w:val="Listnum2"/>
      <w:lvlText w:val="(%2)"/>
      <w:lvlJc w:val="left"/>
      <w:pPr>
        <w:tabs>
          <w:tab w:val="num" w:pos="9579"/>
        </w:tabs>
        <w:ind w:left="9579" w:hanging="504"/>
      </w:pPr>
      <w:rPr>
        <w:rFonts w:hint="default"/>
      </w:rPr>
    </w:lvl>
    <w:lvl w:ilvl="2">
      <w:start w:val="1"/>
      <w:numFmt w:val="lowerRoman"/>
      <w:pStyle w:val="Listnum3"/>
      <w:lvlText w:val="(%3)"/>
      <w:lvlJc w:val="right"/>
      <w:pPr>
        <w:tabs>
          <w:tab w:val="num" w:pos="10083"/>
        </w:tabs>
        <w:ind w:left="10083" w:hanging="504"/>
      </w:pPr>
      <w:rPr>
        <w:rFonts w:hint="default"/>
      </w:rPr>
    </w:lvl>
    <w:lvl w:ilvl="3">
      <w:start w:val="1"/>
      <w:numFmt w:val="decimal"/>
      <w:lvlText w:val="%4."/>
      <w:lvlJc w:val="left"/>
      <w:pPr>
        <w:tabs>
          <w:tab w:val="num" w:pos="11153"/>
        </w:tabs>
        <w:ind w:left="10587" w:hanging="504"/>
      </w:pPr>
      <w:rPr>
        <w:rFonts w:hint="default"/>
      </w:rPr>
    </w:lvl>
    <w:lvl w:ilvl="4">
      <w:start w:val="1"/>
      <w:numFmt w:val="lowerLetter"/>
      <w:lvlText w:val="%5."/>
      <w:lvlJc w:val="left"/>
      <w:pPr>
        <w:tabs>
          <w:tab w:val="num" w:pos="11657"/>
        </w:tabs>
        <w:ind w:left="11091" w:hanging="504"/>
      </w:pPr>
      <w:rPr>
        <w:rFonts w:hint="default"/>
      </w:rPr>
    </w:lvl>
    <w:lvl w:ilvl="5">
      <w:start w:val="1"/>
      <w:numFmt w:val="lowerRoman"/>
      <w:lvlText w:val="%6."/>
      <w:lvlJc w:val="right"/>
      <w:pPr>
        <w:tabs>
          <w:tab w:val="num" w:pos="12161"/>
        </w:tabs>
        <w:ind w:left="11595" w:hanging="504"/>
      </w:pPr>
      <w:rPr>
        <w:rFonts w:hint="default"/>
      </w:rPr>
    </w:lvl>
    <w:lvl w:ilvl="6">
      <w:start w:val="1"/>
      <w:numFmt w:val="decimal"/>
      <w:lvlText w:val="%7."/>
      <w:lvlJc w:val="left"/>
      <w:pPr>
        <w:tabs>
          <w:tab w:val="num" w:pos="12665"/>
        </w:tabs>
        <w:ind w:left="12099" w:hanging="504"/>
      </w:pPr>
      <w:rPr>
        <w:rFonts w:hint="default"/>
      </w:rPr>
    </w:lvl>
    <w:lvl w:ilvl="7">
      <w:start w:val="1"/>
      <w:numFmt w:val="lowerLetter"/>
      <w:lvlText w:val="%8."/>
      <w:lvlJc w:val="left"/>
      <w:pPr>
        <w:tabs>
          <w:tab w:val="num" w:pos="13169"/>
        </w:tabs>
        <w:ind w:left="12603" w:hanging="504"/>
      </w:pPr>
      <w:rPr>
        <w:rFonts w:hint="default"/>
      </w:rPr>
    </w:lvl>
    <w:lvl w:ilvl="8">
      <w:start w:val="1"/>
      <w:numFmt w:val="lowerRoman"/>
      <w:lvlText w:val="%9."/>
      <w:lvlJc w:val="right"/>
      <w:pPr>
        <w:tabs>
          <w:tab w:val="num" w:pos="13673"/>
        </w:tabs>
        <w:ind w:left="13107" w:hanging="504"/>
      </w:pPr>
      <w:rPr>
        <w:rFonts w:hint="default"/>
      </w:rPr>
    </w:lvl>
  </w:abstractNum>
  <w:abstractNum w:abstractNumId="1">
    <w:nsid w:val="348C23D1"/>
    <w:multiLevelType w:val="hybridMultilevel"/>
    <w:tmpl w:val="934E8B8A"/>
    <w:lvl w:ilvl="0" w:tplc="A7F035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332250"/>
    <w:multiLevelType w:val="multilevel"/>
    <w:tmpl w:val="DA6E3D5C"/>
    <w:numStyleLink w:val="Highlightbulletstyle"/>
  </w:abstractNum>
  <w:abstractNum w:abstractNumId="3">
    <w:nsid w:val="5FB034FE"/>
    <w:multiLevelType w:val="hybridMultilevel"/>
    <w:tmpl w:val="EAFC73E8"/>
    <w:lvl w:ilvl="0" w:tplc="EBACE46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4065935"/>
    <w:multiLevelType w:val="multilevel"/>
    <w:tmpl w:val="DA6E3D5C"/>
    <w:numStyleLink w:val="Highlightbulletstyle"/>
  </w:abstractNum>
  <w:num w:numId="1">
    <w:abstractNumId w:val="4"/>
  </w:num>
  <w:num w:numId="2">
    <w:abstractNumId w:val="2"/>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013E"/>
    <w:rsid w:val="00003429"/>
    <w:rsid w:val="000037BC"/>
    <w:rsid w:val="00004104"/>
    <w:rsid w:val="00004F57"/>
    <w:rsid w:val="000053A6"/>
    <w:rsid w:val="00010651"/>
    <w:rsid w:val="00012FB4"/>
    <w:rsid w:val="00014A00"/>
    <w:rsid w:val="000160BC"/>
    <w:rsid w:val="00016356"/>
    <w:rsid w:val="000170B4"/>
    <w:rsid w:val="000176C9"/>
    <w:rsid w:val="00020018"/>
    <w:rsid w:val="00020292"/>
    <w:rsid w:val="00021D1F"/>
    <w:rsid w:val="00022C95"/>
    <w:rsid w:val="00023204"/>
    <w:rsid w:val="00023640"/>
    <w:rsid w:val="00025709"/>
    <w:rsid w:val="00027A5D"/>
    <w:rsid w:val="00027C20"/>
    <w:rsid w:val="00031852"/>
    <w:rsid w:val="00032292"/>
    <w:rsid w:val="0003309C"/>
    <w:rsid w:val="00033485"/>
    <w:rsid w:val="00033C25"/>
    <w:rsid w:val="000359D7"/>
    <w:rsid w:val="00035A12"/>
    <w:rsid w:val="00036CD9"/>
    <w:rsid w:val="00037E9B"/>
    <w:rsid w:val="0004296F"/>
    <w:rsid w:val="00042C14"/>
    <w:rsid w:val="00044907"/>
    <w:rsid w:val="00045DBC"/>
    <w:rsid w:val="00046F57"/>
    <w:rsid w:val="00047DD7"/>
    <w:rsid w:val="0005013A"/>
    <w:rsid w:val="00051BA4"/>
    <w:rsid w:val="00053341"/>
    <w:rsid w:val="00053F71"/>
    <w:rsid w:val="00054120"/>
    <w:rsid w:val="00054994"/>
    <w:rsid w:val="0005571F"/>
    <w:rsid w:val="00055855"/>
    <w:rsid w:val="000576D1"/>
    <w:rsid w:val="000611D9"/>
    <w:rsid w:val="00061229"/>
    <w:rsid w:val="0006130C"/>
    <w:rsid w:val="000621B6"/>
    <w:rsid w:val="000625A4"/>
    <w:rsid w:val="00062BCA"/>
    <w:rsid w:val="000630DD"/>
    <w:rsid w:val="000636F8"/>
    <w:rsid w:val="00063D5E"/>
    <w:rsid w:val="0006406C"/>
    <w:rsid w:val="00064ECB"/>
    <w:rsid w:val="00065923"/>
    <w:rsid w:val="000660AA"/>
    <w:rsid w:val="0006662B"/>
    <w:rsid w:val="00066B58"/>
    <w:rsid w:val="00067C7B"/>
    <w:rsid w:val="000720FA"/>
    <w:rsid w:val="0007353B"/>
    <w:rsid w:val="00073A18"/>
    <w:rsid w:val="0007721B"/>
    <w:rsid w:val="000802EF"/>
    <w:rsid w:val="00081929"/>
    <w:rsid w:val="00081AA9"/>
    <w:rsid w:val="00082ABF"/>
    <w:rsid w:val="00083238"/>
    <w:rsid w:val="00083675"/>
    <w:rsid w:val="000848EB"/>
    <w:rsid w:val="0008503A"/>
    <w:rsid w:val="00085FDB"/>
    <w:rsid w:val="0008661D"/>
    <w:rsid w:val="00087930"/>
    <w:rsid w:val="00092EB0"/>
    <w:rsid w:val="00092FE6"/>
    <w:rsid w:val="00093712"/>
    <w:rsid w:val="00093F23"/>
    <w:rsid w:val="00095562"/>
    <w:rsid w:val="00097DC0"/>
    <w:rsid w:val="000A1F05"/>
    <w:rsid w:val="000A3879"/>
    <w:rsid w:val="000A3DE5"/>
    <w:rsid w:val="000A6218"/>
    <w:rsid w:val="000A7A17"/>
    <w:rsid w:val="000B16BD"/>
    <w:rsid w:val="000B2E3A"/>
    <w:rsid w:val="000B3A27"/>
    <w:rsid w:val="000B4020"/>
    <w:rsid w:val="000B64BA"/>
    <w:rsid w:val="000B6B2E"/>
    <w:rsid w:val="000B71CD"/>
    <w:rsid w:val="000C1774"/>
    <w:rsid w:val="000C19C6"/>
    <w:rsid w:val="000D2445"/>
    <w:rsid w:val="000D2A62"/>
    <w:rsid w:val="000D2F04"/>
    <w:rsid w:val="000D36C6"/>
    <w:rsid w:val="000D3AAF"/>
    <w:rsid w:val="000D4112"/>
    <w:rsid w:val="000D517F"/>
    <w:rsid w:val="000D7E75"/>
    <w:rsid w:val="000E1FFA"/>
    <w:rsid w:val="000E5E7D"/>
    <w:rsid w:val="000F0189"/>
    <w:rsid w:val="000F0746"/>
    <w:rsid w:val="000F167A"/>
    <w:rsid w:val="000F1769"/>
    <w:rsid w:val="000F2FBA"/>
    <w:rsid w:val="000F6675"/>
    <w:rsid w:val="000F6F43"/>
    <w:rsid w:val="000F7908"/>
    <w:rsid w:val="001010BD"/>
    <w:rsid w:val="00103711"/>
    <w:rsid w:val="00103EC5"/>
    <w:rsid w:val="00106242"/>
    <w:rsid w:val="00106365"/>
    <w:rsid w:val="001063B6"/>
    <w:rsid w:val="001071BD"/>
    <w:rsid w:val="00107EEF"/>
    <w:rsid w:val="0011281B"/>
    <w:rsid w:val="00113BB5"/>
    <w:rsid w:val="001148E7"/>
    <w:rsid w:val="00114E7A"/>
    <w:rsid w:val="001178AE"/>
    <w:rsid w:val="001207CE"/>
    <w:rsid w:val="00123AFA"/>
    <w:rsid w:val="00125049"/>
    <w:rsid w:val="00126FFE"/>
    <w:rsid w:val="001272DB"/>
    <w:rsid w:val="00130B73"/>
    <w:rsid w:val="0013596B"/>
    <w:rsid w:val="001372E4"/>
    <w:rsid w:val="001428A1"/>
    <w:rsid w:val="001442F4"/>
    <w:rsid w:val="00144662"/>
    <w:rsid w:val="00146D13"/>
    <w:rsid w:val="00147E59"/>
    <w:rsid w:val="00155E50"/>
    <w:rsid w:val="001578F5"/>
    <w:rsid w:val="00157F5E"/>
    <w:rsid w:val="0016508F"/>
    <w:rsid w:val="0016655B"/>
    <w:rsid w:val="001669BE"/>
    <w:rsid w:val="00166AAA"/>
    <w:rsid w:val="001679C0"/>
    <w:rsid w:val="001709F7"/>
    <w:rsid w:val="00170B8B"/>
    <w:rsid w:val="001716B5"/>
    <w:rsid w:val="00173104"/>
    <w:rsid w:val="00175390"/>
    <w:rsid w:val="001819F8"/>
    <w:rsid w:val="00181D8E"/>
    <w:rsid w:val="001835D6"/>
    <w:rsid w:val="0019025E"/>
    <w:rsid w:val="00190B22"/>
    <w:rsid w:val="0019153C"/>
    <w:rsid w:val="00191DDE"/>
    <w:rsid w:val="00192916"/>
    <w:rsid w:val="00192A6E"/>
    <w:rsid w:val="00195637"/>
    <w:rsid w:val="001A1164"/>
    <w:rsid w:val="001A179F"/>
    <w:rsid w:val="001A1E71"/>
    <w:rsid w:val="001A41C0"/>
    <w:rsid w:val="001B0012"/>
    <w:rsid w:val="001B0E91"/>
    <w:rsid w:val="001B3301"/>
    <w:rsid w:val="001B35BD"/>
    <w:rsid w:val="001B49A6"/>
    <w:rsid w:val="001B59EB"/>
    <w:rsid w:val="001B6034"/>
    <w:rsid w:val="001C1EC8"/>
    <w:rsid w:val="001C517E"/>
    <w:rsid w:val="001D0F0C"/>
    <w:rsid w:val="001D1AB4"/>
    <w:rsid w:val="001D2117"/>
    <w:rsid w:val="001D432C"/>
    <w:rsid w:val="001D5D39"/>
    <w:rsid w:val="001D71D3"/>
    <w:rsid w:val="001D7B30"/>
    <w:rsid w:val="001E03B1"/>
    <w:rsid w:val="001E1270"/>
    <w:rsid w:val="001E141A"/>
    <w:rsid w:val="001E2641"/>
    <w:rsid w:val="001E5D17"/>
    <w:rsid w:val="001E777B"/>
    <w:rsid w:val="001E7A6D"/>
    <w:rsid w:val="001E7D0D"/>
    <w:rsid w:val="001E7D7B"/>
    <w:rsid w:val="001F03D2"/>
    <w:rsid w:val="001F0FBE"/>
    <w:rsid w:val="0020012F"/>
    <w:rsid w:val="002006B9"/>
    <w:rsid w:val="00200D1F"/>
    <w:rsid w:val="002014B8"/>
    <w:rsid w:val="00202582"/>
    <w:rsid w:val="00202BAF"/>
    <w:rsid w:val="00204F11"/>
    <w:rsid w:val="002068A8"/>
    <w:rsid w:val="0021040C"/>
    <w:rsid w:val="00212251"/>
    <w:rsid w:val="00213A0E"/>
    <w:rsid w:val="0021468B"/>
    <w:rsid w:val="0021539B"/>
    <w:rsid w:val="0022157A"/>
    <w:rsid w:val="00222DFE"/>
    <w:rsid w:val="00223311"/>
    <w:rsid w:val="002237C1"/>
    <w:rsid w:val="002277E2"/>
    <w:rsid w:val="00230358"/>
    <w:rsid w:val="00231277"/>
    <w:rsid w:val="002337EE"/>
    <w:rsid w:val="0023586C"/>
    <w:rsid w:val="002414D2"/>
    <w:rsid w:val="0024227B"/>
    <w:rsid w:val="002437D6"/>
    <w:rsid w:val="00244136"/>
    <w:rsid w:val="00245E95"/>
    <w:rsid w:val="00246C5C"/>
    <w:rsid w:val="00253B12"/>
    <w:rsid w:val="00253D99"/>
    <w:rsid w:val="00256ABE"/>
    <w:rsid w:val="0025798D"/>
    <w:rsid w:val="00260213"/>
    <w:rsid w:val="00261436"/>
    <w:rsid w:val="00261D70"/>
    <w:rsid w:val="00262411"/>
    <w:rsid w:val="002638C9"/>
    <w:rsid w:val="00264C87"/>
    <w:rsid w:val="00264F48"/>
    <w:rsid w:val="0026593D"/>
    <w:rsid w:val="00266582"/>
    <w:rsid w:val="00267FD0"/>
    <w:rsid w:val="00270AF2"/>
    <w:rsid w:val="00270CF1"/>
    <w:rsid w:val="00270E44"/>
    <w:rsid w:val="00274C7F"/>
    <w:rsid w:val="002751C4"/>
    <w:rsid w:val="0028118E"/>
    <w:rsid w:val="00282F8F"/>
    <w:rsid w:val="00283D6B"/>
    <w:rsid w:val="00286478"/>
    <w:rsid w:val="002868CD"/>
    <w:rsid w:val="00290FB0"/>
    <w:rsid w:val="002920D2"/>
    <w:rsid w:val="00292912"/>
    <w:rsid w:val="00293A6B"/>
    <w:rsid w:val="002A0EE8"/>
    <w:rsid w:val="002A4E54"/>
    <w:rsid w:val="002B0039"/>
    <w:rsid w:val="002B5C85"/>
    <w:rsid w:val="002B6763"/>
    <w:rsid w:val="002C094C"/>
    <w:rsid w:val="002C0ACC"/>
    <w:rsid w:val="002C0AF7"/>
    <w:rsid w:val="002C3FAE"/>
    <w:rsid w:val="002C4FEE"/>
    <w:rsid w:val="002C7493"/>
    <w:rsid w:val="002C7495"/>
    <w:rsid w:val="002D09FD"/>
    <w:rsid w:val="002D2638"/>
    <w:rsid w:val="002D4B7B"/>
    <w:rsid w:val="002D52D6"/>
    <w:rsid w:val="002E323E"/>
    <w:rsid w:val="002E5840"/>
    <w:rsid w:val="002E5AB4"/>
    <w:rsid w:val="002E5FA6"/>
    <w:rsid w:val="002E61AC"/>
    <w:rsid w:val="002E73F4"/>
    <w:rsid w:val="002E7663"/>
    <w:rsid w:val="002F04BA"/>
    <w:rsid w:val="002F13D9"/>
    <w:rsid w:val="002F21A5"/>
    <w:rsid w:val="002F3B96"/>
    <w:rsid w:val="002F46A5"/>
    <w:rsid w:val="002F5DE2"/>
    <w:rsid w:val="00300949"/>
    <w:rsid w:val="00301591"/>
    <w:rsid w:val="00306D76"/>
    <w:rsid w:val="0031220C"/>
    <w:rsid w:val="00315004"/>
    <w:rsid w:val="00320889"/>
    <w:rsid w:val="003228FA"/>
    <w:rsid w:val="003239BF"/>
    <w:rsid w:val="00323FC2"/>
    <w:rsid w:val="00331066"/>
    <w:rsid w:val="00331531"/>
    <w:rsid w:val="00335295"/>
    <w:rsid w:val="00335813"/>
    <w:rsid w:val="003371D7"/>
    <w:rsid w:val="00340C10"/>
    <w:rsid w:val="00341AD3"/>
    <w:rsid w:val="00344153"/>
    <w:rsid w:val="00345476"/>
    <w:rsid w:val="00345479"/>
    <w:rsid w:val="0034648C"/>
    <w:rsid w:val="00346694"/>
    <w:rsid w:val="00346980"/>
    <w:rsid w:val="00347992"/>
    <w:rsid w:val="00347A78"/>
    <w:rsid w:val="00347BE0"/>
    <w:rsid w:val="00351EEC"/>
    <w:rsid w:val="003529D4"/>
    <w:rsid w:val="003533A8"/>
    <w:rsid w:val="003540A1"/>
    <w:rsid w:val="00354235"/>
    <w:rsid w:val="00357F86"/>
    <w:rsid w:val="00360077"/>
    <w:rsid w:val="00360F22"/>
    <w:rsid w:val="00362CE1"/>
    <w:rsid w:val="00364C8F"/>
    <w:rsid w:val="0037175A"/>
    <w:rsid w:val="00372159"/>
    <w:rsid w:val="00375B3E"/>
    <w:rsid w:val="003806CD"/>
    <w:rsid w:val="00380DA2"/>
    <w:rsid w:val="00381798"/>
    <w:rsid w:val="00381C44"/>
    <w:rsid w:val="00381E61"/>
    <w:rsid w:val="0038201F"/>
    <w:rsid w:val="00382510"/>
    <w:rsid w:val="003831AB"/>
    <w:rsid w:val="00383918"/>
    <w:rsid w:val="003844EC"/>
    <w:rsid w:val="00384A23"/>
    <w:rsid w:val="003902A0"/>
    <w:rsid w:val="00390E2F"/>
    <w:rsid w:val="003915B9"/>
    <w:rsid w:val="00394456"/>
    <w:rsid w:val="003952AA"/>
    <w:rsid w:val="003A0F37"/>
    <w:rsid w:val="003A2CDC"/>
    <w:rsid w:val="003A3175"/>
    <w:rsid w:val="003A3AD2"/>
    <w:rsid w:val="003A4B92"/>
    <w:rsid w:val="003A65EF"/>
    <w:rsid w:val="003A70B8"/>
    <w:rsid w:val="003B00F1"/>
    <w:rsid w:val="003B13CD"/>
    <w:rsid w:val="003B27C9"/>
    <w:rsid w:val="003B2B53"/>
    <w:rsid w:val="003B3D66"/>
    <w:rsid w:val="003B43F8"/>
    <w:rsid w:val="003B66C0"/>
    <w:rsid w:val="003C20AB"/>
    <w:rsid w:val="003C3E82"/>
    <w:rsid w:val="003C5B4A"/>
    <w:rsid w:val="003C665B"/>
    <w:rsid w:val="003C690A"/>
    <w:rsid w:val="003C6D78"/>
    <w:rsid w:val="003D0FD1"/>
    <w:rsid w:val="003D74B2"/>
    <w:rsid w:val="003E507C"/>
    <w:rsid w:val="003E5648"/>
    <w:rsid w:val="003E6813"/>
    <w:rsid w:val="003F1107"/>
    <w:rsid w:val="003F2540"/>
    <w:rsid w:val="003F6D30"/>
    <w:rsid w:val="003F77EE"/>
    <w:rsid w:val="003F78A6"/>
    <w:rsid w:val="003F78F1"/>
    <w:rsid w:val="0040027B"/>
    <w:rsid w:val="0040561C"/>
    <w:rsid w:val="00405FBA"/>
    <w:rsid w:val="00406EC6"/>
    <w:rsid w:val="00407DB0"/>
    <w:rsid w:val="0041014C"/>
    <w:rsid w:val="0041092A"/>
    <w:rsid w:val="00411C99"/>
    <w:rsid w:val="00412B93"/>
    <w:rsid w:val="00416A04"/>
    <w:rsid w:val="00423F92"/>
    <w:rsid w:val="004248E2"/>
    <w:rsid w:val="00425F13"/>
    <w:rsid w:val="004274C5"/>
    <w:rsid w:val="0043064C"/>
    <w:rsid w:val="0043096A"/>
    <w:rsid w:val="00434A99"/>
    <w:rsid w:val="00434C46"/>
    <w:rsid w:val="00435687"/>
    <w:rsid w:val="004371C3"/>
    <w:rsid w:val="00440C3A"/>
    <w:rsid w:val="004412FB"/>
    <w:rsid w:val="004431F4"/>
    <w:rsid w:val="0044340B"/>
    <w:rsid w:val="00443FD2"/>
    <w:rsid w:val="00450F23"/>
    <w:rsid w:val="004512C0"/>
    <w:rsid w:val="0045265F"/>
    <w:rsid w:val="00453A5E"/>
    <w:rsid w:val="00453CBD"/>
    <w:rsid w:val="004556E4"/>
    <w:rsid w:val="00455CCF"/>
    <w:rsid w:val="00456F3B"/>
    <w:rsid w:val="0046250A"/>
    <w:rsid w:val="00466052"/>
    <w:rsid w:val="00466B30"/>
    <w:rsid w:val="00466CDB"/>
    <w:rsid w:val="0047038E"/>
    <w:rsid w:val="00474854"/>
    <w:rsid w:val="004768B5"/>
    <w:rsid w:val="00476B96"/>
    <w:rsid w:val="00480F7B"/>
    <w:rsid w:val="004834E8"/>
    <w:rsid w:val="00483862"/>
    <w:rsid w:val="00484190"/>
    <w:rsid w:val="00487A2E"/>
    <w:rsid w:val="004904DE"/>
    <w:rsid w:val="00494A89"/>
    <w:rsid w:val="004952C2"/>
    <w:rsid w:val="00496637"/>
    <w:rsid w:val="00497555"/>
    <w:rsid w:val="004A4775"/>
    <w:rsid w:val="004A5EFF"/>
    <w:rsid w:val="004A60F4"/>
    <w:rsid w:val="004B0DE0"/>
    <w:rsid w:val="004B10C4"/>
    <w:rsid w:val="004B3EAF"/>
    <w:rsid w:val="004B3EB7"/>
    <w:rsid w:val="004B6E36"/>
    <w:rsid w:val="004C0B0D"/>
    <w:rsid w:val="004C1EE8"/>
    <w:rsid w:val="004C2B18"/>
    <w:rsid w:val="004C630F"/>
    <w:rsid w:val="004C7246"/>
    <w:rsid w:val="004D2530"/>
    <w:rsid w:val="004D315E"/>
    <w:rsid w:val="004D34CD"/>
    <w:rsid w:val="004D4AC5"/>
    <w:rsid w:val="004D582C"/>
    <w:rsid w:val="004E06F1"/>
    <w:rsid w:val="004E1115"/>
    <w:rsid w:val="004E15F5"/>
    <w:rsid w:val="004E1C48"/>
    <w:rsid w:val="004E36F7"/>
    <w:rsid w:val="004E5ED2"/>
    <w:rsid w:val="004E5F2F"/>
    <w:rsid w:val="004E638E"/>
    <w:rsid w:val="004E7510"/>
    <w:rsid w:val="004F011B"/>
    <w:rsid w:val="004F2C65"/>
    <w:rsid w:val="004F3C3A"/>
    <w:rsid w:val="004F5D02"/>
    <w:rsid w:val="004F5DD2"/>
    <w:rsid w:val="004F650A"/>
    <w:rsid w:val="004F7193"/>
    <w:rsid w:val="0050041F"/>
    <w:rsid w:val="00501B53"/>
    <w:rsid w:val="00502141"/>
    <w:rsid w:val="00502D70"/>
    <w:rsid w:val="00504D17"/>
    <w:rsid w:val="00506EEE"/>
    <w:rsid w:val="00507432"/>
    <w:rsid w:val="00516980"/>
    <w:rsid w:val="005175E4"/>
    <w:rsid w:val="0052125D"/>
    <w:rsid w:val="00521BA8"/>
    <w:rsid w:val="00521DAF"/>
    <w:rsid w:val="00521F88"/>
    <w:rsid w:val="005221D6"/>
    <w:rsid w:val="00522682"/>
    <w:rsid w:val="00523A27"/>
    <w:rsid w:val="00524654"/>
    <w:rsid w:val="005246FB"/>
    <w:rsid w:val="005256FC"/>
    <w:rsid w:val="00525DDD"/>
    <w:rsid w:val="00526938"/>
    <w:rsid w:val="00527102"/>
    <w:rsid w:val="005279B1"/>
    <w:rsid w:val="005316CE"/>
    <w:rsid w:val="005318CE"/>
    <w:rsid w:val="005325F0"/>
    <w:rsid w:val="00534B86"/>
    <w:rsid w:val="00534C19"/>
    <w:rsid w:val="005379E5"/>
    <w:rsid w:val="00537EC6"/>
    <w:rsid w:val="00543BB3"/>
    <w:rsid w:val="00544A13"/>
    <w:rsid w:val="00545AA0"/>
    <w:rsid w:val="0054649F"/>
    <w:rsid w:val="005509BC"/>
    <w:rsid w:val="00552B82"/>
    <w:rsid w:val="00554F72"/>
    <w:rsid w:val="00557172"/>
    <w:rsid w:val="005572CF"/>
    <w:rsid w:val="005577EE"/>
    <w:rsid w:val="00557A3F"/>
    <w:rsid w:val="00561537"/>
    <w:rsid w:val="0056659D"/>
    <w:rsid w:val="00567A0F"/>
    <w:rsid w:val="00575F8D"/>
    <w:rsid w:val="00576235"/>
    <w:rsid w:val="00576DC6"/>
    <w:rsid w:val="005801E4"/>
    <w:rsid w:val="00580A73"/>
    <w:rsid w:val="005814E1"/>
    <w:rsid w:val="005859E0"/>
    <w:rsid w:val="00585DD0"/>
    <w:rsid w:val="00587AF4"/>
    <w:rsid w:val="00590640"/>
    <w:rsid w:val="00590D03"/>
    <w:rsid w:val="00590DB3"/>
    <w:rsid w:val="005923C3"/>
    <w:rsid w:val="00595836"/>
    <w:rsid w:val="005977E2"/>
    <w:rsid w:val="005A27E3"/>
    <w:rsid w:val="005A312B"/>
    <w:rsid w:val="005A3A8E"/>
    <w:rsid w:val="005A499A"/>
    <w:rsid w:val="005B02A3"/>
    <w:rsid w:val="005B50FE"/>
    <w:rsid w:val="005B5D8C"/>
    <w:rsid w:val="005B6236"/>
    <w:rsid w:val="005B63FE"/>
    <w:rsid w:val="005B7141"/>
    <w:rsid w:val="005B799A"/>
    <w:rsid w:val="005B7D8B"/>
    <w:rsid w:val="005C0112"/>
    <w:rsid w:val="005C2020"/>
    <w:rsid w:val="005C5FE2"/>
    <w:rsid w:val="005C66FE"/>
    <w:rsid w:val="005C6F29"/>
    <w:rsid w:val="005D5C2A"/>
    <w:rsid w:val="005D72B5"/>
    <w:rsid w:val="005E1782"/>
    <w:rsid w:val="005E1F2C"/>
    <w:rsid w:val="005E2185"/>
    <w:rsid w:val="005E26EE"/>
    <w:rsid w:val="005E4620"/>
    <w:rsid w:val="005E4A36"/>
    <w:rsid w:val="005E64C4"/>
    <w:rsid w:val="005E672B"/>
    <w:rsid w:val="005E6800"/>
    <w:rsid w:val="005F0E15"/>
    <w:rsid w:val="005F34B4"/>
    <w:rsid w:val="005F6FEE"/>
    <w:rsid w:val="006000A0"/>
    <w:rsid w:val="0060422F"/>
    <w:rsid w:val="00604447"/>
    <w:rsid w:val="006068E2"/>
    <w:rsid w:val="00606BF1"/>
    <w:rsid w:val="00607271"/>
    <w:rsid w:val="006072A0"/>
    <w:rsid w:val="00610201"/>
    <w:rsid w:val="006119A1"/>
    <w:rsid w:val="006135AB"/>
    <w:rsid w:val="00613DBA"/>
    <w:rsid w:val="00615915"/>
    <w:rsid w:val="00615B0C"/>
    <w:rsid w:val="006165B0"/>
    <w:rsid w:val="006202E5"/>
    <w:rsid w:val="00633A0A"/>
    <w:rsid w:val="006345C6"/>
    <w:rsid w:val="00634CB3"/>
    <w:rsid w:val="00636AB1"/>
    <w:rsid w:val="00637485"/>
    <w:rsid w:val="006375DD"/>
    <w:rsid w:val="00637684"/>
    <w:rsid w:val="00640214"/>
    <w:rsid w:val="00641691"/>
    <w:rsid w:val="0064291B"/>
    <w:rsid w:val="00643BA9"/>
    <w:rsid w:val="00643BE0"/>
    <w:rsid w:val="006446D1"/>
    <w:rsid w:val="00650127"/>
    <w:rsid w:val="00652783"/>
    <w:rsid w:val="00653989"/>
    <w:rsid w:val="00653B5B"/>
    <w:rsid w:val="006552ED"/>
    <w:rsid w:val="00655ADA"/>
    <w:rsid w:val="00655B24"/>
    <w:rsid w:val="00655CCE"/>
    <w:rsid w:val="006619C8"/>
    <w:rsid w:val="00662DE8"/>
    <w:rsid w:val="00664763"/>
    <w:rsid w:val="00664988"/>
    <w:rsid w:val="00666002"/>
    <w:rsid w:val="00666ED0"/>
    <w:rsid w:val="00667DB9"/>
    <w:rsid w:val="00670109"/>
    <w:rsid w:val="00670790"/>
    <w:rsid w:val="00670E78"/>
    <w:rsid w:val="006717DA"/>
    <w:rsid w:val="00675585"/>
    <w:rsid w:val="0068057E"/>
    <w:rsid w:val="00681947"/>
    <w:rsid w:val="00681BC4"/>
    <w:rsid w:val="0068446F"/>
    <w:rsid w:val="0069059D"/>
    <w:rsid w:val="0069470E"/>
    <w:rsid w:val="0069622A"/>
    <w:rsid w:val="00697374"/>
    <w:rsid w:val="00697F1F"/>
    <w:rsid w:val="006A0CDF"/>
    <w:rsid w:val="006A1032"/>
    <w:rsid w:val="006A5C90"/>
    <w:rsid w:val="006A745F"/>
    <w:rsid w:val="006A7ABD"/>
    <w:rsid w:val="006B11CA"/>
    <w:rsid w:val="006B3A0B"/>
    <w:rsid w:val="006B47AE"/>
    <w:rsid w:val="006B486C"/>
    <w:rsid w:val="006C0DF2"/>
    <w:rsid w:val="006C36AC"/>
    <w:rsid w:val="006C400D"/>
    <w:rsid w:val="006C4435"/>
    <w:rsid w:val="006C6503"/>
    <w:rsid w:val="006D2C01"/>
    <w:rsid w:val="006D4C00"/>
    <w:rsid w:val="006E06AD"/>
    <w:rsid w:val="006E0DF0"/>
    <w:rsid w:val="006E169E"/>
    <w:rsid w:val="006E3ABA"/>
    <w:rsid w:val="006E401A"/>
    <w:rsid w:val="006E7709"/>
    <w:rsid w:val="006F35EB"/>
    <w:rsid w:val="006F3B8C"/>
    <w:rsid w:val="006F6780"/>
    <w:rsid w:val="00700502"/>
    <w:rsid w:val="00700764"/>
    <w:rsid w:val="00703EBC"/>
    <w:rsid w:val="00705025"/>
    <w:rsid w:val="00706673"/>
    <w:rsid w:val="00706D3B"/>
    <w:rsid w:val="00707BF6"/>
    <w:rsid w:val="00710B79"/>
    <w:rsid w:val="00713948"/>
    <w:rsid w:val="00717ED7"/>
    <w:rsid w:val="00721ED1"/>
    <w:rsid w:val="00722C03"/>
    <w:rsid w:val="007231C4"/>
    <w:rsid w:val="00730EFC"/>
    <w:rsid w:val="00731D4A"/>
    <w:rsid w:val="007343DC"/>
    <w:rsid w:val="007347B8"/>
    <w:rsid w:val="0073506D"/>
    <w:rsid w:val="007364C8"/>
    <w:rsid w:val="0073687E"/>
    <w:rsid w:val="00736912"/>
    <w:rsid w:val="007410BD"/>
    <w:rsid w:val="007412D0"/>
    <w:rsid w:val="00742183"/>
    <w:rsid w:val="007460B7"/>
    <w:rsid w:val="00750856"/>
    <w:rsid w:val="0075117C"/>
    <w:rsid w:val="00751643"/>
    <w:rsid w:val="00762B7E"/>
    <w:rsid w:val="00765E58"/>
    <w:rsid w:val="00771375"/>
    <w:rsid w:val="00771BC6"/>
    <w:rsid w:val="00773A00"/>
    <w:rsid w:val="007757EB"/>
    <w:rsid w:val="0077773D"/>
    <w:rsid w:val="00780320"/>
    <w:rsid w:val="00781AB5"/>
    <w:rsid w:val="007873AC"/>
    <w:rsid w:val="00787CBC"/>
    <w:rsid w:val="00790F3C"/>
    <w:rsid w:val="007941D3"/>
    <w:rsid w:val="00795744"/>
    <w:rsid w:val="007972CA"/>
    <w:rsid w:val="007A03AA"/>
    <w:rsid w:val="007A139F"/>
    <w:rsid w:val="007B0DDE"/>
    <w:rsid w:val="007B2E95"/>
    <w:rsid w:val="007B4BD4"/>
    <w:rsid w:val="007B66B0"/>
    <w:rsid w:val="007C08DB"/>
    <w:rsid w:val="007C3C47"/>
    <w:rsid w:val="007C6047"/>
    <w:rsid w:val="007C7BE7"/>
    <w:rsid w:val="007D0358"/>
    <w:rsid w:val="007D2B8B"/>
    <w:rsid w:val="007D618F"/>
    <w:rsid w:val="007D688E"/>
    <w:rsid w:val="007D6F02"/>
    <w:rsid w:val="007D7C97"/>
    <w:rsid w:val="007D7CAD"/>
    <w:rsid w:val="007E2AD3"/>
    <w:rsid w:val="007E4A14"/>
    <w:rsid w:val="007E5421"/>
    <w:rsid w:val="007E6072"/>
    <w:rsid w:val="007E6812"/>
    <w:rsid w:val="007E7CDF"/>
    <w:rsid w:val="007F2F37"/>
    <w:rsid w:val="007F6738"/>
    <w:rsid w:val="007F677F"/>
    <w:rsid w:val="007F7DBD"/>
    <w:rsid w:val="00801834"/>
    <w:rsid w:val="00802FB2"/>
    <w:rsid w:val="00803E2C"/>
    <w:rsid w:val="008061D0"/>
    <w:rsid w:val="0081037E"/>
    <w:rsid w:val="00810385"/>
    <w:rsid w:val="008115C7"/>
    <w:rsid w:val="008124B6"/>
    <w:rsid w:val="00813058"/>
    <w:rsid w:val="00816160"/>
    <w:rsid w:val="0081749B"/>
    <w:rsid w:val="00820021"/>
    <w:rsid w:val="00821A3A"/>
    <w:rsid w:val="008262D9"/>
    <w:rsid w:val="00827595"/>
    <w:rsid w:val="00831F56"/>
    <w:rsid w:val="00833B24"/>
    <w:rsid w:val="00833E9D"/>
    <w:rsid w:val="00834D07"/>
    <w:rsid w:val="00834D08"/>
    <w:rsid w:val="0083514C"/>
    <w:rsid w:val="00837C8E"/>
    <w:rsid w:val="008406AA"/>
    <w:rsid w:val="00840776"/>
    <w:rsid w:val="0084251F"/>
    <w:rsid w:val="008437E6"/>
    <w:rsid w:val="008447D1"/>
    <w:rsid w:val="008455DF"/>
    <w:rsid w:val="00846CB9"/>
    <w:rsid w:val="0085104F"/>
    <w:rsid w:val="0085263D"/>
    <w:rsid w:val="00852C6A"/>
    <w:rsid w:val="0085460C"/>
    <w:rsid w:val="00855C1D"/>
    <w:rsid w:val="008563E7"/>
    <w:rsid w:val="008565B3"/>
    <w:rsid w:val="008659CB"/>
    <w:rsid w:val="00865D5B"/>
    <w:rsid w:val="008660A0"/>
    <w:rsid w:val="00866111"/>
    <w:rsid w:val="00872BD9"/>
    <w:rsid w:val="00872BDF"/>
    <w:rsid w:val="008741A1"/>
    <w:rsid w:val="00874CD5"/>
    <w:rsid w:val="00876989"/>
    <w:rsid w:val="00876AC6"/>
    <w:rsid w:val="0088301A"/>
    <w:rsid w:val="008851AB"/>
    <w:rsid w:val="00885DAC"/>
    <w:rsid w:val="00885F7D"/>
    <w:rsid w:val="00887B0E"/>
    <w:rsid w:val="008926D2"/>
    <w:rsid w:val="0089355C"/>
    <w:rsid w:val="00894224"/>
    <w:rsid w:val="0089514C"/>
    <w:rsid w:val="008A0C1C"/>
    <w:rsid w:val="008A3F4A"/>
    <w:rsid w:val="008B2D78"/>
    <w:rsid w:val="008B5294"/>
    <w:rsid w:val="008B6091"/>
    <w:rsid w:val="008C27B7"/>
    <w:rsid w:val="008C2BE2"/>
    <w:rsid w:val="008C5EB3"/>
    <w:rsid w:val="008C6468"/>
    <w:rsid w:val="008C67AB"/>
    <w:rsid w:val="008D06D9"/>
    <w:rsid w:val="008D419F"/>
    <w:rsid w:val="008D4C72"/>
    <w:rsid w:val="008D67D7"/>
    <w:rsid w:val="008D6A2F"/>
    <w:rsid w:val="008D7232"/>
    <w:rsid w:val="008E215E"/>
    <w:rsid w:val="008E2D29"/>
    <w:rsid w:val="008E5F1A"/>
    <w:rsid w:val="008E665F"/>
    <w:rsid w:val="008F253E"/>
    <w:rsid w:val="00901872"/>
    <w:rsid w:val="00904A36"/>
    <w:rsid w:val="009057D1"/>
    <w:rsid w:val="00906AF7"/>
    <w:rsid w:val="0091308E"/>
    <w:rsid w:val="009131FD"/>
    <w:rsid w:val="00917DA7"/>
    <w:rsid w:val="0092123B"/>
    <w:rsid w:val="00922FDD"/>
    <w:rsid w:val="00925104"/>
    <w:rsid w:val="00925EF7"/>
    <w:rsid w:val="009264E6"/>
    <w:rsid w:val="00927445"/>
    <w:rsid w:val="00927E0D"/>
    <w:rsid w:val="009315CA"/>
    <w:rsid w:val="00932A32"/>
    <w:rsid w:val="00932E2E"/>
    <w:rsid w:val="00933184"/>
    <w:rsid w:val="00933546"/>
    <w:rsid w:val="00935902"/>
    <w:rsid w:val="00936D9D"/>
    <w:rsid w:val="009376A5"/>
    <w:rsid w:val="009379B3"/>
    <w:rsid w:val="00941922"/>
    <w:rsid w:val="00941FCC"/>
    <w:rsid w:val="00942979"/>
    <w:rsid w:val="009445EE"/>
    <w:rsid w:val="009506AF"/>
    <w:rsid w:val="00953332"/>
    <w:rsid w:val="00953D82"/>
    <w:rsid w:val="0095727E"/>
    <w:rsid w:val="00960B7C"/>
    <w:rsid w:val="00960C7E"/>
    <w:rsid w:val="00961DC4"/>
    <w:rsid w:val="0096265F"/>
    <w:rsid w:val="00964E4A"/>
    <w:rsid w:val="00965986"/>
    <w:rsid w:val="0096692A"/>
    <w:rsid w:val="00967403"/>
    <w:rsid w:val="00970105"/>
    <w:rsid w:val="00970D75"/>
    <w:rsid w:val="0097342E"/>
    <w:rsid w:val="00974505"/>
    <w:rsid w:val="009752D8"/>
    <w:rsid w:val="00976953"/>
    <w:rsid w:val="00980269"/>
    <w:rsid w:val="00981525"/>
    <w:rsid w:val="00983012"/>
    <w:rsid w:val="00983408"/>
    <w:rsid w:val="009840B1"/>
    <w:rsid w:val="00985F99"/>
    <w:rsid w:val="009910AD"/>
    <w:rsid w:val="009918D2"/>
    <w:rsid w:val="009946D6"/>
    <w:rsid w:val="00994DFD"/>
    <w:rsid w:val="009977C2"/>
    <w:rsid w:val="009A0CC6"/>
    <w:rsid w:val="009A3026"/>
    <w:rsid w:val="009A39A9"/>
    <w:rsid w:val="009A5772"/>
    <w:rsid w:val="009A5CE0"/>
    <w:rsid w:val="009A5E90"/>
    <w:rsid w:val="009A77B2"/>
    <w:rsid w:val="009B0BE4"/>
    <w:rsid w:val="009B6C4E"/>
    <w:rsid w:val="009B702A"/>
    <w:rsid w:val="009B76BE"/>
    <w:rsid w:val="009C187C"/>
    <w:rsid w:val="009C533E"/>
    <w:rsid w:val="009C5582"/>
    <w:rsid w:val="009C6442"/>
    <w:rsid w:val="009C66D2"/>
    <w:rsid w:val="009C6BE6"/>
    <w:rsid w:val="009D2F44"/>
    <w:rsid w:val="009D35B5"/>
    <w:rsid w:val="009D42BF"/>
    <w:rsid w:val="009D5E13"/>
    <w:rsid w:val="009E0F7A"/>
    <w:rsid w:val="009E13DC"/>
    <w:rsid w:val="009E176B"/>
    <w:rsid w:val="009E3C8A"/>
    <w:rsid w:val="009E5B95"/>
    <w:rsid w:val="009E5DC7"/>
    <w:rsid w:val="009E654E"/>
    <w:rsid w:val="009E6852"/>
    <w:rsid w:val="009E7726"/>
    <w:rsid w:val="009F022A"/>
    <w:rsid w:val="009F07F3"/>
    <w:rsid w:val="009F0F64"/>
    <w:rsid w:val="009F277F"/>
    <w:rsid w:val="009F7CFF"/>
    <w:rsid w:val="00A0102A"/>
    <w:rsid w:val="00A011A5"/>
    <w:rsid w:val="00A03B82"/>
    <w:rsid w:val="00A05497"/>
    <w:rsid w:val="00A05F37"/>
    <w:rsid w:val="00A07DFA"/>
    <w:rsid w:val="00A1484B"/>
    <w:rsid w:val="00A15447"/>
    <w:rsid w:val="00A21056"/>
    <w:rsid w:val="00A21C79"/>
    <w:rsid w:val="00A226B1"/>
    <w:rsid w:val="00A22C6E"/>
    <w:rsid w:val="00A24EB7"/>
    <w:rsid w:val="00A25A6B"/>
    <w:rsid w:val="00A2697F"/>
    <w:rsid w:val="00A27B08"/>
    <w:rsid w:val="00A346D5"/>
    <w:rsid w:val="00A34E52"/>
    <w:rsid w:val="00A363B5"/>
    <w:rsid w:val="00A36F03"/>
    <w:rsid w:val="00A3710A"/>
    <w:rsid w:val="00A40F22"/>
    <w:rsid w:val="00A4205F"/>
    <w:rsid w:val="00A431B6"/>
    <w:rsid w:val="00A441AF"/>
    <w:rsid w:val="00A460F2"/>
    <w:rsid w:val="00A50B93"/>
    <w:rsid w:val="00A54258"/>
    <w:rsid w:val="00A55ECA"/>
    <w:rsid w:val="00A60E8F"/>
    <w:rsid w:val="00A647DA"/>
    <w:rsid w:val="00A65B41"/>
    <w:rsid w:val="00A66E77"/>
    <w:rsid w:val="00A67716"/>
    <w:rsid w:val="00A67A0B"/>
    <w:rsid w:val="00A7050A"/>
    <w:rsid w:val="00A70602"/>
    <w:rsid w:val="00A73E99"/>
    <w:rsid w:val="00A743D7"/>
    <w:rsid w:val="00A75E1E"/>
    <w:rsid w:val="00A82B38"/>
    <w:rsid w:val="00A91509"/>
    <w:rsid w:val="00A93E7C"/>
    <w:rsid w:val="00A96140"/>
    <w:rsid w:val="00AA516F"/>
    <w:rsid w:val="00AA56BE"/>
    <w:rsid w:val="00AA68F7"/>
    <w:rsid w:val="00AA73B6"/>
    <w:rsid w:val="00AA744A"/>
    <w:rsid w:val="00AB30B6"/>
    <w:rsid w:val="00AB50B0"/>
    <w:rsid w:val="00AB67B5"/>
    <w:rsid w:val="00AB76CE"/>
    <w:rsid w:val="00AC0213"/>
    <w:rsid w:val="00AC0EFB"/>
    <w:rsid w:val="00AC14BE"/>
    <w:rsid w:val="00AC15BC"/>
    <w:rsid w:val="00AC3523"/>
    <w:rsid w:val="00AC47D6"/>
    <w:rsid w:val="00AC4B92"/>
    <w:rsid w:val="00AC77E6"/>
    <w:rsid w:val="00AD0968"/>
    <w:rsid w:val="00AD0D84"/>
    <w:rsid w:val="00AD2B6B"/>
    <w:rsid w:val="00AD2B97"/>
    <w:rsid w:val="00AD32EB"/>
    <w:rsid w:val="00AD5F43"/>
    <w:rsid w:val="00AD73F8"/>
    <w:rsid w:val="00AD7623"/>
    <w:rsid w:val="00AD7719"/>
    <w:rsid w:val="00AE2681"/>
    <w:rsid w:val="00AE310A"/>
    <w:rsid w:val="00AE5766"/>
    <w:rsid w:val="00AF0029"/>
    <w:rsid w:val="00AF03D6"/>
    <w:rsid w:val="00AF3830"/>
    <w:rsid w:val="00AF4080"/>
    <w:rsid w:val="00AF7DCA"/>
    <w:rsid w:val="00B0209A"/>
    <w:rsid w:val="00B042A1"/>
    <w:rsid w:val="00B05EAE"/>
    <w:rsid w:val="00B067DD"/>
    <w:rsid w:val="00B0702F"/>
    <w:rsid w:val="00B074C1"/>
    <w:rsid w:val="00B108A8"/>
    <w:rsid w:val="00B124E0"/>
    <w:rsid w:val="00B12616"/>
    <w:rsid w:val="00B12E53"/>
    <w:rsid w:val="00B15EA3"/>
    <w:rsid w:val="00B17DE6"/>
    <w:rsid w:val="00B20A93"/>
    <w:rsid w:val="00B23E2F"/>
    <w:rsid w:val="00B24275"/>
    <w:rsid w:val="00B31BDA"/>
    <w:rsid w:val="00B343CB"/>
    <w:rsid w:val="00B34D62"/>
    <w:rsid w:val="00B36881"/>
    <w:rsid w:val="00B36DC9"/>
    <w:rsid w:val="00B36EAD"/>
    <w:rsid w:val="00B411F8"/>
    <w:rsid w:val="00B42707"/>
    <w:rsid w:val="00B463E1"/>
    <w:rsid w:val="00B51377"/>
    <w:rsid w:val="00B54575"/>
    <w:rsid w:val="00B55058"/>
    <w:rsid w:val="00B56033"/>
    <w:rsid w:val="00B56DF5"/>
    <w:rsid w:val="00B5781B"/>
    <w:rsid w:val="00B602FB"/>
    <w:rsid w:val="00B60937"/>
    <w:rsid w:val="00B62F40"/>
    <w:rsid w:val="00B7051C"/>
    <w:rsid w:val="00B71C63"/>
    <w:rsid w:val="00B75088"/>
    <w:rsid w:val="00B7562B"/>
    <w:rsid w:val="00B7656C"/>
    <w:rsid w:val="00B81689"/>
    <w:rsid w:val="00B81B82"/>
    <w:rsid w:val="00B82663"/>
    <w:rsid w:val="00B85D08"/>
    <w:rsid w:val="00B863A4"/>
    <w:rsid w:val="00B94489"/>
    <w:rsid w:val="00B94DA6"/>
    <w:rsid w:val="00B95141"/>
    <w:rsid w:val="00B97E06"/>
    <w:rsid w:val="00BA0CEA"/>
    <w:rsid w:val="00BA1124"/>
    <w:rsid w:val="00BA2604"/>
    <w:rsid w:val="00BA3154"/>
    <w:rsid w:val="00BA58EB"/>
    <w:rsid w:val="00BA65B2"/>
    <w:rsid w:val="00BA6713"/>
    <w:rsid w:val="00BA6B8C"/>
    <w:rsid w:val="00BB032A"/>
    <w:rsid w:val="00BB07CD"/>
    <w:rsid w:val="00BB0BF9"/>
    <w:rsid w:val="00BB0D30"/>
    <w:rsid w:val="00BB20AA"/>
    <w:rsid w:val="00BB2557"/>
    <w:rsid w:val="00BB3C90"/>
    <w:rsid w:val="00BB5CEC"/>
    <w:rsid w:val="00BC0DCB"/>
    <w:rsid w:val="00BC0EF7"/>
    <w:rsid w:val="00BC0FAE"/>
    <w:rsid w:val="00BC2E59"/>
    <w:rsid w:val="00BC3E78"/>
    <w:rsid w:val="00BC672F"/>
    <w:rsid w:val="00BC6868"/>
    <w:rsid w:val="00BD0E69"/>
    <w:rsid w:val="00BD24EB"/>
    <w:rsid w:val="00BD2F35"/>
    <w:rsid w:val="00BD48CC"/>
    <w:rsid w:val="00BE3069"/>
    <w:rsid w:val="00BE3446"/>
    <w:rsid w:val="00BE4146"/>
    <w:rsid w:val="00BE514B"/>
    <w:rsid w:val="00BE7055"/>
    <w:rsid w:val="00BE7B97"/>
    <w:rsid w:val="00BF1A63"/>
    <w:rsid w:val="00BF321C"/>
    <w:rsid w:val="00BF619B"/>
    <w:rsid w:val="00BF74D8"/>
    <w:rsid w:val="00BF7D7D"/>
    <w:rsid w:val="00C03C8B"/>
    <w:rsid w:val="00C04C72"/>
    <w:rsid w:val="00C06A48"/>
    <w:rsid w:val="00C1101F"/>
    <w:rsid w:val="00C12C22"/>
    <w:rsid w:val="00C13752"/>
    <w:rsid w:val="00C15903"/>
    <w:rsid w:val="00C15F1B"/>
    <w:rsid w:val="00C21D87"/>
    <w:rsid w:val="00C22A37"/>
    <w:rsid w:val="00C22FB4"/>
    <w:rsid w:val="00C2310E"/>
    <w:rsid w:val="00C2486C"/>
    <w:rsid w:val="00C25BFE"/>
    <w:rsid w:val="00C25C05"/>
    <w:rsid w:val="00C27218"/>
    <w:rsid w:val="00C3070A"/>
    <w:rsid w:val="00C32759"/>
    <w:rsid w:val="00C33630"/>
    <w:rsid w:val="00C33761"/>
    <w:rsid w:val="00C35431"/>
    <w:rsid w:val="00C4203F"/>
    <w:rsid w:val="00C42118"/>
    <w:rsid w:val="00C43A87"/>
    <w:rsid w:val="00C441C8"/>
    <w:rsid w:val="00C44ABD"/>
    <w:rsid w:val="00C44E76"/>
    <w:rsid w:val="00C464BC"/>
    <w:rsid w:val="00C513CC"/>
    <w:rsid w:val="00C5163C"/>
    <w:rsid w:val="00C52410"/>
    <w:rsid w:val="00C53480"/>
    <w:rsid w:val="00C5410B"/>
    <w:rsid w:val="00C5427E"/>
    <w:rsid w:val="00C542A9"/>
    <w:rsid w:val="00C5434C"/>
    <w:rsid w:val="00C569A3"/>
    <w:rsid w:val="00C57AC9"/>
    <w:rsid w:val="00C60AF1"/>
    <w:rsid w:val="00C61C28"/>
    <w:rsid w:val="00C63217"/>
    <w:rsid w:val="00C64AE9"/>
    <w:rsid w:val="00C65755"/>
    <w:rsid w:val="00C657FA"/>
    <w:rsid w:val="00C66A4E"/>
    <w:rsid w:val="00C67EA3"/>
    <w:rsid w:val="00C71A2D"/>
    <w:rsid w:val="00C7461C"/>
    <w:rsid w:val="00C75A3C"/>
    <w:rsid w:val="00C86481"/>
    <w:rsid w:val="00C86987"/>
    <w:rsid w:val="00C86AA1"/>
    <w:rsid w:val="00C87955"/>
    <w:rsid w:val="00C94806"/>
    <w:rsid w:val="00C94ED7"/>
    <w:rsid w:val="00C9664F"/>
    <w:rsid w:val="00CA0732"/>
    <w:rsid w:val="00CA275E"/>
    <w:rsid w:val="00CA3441"/>
    <w:rsid w:val="00CA40FC"/>
    <w:rsid w:val="00CA4128"/>
    <w:rsid w:val="00CA6B20"/>
    <w:rsid w:val="00CB1FC1"/>
    <w:rsid w:val="00CB2339"/>
    <w:rsid w:val="00CB5401"/>
    <w:rsid w:val="00CB6120"/>
    <w:rsid w:val="00CB724D"/>
    <w:rsid w:val="00CB791F"/>
    <w:rsid w:val="00CB7BB7"/>
    <w:rsid w:val="00CB7F4A"/>
    <w:rsid w:val="00CC2A70"/>
    <w:rsid w:val="00CC3381"/>
    <w:rsid w:val="00CC4342"/>
    <w:rsid w:val="00CC4B9D"/>
    <w:rsid w:val="00CC6C1E"/>
    <w:rsid w:val="00CD0DB4"/>
    <w:rsid w:val="00CD1E1B"/>
    <w:rsid w:val="00CE0719"/>
    <w:rsid w:val="00CE300C"/>
    <w:rsid w:val="00CE361F"/>
    <w:rsid w:val="00CE4B53"/>
    <w:rsid w:val="00CE7BB0"/>
    <w:rsid w:val="00CE7C75"/>
    <w:rsid w:val="00CF1073"/>
    <w:rsid w:val="00CF210D"/>
    <w:rsid w:val="00CF2349"/>
    <w:rsid w:val="00CF2CDF"/>
    <w:rsid w:val="00CF339B"/>
    <w:rsid w:val="00CF3D8B"/>
    <w:rsid w:val="00CF4BAB"/>
    <w:rsid w:val="00CF5DB1"/>
    <w:rsid w:val="00CF74BB"/>
    <w:rsid w:val="00D00E91"/>
    <w:rsid w:val="00D019BB"/>
    <w:rsid w:val="00D01F99"/>
    <w:rsid w:val="00D02311"/>
    <w:rsid w:val="00D03447"/>
    <w:rsid w:val="00D04B28"/>
    <w:rsid w:val="00D10165"/>
    <w:rsid w:val="00D109FF"/>
    <w:rsid w:val="00D11CA8"/>
    <w:rsid w:val="00D12950"/>
    <w:rsid w:val="00D136D1"/>
    <w:rsid w:val="00D13E42"/>
    <w:rsid w:val="00D14FA0"/>
    <w:rsid w:val="00D16D90"/>
    <w:rsid w:val="00D17E6E"/>
    <w:rsid w:val="00D2094E"/>
    <w:rsid w:val="00D23BD2"/>
    <w:rsid w:val="00D25C4F"/>
    <w:rsid w:val="00D2779D"/>
    <w:rsid w:val="00D30EAC"/>
    <w:rsid w:val="00D32372"/>
    <w:rsid w:val="00D32F5B"/>
    <w:rsid w:val="00D33825"/>
    <w:rsid w:val="00D33EEA"/>
    <w:rsid w:val="00D4035D"/>
    <w:rsid w:val="00D4106C"/>
    <w:rsid w:val="00D44DBB"/>
    <w:rsid w:val="00D4719C"/>
    <w:rsid w:val="00D478AB"/>
    <w:rsid w:val="00D47A32"/>
    <w:rsid w:val="00D50249"/>
    <w:rsid w:val="00D50BD3"/>
    <w:rsid w:val="00D5133B"/>
    <w:rsid w:val="00D55299"/>
    <w:rsid w:val="00D561C0"/>
    <w:rsid w:val="00D56286"/>
    <w:rsid w:val="00D57657"/>
    <w:rsid w:val="00D6224E"/>
    <w:rsid w:val="00D627AA"/>
    <w:rsid w:val="00D71C0C"/>
    <w:rsid w:val="00D73D8C"/>
    <w:rsid w:val="00D74D60"/>
    <w:rsid w:val="00D81F26"/>
    <w:rsid w:val="00D82C20"/>
    <w:rsid w:val="00D82ED6"/>
    <w:rsid w:val="00D847A0"/>
    <w:rsid w:val="00D84892"/>
    <w:rsid w:val="00D84E39"/>
    <w:rsid w:val="00D87559"/>
    <w:rsid w:val="00D93B76"/>
    <w:rsid w:val="00D95B60"/>
    <w:rsid w:val="00D96239"/>
    <w:rsid w:val="00D963E4"/>
    <w:rsid w:val="00D96C5D"/>
    <w:rsid w:val="00DA4C03"/>
    <w:rsid w:val="00DA526F"/>
    <w:rsid w:val="00DB1A1A"/>
    <w:rsid w:val="00DB1D1D"/>
    <w:rsid w:val="00DB1F96"/>
    <w:rsid w:val="00DB2C64"/>
    <w:rsid w:val="00DB5B98"/>
    <w:rsid w:val="00DB6329"/>
    <w:rsid w:val="00DB6F6F"/>
    <w:rsid w:val="00DC1432"/>
    <w:rsid w:val="00DC2A68"/>
    <w:rsid w:val="00DC43A0"/>
    <w:rsid w:val="00DC48FC"/>
    <w:rsid w:val="00DC7136"/>
    <w:rsid w:val="00DD259C"/>
    <w:rsid w:val="00DD5683"/>
    <w:rsid w:val="00DD5D31"/>
    <w:rsid w:val="00DD77AA"/>
    <w:rsid w:val="00DD783C"/>
    <w:rsid w:val="00DE2069"/>
    <w:rsid w:val="00DE2338"/>
    <w:rsid w:val="00DE3D8E"/>
    <w:rsid w:val="00DE4AA3"/>
    <w:rsid w:val="00DE4F81"/>
    <w:rsid w:val="00DE61FA"/>
    <w:rsid w:val="00DE6A29"/>
    <w:rsid w:val="00DE74F0"/>
    <w:rsid w:val="00DF0B44"/>
    <w:rsid w:val="00DF100F"/>
    <w:rsid w:val="00DF19BC"/>
    <w:rsid w:val="00DF2029"/>
    <w:rsid w:val="00DF3025"/>
    <w:rsid w:val="00DF35C7"/>
    <w:rsid w:val="00DF6029"/>
    <w:rsid w:val="00DF6BCF"/>
    <w:rsid w:val="00E022B1"/>
    <w:rsid w:val="00E05878"/>
    <w:rsid w:val="00E07D12"/>
    <w:rsid w:val="00E104B2"/>
    <w:rsid w:val="00E13399"/>
    <w:rsid w:val="00E16509"/>
    <w:rsid w:val="00E17CAD"/>
    <w:rsid w:val="00E226EC"/>
    <w:rsid w:val="00E23513"/>
    <w:rsid w:val="00E250FC"/>
    <w:rsid w:val="00E25471"/>
    <w:rsid w:val="00E265D8"/>
    <w:rsid w:val="00E317F3"/>
    <w:rsid w:val="00E36C16"/>
    <w:rsid w:val="00E37809"/>
    <w:rsid w:val="00E40BC0"/>
    <w:rsid w:val="00E42504"/>
    <w:rsid w:val="00E429D9"/>
    <w:rsid w:val="00E43FBF"/>
    <w:rsid w:val="00E443D7"/>
    <w:rsid w:val="00E446CC"/>
    <w:rsid w:val="00E44FC6"/>
    <w:rsid w:val="00E4564E"/>
    <w:rsid w:val="00E47D76"/>
    <w:rsid w:val="00E55C3F"/>
    <w:rsid w:val="00E56897"/>
    <w:rsid w:val="00E60C52"/>
    <w:rsid w:val="00E611FD"/>
    <w:rsid w:val="00E61920"/>
    <w:rsid w:val="00E6390E"/>
    <w:rsid w:val="00E65EEA"/>
    <w:rsid w:val="00E71328"/>
    <w:rsid w:val="00E72367"/>
    <w:rsid w:val="00E80164"/>
    <w:rsid w:val="00E831F7"/>
    <w:rsid w:val="00E84536"/>
    <w:rsid w:val="00E85299"/>
    <w:rsid w:val="00E8551D"/>
    <w:rsid w:val="00E904CC"/>
    <w:rsid w:val="00E90A26"/>
    <w:rsid w:val="00E9249E"/>
    <w:rsid w:val="00E935B6"/>
    <w:rsid w:val="00E95038"/>
    <w:rsid w:val="00E96437"/>
    <w:rsid w:val="00E9724A"/>
    <w:rsid w:val="00EA082F"/>
    <w:rsid w:val="00EA41B8"/>
    <w:rsid w:val="00EA5FDA"/>
    <w:rsid w:val="00EA6703"/>
    <w:rsid w:val="00EB0176"/>
    <w:rsid w:val="00EB15EC"/>
    <w:rsid w:val="00EB1897"/>
    <w:rsid w:val="00EB2EA9"/>
    <w:rsid w:val="00EC00CB"/>
    <w:rsid w:val="00EC2B7E"/>
    <w:rsid w:val="00EC53CB"/>
    <w:rsid w:val="00EC6B00"/>
    <w:rsid w:val="00ED0360"/>
    <w:rsid w:val="00ED0E66"/>
    <w:rsid w:val="00ED1F73"/>
    <w:rsid w:val="00ED5782"/>
    <w:rsid w:val="00ED66AF"/>
    <w:rsid w:val="00ED688E"/>
    <w:rsid w:val="00ED7CCB"/>
    <w:rsid w:val="00EE021A"/>
    <w:rsid w:val="00EE0231"/>
    <w:rsid w:val="00EE31AA"/>
    <w:rsid w:val="00EE4151"/>
    <w:rsid w:val="00EE619A"/>
    <w:rsid w:val="00EE652E"/>
    <w:rsid w:val="00EE6BB5"/>
    <w:rsid w:val="00EF2FE7"/>
    <w:rsid w:val="00EF343E"/>
    <w:rsid w:val="00EF50A3"/>
    <w:rsid w:val="00EF59AF"/>
    <w:rsid w:val="00EF5FE0"/>
    <w:rsid w:val="00EF6761"/>
    <w:rsid w:val="00F00EBF"/>
    <w:rsid w:val="00F02A19"/>
    <w:rsid w:val="00F02BA5"/>
    <w:rsid w:val="00F02F29"/>
    <w:rsid w:val="00F037AF"/>
    <w:rsid w:val="00F03B1B"/>
    <w:rsid w:val="00F049DC"/>
    <w:rsid w:val="00F06B50"/>
    <w:rsid w:val="00F078F0"/>
    <w:rsid w:val="00F10329"/>
    <w:rsid w:val="00F11348"/>
    <w:rsid w:val="00F12F87"/>
    <w:rsid w:val="00F14CAE"/>
    <w:rsid w:val="00F15B4E"/>
    <w:rsid w:val="00F15DD8"/>
    <w:rsid w:val="00F174A1"/>
    <w:rsid w:val="00F222DA"/>
    <w:rsid w:val="00F24548"/>
    <w:rsid w:val="00F24D58"/>
    <w:rsid w:val="00F27342"/>
    <w:rsid w:val="00F3092C"/>
    <w:rsid w:val="00F3177B"/>
    <w:rsid w:val="00F3530C"/>
    <w:rsid w:val="00F36D48"/>
    <w:rsid w:val="00F37974"/>
    <w:rsid w:val="00F418F8"/>
    <w:rsid w:val="00F423C1"/>
    <w:rsid w:val="00F42CD0"/>
    <w:rsid w:val="00F42FC6"/>
    <w:rsid w:val="00F43E28"/>
    <w:rsid w:val="00F503D9"/>
    <w:rsid w:val="00F53CE6"/>
    <w:rsid w:val="00F56D37"/>
    <w:rsid w:val="00F623CF"/>
    <w:rsid w:val="00F62672"/>
    <w:rsid w:val="00F637EE"/>
    <w:rsid w:val="00F63F06"/>
    <w:rsid w:val="00F6476C"/>
    <w:rsid w:val="00F64EAE"/>
    <w:rsid w:val="00F6524B"/>
    <w:rsid w:val="00F6696B"/>
    <w:rsid w:val="00F7361A"/>
    <w:rsid w:val="00F73875"/>
    <w:rsid w:val="00F73FDA"/>
    <w:rsid w:val="00F75202"/>
    <w:rsid w:val="00F77CCC"/>
    <w:rsid w:val="00F800ED"/>
    <w:rsid w:val="00F817B0"/>
    <w:rsid w:val="00F82BD9"/>
    <w:rsid w:val="00F850AE"/>
    <w:rsid w:val="00F86551"/>
    <w:rsid w:val="00F87EFB"/>
    <w:rsid w:val="00F90892"/>
    <w:rsid w:val="00F94020"/>
    <w:rsid w:val="00FA221B"/>
    <w:rsid w:val="00FA27EE"/>
    <w:rsid w:val="00FA31B4"/>
    <w:rsid w:val="00FA452C"/>
    <w:rsid w:val="00FA4867"/>
    <w:rsid w:val="00FA7BFE"/>
    <w:rsid w:val="00FB0C29"/>
    <w:rsid w:val="00FB105E"/>
    <w:rsid w:val="00FB138B"/>
    <w:rsid w:val="00FB3EC2"/>
    <w:rsid w:val="00FB4C12"/>
    <w:rsid w:val="00FB522E"/>
    <w:rsid w:val="00FB5C6B"/>
    <w:rsid w:val="00FB78D5"/>
    <w:rsid w:val="00FC2759"/>
    <w:rsid w:val="00FC2C27"/>
    <w:rsid w:val="00FC46BB"/>
    <w:rsid w:val="00FC4DD9"/>
    <w:rsid w:val="00FC68A6"/>
    <w:rsid w:val="00FD0459"/>
    <w:rsid w:val="00FD1F64"/>
    <w:rsid w:val="00FD2703"/>
    <w:rsid w:val="00FD5CC6"/>
    <w:rsid w:val="00FE1F59"/>
    <w:rsid w:val="00FE2343"/>
    <w:rsid w:val="00FE2927"/>
    <w:rsid w:val="00FE2CF1"/>
    <w:rsid w:val="00FE4E7A"/>
    <w:rsid w:val="00FE679B"/>
    <w:rsid w:val="00FE6A25"/>
    <w:rsid w:val="00FE78D5"/>
    <w:rsid w:val="00FF13DC"/>
    <w:rsid w:val="00FF1906"/>
    <w:rsid w:val="00FF2CB5"/>
    <w:rsid w:val="00FF4E17"/>
    <w:rsid w:val="00FF4EDF"/>
    <w:rsid w:val="00FF7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 w:type="character" w:styleId="Hyperlink">
    <w:name w:val="Hyperlink"/>
    <w:basedOn w:val="DefaultParagraphFont"/>
    <w:uiPriority w:val="99"/>
    <w:unhideWhenUsed/>
    <w:rsid w:val="00DC2A68"/>
    <w:rPr>
      <w:color w:val="0000FF" w:themeColor="hyperlink"/>
      <w:u w:val="single"/>
    </w:rPr>
  </w:style>
  <w:style w:type="character" w:styleId="FollowedHyperlink">
    <w:name w:val="FollowedHyperlink"/>
    <w:basedOn w:val="DefaultParagraphFont"/>
    <w:uiPriority w:val="99"/>
    <w:semiHidden/>
    <w:unhideWhenUsed/>
    <w:rsid w:val="003B66C0"/>
    <w:rPr>
      <w:color w:val="800080" w:themeColor="followedHyperlink"/>
      <w:u w:val="single"/>
    </w:rPr>
  </w:style>
  <w:style w:type="character" w:customStyle="1" w:styleId="apple-converted-space">
    <w:name w:val="apple-converted-space"/>
    <w:basedOn w:val="DefaultParagraphFont"/>
    <w:rsid w:val="00F6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 w:type="character" w:styleId="Hyperlink">
    <w:name w:val="Hyperlink"/>
    <w:basedOn w:val="DefaultParagraphFont"/>
    <w:uiPriority w:val="99"/>
    <w:unhideWhenUsed/>
    <w:rsid w:val="00DC2A68"/>
    <w:rPr>
      <w:color w:val="0000FF" w:themeColor="hyperlink"/>
      <w:u w:val="single"/>
    </w:rPr>
  </w:style>
  <w:style w:type="character" w:styleId="FollowedHyperlink">
    <w:name w:val="FollowedHyperlink"/>
    <w:basedOn w:val="DefaultParagraphFont"/>
    <w:uiPriority w:val="99"/>
    <w:semiHidden/>
    <w:unhideWhenUsed/>
    <w:rsid w:val="003B66C0"/>
    <w:rPr>
      <w:color w:val="800080" w:themeColor="followedHyperlink"/>
      <w:u w:val="single"/>
    </w:rPr>
  </w:style>
  <w:style w:type="character" w:customStyle="1" w:styleId="apple-converted-space">
    <w:name w:val="apple-converted-space"/>
    <w:basedOn w:val="DefaultParagraphFont"/>
    <w:rsid w:val="00F6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261A-3D54-4A1D-B95E-3FE4A866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2017-09-01T05:37:00Z</cp:lastPrinted>
  <dcterms:created xsi:type="dcterms:W3CDTF">2018-01-23T23:48:00Z</dcterms:created>
  <dcterms:modified xsi:type="dcterms:W3CDTF">2018-01-23T23:48:00Z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a8b9ebf1-6ca3-4e05-91bd-b31d18783b38</vt:lpwstr>
  </property>
  <property fmtid="{D5CDD505-2E9C-101B-9397-08002B2CF9AE}" pid="3" name="PSPFClassification">
    <vt:lpwstr>Do Not Mark</vt:lpwstr>
  </property>
</Properties>
</file>