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296" w:rsidRPr="00923CE3" w:rsidRDefault="00912D29" w:rsidP="00923CE3">
      <w:pPr>
        <w:pStyle w:val="Title"/>
        <w:spacing w:after="280"/>
        <w:rPr>
          <w:sz w:val="48"/>
          <w:szCs w:val="48"/>
        </w:rPr>
      </w:pPr>
      <w:bookmarkStart w:id="0" w:name="_Toc442780672"/>
      <w:bookmarkStart w:id="1" w:name="_GoBack"/>
      <w:r w:rsidRPr="00923CE3">
        <w:rPr>
          <w:noProof/>
          <w:sz w:val="48"/>
          <w:szCs w:val="48"/>
        </w:rPr>
        <mc:AlternateContent>
          <mc:Choice Requires="wpi">
            <w:drawing>
              <wp:anchor distT="0" distB="0" distL="114300" distR="114300" simplePos="0" relativeHeight="251652608" behindDoc="0" locked="0" layoutInCell="1" allowOverlap="1">
                <wp:simplePos x="0" y="0"/>
                <wp:positionH relativeFrom="column">
                  <wp:posOffset>7829325</wp:posOffset>
                </wp:positionH>
                <wp:positionV relativeFrom="paragraph">
                  <wp:posOffset>-924045</wp:posOffset>
                </wp:positionV>
                <wp:extent cx="9720" cy="360"/>
                <wp:effectExtent l="38100" t="38100" r="47625" b="5715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9720" cy="360"/>
                      </w14:xfrm>
                    </w14:contentPart>
                  </a:graphicData>
                </a:graphic>
              </wp:anchor>
            </w:drawing>
          </mc:Choice>
          <mc:Fallback>
            <w:pict>
              <v:shapetype w14:anchorId="11936C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615.8pt;margin-top:-73.45pt;width:2.15pt;height:1.45pt;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">
                <v:imagedata r:id="rId9" o:title=""/>
              </v:shape>
            </w:pict>
          </mc:Fallback>
        </mc:AlternateContent>
      </w:r>
      <w:r w:rsidR="0011128F" w:rsidRPr="00923CE3">
        <w:rPr>
          <w:sz w:val="48"/>
          <w:szCs w:val="48"/>
        </w:rPr>
        <w:t>The Resource Management</w:t>
      </w:r>
      <w:r w:rsidR="00D7288C" w:rsidRPr="00923CE3">
        <w:rPr>
          <w:sz w:val="48"/>
          <w:szCs w:val="48"/>
        </w:rPr>
        <w:t xml:space="preserve"> Framework</w:t>
      </w:r>
      <w:r w:rsidR="001E7766">
        <w:rPr>
          <w:sz w:val="48"/>
          <w:szCs w:val="48"/>
        </w:rPr>
        <w:t xml:space="preserve"> – Fact Sheet</w:t>
      </w:r>
    </w:p>
    <w:p w:rsidR="003312DF" w:rsidRDefault="00B57776">
      <w:bookmarkStart w:id="2" w:name="_Toc442780674"/>
      <w:bookmarkEnd w:id="1"/>
      <w:r>
        <w:t>The Department of Treasury and Finance (</w:t>
      </w:r>
      <w:r w:rsidR="00600E54" w:rsidRPr="00600E54">
        <w:t>DTF</w:t>
      </w:r>
      <w:r>
        <w:t>)</w:t>
      </w:r>
      <w:r w:rsidR="00600E54" w:rsidRPr="00600E54">
        <w:t xml:space="preserve"> </w:t>
      </w:r>
      <w:r w:rsidR="00600E54">
        <w:t xml:space="preserve">is </w:t>
      </w:r>
      <w:r w:rsidR="00AD1A83">
        <w:t xml:space="preserve">pleased to </w:t>
      </w:r>
      <w:r>
        <w:t xml:space="preserve">announce the </w:t>
      </w:r>
      <w:r w:rsidR="00B40D69">
        <w:t>release</w:t>
      </w:r>
      <w:r w:rsidR="008137F7">
        <w:t xml:space="preserve"> </w:t>
      </w:r>
      <w:r>
        <w:t xml:space="preserve">of </w:t>
      </w:r>
      <w:r w:rsidR="0011128F">
        <w:t>the</w:t>
      </w:r>
      <w:r w:rsidR="000116BA">
        <w:t xml:space="preserve"> </w:t>
      </w:r>
      <w:r w:rsidR="0011128F">
        <w:t>Resource Management</w:t>
      </w:r>
      <w:r w:rsidR="00AD1A83">
        <w:t xml:space="preserve"> Framework (</w:t>
      </w:r>
      <w:r w:rsidR="0011128F">
        <w:t>RMF</w:t>
      </w:r>
      <w:r w:rsidR="00AD1A83">
        <w:t>)</w:t>
      </w:r>
      <w:r w:rsidR="00087D99">
        <w:t>, following</w:t>
      </w:r>
      <w:r w:rsidR="005C33F8">
        <w:t xml:space="preserve"> a period of consultation with departments.</w:t>
      </w:r>
    </w:p>
    <w:p w:rsidR="004845B8" w:rsidRDefault="00E06F93">
      <w:r w:rsidRPr="00E06F93">
        <w:t xml:space="preserve">Departments </w:t>
      </w:r>
      <w:r w:rsidR="005C33F8">
        <w:t xml:space="preserve">can </w:t>
      </w:r>
      <w:r w:rsidRPr="00E06F93">
        <w:t xml:space="preserve">provide </w:t>
      </w:r>
      <w:r w:rsidR="003312DF">
        <w:t xml:space="preserve">further </w:t>
      </w:r>
      <w:r w:rsidRPr="00E06F93">
        <w:t xml:space="preserve">feedback on the </w:t>
      </w:r>
      <w:r w:rsidR="005C33F8">
        <w:t>RMF</w:t>
      </w:r>
      <w:r w:rsidR="005C33F8" w:rsidRPr="00E06F93">
        <w:t xml:space="preserve"> </w:t>
      </w:r>
      <w:r w:rsidR="006C7E9C">
        <w:t>via</w:t>
      </w:r>
      <w:r w:rsidRPr="00E06F93">
        <w:t xml:space="preserve"> </w:t>
      </w:r>
      <w:r w:rsidR="003312DF">
        <w:t xml:space="preserve">email at </w:t>
      </w:r>
      <w:hyperlink r:id="rId10" w:history="1">
        <w:r w:rsidRPr="00280872">
          <w:t>financial.frameworks@dtf.vic.gov.au</w:t>
        </w:r>
      </w:hyperlink>
      <w:r>
        <w:t xml:space="preserve">. </w:t>
      </w:r>
      <w:r w:rsidR="00284C94">
        <w:t>DTF will facilitate discussions with departments</w:t>
      </w:r>
      <w:r w:rsidR="005C33F8">
        <w:t xml:space="preserve"> </w:t>
      </w:r>
      <w:r w:rsidR="00284C94">
        <w:t>upon request.</w:t>
      </w:r>
    </w:p>
    <w:bookmarkEnd w:id="2"/>
    <w:p w:rsidR="004B2ADA" w:rsidRDefault="004B2ADA" w:rsidP="00A30D9F">
      <w:pPr>
        <w:pStyle w:val="Heading2"/>
      </w:pPr>
      <w:r>
        <w:t xml:space="preserve">What </w:t>
      </w:r>
      <w:r w:rsidR="0011128F">
        <w:t>is the RMF</w:t>
      </w:r>
      <w:r>
        <w:t>?</w:t>
      </w:r>
    </w:p>
    <w:p w:rsidR="0021272F" w:rsidRDefault="0011128F" w:rsidP="00D34ADE">
      <w:r>
        <w:t xml:space="preserve">The new RMF </w:t>
      </w:r>
      <w:r w:rsidR="00D54C96">
        <w:t xml:space="preserve">replaces </w:t>
      </w:r>
      <w:r>
        <w:t xml:space="preserve">the Budget Operations Framework (BOF) and the </w:t>
      </w:r>
      <w:r w:rsidR="00B24BA4">
        <w:t>Performance Management Framework (PMF)</w:t>
      </w:r>
      <w:r w:rsidR="00D54C96">
        <w:t xml:space="preserve">, </w:t>
      </w:r>
      <w:r w:rsidR="00D34ADE">
        <w:t>merging</w:t>
      </w:r>
      <w:r w:rsidR="00D54C96">
        <w:t xml:space="preserve"> the </w:t>
      </w:r>
      <w:r w:rsidR="006E159C">
        <w:t>policies</w:t>
      </w:r>
      <w:r w:rsidR="00D54C96">
        <w:t xml:space="preserve"> </w:t>
      </w:r>
      <w:r w:rsidR="0051403A">
        <w:t xml:space="preserve">and procedures </w:t>
      </w:r>
      <w:r w:rsidR="00773E77">
        <w:t xml:space="preserve">of </w:t>
      </w:r>
      <w:r w:rsidR="00D54C96">
        <w:t>these</w:t>
      </w:r>
      <w:r w:rsidR="00D34ADE">
        <w:t xml:space="preserve"> documents</w:t>
      </w:r>
      <w:r>
        <w:t xml:space="preserve"> into a single framework document</w:t>
      </w:r>
      <w:r w:rsidR="00B24BA4">
        <w:t>.</w:t>
      </w:r>
      <w:r>
        <w:t xml:space="preserve"> </w:t>
      </w:r>
      <w:r w:rsidR="003312DF">
        <w:t xml:space="preserve">The new RMF also includes the </w:t>
      </w:r>
      <w:r w:rsidR="006C7E9C">
        <w:t xml:space="preserve">Financial Reporting Requirements (Monthly Reporting) and Cash Management </w:t>
      </w:r>
      <w:r w:rsidR="00C638F5">
        <w:t xml:space="preserve">sections, </w:t>
      </w:r>
      <w:r w:rsidR="00FD1BD6">
        <w:t>currently</w:t>
      </w:r>
      <w:r w:rsidR="00C638F5">
        <w:t xml:space="preserve"> in t</w:t>
      </w:r>
      <w:r w:rsidR="006C7E9C">
        <w:t>he Financial Reporting Operations Framework (FROF).</w:t>
      </w:r>
    </w:p>
    <w:p w:rsidR="000116BA" w:rsidRDefault="00923CE3" w:rsidP="00923CE3">
      <w:pPr>
        <w:spacing w:after="360"/>
        <w:jc w:val="center"/>
      </w:pPr>
      <w:r>
        <w:rPr>
          <w:noProof/>
        </w:rPr>
        <mc:AlternateContent>
          <mc:Choice Requires="wpg">
            <w:drawing>
              <wp:inline distT="0" distB="0" distL="0" distR="0">
                <wp:extent cx="3860857" cy="1389888"/>
                <wp:effectExtent l="0" t="0" r="25400" b="20320"/>
                <wp:docPr id="15" name="Group 15"/>
                <wp:cNvGraphicFramePr/>
                <a:graphic xmlns:a="http://schemas.openxmlformats.org/drawingml/2006/main">
                  <a:graphicData uri="http://schemas.microsoft.com/office/word/2010/wordprocessingGroup">
                    <wpg:wgp>
                      <wpg:cNvGrpSpPr/>
                      <wpg:grpSpPr>
                        <a:xfrm>
                          <a:off x="0" y="0"/>
                          <a:ext cx="3860857" cy="1389888"/>
                          <a:chOff x="0" y="0"/>
                          <a:chExt cx="3860857" cy="1389888"/>
                        </a:xfrm>
                      </wpg:grpSpPr>
                      <wps:wsp>
                        <wps:cNvPr id="6" name="Oval 6"/>
                        <wps:cNvSpPr/>
                        <wps:spPr>
                          <a:xfrm>
                            <a:off x="1521725" y="0"/>
                            <a:ext cx="802005" cy="654050"/>
                          </a:xfrm>
                          <a:prstGeom prst="ellipse">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A2DFC" w:rsidRPr="00923CE3" w:rsidRDefault="001A2DFC" w:rsidP="00923CE3">
                              <w:pPr>
                                <w:jc w:val="center"/>
                                <w:rPr>
                                  <w:color w:val="000000" w:themeColor="text1"/>
                                </w:rPr>
                              </w:pPr>
                              <w:r w:rsidRPr="00923CE3">
                                <w:rPr>
                                  <w:color w:val="000000" w:themeColor="text1"/>
                                  <w:sz w:val="24"/>
                                </w:rPr>
                                <w:t>RMF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109182"/>
                            <a:ext cx="824230" cy="41910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A2DFC" w:rsidRPr="00923CE3" w:rsidRDefault="001A2DFC" w:rsidP="00923CE3">
                              <w:pPr>
                                <w:spacing w:before="100"/>
                                <w:jc w:val="center"/>
                                <w:rPr>
                                  <w:color w:val="000000" w:themeColor="text1"/>
                                  <w:sz w:val="24"/>
                                </w:rPr>
                              </w:pPr>
                              <w:r w:rsidRPr="00923CE3">
                                <w:rPr>
                                  <w:color w:val="000000" w:themeColor="text1"/>
                                  <w:sz w:val="24"/>
                                </w:rPr>
                                <w:t>BOF</w:t>
                              </w:r>
                            </w:p>
                            <w:p w:rsidR="001A2DFC" w:rsidRDefault="001A2DFC" w:rsidP="00923C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036627" y="109182"/>
                            <a:ext cx="824230" cy="41910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A2DFC" w:rsidRPr="00923CE3" w:rsidRDefault="001A2DFC" w:rsidP="00923CE3">
                              <w:pPr>
                                <w:spacing w:before="100"/>
                                <w:jc w:val="center"/>
                                <w:rPr>
                                  <w:color w:val="000000" w:themeColor="text1"/>
                                </w:rPr>
                              </w:pPr>
                              <w:r w:rsidRPr="00923CE3">
                                <w:rPr>
                                  <w:color w:val="000000" w:themeColor="text1"/>
                                  <w:sz w:val="24"/>
                                </w:rPr>
                                <w:t>PMF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rrow: Right 14"/>
                        <wps:cNvSpPr/>
                        <wps:spPr>
                          <a:xfrm rot="10800000">
                            <a:off x="2388358" y="211540"/>
                            <a:ext cx="58166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Arrow: Right 13"/>
                        <wps:cNvSpPr/>
                        <wps:spPr>
                          <a:xfrm>
                            <a:off x="893928" y="204716"/>
                            <a:ext cx="58166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962167" y="975815"/>
                            <a:ext cx="1988820" cy="414073"/>
                          </a:xfrm>
                          <a:prstGeom prst="rect">
                            <a:avLst/>
                          </a:prstGeom>
                          <a:solidFill>
                            <a:srgbClr val="749CC9">
                              <a:lumMod val="20000"/>
                              <a:lumOff val="80000"/>
                            </a:srgbClr>
                          </a:solidFill>
                          <a:ln w="25400" cap="flat" cmpd="sng" algn="ctr">
                            <a:solidFill>
                              <a:srgbClr val="0063A6">
                                <a:shade val="50000"/>
                              </a:srgbClr>
                            </a:solidFill>
                            <a:prstDash val="solid"/>
                          </a:ln>
                          <a:effectLst/>
                        </wps:spPr>
                        <wps:txbx>
                          <w:txbxContent>
                            <w:p w:rsidR="001A2DFC" w:rsidRDefault="001A2DFC" w:rsidP="00923CE3">
                              <w:pPr>
                                <w:spacing w:before="0" w:after="0"/>
                                <w:jc w:val="center"/>
                              </w:pPr>
                              <w:r>
                                <w:rPr>
                                  <w:sz w:val="18"/>
                                  <w:szCs w:val="18"/>
                                </w:rPr>
                                <w:t>Monthly reporting and</w:t>
                              </w:r>
                              <w:r w:rsidRPr="006C7E9C">
                                <w:rPr>
                                  <w:sz w:val="18"/>
                                  <w:szCs w:val="18"/>
                                </w:rPr>
                                <w:t xml:space="preserve"> cash management </w:t>
                              </w:r>
                              <w:r>
                                <w:rPr>
                                  <w:sz w:val="18"/>
                                  <w:szCs w:val="18"/>
                                </w:rPr>
                                <w:t>sections</w:t>
                              </w:r>
                              <w:r w:rsidRPr="006C7E9C">
                                <w:rPr>
                                  <w:sz w:val="18"/>
                                  <w:szCs w:val="18"/>
                                </w:rPr>
                                <w:t xml:space="preserve"> from FROF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row: Right 17"/>
                        <wps:cNvSpPr/>
                        <wps:spPr>
                          <a:xfrm rot="16200000">
                            <a:off x="1856095" y="675565"/>
                            <a:ext cx="186153" cy="238053"/>
                          </a:xfrm>
                          <a:prstGeom prst="rightArrow">
                            <a:avLst/>
                          </a:prstGeom>
                          <a:solidFill>
                            <a:srgbClr val="0063A6"/>
                          </a:solidFill>
                          <a:ln w="25400" cap="flat" cmpd="sng" algn="ctr">
                            <a:solidFill>
                              <a:srgbClr val="0063A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 o:spid="_x0000_s1026" style="width:304pt;height:109.45pt;mso-position-horizontal-relative:char;mso-position-vertical-relative:line" coordsize="38608,1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">
                <v:oval id="Oval 6" o:spid="_x0000_s1027" style="position:absolute;left:15217;width:8020;height:6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" fillcolor="#c7d7e9 [1302]" strokecolor="#003152 [1604]" strokeweight="2pt">
                  <v:textbox>
                    <w:txbxContent>
                      <w:p w:rsidR="001A2DFC" w:rsidRPr="00923CE3" w:rsidRDefault="001A2DFC" w:rsidP="00923CE3">
                        <w:pPr>
                          <w:jc w:val="center"/>
                          <w:rPr>
                            <w:color w:val="000000" w:themeColor="text1"/>
                          </w:rPr>
                        </w:pPr>
                        <w:r w:rsidRPr="00923CE3">
                          <w:rPr>
                            <w:color w:val="000000" w:themeColor="text1"/>
                            <w:sz w:val="24"/>
                          </w:rPr>
                          <w:t>RMF</w:t>
                        </w:r>
                      </w:p>
                    </w:txbxContent>
                  </v:textbox>
                </v:oval>
                <v:rect id="Rectangle 7" o:spid="_x0000_s1028" style="position:absolute;top:1091;width:8242;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" fillcolor="#e3ebf4 [662]" strokecolor="#003152 [1604]" strokeweight="2pt">
                  <v:textbox>
                    <w:txbxContent>
                      <w:p w:rsidR="001A2DFC" w:rsidRPr="00923CE3" w:rsidRDefault="001A2DFC" w:rsidP="00923CE3">
                        <w:pPr>
                          <w:spacing w:before="100"/>
                          <w:jc w:val="center"/>
                          <w:rPr>
                            <w:color w:val="000000" w:themeColor="text1"/>
                            <w:sz w:val="24"/>
                          </w:rPr>
                        </w:pPr>
                        <w:r w:rsidRPr="00923CE3">
                          <w:rPr>
                            <w:color w:val="000000" w:themeColor="text1"/>
                            <w:sz w:val="24"/>
                          </w:rPr>
                          <w:t>BOF</w:t>
                        </w:r>
                      </w:p>
                      <w:p w:rsidR="001A2DFC" w:rsidRDefault="001A2DFC" w:rsidP="00923CE3">
                        <w:pPr>
                          <w:jc w:val="center"/>
                        </w:pPr>
                      </w:p>
                    </w:txbxContent>
                  </v:textbox>
                </v:rect>
                <v:rect id="Rectangle 8" o:spid="_x0000_s1029" style="position:absolute;left:30366;top:1091;width:8242;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" fillcolor="#e3ebf4 [662]" strokecolor="#003152 [1604]" strokeweight="2pt">
                  <v:textbox>
                    <w:txbxContent>
                      <w:p w:rsidR="001A2DFC" w:rsidRPr="00923CE3" w:rsidRDefault="001A2DFC" w:rsidP="00923CE3">
                        <w:pPr>
                          <w:spacing w:before="100"/>
                          <w:jc w:val="center"/>
                          <w:rPr>
                            <w:color w:val="000000" w:themeColor="text1"/>
                          </w:rPr>
                        </w:pPr>
                        <w:r w:rsidRPr="00923CE3">
                          <w:rPr>
                            <w:color w:val="000000" w:themeColor="text1"/>
                            <w:sz w:val="24"/>
                          </w:rPr>
                          <w:t>PMF</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30" type="#_x0000_t13" style="position:absolute;left:23883;top:2115;width:5817;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" adj="18063" fillcolor="#0063a6 [3204]" strokecolor="#003152 [1604]" strokeweight="2pt"/>
                <v:shape id="Arrow: Right 13" o:spid="_x0000_s1031" type="#_x0000_t13" style="position:absolute;left:8939;top:2047;width:5816;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" adj="18063" fillcolor="#0063a6 [3204]" strokecolor="#003152 [1604]" strokeweight="2pt"/>
                <v:rect id="Rectangle 16" o:spid="_x0000_s1032" style="position:absolute;left:9621;top:9758;width:19888;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" fillcolor="#e3ebf4" strokecolor="#004779" strokeweight="2pt">
                  <v:textbox>
                    <w:txbxContent>
                      <w:p w:rsidR="001A2DFC" w:rsidRDefault="001A2DFC" w:rsidP="00923CE3">
                        <w:pPr>
                          <w:spacing w:before="0" w:after="0"/>
                          <w:jc w:val="center"/>
                        </w:pPr>
                        <w:r>
                          <w:rPr>
                            <w:sz w:val="18"/>
                            <w:szCs w:val="18"/>
                          </w:rPr>
                          <w:t>Monthly reporting and</w:t>
                        </w:r>
                        <w:r w:rsidRPr="006C7E9C">
                          <w:rPr>
                            <w:sz w:val="18"/>
                            <w:szCs w:val="18"/>
                          </w:rPr>
                          <w:t xml:space="preserve"> cash management </w:t>
                        </w:r>
                        <w:r>
                          <w:rPr>
                            <w:sz w:val="18"/>
                            <w:szCs w:val="18"/>
                          </w:rPr>
                          <w:t>sections</w:t>
                        </w:r>
                        <w:r w:rsidRPr="006C7E9C">
                          <w:rPr>
                            <w:sz w:val="18"/>
                            <w:szCs w:val="18"/>
                          </w:rPr>
                          <w:t xml:space="preserve"> from FROF</w:t>
                        </w:r>
                      </w:p>
                    </w:txbxContent>
                  </v:textbox>
                </v:rect>
                <v:shape id="Arrow: Right 17" o:spid="_x0000_s1033" type="#_x0000_t13" style="position:absolute;left:18560;top:6756;width:1861;height:23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" adj="10800" fillcolor="#0063a6" strokecolor="#004779" strokeweight="2pt"/>
                <w10:anchorlock/>
              </v:group>
            </w:pict>
          </mc:Fallback>
        </mc:AlternateContent>
      </w:r>
    </w:p>
    <w:p w:rsidR="00B47130" w:rsidRDefault="00B47130" w:rsidP="00B47130">
      <w:pPr>
        <w:pStyle w:val="Heading2"/>
      </w:pPr>
      <w:r>
        <w:t>Why issue the RMF?</w:t>
      </w:r>
    </w:p>
    <w:p w:rsidR="00B47130" w:rsidRDefault="0051403A" w:rsidP="0051403A">
      <w:r>
        <w:t xml:space="preserve">The RMF is being issued to communicate </w:t>
      </w:r>
      <w:r w:rsidRPr="0051403A">
        <w:t xml:space="preserve">a single funding and </w:t>
      </w:r>
      <w:r w:rsidR="00161DAB">
        <w:t xml:space="preserve">accountability framework for Victorian Government </w:t>
      </w:r>
      <w:r w:rsidR="00773E77">
        <w:t>d</w:t>
      </w:r>
      <w:r w:rsidR="00161DAB">
        <w:t>epartments</w:t>
      </w:r>
      <w:r w:rsidRPr="0051403A">
        <w:t>.</w:t>
      </w:r>
      <w:r>
        <w:t xml:space="preserve"> As part of a broader financial capability uplift strategy, the RMF </w:t>
      </w:r>
      <w:r w:rsidR="00624AC6">
        <w:t>reinforce</w:t>
      </w:r>
      <w:r w:rsidR="00773E77">
        <w:t>s</w:t>
      </w:r>
      <w:r w:rsidR="00624AC6">
        <w:t xml:space="preserve"> the financial management legislative framework as an integrated set of instruments which links the concepts of funding and service delivery through output performance management.</w:t>
      </w:r>
    </w:p>
    <w:p w:rsidR="005875A5" w:rsidRDefault="005875A5" w:rsidP="00BD41F4">
      <w:pPr>
        <w:pStyle w:val="Heading3"/>
      </w:pPr>
      <w:r>
        <w:t>Link to the Standing Directions</w:t>
      </w:r>
    </w:p>
    <w:p w:rsidR="005875A5" w:rsidRDefault="00773E77" w:rsidP="005875A5">
      <w:r>
        <w:t>From 1 July 2019</w:t>
      </w:r>
      <w:r w:rsidR="00C638F5">
        <w:t xml:space="preserve"> onwards</w:t>
      </w:r>
      <w:r w:rsidR="005875A5" w:rsidRPr="00D34ADE">
        <w:t xml:space="preserve">, departments will be required to apply the RMF </w:t>
      </w:r>
      <w:r w:rsidR="00161DAB">
        <w:t xml:space="preserve">under the </w:t>
      </w:r>
      <w:hyperlink r:id="rId11" w:history="1">
        <w:r w:rsidR="00161DAB" w:rsidRPr="00D34ADE">
          <w:rPr>
            <w:rStyle w:val="Hyperlink"/>
          </w:rPr>
          <w:t xml:space="preserve">Standing Directions </w:t>
        </w:r>
        <w:r w:rsidR="005C33F8">
          <w:rPr>
            <w:rStyle w:val="Hyperlink"/>
          </w:rPr>
          <w:t xml:space="preserve">under the </w:t>
        </w:r>
        <w:r w:rsidR="005C33F8" w:rsidRPr="00280872">
          <w:rPr>
            <w:rStyle w:val="Hyperlink"/>
            <w:i/>
          </w:rPr>
          <w:t>Financial Management Act 1994</w:t>
        </w:r>
      </w:hyperlink>
      <w:r w:rsidR="005875A5" w:rsidRPr="00D34ADE">
        <w:t>.</w:t>
      </w:r>
    </w:p>
    <w:p w:rsidR="005875A5" w:rsidRDefault="005875A5" w:rsidP="005875A5">
      <w:r>
        <w:t xml:space="preserve">Departments are subject to the compliance requirements set out in the Standing Directions in relation to the </w:t>
      </w:r>
      <w:r w:rsidR="00773E77">
        <w:t>RMF</w:t>
      </w:r>
      <w:r>
        <w:t xml:space="preserve">. This includes public attestation of compliance in annual reports. See </w:t>
      </w:r>
      <w:r w:rsidR="00161DAB" w:rsidRPr="00353CD6">
        <w:t>Direction</w:t>
      </w:r>
      <w:r w:rsidR="008A6B38">
        <w:t> </w:t>
      </w:r>
      <w:r w:rsidR="00161DAB" w:rsidRPr="00353CD6">
        <w:t>5.1</w:t>
      </w:r>
      <w:r w:rsidR="00161DAB">
        <w:t xml:space="preserve"> for more information</w:t>
      </w:r>
      <w:r w:rsidRPr="00353CD6">
        <w:t>.</w:t>
      </w:r>
    </w:p>
    <w:p w:rsidR="00B84C28" w:rsidRDefault="00B84C28">
      <w:pPr>
        <w:spacing w:before="0" w:after="200"/>
        <w:rPr>
          <w:rFonts w:asciiTheme="majorHAnsi" w:eastAsiaTheme="majorEastAsia" w:hAnsiTheme="majorHAnsi" w:cstheme="majorBidi"/>
          <w:b/>
          <w:bCs/>
          <w:color w:val="0063A6" w:themeColor="accent1"/>
          <w:sz w:val="22"/>
          <w:szCs w:val="22"/>
        </w:rPr>
      </w:pPr>
      <w:r>
        <w:br w:type="page"/>
      </w:r>
    </w:p>
    <w:p w:rsidR="00BB2CC7" w:rsidRPr="00BD41F4" w:rsidRDefault="00BB2CC7" w:rsidP="00BD41F4">
      <w:pPr>
        <w:pStyle w:val="Heading3"/>
      </w:pPr>
      <w:r w:rsidRPr="00BD41F4">
        <w:lastRenderedPageBreak/>
        <w:t>Policy changes</w:t>
      </w:r>
    </w:p>
    <w:p w:rsidR="00BD41F4" w:rsidRDefault="00BD41F4" w:rsidP="00923CE3">
      <w:r>
        <w:t xml:space="preserve">The policy changes in the RMF are summarised in the following table: </w:t>
      </w:r>
    </w:p>
    <w:p w:rsidR="002A2832" w:rsidRPr="002A2832" w:rsidRDefault="002A2832" w:rsidP="00923CE3">
      <w:pPr>
        <w:pStyle w:val="Caption"/>
      </w:pPr>
      <w:r w:rsidRPr="002A2832">
        <w:t>Table 1: Summary of policy changes in the RMF</w:t>
      </w:r>
    </w:p>
    <w:tbl>
      <w:tblPr>
        <w:tblStyle w:val="DTFtexttable"/>
        <w:tblW w:w="9383" w:type="dxa"/>
        <w:tblLook w:val="06A0" w:firstRow="1" w:lastRow="0" w:firstColumn="1" w:lastColumn="0" w:noHBand="1" w:noVBand="1"/>
      </w:tblPr>
      <w:tblGrid>
        <w:gridCol w:w="2235"/>
        <w:gridCol w:w="6139"/>
        <w:gridCol w:w="1009"/>
      </w:tblGrid>
      <w:tr w:rsidR="00BB2CC7" w:rsidTr="001472C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35" w:type="dxa"/>
          </w:tcPr>
          <w:p w:rsidR="00BB2CC7" w:rsidRDefault="00BB2CC7" w:rsidP="00923CE3">
            <w:pPr>
              <w:pStyle w:val="Tableheader"/>
            </w:pPr>
            <w:r>
              <w:t xml:space="preserve">Topic </w:t>
            </w:r>
          </w:p>
        </w:tc>
        <w:tc>
          <w:tcPr>
            <w:tcW w:w="6139" w:type="dxa"/>
          </w:tcPr>
          <w:p w:rsidR="00BB2CC7" w:rsidRDefault="00280872" w:rsidP="00923CE3">
            <w:pPr>
              <w:pStyle w:val="Tableheader"/>
              <w:cnfStyle w:val="100000000000" w:firstRow="1" w:lastRow="0" w:firstColumn="0" w:lastColumn="0" w:oddVBand="0" w:evenVBand="0" w:oddHBand="0" w:evenHBand="0" w:firstRowFirstColumn="0" w:firstRowLastColumn="0" w:lastRowFirstColumn="0" w:lastRowLastColumn="0"/>
            </w:pPr>
            <w:r>
              <w:t>Policy c</w:t>
            </w:r>
            <w:r w:rsidR="00A65F22">
              <w:t>hange</w:t>
            </w:r>
          </w:p>
        </w:tc>
        <w:tc>
          <w:tcPr>
            <w:tcW w:w="1009" w:type="dxa"/>
          </w:tcPr>
          <w:p w:rsidR="00BB2CC7" w:rsidRDefault="0034196F" w:rsidP="00923CE3">
            <w:pPr>
              <w:pStyle w:val="Tableheader"/>
              <w:cnfStyle w:val="100000000000" w:firstRow="1" w:lastRow="0" w:firstColumn="0" w:lastColumn="0" w:oddVBand="0" w:evenVBand="0" w:oddHBand="0" w:evenHBand="0" w:firstRowFirstColumn="0" w:firstRowLastColumn="0" w:lastRowFirstColumn="0" w:lastRowLastColumn="0"/>
            </w:pPr>
            <w:r>
              <w:t xml:space="preserve">RMF </w:t>
            </w:r>
            <w:r w:rsidR="00BB2CC7">
              <w:t>Section</w:t>
            </w:r>
          </w:p>
        </w:tc>
      </w:tr>
      <w:tr w:rsidR="00F2188C" w:rsidTr="00923CE3">
        <w:tc>
          <w:tcPr>
            <w:cnfStyle w:val="001000000000" w:firstRow="0" w:lastRow="0" w:firstColumn="1" w:lastColumn="0" w:oddVBand="0" w:evenVBand="0" w:oddHBand="0" w:evenHBand="0" w:firstRowFirstColumn="0" w:firstRowLastColumn="0" w:lastRowFirstColumn="0" w:lastRowLastColumn="0"/>
            <w:tcW w:w="2235" w:type="dxa"/>
          </w:tcPr>
          <w:p w:rsidR="00F2188C" w:rsidRPr="0040062C" w:rsidRDefault="00BD41F4" w:rsidP="00923CE3">
            <w:r>
              <w:t>Evaluating lapsing programs</w:t>
            </w:r>
          </w:p>
        </w:tc>
        <w:tc>
          <w:tcPr>
            <w:tcW w:w="6139" w:type="dxa"/>
          </w:tcPr>
          <w:p w:rsidR="00F2188C" w:rsidRDefault="00F2188C" w:rsidP="00923CE3">
            <w:pPr>
              <w:pStyle w:val="Bullet1"/>
              <w:cnfStyle w:val="000000000000" w:firstRow="0" w:lastRow="0" w:firstColumn="0" w:lastColumn="0" w:oddVBand="0" w:evenVBand="0" w:oddHBand="0" w:evenHBand="0" w:firstRowFirstColumn="0" w:firstRowLastColumn="0" w:lastRowFirstColumn="0" w:lastRowLastColumn="0"/>
            </w:pPr>
            <w:r w:rsidRPr="006356EA">
              <w:t>The</w:t>
            </w:r>
            <w:r>
              <w:t xml:space="preserve"> threshold for program evaluations requiring terms of references to be agreed with DTF before commencement, has been lifted</w:t>
            </w:r>
            <w:r w:rsidR="006356EA">
              <w:t xml:space="preserve"> from $5 million to</w:t>
            </w:r>
            <w:r w:rsidR="0089712F">
              <w:t xml:space="preserve"> </w:t>
            </w:r>
            <w:r w:rsidR="006356EA">
              <w:t>$20 million (refer to 6.1.1 (b)).</w:t>
            </w:r>
          </w:p>
          <w:p w:rsidR="007A2979" w:rsidRDefault="004E35B1" w:rsidP="00923CE3">
            <w:pPr>
              <w:pStyle w:val="Bullet1"/>
              <w:cnfStyle w:val="000000000000" w:firstRow="0" w:lastRow="0" w:firstColumn="0" w:lastColumn="0" w:oddVBand="0" w:evenVBand="0" w:oddHBand="0" w:evenHBand="0" w:firstRowFirstColumn="0" w:firstRowLastColumn="0" w:lastRowFirstColumn="0" w:lastRowLastColumn="0"/>
            </w:pPr>
            <w:r w:rsidRPr="004E35B1">
              <w:rPr>
                <w:i/>
              </w:rPr>
              <w:t>For programs greater than $20 million</w:t>
            </w:r>
            <w:r w:rsidR="001472C1">
              <w:t xml:space="preserve"> –</w:t>
            </w:r>
            <w:r>
              <w:t xml:space="preserve"> </w:t>
            </w:r>
            <w:r w:rsidRPr="004E35B1">
              <w:t>the Department of Premier and Cabinet (D</w:t>
            </w:r>
            <w:r>
              <w:t>PC) is no longer required to co</w:t>
            </w:r>
            <w:r>
              <w:noBreakHyphen/>
            </w:r>
            <w:r w:rsidRPr="004E35B1">
              <w:t xml:space="preserve">endorse evaluation scope and terms of references with </w:t>
            </w:r>
            <w:r w:rsidR="00AF0D57">
              <w:t>DTF</w:t>
            </w:r>
            <w:r w:rsidRPr="004E35B1">
              <w:t xml:space="preserve"> before an evaluation commences. DPC should still be consulted however in the development of evaluation scope and terms of references w</w:t>
            </w:r>
            <w:r>
              <w:t>here reasonable and practicable</w:t>
            </w:r>
            <w:r w:rsidR="006356EA">
              <w:t xml:space="preserve"> (refer to 6.1.1 (b)(i))</w:t>
            </w:r>
            <w:r>
              <w:t>.</w:t>
            </w:r>
          </w:p>
          <w:p w:rsidR="006356EA" w:rsidRPr="006356EA" w:rsidRDefault="006356EA" w:rsidP="00923CE3">
            <w:pPr>
              <w:pStyle w:val="Bullet1"/>
              <w:numPr>
                <w:ilvl w:val="0"/>
                <w:numId w:val="0"/>
              </w:numPr>
              <w:spacing w:after="120"/>
              <w:ind w:left="720"/>
              <w:cnfStyle w:val="000000000000" w:firstRow="0" w:lastRow="0" w:firstColumn="0" w:lastColumn="0" w:oddVBand="0" w:evenVBand="0" w:oddHBand="0" w:evenHBand="0" w:firstRowFirstColumn="0" w:firstRowLastColumn="0" w:lastRowFirstColumn="0" w:lastRowLastColumn="0"/>
              <w:rPr>
                <w:sz w:val="12"/>
              </w:rPr>
            </w:pPr>
          </w:p>
          <w:p w:rsidR="00F2188C" w:rsidRDefault="00B57776" w:rsidP="00923CE3">
            <w:pPr>
              <w:pStyle w:val="Bullet1"/>
              <w:cnfStyle w:val="000000000000" w:firstRow="0" w:lastRow="0" w:firstColumn="0" w:lastColumn="0" w:oddVBand="0" w:evenVBand="0" w:oddHBand="0" w:evenHBand="0" w:firstRowFirstColumn="0" w:firstRowLastColumn="0" w:lastRowFirstColumn="0" w:lastRowLastColumn="0"/>
            </w:pPr>
            <w:r w:rsidRPr="004E35B1">
              <w:rPr>
                <w:i/>
              </w:rPr>
              <w:t>For programs greater than $20 million and wit</w:t>
            </w:r>
            <w:r w:rsidR="004E35B1" w:rsidRPr="004E35B1">
              <w:rPr>
                <w:i/>
              </w:rPr>
              <w:t>h funding for two years or more</w:t>
            </w:r>
            <w:r w:rsidR="001472C1">
              <w:rPr>
                <w:i/>
              </w:rPr>
              <w:t xml:space="preserve"> – </w:t>
            </w:r>
            <w:r w:rsidR="00F2188C">
              <w:t>the evaluation report is required to be submitted by the last Friday in October in a given year</w:t>
            </w:r>
            <w:r w:rsidR="00773E77">
              <w:t>,</w:t>
            </w:r>
            <w:r w:rsidR="00F2188C">
              <w:t xml:space="preserve"> before a submission (for continued funding) is lodged in the f</w:t>
            </w:r>
            <w:r w:rsidR="006356EA">
              <w:t>ollowing year’s Budget process (refer to 6.1.1 (b)(ii)).</w:t>
            </w:r>
          </w:p>
          <w:p w:rsidR="007A2979" w:rsidRDefault="007A2979" w:rsidP="00923CE3">
            <w:pPr>
              <w:pStyle w:val="Bullet1"/>
              <w:cnfStyle w:val="000000000000" w:firstRow="0" w:lastRow="0" w:firstColumn="0" w:lastColumn="0" w:oddVBand="0" w:evenVBand="0" w:oddHBand="0" w:evenHBand="0" w:firstRowFirstColumn="0" w:firstRowLastColumn="0" w:lastRowFirstColumn="0" w:lastRowLastColumn="0"/>
            </w:pPr>
            <w:r w:rsidRPr="007A2979">
              <w:rPr>
                <w:i/>
              </w:rPr>
              <w:t>F</w:t>
            </w:r>
            <w:r w:rsidR="00F2188C" w:rsidRPr="007A2979">
              <w:rPr>
                <w:i/>
              </w:rPr>
              <w:t>or programs under $20 million</w:t>
            </w:r>
            <w:r w:rsidR="001472C1">
              <w:rPr>
                <w:i/>
              </w:rPr>
              <w:t xml:space="preserve"> – </w:t>
            </w:r>
            <w:r w:rsidR="00F2188C">
              <w:t>option to submit an evaluation report or provide other evidence of efficient and effective achi</w:t>
            </w:r>
            <w:r>
              <w:t>evement of program objectives</w:t>
            </w:r>
            <w:r w:rsidR="006356EA">
              <w:t xml:space="preserve"> (refer to 6.1.1 (c))</w:t>
            </w:r>
            <w:r>
              <w:t>.</w:t>
            </w:r>
          </w:p>
          <w:p w:rsidR="00F2188C" w:rsidRDefault="007A2979" w:rsidP="00923CE3">
            <w:pPr>
              <w:pStyle w:val="Bullet1"/>
              <w:cnfStyle w:val="000000000000" w:firstRow="0" w:lastRow="0" w:firstColumn="0" w:lastColumn="0" w:oddVBand="0" w:evenVBand="0" w:oddHBand="0" w:evenHBand="0" w:firstRowFirstColumn="0" w:firstRowLastColumn="0" w:lastRowFirstColumn="0" w:lastRowLastColumn="0"/>
            </w:pPr>
            <w:r>
              <w:t>W</w:t>
            </w:r>
            <w:r w:rsidR="00F2188C">
              <w:t>hen requested by DTF, either:</w:t>
            </w:r>
          </w:p>
          <w:p w:rsidR="00F2188C" w:rsidRPr="004E35B1" w:rsidRDefault="00F2188C" w:rsidP="00923CE3">
            <w:pPr>
              <w:pStyle w:val="Bullet2"/>
              <w:cnfStyle w:val="000000000000" w:firstRow="0" w:lastRow="0" w:firstColumn="0" w:lastColumn="0" w:oddVBand="0" w:evenVBand="0" w:oddHBand="0" w:evenHBand="0" w:firstRowFirstColumn="0" w:firstRowLastColumn="0" w:lastRowFirstColumn="0" w:lastRowLastColumn="0"/>
            </w:pPr>
            <w:r w:rsidRPr="004E35B1">
              <w:t>a draft report (or other review materials) for an evaluation is provided to DTF, or</w:t>
            </w:r>
          </w:p>
          <w:p w:rsidR="00AF0D57" w:rsidRDefault="00F2188C" w:rsidP="00923CE3">
            <w:pPr>
              <w:pStyle w:val="Bullet2"/>
              <w:cnfStyle w:val="000000000000" w:firstRow="0" w:lastRow="0" w:firstColumn="0" w:lastColumn="0" w:oddVBand="0" w:evenVBand="0" w:oddHBand="0" w:evenHBand="0" w:firstRowFirstColumn="0" w:firstRowLastColumn="0" w:lastRowFirstColumn="0" w:lastRowLastColumn="0"/>
            </w:pPr>
            <w:r w:rsidRPr="004E35B1">
              <w:t xml:space="preserve">DTF is provided appropriate opportunities to be involved in any steering committee or other governance arrangement that </w:t>
            </w:r>
            <w:r w:rsidR="00161DAB" w:rsidRPr="004E35B1">
              <w:t>oversees</w:t>
            </w:r>
            <w:r w:rsidRPr="004E35B1">
              <w:t xml:space="preserve"> the direction of an evaluation</w:t>
            </w:r>
          </w:p>
          <w:p w:rsidR="00091D05" w:rsidRPr="004E35B1" w:rsidRDefault="006356EA" w:rsidP="00923CE3">
            <w:pPr>
              <w:ind w:left="360"/>
              <w:cnfStyle w:val="000000000000" w:firstRow="0" w:lastRow="0" w:firstColumn="0" w:lastColumn="0" w:oddVBand="0" w:evenVBand="0" w:oddHBand="0" w:evenHBand="0" w:firstRowFirstColumn="0" w:firstRowLastColumn="0" w:lastRowFirstColumn="0" w:lastRowLastColumn="0"/>
            </w:pPr>
            <w:r>
              <w:t>(refer to 6.1.1 (d))</w:t>
            </w:r>
            <w:r w:rsidR="00F2188C" w:rsidRPr="004E35B1">
              <w:t>.</w:t>
            </w:r>
          </w:p>
          <w:p w:rsidR="00091D05" w:rsidRDefault="00091D05" w:rsidP="00923CE3">
            <w:pPr>
              <w:pStyle w:val="Bullet1"/>
              <w:cnfStyle w:val="000000000000" w:firstRow="0" w:lastRow="0" w:firstColumn="0" w:lastColumn="0" w:oddVBand="0" w:evenVBand="0" w:oddHBand="0" w:evenHBand="0" w:firstRowFirstColumn="0" w:firstRowLastColumn="0" w:lastRowFirstColumn="0" w:lastRowLastColumn="0"/>
            </w:pPr>
            <w:r w:rsidRPr="00091D05">
              <w:t xml:space="preserve">Clarity around independence requirement modified to </w:t>
            </w:r>
            <w:r w:rsidRPr="001E7766">
              <w:rPr>
                <w:b/>
              </w:rPr>
              <w:t>not</w:t>
            </w:r>
            <w:r w:rsidRPr="00091D05">
              <w:t xml:space="preserve"> require evaluations to be done by a party external to the department – footnoted in mandatory requirements and mentioned in guidance</w:t>
            </w:r>
            <w:r w:rsidR="001F7869">
              <w:t xml:space="preserve"> (refer to 6.1.1 (e))</w:t>
            </w:r>
            <w:r w:rsidRPr="00091D05">
              <w:t>.</w:t>
            </w:r>
          </w:p>
          <w:p w:rsidR="007A2979" w:rsidRPr="00923CE3" w:rsidRDefault="0076361E" w:rsidP="00923CE3">
            <w:pPr>
              <w:pStyle w:val="Bullet1"/>
              <w:cnfStyle w:val="000000000000" w:firstRow="0" w:lastRow="0" w:firstColumn="0" w:lastColumn="0" w:oddVBand="0" w:evenVBand="0" w:oddHBand="0" w:evenHBand="0" w:firstRowFirstColumn="0" w:firstRowLastColumn="0" w:lastRowFirstColumn="0" w:lastRowLastColumn="0"/>
            </w:pPr>
            <w:r>
              <w:t>New</w:t>
            </w:r>
            <w:r w:rsidRPr="004E35B1">
              <w:t xml:space="preserve"> </w:t>
            </w:r>
            <w:r w:rsidR="00D1678E" w:rsidRPr="00923CE3">
              <w:t>guidance</w:t>
            </w:r>
            <w:r w:rsidR="00D1678E">
              <w:t xml:space="preserve"> has been inserted on the use of program evaluation models to assess program effectiveness,</w:t>
            </w:r>
            <w:r>
              <w:t xml:space="preserve"> to improve the standard</w:t>
            </w:r>
            <w:r w:rsidR="00D1678E">
              <w:t xml:space="preserve"> of evaluations</w:t>
            </w:r>
            <w:r w:rsidR="00AF0D57">
              <w:t xml:space="preserve"> (page</w:t>
            </w:r>
            <w:r w:rsidR="002F1BFB">
              <w:t>s</w:t>
            </w:r>
            <w:r w:rsidR="00AF0D57">
              <w:t xml:space="preserve"> 1</w:t>
            </w:r>
            <w:r w:rsidR="002F1BFB">
              <w:t>0</w:t>
            </w:r>
            <w:r w:rsidR="006262BC">
              <w:t>8</w:t>
            </w:r>
            <w:r w:rsidR="002F1BFB">
              <w:t xml:space="preserve"> - 10</w:t>
            </w:r>
            <w:r w:rsidR="006262BC">
              <w:t>9</w:t>
            </w:r>
            <w:r w:rsidR="00AF0D57">
              <w:t>)</w:t>
            </w:r>
            <w:r>
              <w:t>.</w:t>
            </w:r>
            <w:r w:rsidR="00755502">
              <w:t xml:space="preserve"> </w:t>
            </w:r>
          </w:p>
        </w:tc>
        <w:tc>
          <w:tcPr>
            <w:tcW w:w="1009" w:type="dxa"/>
          </w:tcPr>
          <w:p w:rsidR="00F2188C" w:rsidRDefault="00F2188C" w:rsidP="001E7766">
            <w:pPr>
              <w:jc w:val="center"/>
              <w:cnfStyle w:val="000000000000" w:firstRow="0" w:lastRow="0" w:firstColumn="0" w:lastColumn="0" w:oddVBand="0" w:evenVBand="0" w:oddHBand="0" w:evenHBand="0" w:firstRowFirstColumn="0" w:firstRowLastColumn="0" w:lastRowFirstColumn="0" w:lastRowLastColumn="0"/>
            </w:pPr>
            <w:r>
              <w:t>6.1</w:t>
            </w:r>
          </w:p>
        </w:tc>
      </w:tr>
      <w:tr w:rsidR="00923CE3" w:rsidTr="00923CE3">
        <w:tc>
          <w:tcPr>
            <w:cnfStyle w:val="001000000000" w:firstRow="0" w:lastRow="0" w:firstColumn="1" w:lastColumn="0" w:oddVBand="0" w:evenVBand="0" w:oddHBand="0" w:evenHBand="0" w:firstRowFirstColumn="0" w:firstRowLastColumn="0" w:lastRowFirstColumn="0" w:lastRowLastColumn="0"/>
            <w:tcW w:w="2235" w:type="dxa"/>
          </w:tcPr>
          <w:p w:rsidR="00923CE3" w:rsidRPr="0040062C" w:rsidRDefault="00923CE3" w:rsidP="00923CE3">
            <w:r w:rsidRPr="0076361E">
              <w:t>Process for the creation of the fourth year estimates in SRIMS</w:t>
            </w:r>
          </w:p>
        </w:tc>
        <w:tc>
          <w:tcPr>
            <w:tcW w:w="6139" w:type="dxa"/>
          </w:tcPr>
          <w:p w:rsidR="00923CE3" w:rsidRPr="0076361E" w:rsidRDefault="00923CE3" w:rsidP="00923CE3">
            <w:pPr>
              <w:cnfStyle w:val="000000000000" w:firstRow="0" w:lastRow="0" w:firstColumn="0" w:lastColumn="0" w:oddVBand="0" w:evenVBand="0" w:oddHBand="0" w:evenHBand="0" w:firstRowFirstColumn="0" w:firstRowLastColumn="0" w:lastRowFirstColumn="0" w:lastRowLastColumn="0"/>
            </w:pPr>
            <w:r w:rsidRPr="0076361E">
              <w:t>Note in guidance section added to request that departments keep adequate and ongoing records of what asset programs are contained in their purchase of non-financial assets amounts in the forward estimates, including the rollover year</w:t>
            </w:r>
            <w:r>
              <w:t xml:space="preserve"> (page 1</w:t>
            </w:r>
            <w:r w:rsidR="002F1BFB">
              <w:t>1</w:t>
            </w:r>
            <w:r w:rsidR="006262BC">
              <w:t>1</w:t>
            </w:r>
            <w:r w:rsidRPr="00923CE3">
              <w:t xml:space="preserve">). </w:t>
            </w:r>
          </w:p>
        </w:tc>
        <w:tc>
          <w:tcPr>
            <w:tcW w:w="1009" w:type="dxa"/>
          </w:tcPr>
          <w:p w:rsidR="00923CE3" w:rsidRPr="00923CE3" w:rsidRDefault="00923CE3" w:rsidP="001E7766">
            <w:pPr>
              <w:jc w:val="center"/>
              <w:cnfStyle w:val="000000000000" w:firstRow="0" w:lastRow="0" w:firstColumn="0" w:lastColumn="0" w:oddVBand="0" w:evenVBand="0" w:oddHBand="0" w:evenHBand="0" w:firstRowFirstColumn="0" w:firstRowLastColumn="0" w:lastRowFirstColumn="0" w:lastRowLastColumn="0"/>
            </w:pPr>
            <w:r w:rsidRPr="00923CE3">
              <w:t>6.3</w:t>
            </w:r>
          </w:p>
        </w:tc>
      </w:tr>
      <w:tr w:rsidR="001472C1" w:rsidTr="00923CE3">
        <w:tc>
          <w:tcPr>
            <w:cnfStyle w:val="001000000000" w:firstRow="0" w:lastRow="0" w:firstColumn="1" w:lastColumn="0" w:oddVBand="0" w:evenVBand="0" w:oddHBand="0" w:evenHBand="0" w:firstRowFirstColumn="0" w:firstRowLastColumn="0" w:lastRowFirstColumn="0" w:lastRowLastColumn="0"/>
            <w:tcW w:w="2235" w:type="dxa"/>
            <w:vMerge w:val="restart"/>
          </w:tcPr>
          <w:p w:rsidR="001472C1" w:rsidRDefault="001472C1" w:rsidP="001472C1">
            <w:pPr>
              <w:keepNext/>
              <w:pageBreakBefore/>
            </w:pPr>
            <w:r>
              <w:lastRenderedPageBreak/>
              <w:t>Australian Accounting Standard AASB changes</w:t>
            </w:r>
            <w:r>
              <w:rPr>
                <w:rStyle w:val="FootnoteReference"/>
              </w:rPr>
              <w:footnoteReference w:id="1"/>
            </w:r>
          </w:p>
        </w:tc>
        <w:tc>
          <w:tcPr>
            <w:tcW w:w="6139" w:type="dxa"/>
          </w:tcPr>
          <w:p w:rsidR="001472C1" w:rsidRPr="001472C1" w:rsidDel="005272ED" w:rsidRDefault="001472C1" w:rsidP="001472C1">
            <w:pPr>
              <w:cnfStyle w:val="000000000000" w:firstRow="0" w:lastRow="0" w:firstColumn="0" w:lastColumn="0" w:oddVBand="0" w:evenVBand="0" w:oddHBand="0" w:evenHBand="0" w:firstRowFirstColumn="0" w:firstRowLastColumn="0" w:lastRowFirstColumn="0" w:lastRowLastColumn="0"/>
            </w:pPr>
            <w:r>
              <w:t>The following sections are impacted:</w:t>
            </w:r>
          </w:p>
        </w:tc>
        <w:tc>
          <w:tcPr>
            <w:tcW w:w="1009" w:type="dxa"/>
          </w:tcPr>
          <w:p w:rsidR="001472C1" w:rsidRDefault="001472C1" w:rsidP="00923CE3">
            <w:pPr>
              <w:cnfStyle w:val="000000000000" w:firstRow="0" w:lastRow="0" w:firstColumn="0" w:lastColumn="0" w:oddVBand="0" w:evenVBand="0" w:oddHBand="0" w:evenHBand="0" w:firstRowFirstColumn="0" w:firstRowLastColumn="0" w:lastRowFirstColumn="0" w:lastRowLastColumn="0"/>
            </w:pPr>
          </w:p>
        </w:tc>
      </w:tr>
      <w:tr w:rsidR="001472C1" w:rsidTr="00923CE3">
        <w:tc>
          <w:tcPr>
            <w:cnfStyle w:val="001000000000" w:firstRow="0" w:lastRow="0" w:firstColumn="1" w:lastColumn="0" w:oddVBand="0" w:evenVBand="0" w:oddHBand="0" w:evenHBand="0" w:firstRowFirstColumn="0" w:firstRowLastColumn="0" w:lastRowFirstColumn="0" w:lastRowLastColumn="0"/>
            <w:tcW w:w="2235" w:type="dxa"/>
            <w:vMerge/>
          </w:tcPr>
          <w:p w:rsidR="001472C1" w:rsidRDefault="001472C1" w:rsidP="001472C1"/>
        </w:tc>
        <w:tc>
          <w:tcPr>
            <w:tcW w:w="6139" w:type="dxa"/>
          </w:tcPr>
          <w:p w:rsidR="001472C1" w:rsidRPr="001472C1" w:rsidDel="005272ED" w:rsidRDefault="001472C1" w:rsidP="001472C1">
            <w:pPr>
              <w:pStyle w:val="Bullet1"/>
              <w:cnfStyle w:val="000000000000" w:firstRow="0" w:lastRow="0" w:firstColumn="0" w:lastColumn="0" w:oddVBand="0" w:evenVBand="0" w:oddHBand="0" w:evenHBand="0" w:firstRowFirstColumn="0" w:firstRowLastColumn="0" w:lastRowFirstColumn="0" w:lastRowLastColumn="0"/>
            </w:pPr>
            <w:r w:rsidRPr="00464CA4">
              <w:rPr>
                <w:i/>
              </w:rPr>
              <w:t>Section 29 annotated revenue</w:t>
            </w:r>
            <w:r>
              <w:t xml:space="preserve"> – new </w:t>
            </w:r>
            <w:r w:rsidRPr="0076361E">
              <w:rPr>
                <w:bCs/>
              </w:rPr>
              <w:t>guidance</w:t>
            </w:r>
            <w:r>
              <w:t xml:space="preserve"> stating that FMA section 29 revenue for asset investment is not to be claimed for payments made in advance (such as those made to agencies) (page 6</w:t>
            </w:r>
            <w:r w:rsidR="002F1BFB">
              <w:t>0</w:t>
            </w:r>
            <w:r>
              <w:t>).</w:t>
            </w:r>
          </w:p>
        </w:tc>
        <w:tc>
          <w:tcPr>
            <w:tcW w:w="1009" w:type="dxa"/>
          </w:tcPr>
          <w:p w:rsidR="001472C1" w:rsidRDefault="001472C1" w:rsidP="001E7766">
            <w:pPr>
              <w:jc w:val="center"/>
              <w:cnfStyle w:val="000000000000" w:firstRow="0" w:lastRow="0" w:firstColumn="0" w:lastColumn="0" w:oddVBand="0" w:evenVBand="0" w:oddHBand="0" w:evenHBand="0" w:firstRowFirstColumn="0" w:firstRowLastColumn="0" w:lastRowFirstColumn="0" w:lastRowLastColumn="0"/>
            </w:pPr>
            <w:r>
              <w:t>4.1</w:t>
            </w:r>
          </w:p>
        </w:tc>
      </w:tr>
      <w:tr w:rsidR="001472C1" w:rsidTr="00923CE3">
        <w:tc>
          <w:tcPr>
            <w:cnfStyle w:val="001000000000" w:firstRow="0" w:lastRow="0" w:firstColumn="1" w:lastColumn="0" w:oddVBand="0" w:evenVBand="0" w:oddHBand="0" w:evenHBand="0" w:firstRowFirstColumn="0" w:firstRowLastColumn="0" w:lastRowFirstColumn="0" w:lastRowLastColumn="0"/>
            <w:tcW w:w="2235" w:type="dxa"/>
          </w:tcPr>
          <w:p w:rsidR="001472C1" w:rsidRDefault="001472C1" w:rsidP="001472C1"/>
        </w:tc>
        <w:tc>
          <w:tcPr>
            <w:tcW w:w="6139" w:type="dxa"/>
          </w:tcPr>
          <w:p w:rsidR="001472C1" w:rsidRPr="001472C1" w:rsidRDefault="001472C1" w:rsidP="001472C1">
            <w:pPr>
              <w:pStyle w:val="Bullet1"/>
              <w:cnfStyle w:val="000000000000" w:firstRow="0" w:lastRow="0" w:firstColumn="0" w:lastColumn="0" w:oddVBand="0" w:evenVBand="0" w:oddHBand="0" w:evenHBand="0" w:firstRowFirstColumn="0" w:firstRowLastColumn="0" w:lastRowFirstColumn="0" w:lastRowLastColumn="0"/>
            </w:pPr>
            <w:r w:rsidRPr="00B238BC">
              <w:rPr>
                <w:i/>
              </w:rPr>
              <w:t>Depreciation</w:t>
            </w:r>
            <w:r>
              <w:rPr>
                <w:i/>
              </w:rPr>
              <w:t xml:space="preserve"> and depreciation</w:t>
            </w:r>
            <w:r w:rsidRPr="00B238BC">
              <w:rPr>
                <w:i/>
              </w:rPr>
              <w:t xml:space="preserve"> equivalent</w:t>
            </w:r>
            <w:r w:rsidRPr="00B238BC">
              <w:t xml:space="preserve"> – </w:t>
            </w:r>
            <w:r>
              <w:t xml:space="preserve">new guidance advising that the </w:t>
            </w:r>
            <w:r w:rsidRPr="00B238BC">
              <w:t>interest component on the liability on Service Concession leases</w:t>
            </w:r>
            <w:r>
              <w:t xml:space="preserve"> up to the point of commercial acceptance will be funded by additional appropriation (to accumulate in each department’s SAU inter-entity account since it is a non-cash expense) (page </w:t>
            </w:r>
            <w:r w:rsidR="002F1BFB">
              <w:t>85</w:t>
            </w:r>
            <w:r>
              <w:t>).</w:t>
            </w:r>
          </w:p>
        </w:tc>
        <w:tc>
          <w:tcPr>
            <w:tcW w:w="1009" w:type="dxa"/>
          </w:tcPr>
          <w:p w:rsidR="001472C1" w:rsidRDefault="001472C1" w:rsidP="001E7766">
            <w:pPr>
              <w:jc w:val="center"/>
              <w:cnfStyle w:val="000000000000" w:firstRow="0" w:lastRow="0" w:firstColumn="0" w:lastColumn="0" w:oddVBand="0" w:evenVBand="0" w:oddHBand="0" w:evenHBand="0" w:firstRowFirstColumn="0" w:firstRowLastColumn="0" w:lastRowFirstColumn="0" w:lastRowLastColumn="0"/>
            </w:pPr>
            <w:r>
              <w:t>4.12</w:t>
            </w:r>
          </w:p>
        </w:tc>
      </w:tr>
      <w:tr w:rsidR="001472C1" w:rsidTr="00923CE3">
        <w:tc>
          <w:tcPr>
            <w:cnfStyle w:val="001000000000" w:firstRow="0" w:lastRow="0" w:firstColumn="1" w:lastColumn="0" w:oddVBand="0" w:evenVBand="0" w:oddHBand="0" w:evenHBand="0" w:firstRowFirstColumn="0" w:firstRowLastColumn="0" w:lastRowFirstColumn="0" w:lastRowLastColumn="0"/>
            <w:tcW w:w="2235" w:type="dxa"/>
          </w:tcPr>
          <w:p w:rsidR="001472C1" w:rsidRDefault="001472C1" w:rsidP="001472C1"/>
        </w:tc>
        <w:tc>
          <w:tcPr>
            <w:tcW w:w="6139" w:type="dxa"/>
          </w:tcPr>
          <w:p w:rsidR="001472C1" w:rsidRDefault="001472C1" w:rsidP="001472C1">
            <w:pPr>
              <w:pStyle w:val="Bullet1"/>
              <w:cnfStyle w:val="000000000000" w:firstRow="0" w:lastRow="0" w:firstColumn="0" w:lastColumn="0" w:oddVBand="0" w:evenVBand="0" w:oddHBand="0" w:evenHBand="0" w:firstRowFirstColumn="0" w:firstRowLastColumn="0" w:lastRowFirstColumn="0" w:lastRowLastColumn="0"/>
            </w:pPr>
            <w:r w:rsidRPr="00464CA4">
              <w:rPr>
                <w:i/>
              </w:rPr>
              <w:t>Capital asse</w:t>
            </w:r>
            <w:r>
              <w:rPr>
                <w:i/>
              </w:rPr>
              <w:t>t</w:t>
            </w:r>
            <w:r w:rsidRPr="00464CA4">
              <w:rPr>
                <w:i/>
              </w:rPr>
              <w:t>s charge</w:t>
            </w:r>
            <w:r>
              <w:t xml:space="preserve"> – new note added to advise that Right-of-Use and Service Concession assets are exempt from the Capital assets charge (page 1</w:t>
            </w:r>
            <w:r w:rsidR="002F1BFB">
              <w:t>1</w:t>
            </w:r>
            <w:r w:rsidR="006262BC">
              <w:t>5</w:t>
            </w:r>
            <w:r>
              <w:t>).</w:t>
            </w:r>
          </w:p>
        </w:tc>
        <w:tc>
          <w:tcPr>
            <w:tcW w:w="1009" w:type="dxa"/>
          </w:tcPr>
          <w:p w:rsidR="001472C1" w:rsidRDefault="001472C1" w:rsidP="001E7766">
            <w:pPr>
              <w:jc w:val="center"/>
              <w:cnfStyle w:val="000000000000" w:firstRow="0" w:lastRow="0" w:firstColumn="0" w:lastColumn="0" w:oddVBand="0" w:evenVBand="0" w:oddHBand="0" w:evenHBand="0" w:firstRowFirstColumn="0" w:firstRowLastColumn="0" w:lastRowFirstColumn="0" w:lastRowLastColumn="0"/>
            </w:pPr>
            <w:r>
              <w:t>7.1</w:t>
            </w:r>
          </w:p>
        </w:tc>
      </w:tr>
      <w:tr w:rsidR="001472C1" w:rsidTr="00923CE3">
        <w:tc>
          <w:tcPr>
            <w:cnfStyle w:val="001000000000" w:firstRow="0" w:lastRow="0" w:firstColumn="1" w:lastColumn="0" w:oddVBand="0" w:evenVBand="0" w:oddHBand="0" w:evenHBand="0" w:firstRowFirstColumn="0" w:firstRowLastColumn="0" w:lastRowFirstColumn="0" w:lastRowLastColumn="0"/>
            <w:tcW w:w="2235" w:type="dxa"/>
          </w:tcPr>
          <w:p w:rsidR="001472C1" w:rsidRDefault="001472C1" w:rsidP="001472C1">
            <w:r>
              <w:t>The Central Banking System (CBS)</w:t>
            </w:r>
          </w:p>
        </w:tc>
        <w:tc>
          <w:tcPr>
            <w:tcW w:w="6139" w:type="dxa"/>
          </w:tcPr>
          <w:p w:rsidR="001472C1" w:rsidRDefault="001472C1" w:rsidP="001472C1">
            <w:pPr>
              <w:cnfStyle w:val="000000000000" w:firstRow="0" w:lastRow="0" w:firstColumn="0" w:lastColumn="0" w:oddVBand="0" w:evenVBand="0" w:oddHBand="0" w:evenHBand="0" w:firstRowFirstColumn="0" w:firstRowLastColumn="0" w:lastRowFirstColumn="0" w:lastRowLastColumn="0"/>
            </w:pPr>
            <w:r>
              <w:t>The following sections have been updated for references to the CBS for guidance purposes:</w:t>
            </w:r>
          </w:p>
          <w:p w:rsidR="001472C1" w:rsidRDefault="001472C1" w:rsidP="001472C1">
            <w:pPr>
              <w:pStyle w:val="Bullet1"/>
              <w:cnfStyle w:val="000000000000" w:firstRow="0" w:lastRow="0" w:firstColumn="0" w:lastColumn="0" w:oddVBand="0" w:evenVBand="0" w:oddHBand="0" w:evenHBand="0" w:firstRowFirstColumn="0" w:firstRowLastColumn="0" w:lastRowFirstColumn="0" w:lastRowLastColumn="0"/>
            </w:pPr>
            <w:r>
              <w:t>Legal and policy framework – Victoria’s appropriation framework – the Public Account (page 1</w:t>
            </w:r>
            <w:r w:rsidR="002F1BFB">
              <w:t>7</w:t>
            </w:r>
            <w:r>
              <w:t>)</w:t>
            </w:r>
          </w:p>
          <w:p w:rsidR="001472C1" w:rsidRDefault="001472C1" w:rsidP="001472C1">
            <w:pPr>
              <w:pStyle w:val="Bullet1"/>
              <w:cnfStyle w:val="000000000000" w:firstRow="0" w:lastRow="0" w:firstColumn="0" w:lastColumn="0" w:oddVBand="0" w:evenVBand="0" w:oddHBand="0" w:evenHBand="0" w:firstRowFirstColumn="0" w:firstRowLastColumn="0" w:lastRowFirstColumn="0" w:lastRowLastColumn="0"/>
            </w:pPr>
            <w:r>
              <w:t xml:space="preserve">Section 5: Accountability (page </w:t>
            </w:r>
            <w:r w:rsidR="002F1BFB">
              <w:t>91</w:t>
            </w:r>
            <w:r>
              <w:t>)</w:t>
            </w:r>
          </w:p>
          <w:p w:rsidR="001472C1" w:rsidRPr="001472C1" w:rsidRDefault="001472C1" w:rsidP="001472C1">
            <w:pPr>
              <w:pStyle w:val="Bullet1"/>
              <w:cnfStyle w:val="000000000000" w:firstRow="0" w:lastRow="0" w:firstColumn="0" w:lastColumn="0" w:oddVBand="0" w:evenVBand="0" w:oddHBand="0" w:evenHBand="0" w:firstRowFirstColumn="0" w:firstRowLastColumn="0" w:lastRowFirstColumn="0" w:lastRowLastColumn="0"/>
            </w:pPr>
            <w:r>
              <w:t>Section 5.6 Cash Management and reconciliation (page</w:t>
            </w:r>
            <w:r w:rsidR="003B5F95">
              <w:t>s</w:t>
            </w:r>
            <w:r>
              <w:t xml:space="preserve"> 1</w:t>
            </w:r>
            <w:r w:rsidR="002F1BFB">
              <w:t>0</w:t>
            </w:r>
            <w:r w:rsidR="006262BC">
              <w:t>1</w:t>
            </w:r>
            <w:r w:rsidR="002F1BFB">
              <w:t xml:space="preserve"> - 10</w:t>
            </w:r>
            <w:r w:rsidR="006262BC">
              <w:t>2</w:t>
            </w:r>
            <w:r>
              <w:t>)</w:t>
            </w:r>
          </w:p>
          <w:p w:rsidR="001472C1" w:rsidRDefault="001472C1" w:rsidP="001472C1">
            <w:pPr>
              <w:cnfStyle w:val="000000000000" w:firstRow="0" w:lastRow="0" w:firstColumn="0" w:lastColumn="0" w:oddVBand="0" w:evenVBand="0" w:oddHBand="0" w:evenHBand="0" w:firstRowFirstColumn="0" w:firstRowLastColumn="0" w:lastRowFirstColumn="0" w:lastRowLastColumn="0"/>
            </w:pPr>
            <w:r>
              <w:t>Existing cash flow forecasting requirement (section 5.5.1) clarified to specify that it applies to funds held in the Public Account.</w:t>
            </w:r>
          </w:p>
        </w:tc>
        <w:tc>
          <w:tcPr>
            <w:tcW w:w="1009" w:type="dxa"/>
          </w:tcPr>
          <w:p w:rsidR="001472C1" w:rsidRDefault="001472C1" w:rsidP="001472C1">
            <w:pPr>
              <w:cnfStyle w:val="000000000000" w:firstRow="0" w:lastRow="0" w:firstColumn="0" w:lastColumn="0" w:oddVBand="0" w:evenVBand="0" w:oddHBand="0" w:evenHBand="0" w:firstRowFirstColumn="0" w:firstRowLastColumn="0" w:lastRowFirstColumn="0" w:lastRowLastColumn="0"/>
            </w:pPr>
          </w:p>
        </w:tc>
      </w:tr>
    </w:tbl>
    <w:p w:rsidR="00BD41F4" w:rsidRDefault="00087D99" w:rsidP="001472C1">
      <w:pPr>
        <w:pStyle w:val="Heading3"/>
        <w:spacing w:before="360"/>
      </w:pPr>
      <w:r>
        <w:t>Updates on other</w:t>
      </w:r>
      <w:r w:rsidR="00BD41F4">
        <w:t xml:space="preserve"> </w:t>
      </w:r>
      <w:r w:rsidR="003C7F2C">
        <w:t>policies</w:t>
      </w:r>
    </w:p>
    <w:p w:rsidR="002A2832" w:rsidRDefault="00057B7D" w:rsidP="007B3202">
      <w:r>
        <w:t>The draft RMF that was</w:t>
      </w:r>
      <w:r w:rsidR="0005313F">
        <w:t xml:space="preserve"> previously</w:t>
      </w:r>
      <w:r>
        <w:t xml:space="preserve"> circulated to departments for comment included a reference to </w:t>
      </w:r>
      <w:r w:rsidR="00620597">
        <w:t>departmental</w:t>
      </w:r>
      <w:r>
        <w:t xml:space="preserve"> </w:t>
      </w:r>
      <w:r w:rsidR="00620597">
        <w:t>o</w:t>
      </w:r>
      <w:r>
        <w:t xml:space="preserve">utcomes. </w:t>
      </w:r>
      <w:r w:rsidR="00620597">
        <w:t>As this work is being rescoped,</w:t>
      </w:r>
      <w:r w:rsidR="0005313F">
        <w:t xml:space="preserve"> it has not been included in this edition of the</w:t>
      </w:r>
      <w:r w:rsidR="00620597">
        <w:t xml:space="preserve"> RMF.</w:t>
      </w:r>
    </w:p>
    <w:p w:rsidR="00B84C28" w:rsidRDefault="00B84C28" w:rsidP="00B84C28">
      <w:pPr>
        <w:pStyle w:val="Heading3"/>
      </w:pPr>
      <w:r>
        <w:t>Reissue of the Financial Reporting Operations Framework</w:t>
      </w:r>
    </w:p>
    <w:p w:rsidR="00B84C28" w:rsidRPr="0034196F" w:rsidRDefault="00B84C28" w:rsidP="00B84C28">
      <w:pPr>
        <w:spacing w:before="0" w:after="200"/>
      </w:pPr>
      <w:r>
        <w:t>The FROF has been updated and reissued to reflect the movement of the sections on Monthly Reporting and Cash Management to the RMF. Other policies and guidance contained in the FROF remain unchanged.</w:t>
      </w:r>
      <w:r w:rsidRPr="00C638F5">
        <w:t xml:space="preserve"> </w:t>
      </w:r>
    </w:p>
    <w:p w:rsidR="00BB2CC7" w:rsidRDefault="00624AC6" w:rsidP="00BB2CC7">
      <w:pPr>
        <w:pStyle w:val="Heading3"/>
      </w:pPr>
      <w:r>
        <w:t>Other</w:t>
      </w:r>
      <w:r w:rsidR="00BB2CC7">
        <w:t xml:space="preserve"> changes and enhancements</w:t>
      </w:r>
    </w:p>
    <w:p w:rsidR="00BB2CC7" w:rsidRDefault="00BB2CC7" w:rsidP="00BB2CC7">
      <w:r>
        <w:t xml:space="preserve">The RMF introduces the </w:t>
      </w:r>
      <w:r w:rsidR="00215B74" w:rsidRPr="004C0EFB">
        <w:t>Integrated Management Cycle</w:t>
      </w:r>
      <w:r>
        <w:t xml:space="preserve"> (</w:t>
      </w:r>
      <w:r w:rsidR="00215B74">
        <w:t>IMC</w:t>
      </w:r>
      <w:r>
        <w:t>)</w:t>
      </w:r>
      <w:r w:rsidR="004C0EFB">
        <w:t>,</w:t>
      </w:r>
      <w:r>
        <w:t xml:space="preserve"> which captures the goal-setting, planning, resource allocation and accountability aspects of the funding framework.</w:t>
      </w:r>
    </w:p>
    <w:p w:rsidR="00BB2CC7" w:rsidRDefault="00BB2CC7" w:rsidP="00BB2CC7">
      <w:r>
        <w:t>The following enhancements have also been made:</w:t>
      </w:r>
    </w:p>
    <w:p w:rsidR="00BB2CC7" w:rsidRDefault="00BB2CC7" w:rsidP="001472C1">
      <w:pPr>
        <w:pStyle w:val="Bullet1"/>
      </w:pPr>
      <w:r>
        <w:t>revisions to some of the mandatory requirements, including the replacement of</w:t>
      </w:r>
      <w:r w:rsidRPr="00C325FF">
        <w:t xml:space="preserve"> </w:t>
      </w:r>
      <w:r w:rsidR="004C0EFB">
        <w:t>‘</w:t>
      </w:r>
      <w:r>
        <w:t>instructions to departments</w:t>
      </w:r>
      <w:r w:rsidR="004C0EFB">
        <w:t>’</w:t>
      </w:r>
      <w:r>
        <w:t xml:space="preserve"> with </w:t>
      </w:r>
      <w:r w:rsidR="004C0EFB">
        <w:t>‘</w:t>
      </w:r>
      <w:r>
        <w:t>instructions to the Accountable Officer</w:t>
      </w:r>
      <w:r w:rsidR="004C0EFB">
        <w:t>’</w:t>
      </w:r>
      <w:r>
        <w:t xml:space="preserve"> (i.e. the </w:t>
      </w:r>
      <w:r w:rsidR="00991D06">
        <w:t>S</w:t>
      </w:r>
      <w:r>
        <w:t>ecretary of</w:t>
      </w:r>
      <w:r w:rsidR="0068014F">
        <w:t xml:space="preserve"> the department);</w:t>
      </w:r>
    </w:p>
    <w:p w:rsidR="00F70D23" w:rsidRDefault="00F70D23" w:rsidP="001472C1">
      <w:pPr>
        <w:pStyle w:val="Bullet1"/>
      </w:pPr>
      <w:r>
        <w:t>replacing references to the Minister</w:t>
      </w:r>
      <w:r w:rsidR="00E419C0">
        <w:t xml:space="preserve"> for Finance with the Assistant</w:t>
      </w:r>
      <w:r>
        <w:t xml:space="preserve"> Treasurer;</w:t>
      </w:r>
    </w:p>
    <w:p w:rsidR="0098488A" w:rsidRDefault="0098488A" w:rsidP="001472C1">
      <w:pPr>
        <w:pStyle w:val="Bullet1"/>
      </w:pPr>
      <w:r>
        <w:t xml:space="preserve">the DTF Guide to Evaluation’s </w:t>
      </w:r>
      <w:r w:rsidR="001E7766">
        <w:t>has</w:t>
      </w:r>
      <w:r>
        <w:t xml:space="preserve"> now been incorporated into the Evaluation section with a new attachment created;</w:t>
      </w:r>
    </w:p>
    <w:p w:rsidR="00F42542" w:rsidRDefault="00F42542" w:rsidP="001472C1">
      <w:pPr>
        <w:pStyle w:val="Bullet1"/>
      </w:pPr>
      <w:r>
        <w:lastRenderedPageBreak/>
        <w:t>graphics to highlight where the reader can find additional information;</w:t>
      </w:r>
      <w:r w:rsidR="003C7F2C">
        <w:t xml:space="preserve"> and</w:t>
      </w:r>
    </w:p>
    <w:p w:rsidR="00BB2CC7" w:rsidRDefault="00BB2CC7" w:rsidP="001472C1">
      <w:pPr>
        <w:pStyle w:val="Bullet1"/>
      </w:pPr>
      <w:r w:rsidRPr="00BB2CC7">
        <w:t>re-writ</w:t>
      </w:r>
      <w:r w:rsidR="0068014F">
        <w:t>ing</w:t>
      </w:r>
      <w:r w:rsidRPr="00BB2CC7">
        <w:t xml:space="preserve"> and edit</w:t>
      </w:r>
      <w:r w:rsidR="0068014F">
        <w:t>ing</w:t>
      </w:r>
      <w:r w:rsidRPr="00BB2CC7">
        <w:t xml:space="preserve"> of existing guidance (primarily relating to the performance management topics) to improve clarity and readability, and the</w:t>
      </w:r>
      <w:r w:rsidR="0098488A">
        <w:t xml:space="preserve"> removal of redundant material.</w:t>
      </w:r>
    </w:p>
    <w:p w:rsidR="0098488A" w:rsidRDefault="0098488A" w:rsidP="000B24F6">
      <w:pPr>
        <w:pStyle w:val="Bulletindent"/>
        <w:numPr>
          <w:ilvl w:val="0"/>
          <w:numId w:val="0"/>
        </w:numPr>
        <w:spacing w:after="0"/>
      </w:pPr>
    </w:p>
    <w:p w:rsidR="00624AC6" w:rsidRDefault="00624AC6" w:rsidP="00087D99">
      <w:r>
        <w:t>The content largely reflects existing practices and policies</w:t>
      </w:r>
      <w:r w:rsidR="00161DAB">
        <w:t xml:space="preserve"> that were contained in the BOF, PMF and FROF</w:t>
      </w:r>
      <w:r w:rsidR="003C7F2C">
        <w:t>,</w:t>
      </w:r>
      <w:r>
        <w:t xml:space="preserve"> except for </w:t>
      </w:r>
      <w:r w:rsidR="006815C7">
        <w:t>the</w:t>
      </w:r>
      <w:r>
        <w:t xml:space="preserve"> policy changes </w:t>
      </w:r>
      <w:r w:rsidR="006815C7">
        <w:t xml:space="preserve">outlined </w:t>
      </w:r>
      <w:r w:rsidR="00072C43">
        <w:t>in Table 1</w:t>
      </w:r>
      <w:r>
        <w:t>.</w:t>
      </w:r>
    </w:p>
    <w:bookmarkEnd w:id="0"/>
    <w:p w:rsidR="00FA2C35" w:rsidRDefault="00161DAB" w:rsidP="00087D99">
      <w:r>
        <w:t>A detailed table mapping the</w:t>
      </w:r>
      <w:r w:rsidR="00FA2C35">
        <w:t xml:space="preserve"> changes from the BOF/PMF</w:t>
      </w:r>
      <w:r w:rsidR="0098488A">
        <w:t xml:space="preserve"> and other documents</w:t>
      </w:r>
      <w:r w:rsidR="00FA2C35">
        <w:t xml:space="preserve"> to the RMF by section and chapter is set out </w:t>
      </w:r>
      <w:r>
        <w:t>in Table 2</w:t>
      </w:r>
      <w:r w:rsidR="00FA2C35">
        <w:t>.</w:t>
      </w:r>
    </w:p>
    <w:p w:rsidR="001472C1" w:rsidRDefault="001472C1" w:rsidP="00087D99"/>
    <w:p w:rsidR="00854A48" w:rsidRDefault="00854A48" w:rsidP="005C33F8">
      <w:pPr>
        <w:sectPr w:rsidR="00854A48" w:rsidSect="002B53F3">
          <w:headerReference w:type="default" r:id="rId12"/>
          <w:footerReference w:type="even" r:id="rId13"/>
          <w:footerReference w:type="default" r:id="rId14"/>
          <w:pgSz w:w="11906" w:h="16838" w:code="9"/>
          <w:pgMar w:top="2160" w:right="1440" w:bottom="1560" w:left="1440" w:header="706" w:footer="461" w:gutter="0"/>
          <w:cols w:space="708"/>
          <w:docGrid w:linePitch="360"/>
        </w:sectPr>
      </w:pPr>
    </w:p>
    <w:p w:rsidR="00161DAB" w:rsidRPr="00161DAB" w:rsidRDefault="00161DAB" w:rsidP="00161DAB">
      <w:pPr>
        <w:pStyle w:val="Heading2"/>
      </w:pPr>
      <w:r>
        <w:t xml:space="preserve">Table 2: </w:t>
      </w:r>
      <w:r w:rsidR="00854A48">
        <w:t xml:space="preserve">Summary of the major changes in the </w:t>
      </w:r>
      <w:r w:rsidR="00B23F6E">
        <w:t>new RMF</w:t>
      </w:r>
      <w:r w:rsidR="008E73A6">
        <w:t xml:space="preserve">, effective </w:t>
      </w:r>
      <w:r w:rsidR="00727D05">
        <w:t>from 1 July 2019</w:t>
      </w:r>
    </w:p>
    <w:tbl>
      <w:tblPr>
        <w:tblStyle w:val="DTFtexttable"/>
        <w:tblW w:w="4993" w:type="pct"/>
        <w:tblLook w:val="06A0" w:firstRow="1" w:lastRow="0" w:firstColumn="1" w:lastColumn="0" w:noHBand="1" w:noVBand="1"/>
      </w:tblPr>
      <w:tblGrid>
        <w:gridCol w:w="2043"/>
        <w:gridCol w:w="3325"/>
        <w:gridCol w:w="1776"/>
        <w:gridCol w:w="1681"/>
        <w:gridCol w:w="5227"/>
      </w:tblGrid>
      <w:tr w:rsidR="00C40F75" w:rsidTr="001472C1">
        <w:trPr>
          <w:cnfStyle w:val="100000000000" w:firstRow="1" w:lastRow="0" w:firstColumn="0" w:lastColumn="0" w:oddVBand="0" w:evenVBand="0" w:oddHBand="0" w:evenHBand="0" w:firstRowFirstColumn="0" w:firstRowLastColumn="0" w:lastRowFirstColumn="0" w:lastRowLastColumn="0"/>
          <w:trHeight w:val="341"/>
          <w:tblHeader/>
        </w:trPr>
        <w:tc>
          <w:tcPr>
            <w:cnfStyle w:val="001000000100" w:firstRow="0" w:lastRow="0" w:firstColumn="1" w:lastColumn="0" w:oddVBand="0" w:evenVBand="0" w:oddHBand="0" w:evenHBand="0" w:firstRowFirstColumn="1" w:firstRowLastColumn="0" w:lastRowFirstColumn="0" w:lastRowLastColumn="0"/>
            <w:tcW w:w="727" w:type="pct"/>
            <w:tcBorders>
              <w:bottom w:val="single" w:sz="6" w:space="0" w:color="0063A6" w:themeColor="accent1"/>
            </w:tcBorders>
          </w:tcPr>
          <w:p w:rsidR="00C40F75" w:rsidRPr="0066370B" w:rsidRDefault="004207D1" w:rsidP="004207D1">
            <w:pPr>
              <w:pStyle w:val="Tableheader"/>
            </w:pPr>
            <w:r>
              <w:t>New c</w:t>
            </w:r>
            <w:r w:rsidR="00C40F75">
              <w:t>hapter</w:t>
            </w:r>
            <w:r>
              <w:t xml:space="preserve"> title</w:t>
            </w:r>
          </w:p>
        </w:tc>
        <w:tc>
          <w:tcPr>
            <w:tcW w:w="1183" w:type="pct"/>
            <w:tcBorders>
              <w:bottom w:val="single" w:sz="6" w:space="0" w:color="0063A6" w:themeColor="accent1"/>
            </w:tcBorders>
          </w:tcPr>
          <w:p w:rsidR="00C40F75" w:rsidRPr="0066370B" w:rsidRDefault="00C40F75" w:rsidP="00215CEE">
            <w:pPr>
              <w:pStyle w:val="Tableheader"/>
              <w:cnfStyle w:val="100000000000" w:firstRow="1" w:lastRow="0" w:firstColumn="0" w:lastColumn="0" w:oddVBand="0" w:evenVBand="0" w:oddHBand="0" w:evenHBand="0" w:firstRowFirstColumn="0" w:firstRowLastColumn="0" w:lastRowFirstColumn="0" w:lastRowLastColumn="0"/>
              <w:rPr>
                <w:b w:val="0"/>
              </w:rPr>
            </w:pPr>
            <w:r w:rsidRPr="0066370B">
              <w:t>Topic</w:t>
            </w:r>
          </w:p>
        </w:tc>
        <w:tc>
          <w:tcPr>
            <w:tcW w:w="632" w:type="pct"/>
            <w:tcBorders>
              <w:bottom w:val="single" w:sz="6" w:space="0" w:color="0063A6" w:themeColor="accent1"/>
            </w:tcBorders>
          </w:tcPr>
          <w:p w:rsidR="00C40F75" w:rsidRPr="0066370B" w:rsidRDefault="004C0EFB" w:rsidP="00F93531">
            <w:pPr>
              <w:pStyle w:val="Tableheader"/>
              <w:jc w:val="center"/>
              <w:cnfStyle w:val="100000000000" w:firstRow="1" w:lastRow="0" w:firstColumn="0" w:lastColumn="0" w:oddVBand="0" w:evenVBand="0" w:oddHBand="0" w:evenHBand="0" w:firstRowFirstColumn="0" w:firstRowLastColumn="0" w:lastRowFirstColumn="0" w:lastRowLastColumn="0"/>
              <w:rPr>
                <w:b w:val="0"/>
              </w:rPr>
            </w:pPr>
            <w:r>
              <w:t>Old document and</w:t>
            </w:r>
            <w:r w:rsidR="00680341">
              <w:t xml:space="preserve"> s</w:t>
            </w:r>
            <w:r w:rsidR="00C40F75">
              <w:t xml:space="preserve">ection </w:t>
            </w:r>
            <w:r w:rsidR="001472C1">
              <w:t>No</w:t>
            </w:r>
            <w:r w:rsidR="00C40F75">
              <w:t>.</w:t>
            </w:r>
          </w:p>
        </w:tc>
        <w:tc>
          <w:tcPr>
            <w:tcW w:w="598" w:type="pct"/>
            <w:tcBorders>
              <w:bottom w:val="single" w:sz="6" w:space="0" w:color="0063A6" w:themeColor="accent1"/>
            </w:tcBorders>
          </w:tcPr>
          <w:p w:rsidR="00C40F75" w:rsidRPr="0066370B" w:rsidRDefault="00C40F75" w:rsidP="00680341">
            <w:pPr>
              <w:pStyle w:val="Tableheader"/>
              <w:jc w:val="center"/>
              <w:cnfStyle w:val="100000000000" w:firstRow="1" w:lastRow="0" w:firstColumn="0" w:lastColumn="0" w:oddVBand="0" w:evenVBand="0" w:oddHBand="0" w:evenHBand="0" w:firstRowFirstColumn="0" w:firstRowLastColumn="0" w:lastRowFirstColumn="0" w:lastRowLastColumn="0"/>
              <w:rPr>
                <w:b w:val="0"/>
              </w:rPr>
            </w:pPr>
            <w:r>
              <w:t xml:space="preserve">Updated RMF </w:t>
            </w:r>
            <w:r w:rsidR="00680341">
              <w:t>s</w:t>
            </w:r>
            <w:r>
              <w:t xml:space="preserve">ection </w:t>
            </w:r>
            <w:r w:rsidR="001472C1">
              <w:t>No</w:t>
            </w:r>
            <w:r>
              <w:t>.</w:t>
            </w:r>
          </w:p>
        </w:tc>
        <w:tc>
          <w:tcPr>
            <w:tcW w:w="1860" w:type="pct"/>
            <w:tcBorders>
              <w:bottom w:val="single" w:sz="6" w:space="0" w:color="0063A6" w:themeColor="accent1"/>
            </w:tcBorders>
          </w:tcPr>
          <w:p w:rsidR="00C40F75" w:rsidRDefault="00C40F75" w:rsidP="00215CEE">
            <w:pPr>
              <w:pStyle w:val="Tableheader"/>
              <w:cnfStyle w:val="100000000000" w:firstRow="1" w:lastRow="0" w:firstColumn="0" w:lastColumn="0" w:oddVBand="0" w:evenVBand="0" w:oddHBand="0" w:evenHBand="0" w:firstRowFirstColumn="0" w:firstRowLastColumn="0" w:lastRowFirstColumn="0" w:lastRowLastColumn="0"/>
              <w:rPr>
                <w:b w:val="0"/>
              </w:rPr>
            </w:pPr>
            <w:r>
              <w:t>Comments</w:t>
            </w:r>
          </w:p>
        </w:tc>
      </w:tr>
      <w:tr w:rsidR="00A65E44" w:rsidTr="001472C1">
        <w:tblPrEx>
          <w:tblLook w:val="04A0" w:firstRow="1" w:lastRow="0" w:firstColumn="1" w:lastColumn="0" w:noHBand="0" w:noVBand="1"/>
        </w:tblPrEx>
        <w:trPr>
          <w:trHeight w:val="261"/>
        </w:trPr>
        <w:tc>
          <w:tcPr>
            <w:cnfStyle w:val="001000000000" w:firstRow="0" w:lastRow="0" w:firstColumn="1" w:lastColumn="0" w:oddVBand="0" w:evenVBand="0" w:oddHBand="0" w:evenHBand="0" w:firstRowFirstColumn="0" w:firstRowLastColumn="0" w:lastRowFirstColumn="0" w:lastRowLastColumn="0"/>
            <w:tcW w:w="727" w:type="pct"/>
            <w:tcBorders>
              <w:top w:val="single" w:sz="6" w:space="0" w:color="0063A6" w:themeColor="accent1"/>
              <w:bottom w:val="single" w:sz="6" w:space="0" w:color="0063A6" w:themeColor="accent1"/>
            </w:tcBorders>
          </w:tcPr>
          <w:p w:rsidR="00A65E44" w:rsidRDefault="00A65E44" w:rsidP="005C33F8">
            <w:pPr>
              <w:pStyle w:val="Tabletextbold"/>
              <w:spacing w:before="60" w:after="60"/>
            </w:pPr>
            <w:r>
              <w:t>Definitions</w:t>
            </w:r>
          </w:p>
        </w:tc>
        <w:tc>
          <w:tcPr>
            <w:tcW w:w="1183" w:type="pct"/>
            <w:tcBorders>
              <w:top w:val="single" w:sz="6" w:space="0" w:color="0063A6" w:themeColor="accent1"/>
              <w:bottom w:val="single" w:sz="6" w:space="0" w:color="0063A6" w:themeColor="accent1"/>
            </w:tcBorders>
          </w:tcPr>
          <w:p w:rsidR="00A65E44" w:rsidRDefault="00A65E44" w:rsidP="005C33F8">
            <w:pPr>
              <w:pStyle w:val="Tabletextbold"/>
              <w:spacing w:before="60" w:after="60"/>
              <w:cnfStyle w:val="000000000000" w:firstRow="0" w:lastRow="0" w:firstColumn="0" w:lastColumn="0" w:oddVBand="0" w:evenVBand="0" w:oddHBand="0" w:evenHBand="0" w:firstRowFirstColumn="0" w:firstRowLastColumn="0" w:lastRowFirstColumn="0" w:lastRowLastColumn="0"/>
            </w:pPr>
          </w:p>
        </w:tc>
        <w:tc>
          <w:tcPr>
            <w:tcW w:w="632" w:type="pct"/>
            <w:tcBorders>
              <w:top w:val="single" w:sz="6" w:space="0" w:color="0063A6" w:themeColor="accent1"/>
              <w:bottom w:val="single" w:sz="6" w:space="0" w:color="0063A6" w:themeColor="accent1"/>
            </w:tcBorders>
          </w:tcPr>
          <w:p w:rsidR="00A65E44" w:rsidRDefault="00A65E44" w:rsidP="001472C1">
            <w:pPr>
              <w:spacing w:before="60" w:after="60"/>
              <w:jc w:val="center"/>
              <w:cnfStyle w:val="000000000000" w:firstRow="0" w:lastRow="0" w:firstColumn="0" w:lastColumn="0" w:oddVBand="0" w:evenVBand="0" w:oddHBand="0" w:evenHBand="0" w:firstRowFirstColumn="0" w:firstRowLastColumn="0" w:lastRowFirstColumn="0" w:lastRowLastColumn="0"/>
            </w:pPr>
            <w:r>
              <w:t>PMF Attachment 1</w:t>
            </w:r>
            <w:r w:rsidR="001472C1">
              <w:br/>
            </w:r>
            <w:r>
              <w:t>BOF p. 4-6</w:t>
            </w:r>
          </w:p>
        </w:tc>
        <w:tc>
          <w:tcPr>
            <w:tcW w:w="598" w:type="pct"/>
            <w:tcBorders>
              <w:top w:val="single" w:sz="6" w:space="0" w:color="0063A6" w:themeColor="accent1"/>
              <w:bottom w:val="single" w:sz="6" w:space="0" w:color="0063A6" w:themeColor="accent1"/>
            </w:tcBorders>
          </w:tcPr>
          <w:p w:rsidR="00A65E44" w:rsidRPr="00653F72" w:rsidRDefault="00A65E44" w:rsidP="007E084E">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Pages</w:t>
            </w:r>
            <w:r w:rsidR="000D6913" w:rsidRPr="00653F72">
              <w:rPr>
                <w:color w:val="D50032"/>
              </w:rPr>
              <w:t xml:space="preserve"> </w:t>
            </w:r>
            <w:r w:rsidR="00BB00E8" w:rsidRPr="00653F72">
              <w:rPr>
                <w:color w:val="D50032"/>
              </w:rPr>
              <w:t>5</w:t>
            </w:r>
            <w:r w:rsidR="00E419C0" w:rsidRPr="00653F72">
              <w:rPr>
                <w:color w:val="D50032"/>
              </w:rPr>
              <w:t>-8</w:t>
            </w:r>
          </w:p>
        </w:tc>
        <w:tc>
          <w:tcPr>
            <w:tcW w:w="1860" w:type="pct"/>
            <w:tcBorders>
              <w:top w:val="single" w:sz="6" w:space="0" w:color="0063A6" w:themeColor="accent1"/>
              <w:bottom w:val="single" w:sz="6" w:space="0" w:color="0063A6" w:themeColor="accent1"/>
            </w:tcBorders>
          </w:tcPr>
          <w:p w:rsidR="00A65E44" w:rsidRPr="001472C1" w:rsidRDefault="00A65E44" w:rsidP="005C33F8">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Consolidated and </w:t>
            </w:r>
            <w:r w:rsidR="002E4127" w:rsidRPr="001472C1">
              <w:rPr>
                <w:color w:val="0063A6" w:themeColor="accent1"/>
              </w:rPr>
              <w:t>expanded to include additional terms</w:t>
            </w:r>
            <w:r w:rsidR="00072C43" w:rsidRPr="001472C1">
              <w:rPr>
                <w:color w:val="0063A6" w:themeColor="accent1"/>
              </w:rPr>
              <w:t>.</w:t>
            </w:r>
          </w:p>
        </w:tc>
      </w:tr>
      <w:tr w:rsidR="00C40F75" w:rsidTr="001472C1">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27" w:type="pct"/>
            <w:tcBorders>
              <w:top w:val="single" w:sz="6" w:space="0" w:color="0063A6" w:themeColor="accent1"/>
              <w:bottom w:val="single" w:sz="6" w:space="0" w:color="0063A6" w:themeColor="accent1"/>
            </w:tcBorders>
          </w:tcPr>
          <w:p w:rsidR="00C40F75" w:rsidRDefault="004207D1" w:rsidP="005C33F8">
            <w:pPr>
              <w:pStyle w:val="Tabletextbold"/>
              <w:spacing w:before="60" w:after="60"/>
            </w:pPr>
            <w:r>
              <w:t xml:space="preserve">Part A: The </w:t>
            </w:r>
            <w:r w:rsidR="00215B74">
              <w:t>Integrated Management Cycle</w:t>
            </w:r>
            <w:r>
              <w:t xml:space="preserve"> </w:t>
            </w:r>
          </w:p>
        </w:tc>
        <w:tc>
          <w:tcPr>
            <w:tcW w:w="1183" w:type="pct"/>
            <w:tcBorders>
              <w:top w:val="single" w:sz="6" w:space="0" w:color="0063A6" w:themeColor="accent1"/>
              <w:bottom w:val="single" w:sz="6" w:space="0" w:color="0063A6" w:themeColor="accent1"/>
            </w:tcBorders>
          </w:tcPr>
          <w:p w:rsidR="00C40F75" w:rsidRPr="002F1BFB" w:rsidRDefault="00C40F75" w:rsidP="005C33F8">
            <w:pPr>
              <w:pStyle w:val="Tabletextbold"/>
              <w:spacing w:before="60" w:after="60"/>
              <w:cnfStyle w:val="000000010000" w:firstRow="0" w:lastRow="0" w:firstColumn="0" w:lastColumn="0" w:oddVBand="0" w:evenVBand="0" w:oddHBand="0" w:evenHBand="1" w:firstRowFirstColumn="0" w:firstRowLastColumn="0" w:lastRowFirstColumn="0" w:lastRowLastColumn="0"/>
              <w:rPr>
                <w:b w:val="0"/>
              </w:rPr>
            </w:pPr>
            <w:r w:rsidRPr="002F1BFB">
              <w:rPr>
                <w:b w:val="0"/>
              </w:rPr>
              <w:t>Roles and responsibilities</w:t>
            </w:r>
          </w:p>
        </w:tc>
        <w:tc>
          <w:tcPr>
            <w:tcW w:w="632" w:type="pct"/>
            <w:tcBorders>
              <w:top w:val="single" w:sz="6" w:space="0" w:color="0063A6" w:themeColor="accent1"/>
              <w:bottom w:val="single" w:sz="6" w:space="0" w:color="0063A6" w:themeColor="accent1"/>
            </w:tcBorders>
          </w:tcPr>
          <w:p w:rsidR="00C40F75" w:rsidRDefault="00861BB5" w:rsidP="005C33F8">
            <w:pPr>
              <w:spacing w:before="60" w:after="60"/>
              <w:jc w:val="center"/>
              <w:cnfStyle w:val="000000010000" w:firstRow="0" w:lastRow="0" w:firstColumn="0" w:lastColumn="0" w:oddVBand="0" w:evenVBand="0" w:oddHBand="0" w:evenHBand="1" w:firstRowFirstColumn="0" w:firstRowLastColumn="0" w:lastRowFirstColumn="0" w:lastRowLastColumn="0"/>
            </w:pPr>
            <w:r>
              <w:t>PMF p.</w:t>
            </w:r>
            <w:r w:rsidR="00C40F75">
              <w:t xml:space="preserve"> 4-5</w:t>
            </w:r>
          </w:p>
        </w:tc>
        <w:tc>
          <w:tcPr>
            <w:tcW w:w="598" w:type="pct"/>
            <w:tcBorders>
              <w:top w:val="single" w:sz="6" w:space="0" w:color="0063A6" w:themeColor="accent1"/>
              <w:bottom w:val="single" w:sz="6" w:space="0" w:color="0063A6" w:themeColor="accent1"/>
            </w:tcBorders>
          </w:tcPr>
          <w:p w:rsidR="00C40F75" w:rsidRPr="00653F72" w:rsidRDefault="00C40F75" w:rsidP="007E084E">
            <w:pPr>
              <w:spacing w:before="60" w:after="60"/>
              <w:jc w:val="center"/>
              <w:cnfStyle w:val="000000010000" w:firstRow="0" w:lastRow="0" w:firstColumn="0" w:lastColumn="0" w:oddVBand="0" w:evenVBand="0" w:oddHBand="0" w:evenHBand="1" w:firstRowFirstColumn="0" w:firstRowLastColumn="0" w:lastRowFirstColumn="0" w:lastRowLastColumn="0"/>
              <w:rPr>
                <w:color w:val="D50032"/>
                <w:highlight w:val="yellow"/>
              </w:rPr>
            </w:pPr>
            <w:r w:rsidRPr="00653F72">
              <w:rPr>
                <w:color w:val="D50032"/>
              </w:rPr>
              <w:t>Page</w:t>
            </w:r>
            <w:r w:rsidR="00A65E44" w:rsidRPr="00653F72">
              <w:rPr>
                <w:color w:val="D50032"/>
              </w:rPr>
              <w:t>s</w:t>
            </w:r>
            <w:r w:rsidRPr="00653F72">
              <w:rPr>
                <w:color w:val="D50032"/>
              </w:rPr>
              <w:t xml:space="preserve"> </w:t>
            </w:r>
            <w:r w:rsidR="00BB00E8" w:rsidRPr="00653F72">
              <w:rPr>
                <w:color w:val="D50032"/>
              </w:rPr>
              <w:t>9</w:t>
            </w:r>
            <w:r w:rsidR="0089634A" w:rsidRPr="00653F72">
              <w:rPr>
                <w:color w:val="D50032"/>
              </w:rPr>
              <w:t>-</w:t>
            </w:r>
            <w:r w:rsidR="00E419C0" w:rsidRPr="00653F72">
              <w:rPr>
                <w:color w:val="D50032"/>
              </w:rPr>
              <w:t>11</w:t>
            </w:r>
          </w:p>
        </w:tc>
        <w:tc>
          <w:tcPr>
            <w:tcW w:w="1860" w:type="pct"/>
            <w:tcBorders>
              <w:top w:val="single" w:sz="6" w:space="0" w:color="0063A6" w:themeColor="accent1"/>
              <w:bottom w:val="single" w:sz="6" w:space="0" w:color="0063A6" w:themeColor="accent1"/>
            </w:tcBorders>
          </w:tcPr>
          <w:p w:rsidR="00C40F75" w:rsidRPr="001472C1" w:rsidRDefault="004207D1" w:rsidP="005C33F8">
            <w:pPr>
              <w:spacing w:before="60" w:after="60"/>
              <w:cnfStyle w:val="000000010000" w:firstRow="0" w:lastRow="0" w:firstColumn="0" w:lastColumn="0" w:oddVBand="0" w:evenVBand="0" w:oddHBand="0" w:evenHBand="1" w:firstRowFirstColumn="0" w:firstRowLastColumn="0" w:lastRowFirstColumn="0" w:lastRowLastColumn="0"/>
              <w:rPr>
                <w:color w:val="0063A6" w:themeColor="accent1"/>
              </w:rPr>
            </w:pPr>
            <w:r w:rsidRPr="001472C1">
              <w:rPr>
                <w:color w:val="0063A6" w:themeColor="accent1"/>
              </w:rPr>
              <w:t xml:space="preserve">New cycle </w:t>
            </w:r>
            <w:r w:rsidR="00F70D23" w:rsidRPr="001472C1">
              <w:rPr>
                <w:color w:val="0063A6" w:themeColor="accent1"/>
              </w:rPr>
              <w:t xml:space="preserve">(Integrated Management Cycle) </w:t>
            </w:r>
            <w:r w:rsidRPr="001472C1">
              <w:rPr>
                <w:color w:val="0063A6" w:themeColor="accent1"/>
              </w:rPr>
              <w:t>introduced</w:t>
            </w:r>
            <w:r w:rsidR="00072C43" w:rsidRPr="001472C1">
              <w:rPr>
                <w:color w:val="0063A6" w:themeColor="accent1"/>
              </w:rPr>
              <w:t>.</w:t>
            </w:r>
          </w:p>
        </w:tc>
      </w:tr>
      <w:tr w:rsidR="001472C1" w:rsidTr="001472C1">
        <w:tc>
          <w:tcPr>
            <w:cnfStyle w:val="001000000000" w:firstRow="0" w:lastRow="0" w:firstColumn="1" w:lastColumn="0" w:oddVBand="0" w:evenVBand="0" w:oddHBand="0" w:evenHBand="0" w:firstRowFirstColumn="0" w:firstRowLastColumn="0" w:lastRowFirstColumn="0" w:lastRowLastColumn="0"/>
            <w:tcW w:w="727" w:type="pct"/>
            <w:vMerge w:val="restart"/>
            <w:tcBorders>
              <w:top w:val="single" w:sz="6" w:space="0" w:color="0063A6" w:themeColor="accent1"/>
              <w:bottom w:val="single" w:sz="6" w:space="0" w:color="0063A6" w:themeColor="accent1"/>
            </w:tcBorders>
          </w:tcPr>
          <w:p w:rsidR="001472C1" w:rsidRPr="008E73A6" w:rsidRDefault="001472C1" w:rsidP="00215CEE">
            <w:pPr>
              <w:pStyle w:val="Tabletextbold"/>
              <w:spacing w:before="60" w:after="60"/>
            </w:pPr>
            <w:r>
              <w:t>The legal and policy framework</w:t>
            </w:r>
          </w:p>
        </w:tc>
        <w:tc>
          <w:tcPr>
            <w:tcW w:w="1183" w:type="pct"/>
            <w:tcBorders>
              <w:top w:val="single" w:sz="6" w:space="0" w:color="0063A6" w:themeColor="accent1"/>
              <w:bottom w:val="single" w:sz="6" w:space="0" w:color="0063A6" w:themeColor="accent1"/>
            </w:tcBorders>
          </w:tcPr>
          <w:p w:rsidR="001472C1" w:rsidRPr="001472C1" w:rsidRDefault="001472C1" w:rsidP="00215CEE">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Legal context for the collection and appropriation of public moneys</w:t>
            </w:r>
          </w:p>
        </w:tc>
        <w:tc>
          <w:tcPr>
            <w:tcW w:w="632" w:type="pct"/>
            <w:tcBorders>
              <w:top w:val="single" w:sz="6" w:space="0" w:color="0063A6" w:themeColor="accent1"/>
              <w:bottom w:val="single" w:sz="6" w:space="0" w:color="0063A6" w:themeColor="accent1"/>
            </w:tcBorders>
          </w:tcPr>
          <w:p w:rsidR="001472C1" w:rsidRPr="00B105F5" w:rsidRDefault="001472C1" w:rsidP="00EC01E8">
            <w:pPr>
              <w:spacing w:before="60" w:after="60"/>
              <w:jc w:val="center"/>
              <w:cnfStyle w:val="000000000000" w:firstRow="0" w:lastRow="0" w:firstColumn="0" w:lastColumn="0" w:oddVBand="0" w:evenVBand="0" w:oddHBand="0" w:evenHBand="0" w:firstRowFirstColumn="0" w:firstRowLastColumn="0" w:lastRowFirstColumn="0" w:lastRowLastColumn="0"/>
            </w:pPr>
            <w:r>
              <w:t>BOF p.7</w:t>
            </w:r>
          </w:p>
        </w:tc>
        <w:tc>
          <w:tcPr>
            <w:tcW w:w="598" w:type="pct"/>
            <w:tcBorders>
              <w:top w:val="single" w:sz="6" w:space="0" w:color="0063A6" w:themeColor="accent1"/>
              <w:bottom w:val="single" w:sz="6" w:space="0" w:color="0063A6" w:themeColor="accent1"/>
            </w:tcBorders>
          </w:tcPr>
          <w:p w:rsidR="001472C1" w:rsidRPr="00653F72" w:rsidRDefault="001472C1" w:rsidP="00215CEE">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Pages 1</w:t>
            </w:r>
            <w:r w:rsidR="002F1BFB">
              <w:rPr>
                <w:color w:val="D50032"/>
              </w:rPr>
              <w:t>2</w:t>
            </w:r>
            <w:r w:rsidRPr="00653F72">
              <w:rPr>
                <w:color w:val="D50032"/>
              </w:rPr>
              <w:t>-1</w:t>
            </w:r>
            <w:r w:rsidR="002F1BFB">
              <w:rPr>
                <w:color w:val="D50032"/>
              </w:rPr>
              <w:t>3</w:t>
            </w:r>
            <w:r w:rsidRPr="00653F72">
              <w:rPr>
                <w:color w:val="D50032"/>
              </w:rPr>
              <w:t xml:space="preserve"> </w:t>
            </w:r>
          </w:p>
        </w:tc>
        <w:tc>
          <w:tcPr>
            <w:tcW w:w="1860" w:type="pct"/>
            <w:tcBorders>
              <w:top w:val="single" w:sz="6" w:space="0" w:color="0063A6" w:themeColor="accent1"/>
              <w:bottom w:val="single" w:sz="6" w:space="0" w:color="0063A6" w:themeColor="accent1"/>
            </w:tcBorders>
          </w:tcPr>
          <w:p w:rsidR="001472C1" w:rsidRPr="001472C1" w:rsidRDefault="001472C1" w:rsidP="003A1138">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No significant content changes.</w:t>
            </w:r>
          </w:p>
        </w:tc>
      </w:tr>
      <w:tr w:rsidR="001472C1" w:rsidTr="001472C1">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1472C1" w:rsidRDefault="001472C1" w:rsidP="00215CEE">
            <w:pPr>
              <w:pStyle w:val="Tabletextbold"/>
              <w:spacing w:before="60" w:after="60"/>
            </w:pPr>
          </w:p>
        </w:tc>
        <w:tc>
          <w:tcPr>
            <w:tcW w:w="1183" w:type="pct"/>
            <w:tcBorders>
              <w:top w:val="single" w:sz="6" w:space="0" w:color="0063A6" w:themeColor="accent1"/>
              <w:bottom w:val="single" w:sz="6" w:space="0" w:color="0063A6" w:themeColor="accent1"/>
            </w:tcBorders>
          </w:tcPr>
          <w:p w:rsidR="001472C1" w:rsidRPr="001472C1" w:rsidRDefault="001472C1" w:rsidP="00215CEE">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Financial management legislation</w:t>
            </w:r>
          </w:p>
        </w:tc>
        <w:tc>
          <w:tcPr>
            <w:tcW w:w="632" w:type="pct"/>
            <w:tcBorders>
              <w:top w:val="single" w:sz="6" w:space="0" w:color="0063A6" w:themeColor="accent1"/>
              <w:bottom w:val="single" w:sz="6" w:space="0" w:color="0063A6" w:themeColor="accent1"/>
            </w:tcBorders>
          </w:tcPr>
          <w:p w:rsidR="001472C1" w:rsidRDefault="001472C1" w:rsidP="0089634A">
            <w:pPr>
              <w:spacing w:before="60" w:after="60"/>
              <w:jc w:val="center"/>
              <w:cnfStyle w:val="000000000000" w:firstRow="0" w:lastRow="0" w:firstColumn="0" w:lastColumn="0" w:oddVBand="0" w:evenVBand="0" w:oddHBand="0" w:evenHBand="0" w:firstRowFirstColumn="0" w:firstRowLastColumn="0" w:lastRowFirstColumn="0" w:lastRowLastColumn="0"/>
            </w:pPr>
            <w:r>
              <w:t>BOF p. 9-11</w:t>
            </w:r>
          </w:p>
        </w:tc>
        <w:tc>
          <w:tcPr>
            <w:tcW w:w="598" w:type="pct"/>
            <w:tcBorders>
              <w:top w:val="single" w:sz="6" w:space="0" w:color="0063A6" w:themeColor="accent1"/>
              <w:bottom w:val="single" w:sz="6" w:space="0" w:color="0063A6" w:themeColor="accent1"/>
            </w:tcBorders>
          </w:tcPr>
          <w:p w:rsidR="001472C1" w:rsidRPr="00653F72" w:rsidRDefault="001472C1" w:rsidP="0089634A">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Pages 1</w:t>
            </w:r>
            <w:r w:rsidR="002F1BFB">
              <w:rPr>
                <w:color w:val="D50032"/>
              </w:rPr>
              <w:t>3</w:t>
            </w:r>
            <w:r w:rsidRPr="00653F72">
              <w:rPr>
                <w:color w:val="D50032"/>
              </w:rPr>
              <w:t>-1</w:t>
            </w:r>
            <w:r w:rsidR="002F1BFB">
              <w:rPr>
                <w:color w:val="D50032"/>
              </w:rPr>
              <w:t>5</w:t>
            </w:r>
          </w:p>
        </w:tc>
        <w:tc>
          <w:tcPr>
            <w:tcW w:w="1860" w:type="pct"/>
            <w:tcBorders>
              <w:top w:val="single" w:sz="6" w:space="0" w:color="0063A6" w:themeColor="accent1"/>
              <w:bottom w:val="single" w:sz="6" w:space="0" w:color="0063A6" w:themeColor="accent1"/>
            </w:tcBorders>
          </w:tcPr>
          <w:p w:rsidR="001472C1" w:rsidRPr="001472C1" w:rsidRDefault="001472C1" w:rsidP="003A1138">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Was formerly called ‘The legislation supporting the State’s resource management framework’. No significant content changes.</w:t>
            </w:r>
          </w:p>
        </w:tc>
      </w:tr>
      <w:tr w:rsidR="001472C1" w:rsidTr="001472C1">
        <w:trPr>
          <w:trHeight w:val="261"/>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1472C1" w:rsidRDefault="001472C1" w:rsidP="00215CEE">
            <w:pPr>
              <w:pStyle w:val="Tabletextbold"/>
              <w:spacing w:before="60" w:after="60"/>
            </w:pPr>
          </w:p>
        </w:tc>
        <w:tc>
          <w:tcPr>
            <w:tcW w:w="1183" w:type="pct"/>
            <w:tcBorders>
              <w:top w:val="single" w:sz="6" w:space="0" w:color="0063A6" w:themeColor="accent1"/>
              <w:bottom w:val="single" w:sz="6" w:space="0" w:color="0063A6" w:themeColor="accent1"/>
            </w:tcBorders>
          </w:tcPr>
          <w:p w:rsidR="001472C1" w:rsidRPr="001472C1" w:rsidRDefault="001472C1" w:rsidP="00215CEE">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Victoria’s appropriation framework</w:t>
            </w:r>
          </w:p>
        </w:tc>
        <w:tc>
          <w:tcPr>
            <w:tcW w:w="632" w:type="pct"/>
            <w:tcBorders>
              <w:top w:val="single" w:sz="6" w:space="0" w:color="0063A6" w:themeColor="accent1"/>
              <w:bottom w:val="single" w:sz="6" w:space="0" w:color="0063A6" w:themeColor="accent1"/>
            </w:tcBorders>
          </w:tcPr>
          <w:p w:rsidR="001472C1" w:rsidRPr="00B105F5" w:rsidRDefault="001472C1" w:rsidP="00EC01E8">
            <w:pPr>
              <w:spacing w:before="60" w:after="60"/>
              <w:jc w:val="center"/>
              <w:cnfStyle w:val="000000000000" w:firstRow="0" w:lastRow="0" w:firstColumn="0" w:lastColumn="0" w:oddVBand="0" w:evenVBand="0" w:oddHBand="0" w:evenHBand="0" w:firstRowFirstColumn="0" w:firstRowLastColumn="0" w:lastRowFirstColumn="0" w:lastRowLastColumn="0"/>
            </w:pPr>
            <w:r>
              <w:t>BOF p.12-16</w:t>
            </w:r>
          </w:p>
        </w:tc>
        <w:tc>
          <w:tcPr>
            <w:tcW w:w="598" w:type="pct"/>
            <w:tcBorders>
              <w:top w:val="single" w:sz="6" w:space="0" w:color="0063A6" w:themeColor="accent1"/>
              <w:bottom w:val="single" w:sz="6" w:space="0" w:color="0063A6" w:themeColor="accent1"/>
            </w:tcBorders>
          </w:tcPr>
          <w:p w:rsidR="001472C1" w:rsidRPr="00653F72" w:rsidRDefault="001472C1" w:rsidP="0089634A">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Pages 1</w:t>
            </w:r>
            <w:r w:rsidR="002F1BFB">
              <w:rPr>
                <w:color w:val="D50032"/>
              </w:rPr>
              <w:t>6</w:t>
            </w:r>
            <w:r w:rsidRPr="00653F72">
              <w:rPr>
                <w:color w:val="D50032"/>
              </w:rPr>
              <w:t>-2</w:t>
            </w:r>
            <w:r w:rsidR="002F1BFB">
              <w:rPr>
                <w:color w:val="D50032"/>
              </w:rPr>
              <w:t>1</w:t>
            </w:r>
          </w:p>
        </w:tc>
        <w:tc>
          <w:tcPr>
            <w:tcW w:w="1860" w:type="pct"/>
            <w:tcBorders>
              <w:top w:val="single" w:sz="6" w:space="0" w:color="0063A6" w:themeColor="accent1"/>
              <w:bottom w:val="single" w:sz="6" w:space="0" w:color="0063A6" w:themeColor="accent1"/>
            </w:tcBorders>
          </w:tcPr>
          <w:p w:rsidR="001472C1" w:rsidRPr="001472C1" w:rsidRDefault="001472C1" w:rsidP="000250FC">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Small modification to include reference to the CBS within the Public Account section.</w:t>
            </w:r>
          </w:p>
        </w:tc>
      </w:tr>
      <w:tr w:rsidR="001472C1" w:rsidTr="001472C1">
        <w:trPr>
          <w:trHeight w:val="261"/>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1472C1" w:rsidRDefault="001472C1" w:rsidP="00215CEE">
            <w:pPr>
              <w:pStyle w:val="Tabletextbold"/>
              <w:spacing w:before="60" w:after="60"/>
            </w:pPr>
          </w:p>
        </w:tc>
        <w:tc>
          <w:tcPr>
            <w:tcW w:w="1183" w:type="pct"/>
            <w:tcBorders>
              <w:top w:val="single" w:sz="6" w:space="0" w:color="0063A6" w:themeColor="accent1"/>
              <w:bottom w:val="single" w:sz="6" w:space="0" w:color="0063A6" w:themeColor="accent1"/>
            </w:tcBorders>
          </w:tcPr>
          <w:p w:rsidR="001472C1" w:rsidRPr="001472C1" w:rsidRDefault="001472C1" w:rsidP="00215CEE">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Victoria’s resource management policies</w:t>
            </w:r>
          </w:p>
        </w:tc>
        <w:tc>
          <w:tcPr>
            <w:tcW w:w="632" w:type="pct"/>
            <w:tcBorders>
              <w:top w:val="single" w:sz="6" w:space="0" w:color="0063A6" w:themeColor="accent1"/>
              <w:bottom w:val="single" w:sz="6" w:space="0" w:color="0063A6" w:themeColor="accent1"/>
            </w:tcBorders>
          </w:tcPr>
          <w:p w:rsidR="001472C1" w:rsidRDefault="001472C1" w:rsidP="0089634A">
            <w:pPr>
              <w:spacing w:before="60" w:after="60"/>
              <w:jc w:val="center"/>
              <w:cnfStyle w:val="000000000000" w:firstRow="0" w:lastRow="0" w:firstColumn="0" w:lastColumn="0" w:oddVBand="0" w:evenVBand="0" w:oddHBand="0" w:evenHBand="0" w:firstRowFirstColumn="0" w:firstRowLastColumn="0" w:lastRowFirstColumn="0" w:lastRowLastColumn="0"/>
            </w:pPr>
            <w:r>
              <w:t>PMF p. 2-3</w:t>
            </w:r>
          </w:p>
        </w:tc>
        <w:tc>
          <w:tcPr>
            <w:tcW w:w="598" w:type="pct"/>
            <w:tcBorders>
              <w:top w:val="single" w:sz="6" w:space="0" w:color="0063A6" w:themeColor="accent1"/>
              <w:bottom w:val="single" w:sz="6" w:space="0" w:color="0063A6" w:themeColor="accent1"/>
            </w:tcBorders>
          </w:tcPr>
          <w:p w:rsidR="001472C1" w:rsidRPr="00653F72" w:rsidRDefault="001472C1" w:rsidP="00680341">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Pages 2</w:t>
            </w:r>
            <w:r w:rsidR="002F1BFB">
              <w:rPr>
                <w:color w:val="D50032"/>
              </w:rPr>
              <w:t>1</w:t>
            </w:r>
            <w:r w:rsidRPr="00653F72">
              <w:rPr>
                <w:color w:val="D50032"/>
              </w:rPr>
              <w:t>-2</w:t>
            </w:r>
            <w:r w:rsidR="002F1BFB">
              <w:rPr>
                <w:color w:val="D50032"/>
              </w:rPr>
              <w:t>3</w:t>
            </w:r>
          </w:p>
        </w:tc>
        <w:tc>
          <w:tcPr>
            <w:tcW w:w="1860" w:type="pct"/>
            <w:tcBorders>
              <w:top w:val="single" w:sz="6" w:space="0" w:color="0063A6" w:themeColor="accent1"/>
              <w:bottom w:val="single" w:sz="6" w:space="0" w:color="0063A6" w:themeColor="accent1"/>
            </w:tcBorders>
          </w:tcPr>
          <w:p w:rsidR="001472C1" w:rsidRPr="001472C1" w:rsidRDefault="001472C1" w:rsidP="000250FC">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Revised and updated with additional guidance material.</w:t>
            </w:r>
          </w:p>
        </w:tc>
      </w:tr>
      <w:tr w:rsidR="001472C1" w:rsidTr="001472C1">
        <w:trPr>
          <w:trHeight w:val="261"/>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1472C1" w:rsidRDefault="001472C1" w:rsidP="00215CEE">
            <w:pPr>
              <w:pStyle w:val="Tabletextbold"/>
              <w:spacing w:before="60" w:after="60"/>
            </w:pPr>
          </w:p>
        </w:tc>
        <w:tc>
          <w:tcPr>
            <w:tcW w:w="1183" w:type="pct"/>
            <w:tcBorders>
              <w:top w:val="single" w:sz="6" w:space="0" w:color="0063A6" w:themeColor="accent1"/>
              <w:bottom w:val="single" w:sz="6" w:space="0" w:color="0063A6" w:themeColor="accent1"/>
            </w:tcBorders>
          </w:tcPr>
          <w:p w:rsidR="001472C1" w:rsidRPr="001472C1" w:rsidRDefault="001472C1" w:rsidP="00215CEE">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Accountability for performance</w:t>
            </w:r>
          </w:p>
        </w:tc>
        <w:tc>
          <w:tcPr>
            <w:tcW w:w="632" w:type="pct"/>
            <w:tcBorders>
              <w:top w:val="single" w:sz="6" w:space="0" w:color="0063A6" w:themeColor="accent1"/>
              <w:bottom w:val="single" w:sz="6" w:space="0" w:color="0063A6" w:themeColor="accent1"/>
            </w:tcBorders>
          </w:tcPr>
          <w:p w:rsidR="001472C1" w:rsidRDefault="001472C1" w:rsidP="0089634A">
            <w:pPr>
              <w:spacing w:before="60" w:after="60"/>
              <w:jc w:val="center"/>
              <w:cnfStyle w:val="000000000000" w:firstRow="0" w:lastRow="0" w:firstColumn="0" w:lastColumn="0" w:oddVBand="0" w:evenVBand="0" w:oddHBand="0" w:evenHBand="0" w:firstRowFirstColumn="0" w:firstRowLastColumn="0" w:lastRowFirstColumn="0" w:lastRowLastColumn="0"/>
            </w:pPr>
            <w:r>
              <w:t>n/a</w:t>
            </w:r>
          </w:p>
        </w:tc>
        <w:tc>
          <w:tcPr>
            <w:tcW w:w="598" w:type="pct"/>
            <w:tcBorders>
              <w:top w:val="single" w:sz="6" w:space="0" w:color="0063A6" w:themeColor="accent1"/>
              <w:bottom w:val="single" w:sz="6" w:space="0" w:color="0063A6" w:themeColor="accent1"/>
            </w:tcBorders>
          </w:tcPr>
          <w:p w:rsidR="001472C1" w:rsidRPr="00653F72" w:rsidRDefault="001472C1" w:rsidP="00680341">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Pages 2</w:t>
            </w:r>
            <w:r w:rsidR="002F1BFB">
              <w:rPr>
                <w:color w:val="D50032"/>
              </w:rPr>
              <w:t>3</w:t>
            </w:r>
            <w:r w:rsidRPr="00653F72">
              <w:rPr>
                <w:color w:val="D50032"/>
              </w:rPr>
              <w:t>-2</w:t>
            </w:r>
            <w:r w:rsidR="002F1BFB">
              <w:rPr>
                <w:color w:val="D50032"/>
              </w:rPr>
              <w:t>6</w:t>
            </w:r>
          </w:p>
        </w:tc>
        <w:tc>
          <w:tcPr>
            <w:tcW w:w="1860" w:type="pct"/>
            <w:tcBorders>
              <w:top w:val="single" w:sz="6" w:space="0" w:color="0063A6" w:themeColor="accent1"/>
              <w:bottom w:val="single" w:sz="6" w:space="0" w:color="0063A6" w:themeColor="accent1"/>
            </w:tcBorders>
          </w:tcPr>
          <w:p w:rsidR="001472C1" w:rsidRPr="001472C1" w:rsidRDefault="001472C1" w:rsidP="000250FC">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New explanatory section.</w:t>
            </w:r>
          </w:p>
        </w:tc>
      </w:tr>
      <w:tr w:rsidR="00C40F75"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val="restart"/>
            <w:tcBorders>
              <w:top w:val="single" w:sz="6" w:space="0" w:color="0063A6" w:themeColor="accent1"/>
              <w:bottom w:val="single" w:sz="6" w:space="0" w:color="0063A6" w:themeColor="accent1"/>
            </w:tcBorders>
          </w:tcPr>
          <w:p w:rsidR="00C40F75" w:rsidRDefault="00C40F75" w:rsidP="00215CEE">
            <w:pPr>
              <w:pStyle w:val="Tabletextbold"/>
              <w:spacing w:before="60" w:after="60"/>
            </w:pPr>
            <w:r>
              <w:t>Goal-setting and purpose</w:t>
            </w:r>
          </w:p>
        </w:tc>
        <w:tc>
          <w:tcPr>
            <w:tcW w:w="1183" w:type="pct"/>
            <w:tcBorders>
              <w:top w:val="single" w:sz="6" w:space="0" w:color="0063A6" w:themeColor="accent1"/>
              <w:bottom w:val="single" w:sz="6" w:space="0" w:color="0063A6" w:themeColor="accent1"/>
            </w:tcBorders>
          </w:tcPr>
          <w:p w:rsidR="00C40F75" w:rsidRPr="001472C1" w:rsidRDefault="00AC36E0" w:rsidP="00215CEE">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 xml:space="preserve">Specifying </w:t>
            </w:r>
            <w:r w:rsidR="00CA03AD">
              <w:rPr>
                <w:b w:val="0"/>
              </w:rPr>
              <w:t>departmental o</w:t>
            </w:r>
            <w:r w:rsidR="00C40F75" w:rsidRPr="001472C1">
              <w:rPr>
                <w:b w:val="0"/>
              </w:rPr>
              <w:t xml:space="preserve">bjectives and </w:t>
            </w:r>
            <w:r w:rsidR="00CA03AD">
              <w:rPr>
                <w:b w:val="0"/>
              </w:rPr>
              <w:t>o</w:t>
            </w:r>
            <w:r w:rsidR="00C40F75" w:rsidRPr="001472C1">
              <w:rPr>
                <w:b w:val="0"/>
              </w:rPr>
              <w:t>bjective indicators</w:t>
            </w:r>
          </w:p>
        </w:tc>
        <w:tc>
          <w:tcPr>
            <w:tcW w:w="632" w:type="pct"/>
            <w:tcBorders>
              <w:top w:val="single" w:sz="6" w:space="0" w:color="0063A6" w:themeColor="accent1"/>
              <w:bottom w:val="single" w:sz="6" w:space="0" w:color="0063A6" w:themeColor="accent1"/>
            </w:tcBorders>
          </w:tcPr>
          <w:p w:rsidR="00C40F75" w:rsidRDefault="00C40F75" w:rsidP="00215CEE">
            <w:pPr>
              <w:spacing w:before="60" w:after="60"/>
              <w:jc w:val="center"/>
              <w:cnfStyle w:val="000000000000" w:firstRow="0" w:lastRow="0" w:firstColumn="0" w:lastColumn="0" w:oddVBand="0" w:evenVBand="0" w:oddHBand="0" w:evenHBand="0" w:firstRowFirstColumn="0" w:firstRowLastColumn="0" w:lastRowFirstColumn="0" w:lastRowLastColumn="0"/>
            </w:pPr>
            <w:r>
              <w:t>PMF 3.1</w:t>
            </w:r>
            <w:r w:rsidR="00F70D23">
              <w:t xml:space="preserve"> and 3.3</w:t>
            </w:r>
          </w:p>
        </w:tc>
        <w:tc>
          <w:tcPr>
            <w:tcW w:w="598" w:type="pct"/>
            <w:tcBorders>
              <w:top w:val="single" w:sz="6" w:space="0" w:color="0063A6" w:themeColor="accent1"/>
              <w:bottom w:val="single" w:sz="6" w:space="0" w:color="0063A6" w:themeColor="accent1"/>
            </w:tcBorders>
          </w:tcPr>
          <w:p w:rsidR="00C40F75" w:rsidRPr="00653F72" w:rsidRDefault="00C40F75" w:rsidP="00215CEE">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1.1</w:t>
            </w:r>
          </w:p>
        </w:tc>
        <w:tc>
          <w:tcPr>
            <w:tcW w:w="1860" w:type="pct"/>
            <w:tcBorders>
              <w:top w:val="single" w:sz="6" w:space="0" w:color="0063A6" w:themeColor="accent1"/>
              <w:bottom w:val="single" w:sz="6" w:space="0" w:color="0063A6" w:themeColor="accent1"/>
            </w:tcBorders>
          </w:tcPr>
          <w:p w:rsidR="00C40F75" w:rsidRPr="001472C1" w:rsidRDefault="00F42542" w:rsidP="007E084E">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Mandatory requirements updated to reflect current practice</w:t>
            </w:r>
            <w:r w:rsidR="00072C43" w:rsidRPr="001472C1">
              <w:rPr>
                <w:color w:val="0063A6" w:themeColor="accent1"/>
              </w:rPr>
              <w:t>.</w:t>
            </w:r>
            <w:r w:rsidRPr="001472C1">
              <w:rPr>
                <w:color w:val="0063A6" w:themeColor="accent1"/>
              </w:rPr>
              <w:t xml:space="preserve"> Reviewing outputs and performance measures moved to 1.2.</w:t>
            </w:r>
          </w:p>
        </w:tc>
      </w:tr>
      <w:tr w:rsidR="00C40F75"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C40F75" w:rsidRDefault="00C40F75" w:rsidP="00215CEE">
            <w:pPr>
              <w:pStyle w:val="Tabletextbold"/>
              <w:spacing w:before="60" w:after="60"/>
            </w:pPr>
          </w:p>
        </w:tc>
        <w:tc>
          <w:tcPr>
            <w:tcW w:w="1183" w:type="pct"/>
            <w:tcBorders>
              <w:top w:val="single" w:sz="6" w:space="0" w:color="0063A6" w:themeColor="accent1"/>
              <w:bottom w:val="single" w:sz="6" w:space="0" w:color="0063A6" w:themeColor="accent1"/>
            </w:tcBorders>
          </w:tcPr>
          <w:p w:rsidR="00C40F75" w:rsidRPr="001472C1" w:rsidRDefault="00AC36E0" w:rsidP="00215CEE">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 xml:space="preserve">Specifying </w:t>
            </w:r>
            <w:r w:rsidR="00CA03AD">
              <w:rPr>
                <w:b w:val="0"/>
              </w:rPr>
              <w:t>o</w:t>
            </w:r>
            <w:r w:rsidR="00C40F75" w:rsidRPr="001472C1">
              <w:rPr>
                <w:b w:val="0"/>
              </w:rPr>
              <w:t>utputs and performance measures</w:t>
            </w:r>
          </w:p>
        </w:tc>
        <w:tc>
          <w:tcPr>
            <w:tcW w:w="632" w:type="pct"/>
            <w:tcBorders>
              <w:top w:val="single" w:sz="6" w:space="0" w:color="0063A6" w:themeColor="accent1"/>
              <w:bottom w:val="single" w:sz="6" w:space="0" w:color="0063A6" w:themeColor="accent1"/>
            </w:tcBorders>
          </w:tcPr>
          <w:p w:rsidR="00C40F75" w:rsidRDefault="00C40F75" w:rsidP="00215CEE">
            <w:pPr>
              <w:spacing w:before="60" w:after="60"/>
              <w:jc w:val="center"/>
              <w:cnfStyle w:val="000000000000" w:firstRow="0" w:lastRow="0" w:firstColumn="0" w:lastColumn="0" w:oddVBand="0" w:evenVBand="0" w:oddHBand="0" w:evenHBand="0" w:firstRowFirstColumn="0" w:firstRowLastColumn="0" w:lastRowFirstColumn="0" w:lastRowLastColumn="0"/>
            </w:pPr>
            <w:r>
              <w:t>PMF 3.2</w:t>
            </w:r>
            <w:r w:rsidR="00F70D23">
              <w:t xml:space="preserve"> and 3.3</w:t>
            </w:r>
          </w:p>
        </w:tc>
        <w:tc>
          <w:tcPr>
            <w:tcW w:w="598" w:type="pct"/>
            <w:tcBorders>
              <w:top w:val="single" w:sz="6" w:space="0" w:color="0063A6" w:themeColor="accent1"/>
              <w:bottom w:val="single" w:sz="6" w:space="0" w:color="0063A6" w:themeColor="accent1"/>
            </w:tcBorders>
          </w:tcPr>
          <w:p w:rsidR="00C40F75" w:rsidRPr="00653F72" w:rsidRDefault="00C40F75" w:rsidP="00215CEE">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1.2</w:t>
            </w:r>
          </w:p>
        </w:tc>
        <w:tc>
          <w:tcPr>
            <w:tcW w:w="1860" w:type="pct"/>
            <w:tcBorders>
              <w:top w:val="single" w:sz="6" w:space="0" w:color="0063A6" w:themeColor="accent1"/>
              <w:bottom w:val="single" w:sz="6" w:space="0" w:color="0063A6" w:themeColor="accent1"/>
            </w:tcBorders>
          </w:tcPr>
          <w:p w:rsidR="00C40F75" w:rsidRPr="001472C1" w:rsidRDefault="00F42542" w:rsidP="00215CEE">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Mandatory requirements</w:t>
            </w:r>
            <w:r w:rsidR="00072C43" w:rsidRPr="001472C1">
              <w:rPr>
                <w:color w:val="0063A6" w:themeColor="accent1"/>
              </w:rPr>
              <w:t xml:space="preserve"> simplified. </w:t>
            </w:r>
            <w:r w:rsidRPr="001472C1">
              <w:rPr>
                <w:color w:val="0063A6" w:themeColor="accent1"/>
              </w:rPr>
              <w:t>Reviewing outputs and performance measures moved from</w:t>
            </w:r>
            <w:r w:rsidR="00072C43" w:rsidRPr="001472C1">
              <w:rPr>
                <w:color w:val="0063A6" w:themeColor="accent1"/>
              </w:rPr>
              <w:t xml:space="preserve"> 1.1.</w:t>
            </w:r>
          </w:p>
        </w:tc>
      </w:tr>
      <w:tr w:rsidR="00C40F75"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C40F75" w:rsidRDefault="00C40F75" w:rsidP="00215CEE">
            <w:pPr>
              <w:pStyle w:val="Tabletextbold"/>
              <w:spacing w:before="60" w:after="60"/>
            </w:pPr>
          </w:p>
        </w:tc>
        <w:tc>
          <w:tcPr>
            <w:tcW w:w="1183" w:type="pct"/>
            <w:tcBorders>
              <w:top w:val="single" w:sz="6" w:space="0" w:color="0063A6" w:themeColor="accent1"/>
              <w:bottom w:val="single" w:sz="6" w:space="0" w:color="0063A6" w:themeColor="accent1"/>
            </w:tcBorders>
          </w:tcPr>
          <w:p w:rsidR="00C40F75" w:rsidRPr="001472C1" w:rsidRDefault="00C40F75" w:rsidP="00215CEE">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Review and changes to objectives, outputs and performance measures</w:t>
            </w:r>
          </w:p>
        </w:tc>
        <w:tc>
          <w:tcPr>
            <w:tcW w:w="632" w:type="pct"/>
            <w:tcBorders>
              <w:top w:val="single" w:sz="6" w:space="0" w:color="0063A6" w:themeColor="accent1"/>
              <w:bottom w:val="single" w:sz="6" w:space="0" w:color="0063A6" w:themeColor="accent1"/>
            </w:tcBorders>
          </w:tcPr>
          <w:p w:rsidR="00C40F75" w:rsidRDefault="00C40F75" w:rsidP="00215CEE">
            <w:pPr>
              <w:spacing w:before="60" w:after="60"/>
              <w:jc w:val="center"/>
              <w:cnfStyle w:val="000000000000" w:firstRow="0" w:lastRow="0" w:firstColumn="0" w:lastColumn="0" w:oddVBand="0" w:evenVBand="0" w:oddHBand="0" w:evenHBand="0" w:firstRowFirstColumn="0" w:firstRowLastColumn="0" w:lastRowFirstColumn="0" w:lastRowLastColumn="0"/>
            </w:pPr>
            <w:r>
              <w:t>PMF 3.3</w:t>
            </w:r>
          </w:p>
        </w:tc>
        <w:tc>
          <w:tcPr>
            <w:tcW w:w="598" w:type="pct"/>
            <w:tcBorders>
              <w:top w:val="single" w:sz="6" w:space="0" w:color="0063A6" w:themeColor="accent1"/>
              <w:bottom w:val="single" w:sz="6" w:space="0" w:color="0063A6" w:themeColor="accent1"/>
            </w:tcBorders>
          </w:tcPr>
          <w:p w:rsidR="00C40F75" w:rsidRPr="00653F72" w:rsidRDefault="00C40F75" w:rsidP="00215CEE">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n/a</w:t>
            </w:r>
          </w:p>
        </w:tc>
        <w:tc>
          <w:tcPr>
            <w:tcW w:w="1860" w:type="pct"/>
            <w:tcBorders>
              <w:top w:val="single" w:sz="6" w:space="0" w:color="0063A6" w:themeColor="accent1"/>
              <w:bottom w:val="single" w:sz="6" w:space="0" w:color="0063A6" w:themeColor="accent1"/>
            </w:tcBorders>
          </w:tcPr>
          <w:p w:rsidR="00C40F75" w:rsidRPr="001472C1" w:rsidRDefault="00C40F75" w:rsidP="001B585B">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Section removed and mandatory requirements incorporated into ‘Objectives and objective indicators’ and ‘Outputs and performance measures’ sections above</w:t>
            </w:r>
            <w:r w:rsidR="00072C43" w:rsidRPr="001472C1">
              <w:rPr>
                <w:color w:val="0063A6" w:themeColor="accent1"/>
              </w:rPr>
              <w:t>.</w:t>
            </w:r>
          </w:p>
        </w:tc>
      </w:tr>
      <w:tr w:rsidR="009C58C7"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val="restart"/>
            <w:tcBorders>
              <w:top w:val="single" w:sz="6" w:space="0" w:color="0063A6" w:themeColor="accent1"/>
              <w:bottom w:val="single" w:sz="6" w:space="0" w:color="0063A6" w:themeColor="accent1"/>
            </w:tcBorders>
          </w:tcPr>
          <w:p w:rsidR="009C58C7" w:rsidRDefault="009C58C7" w:rsidP="00215CEE">
            <w:pPr>
              <w:pStyle w:val="Tabletextbold"/>
              <w:spacing w:before="60" w:after="60"/>
            </w:pPr>
            <w:r>
              <w:t>Planning</w:t>
            </w:r>
          </w:p>
        </w:tc>
        <w:tc>
          <w:tcPr>
            <w:tcW w:w="1183" w:type="pct"/>
            <w:tcBorders>
              <w:top w:val="single" w:sz="6" w:space="0" w:color="0063A6" w:themeColor="accent1"/>
              <w:bottom w:val="single" w:sz="6" w:space="0" w:color="0063A6" w:themeColor="accent1"/>
            </w:tcBorders>
          </w:tcPr>
          <w:p w:rsidR="009C58C7" w:rsidRPr="001472C1" w:rsidRDefault="009C58C7" w:rsidP="005C33F8">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Long-term planning</w:t>
            </w:r>
          </w:p>
        </w:tc>
        <w:tc>
          <w:tcPr>
            <w:tcW w:w="632" w:type="pct"/>
            <w:tcBorders>
              <w:top w:val="single" w:sz="6" w:space="0" w:color="0063A6" w:themeColor="accent1"/>
              <w:bottom w:val="single" w:sz="6" w:space="0" w:color="0063A6" w:themeColor="accent1"/>
            </w:tcBorders>
          </w:tcPr>
          <w:p w:rsidR="009C58C7" w:rsidRPr="00B105F5" w:rsidRDefault="009C58C7" w:rsidP="005C33F8">
            <w:pPr>
              <w:spacing w:before="60" w:after="60"/>
              <w:jc w:val="center"/>
              <w:cnfStyle w:val="000000000000" w:firstRow="0" w:lastRow="0" w:firstColumn="0" w:lastColumn="0" w:oddVBand="0" w:evenVBand="0" w:oddHBand="0" w:evenHBand="0" w:firstRowFirstColumn="0" w:firstRowLastColumn="0" w:lastRowFirstColumn="0" w:lastRowLastColumn="0"/>
            </w:pPr>
            <w:r>
              <w:t>PMF 2.3</w:t>
            </w:r>
          </w:p>
        </w:tc>
        <w:tc>
          <w:tcPr>
            <w:tcW w:w="598" w:type="pct"/>
            <w:tcBorders>
              <w:top w:val="single" w:sz="6" w:space="0" w:color="0063A6" w:themeColor="accent1"/>
              <w:bottom w:val="single" w:sz="6" w:space="0" w:color="0063A6" w:themeColor="accent1"/>
            </w:tcBorders>
          </w:tcPr>
          <w:p w:rsidR="009C58C7" w:rsidRPr="00653F72" w:rsidRDefault="009C58C7" w:rsidP="005C33F8">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2.1</w:t>
            </w:r>
          </w:p>
        </w:tc>
        <w:tc>
          <w:tcPr>
            <w:tcW w:w="1860" w:type="pct"/>
            <w:tcBorders>
              <w:top w:val="single" w:sz="6" w:space="0" w:color="0063A6" w:themeColor="accent1"/>
              <w:bottom w:val="single" w:sz="6" w:space="0" w:color="0063A6" w:themeColor="accent1"/>
            </w:tcBorders>
          </w:tcPr>
          <w:p w:rsidR="009C58C7" w:rsidRPr="001472C1" w:rsidRDefault="009C58C7" w:rsidP="005C33F8">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No </w:t>
            </w:r>
            <w:r w:rsidR="002E4127" w:rsidRPr="001472C1">
              <w:rPr>
                <w:color w:val="0063A6" w:themeColor="accent1"/>
              </w:rPr>
              <w:t>significant content changes</w:t>
            </w:r>
            <w:r w:rsidR="00072C43" w:rsidRPr="001472C1">
              <w:rPr>
                <w:color w:val="0063A6" w:themeColor="accent1"/>
              </w:rPr>
              <w:t>.</w:t>
            </w:r>
          </w:p>
        </w:tc>
      </w:tr>
      <w:tr w:rsidR="009C58C7"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9C58C7" w:rsidRDefault="009C58C7" w:rsidP="00215CEE">
            <w:pPr>
              <w:pStyle w:val="Tabletextbold"/>
              <w:spacing w:before="60" w:after="60"/>
            </w:pPr>
          </w:p>
        </w:tc>
        <w:tc>
          <w:tcPr>
            <w:tcW w:w="1183" w:type="pct"/>
            <w:tcBorders>
              <w:top w:val="single" w:sz="6" w:space="0" w:color="0063A6" w:themeColor="accent1"/>
              <w:bottom w:val="single" w:sz="6" w:space="0" w:color="0063A6" w:themeColor="accent1"/>
            </w:tcBorders>
          </w:tcPr>
          <w:p w:rsidR="009C58C7" w:rsidRPr="001472C1" w:rsidRDefault="009C58C7" w:rsidP="005C33F8">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Medium-term planning</w:t>
            </w:r>
          </w:p>
        </w:tc>
        <w:tc>
          <w:tcPr>
            <w:tcW w:w="632" w:type="pct"/>
            <w:tcBorders>
              <w:top w:val="single" w:sz="6" w:space="0" w:color="0063A6" w:themeColor="accent1"/>
              <w:bottom w:val="single" w:sz="6" w:space="0" w:color="0063A6" w:themeColor="accent1"/>
            </w:tcBorders>
          </w:tcPr>
          <w:p w:rsidR="009C58C7" w:rsidRPr="00B105F5" w:rsidRDefault="009C58C7" w:rsidP="005C33F8">
            <w:pPr>
              <w:spacing w:before="60" w:after="60"/>
              <w:jc w:val="center"/>
              <w:cnfStyle w:val="000000000000" w:firstRow="0" w:lastRow="0" w:firstColumn="0" w:lastColumn="0" w:oddVBand="0" w:evenVBand="0" w:oddHBand="0" w:evenHBand="0" w:firstRowFirstColumn="0" w:firstRowLastColumn="0" w:lastRowFirstColumn="0" w:lastRowLastColumn="0"/>
            </w:pPr>
            <w:r>
              <w:t>PMF 2.2</w:t>
            </w:r>
          </w:p>
        </w:tc>
        <w:tc>
          <w:tcPr>
            <w:tcW w:w="598" w:type="pct"/>
            <w:tcBorders>
              <w:top w:val="single" w:sz="6" w:space="0" w:color="0063A6" w:themeColor="accent1"/>
              <w:bottom w:val="single" w:sz="6" w:space="0" w:color="0063A6" w:themeColor="accent1"/>
            </w:tcBorders>
          </w:tcPr>
          <w:p w:rsidR="009C58C7" w:rsidRPr="00653F72" w:rsidRDefault="009C58C7" w:rsidP="005C33F8">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2.2</w:t>
            </w:r>
          </w:p>
        </w:tc>
        <w:tc>
          <w:tcPr>
            <w:tcW w:w="1860" w:type="pct"/>
            <w:tcBorders>
              <w:top w:val="single" w:sz="6" w:space="0" w:color="0063A6" w:themeColor="accent1"/>
              <w:bottom w:val="single" w:sz="6" w:space="0" w:color="0063A6" w:themeColor="accent1"/>
            </w:tcBorders>
          </w:tcPr>
          <w:p w:rsidR="009C58C7" w:rsidRPr="001472C1" w:rsidRDefault="002E4127" w:rsidP="005C33F8">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Publication date changed from ‘by 31 July’ to </w:t>
            </w:r>
            <w:r w:rsidR="002200BE" w:rsidRPr="001472C1">
              <w:rPr>
                <w:color w:val="0063A6" w:themeColor="accent1"/>
              </w:rPr>
              <w:t>‘on or before 31 A</w:t>
            </w:r>
            <w:r w:rsidR="00161DAB" w:rsidRPr="001472C1">
              <w:rPr>
                <w:color w:val="0063A6" w:themeColor="accent1"/>
              </w:rPr>
              <w:t>ugust’</w:t>
            </w:r>
            <w:r w:rsidR="00072C43" w:rsidRPr="001472C1">
              <w:rPr>
                <w:color w:val="0063A6" w:themeColor="accent1"/>
              </w:rPr>
              <w:t>.</w:t>
            </w:r>
          </w:p>
        </w:tc>
      </w:tr>
      <w:tr w:rsidR="009C58C7" w:rsidRPr="00B105F5" w:rsidTr="001472C1">
        <w:tblPrEx>
          <w:tblLook w:val="04A0" w:firstRow="1" w:lastRow="0" w:firstColumn="1" w:lastColumn="0" w:noHBand="0" w:noVBand="1"/>
        </w:tblPrEx>
        <w:trPr>
          <w:trHeight w:val="155"/>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9C58C7" w:rsidRDefault="009C58C7" w:rsidP="005C33F8">
            <w:pPr>
              <w:pStyle w:val="Tabletextbold"/>
              <w:spacing w:before="60" w:after="60"/>
            </w:pPr>
          </w:p>
        </w:tc>
        <w:tc>
          <w:tcPr>
            <w:tcW w:w="1183" w:type="pct"/>
            <w:tcBorders>
              <w:top w:val="single" w:sz="6" w:space="0" w:color="0063A6" w:themeColor="accent1"/>
              <w:bottom w:val="single" w:sz="6" w:space="0" w:color="0063A6" w:themeColor="accent1"/>
            </w:tcBorders>
            <w:shd w:val="clear" w:color="auto" w:fill="auto"/>
          </w:tcPr>
          <w:p w:rsidR="009C58C7" w:rsidRPr="001472C1" w:rsidRDefault="009C58C7" w:rsidP="005C33F8">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 xml:space="preserve">Departmental </w:t>
            </w:r>
            <w:r w:rsidR="00906B0E" w:rsidRPr="001472C1">
              <w:rPr>
                <w:b w:val="0"/>
              </w:rPr>
              <w:t>performance s</w:t>
            </w:r>
            <w:r w:rsidRPr="001472C1">
              <w:rPr>
                <w:b w:val="0"/>
              </w:rPr>
              <w:t>tatements</w:t>
            </w:r>
          </w:p>
        </w:tc>
        <w:tc>
          <w:tcPr>
            <w:tcW w:w="632" w:type="pct"/>
            <w:tcBorders>
              <w:top w:val="single" w:sz="6" w:space="0" w:color="0063A6" w:themeColor="accent1"/>
              <w:bottom w:val="single" w:sz="6" w:space="0" w:color="0063A6" w:themeColor="accent1"/>
            </w:tcBorders>
            <w:shd w:val="clear" w:color="auto" w:fill="auto"/>
          </w:tcPr>
          <w:p w:rsidR="009C58C7" w:rsidRPr="00B105F5" w:rsidRDefault="009C58C7" w:rsidP="005C33F8">
            <w:pPr>
              <w:spacing w:before="60" w:after="60"/>
              <w:jc w:val="center"/>
              <w:cnfStyle w:val="000000000000" w:firstRow="0" w:lastRow="0" w:firstColumn="0" w:lastColumn="0" w:oddVBand="0" w:evenVBand="0" w:oddHBand="0" w:evenHBand="0" w:firstRowFirstColumn="0" w:firstRowLastColumn="0" w:lastRowFirstColumn="0" w:lastRowLastColumn="0"/>
            </w:pPr>
            <w:r>
              <w:t>PMF 4.2</w:t>
            </w:r>
          </w:p>
        </w:tc>
        <w:tc>
          <w:tcPr>
            <w:tcW w:w="598" w:type="pct"/>
            <w:tcBorders>
              <w:top w:val="single" w:sz="6" w:space="0" w:color="0063A6" w:themeColor="accent1"/>
              <w:bottom w:val="single" w:sz="6" w:space="0" w:color="0063A6" w:themeColor="accent1"/>
            </w:tcBorders>
            <w:shd w:val="clear" w:color="auto" w:fill="auto"/>
          </w:tcPr>
          <w:p w:rsidR="009C58C7" w:rsidRPr="00653F72" w:rsidRDefault="009C58C7" w:rsidP="005C33F8">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2.3</w:t>
            </w:r>
          </w:p>
        </w:tc>
        <w:tc>
          <w:tcPr>
            <w:tcW w:w="1860" w:type="pct"/>
            <w:tcBorders>
              <w:top w:val="single" w:sz="6" w:space="0" w:color="0063A6" w:themeColor="accent1"/>
              <w:bottom w:val="single" w:sz="6" w:space="0" w:color="0063A6" w:themeColor="accent1"/>
            </w:tcBorders>
            <w:shd w:val="clear" w:color="auto" w:fill="auto"/>
          </w:tcPr>
          <w:p w:rsidR="009C58C7" w:rsidRPr="001472C1" w:rsidRDefault="009C58C7" w:rsidP="005C33F8">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Mandatory requirements revised, some moved</w:t>
            </w:r>
            <w:r w:rsidR="009D5DF6" w:rsidRPr="001472C1">
              <w:rPr>
                <w:color w:val="0063A6" w:themeColor="accent1"/>
              </w:rPr>
              <w:t xml:space="preserve"> to guidance. No policy changes</w:t>
            </w:r>
            <w:r w:rsidR="00072C43" w:rsidRPr="001472C1">
              <w:rPr>
                <w:color w:val="0063A6" w:themeColor="accent1"/>
              </w:rPr>
              <w:t>.</w:t>
            </w:r>
          </w:p>
        </w:tc>
      </w:tr>
      <w:tr w:rsidR="009C58C7"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9C58C7" w:rsidRDefault="009C58C7" w:rsidP="00215CEE">
            <w:pPr>
              <w:pStyle w:val="Tabletextbold"/>
              <w:spacing w:before="60" w:after="60"/>
            </w:pPr>
          </w:p>
        </w:tc>
        <w:tc>
          <w:tcPr>
            <w:tcW w:w="1183" w:type="pct"/>
            <w:tcBorders>
              <w:top w:val="single" w:sz="6" w:space="0" w:color="0063A6" w:themeColor="accent1"/>
              <w:bottom w:val="single" w:sz="6" w:space="0" w:color="0063A6" w:themeColor="accent1"/>
            </w:tcBorders>
          </w:tcPr>
          <w:p w:rsidR="009C58C7" w:rsidRPr="001472C1" w:rsidRDefault="005160BB" w:rsidP="005C33F8">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Short-term p</w:t>
            </w:r>
            <w:r w:rsidR="009C58C7" w:rsidRPr="001472C1">
              <w:rPr>
                <w:b w:val="0"/>
              </w:rPr>
              <w:t>lanning</w:t>
            </w:r>
          </w:p>
        </w:tc>
        <w:tc>
          <w:tcPr>
            <w:tcW w:w="632" w:type="pct"/>
            <w:tcBorders>
              <w:top w:val="single" w:sz="6" w:space="0" w:color="0063A6" w:themeColor="accent1"/>
              <w:bottom w:val="single" w:sz="6" w:space="0" w:color="0063A6" w:themeColor="accent1"/>
            </w:tcBorders>
          </w:tcPr>
          <w:p w:rsidR="009C58C7" w:rsidRPr="00B105F5" w:rsidRDefault="009C58C7" w:rsidP="005C33F8">
            <w:pPr>
              <w:spacing w:before="60" w:after="60"/>
              <w:jc w:val="center"/>
              <w:cnfStyle w:val="000000000000" w:firstRow="0" w:lastRow="0" w:firstColumn="0" w:lastColumn="0" w:oddVBand="0" w:evenVBand="0" w:oddHBand="0" w:evenHBand="0" w:firstRowFirstColumn="0" w:firstRowLastColumn="0" w:lastRowFirstColumn="0" w:lastRowLastColumn="0"/>
            </w:pPr>
            <w:r>
              <w:t>PMF 2.1</w:t>
            </w:r>
          </w:p>
        </w:tc>
        <w:tc>
          <w:tcPr>
            <w:tcW w:w="598" w:type="pct"/>
            <w:tcBorders>
              <w:top w:val="single" w:sz="6" w:space="0" w:color="0063A6" w:themeColor="accent1"/>
              <w:bottom w:val="single" w:sz="6" w:space="0" w:color="0063A6" w:themeColor="accent1"/>
            </w:tcBorders>
          </w:tcPr>
          <w:p w:rsidR="009C58C7" w:rsidRPr="00653F72" w:rsidRDefault="009C58C7" w:rsidP="005C33F8">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2.4</w:t>
            </w:r>
          </w:p>
        </w:tc>
        <w:tc>
          <w:tcPr>
            <w:tcW w:w="1860" w:type="pct"/>
            <w:tcBorders>
              <w:top w:val="single" w:sz="6" w:space="0" w:color="0063A6" w:themeColor="accent1"/>
              <w:bottom w:val="single" w:sz="6" w:space="0" w:color="0063A6" w:themeColor="accent1"/>
            </w:tcBorders>
          </w:tcPr>
          <w:p w:rsidR="009C58C7" w:rsidRPr="001472C1" w:rsidRDefault="009C58C7" w:rsidP="005C33F8">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No </w:t>
            </w:r>
            <w:r w:rsidR="002E4127" w:rsidRPr="001472C1">
              <w:rPr>
                <w:color w:val="0063A6" w:themeColor="accent1"/>
              </w:rPr>
              <w:t>significant content change</w:t>
            </w:r>
            <w:r w:rsidR="00072C43" w:rsidRPr="001472C1">
              <w:rPr>
                <w:color w:val="0063A6" w:themeColor="accent1"/>
              </w:rPr>
              <w:t>.</w:t>
            </w:r>
          </w:p>
        </w:tc>
      </w:tr>
      <w:tr w:rsidR="00680341"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val="restart"/>
            <w:tcBorders>
              <w:top w:val="single" w:sz="6" w:space="0" w:color="0063A6" w:themeColor="accent1"/>
              <w:bottom w:val="single" w:sz="6" w:space="0" w:color="0063A6" w:themeColor="accent1"/>
            </w:tcBorders>
          </w:tcPr>
          <w:p w:rsidR="00680341" w:rsidRDefault="00680341" w:rsidP="00215CEE">
            <w:pPr>
              <w:pStyle w:val="Tabletextbold"/>
              <w:spacing w:before="60" w:after="60"/>
            </w:pPr>
            <w:r>
              <w:t>Resource allocation – funding policies</w:t>
            </w:r>
          </w:p>
        </w:tc>
        <w:tc>
          <w:tcPr>
            <w:tcW w:w="1183" w:type="pct"/>
            <w:tcBorders>
              <w:top w:val="single" w:sz="6" w:space="0" w:color="0063A6" w:themeColor="accent1"/>
              <w:bottom w:val="single" w:sz="6" w:space="0" w:color="0063A6" w:themeColor="accent1"/>
            </w:tcBorders>
          </w:tcPr>
          <w:p w:rsidR="00680341" w:rsidRPr="001472C1" w:rsidRDefault="00680341" w:rsidP="005C33F8">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The State Budget</w:t>
            </w:r>
          </w:p>
        </w:tc>
        <w:tc>
          <w:tcPr>
            <w:tcW w:w="632" w:type="pct"/>
            <w:tcBorders>
              <w:top w:val="single" w:sz="6" w:space="0" w:color="0063A6" w:themeColor="accent1"/>
              <w:bottom w:val="single" w:sz="6" w:space="0" w:color="0063A6" w:themeColor="accent1"/>
            </w:tcBorders>
          </w:tcPr>
          <w:p w:rsidR="00680341" w:rsidRPr="00B105F5" w:rsidRDefault="00861BB5" w:rsidP="005C33F8">
            <w:pPr>
              <w:spacing w:before="60" w:after="60"/>
              <w:jc w:val="center"/>
              <w:cnfStyle w:val="000000000000" w:firstRow="0" w:lastRow="0" w:firstColumn="0" w:lastColumn="0" w:oddVBand="0" w:evenVBand="0" w:oddHBand="0" w:evenHBand="0" w:firstRowFirstColumn="0" w:firstRowLastColumn="0" w:lastRowFirstColumn="0" w:lastRowLastColumn="0"/>
            </w:pPr>
            <w:r>
              <w:t>BOF p.</w:t>
            </w:r>
            <w:r w:rsidR="00680341">
              <w:t xml:space="preserve"> 7-8</w:t>
            </w:r>
          </w:p>
        </w:tc>
        <w:tc>
          <w:tcPr>
            <w:tcW w:w="598" w:type="pct"/>
            <w:tcBorders>
              <w:top w:val="single" w:sz="6" w:space="0" w:color="0063A6" w:themeColor="accent1"/>
              <w:bottom w:val="single" w:sz="6" w:space="0" w:color="0063A6" w:themeColor="accent1"/>
            </w:tcBorders>
          </w:tcPr>
          <w:p w:rsidR="00680341" w:rsidRPr="00653F72"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3.1</w:t>
            </w:r>
          </w:p>
        </w:tc>
        <w:tc>
          <w:tcPr>
            <w:tcW w:w="1860" w:type="pct"/>
            <w:tcBorders>
              <w:top w:val="single" w:sz="6" w:space="0" w:color="0063A6" w:themeColor="accent1"/>
              <w:bottom w:val="single" w:sz="6" w:space="0" w:color="0063A6" w:themeColor="accent1"/>
            </w:tcBorders>
          </w:tcPr>
          <w:p w:rsidR="00680341" w:rsidRPr="001472C1" w:rsidRDefault="00680341" w:rsidP="005C33F8">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No </w:t>
            </w:r>
            <w:r w:rsidR="002E4127" w:rsidRPr="001472C1">
              <w:rPr>
                <w:color w:val="0063A6" w:themeColor="accent1"/>
              </w:rPr>
              <w:t>significant content change, expansion on existing guidance</w:t>
            </w:r>
            <w:r w:rsidR="00072C43" w:rsidRPr="001472C1">
              <w:rPr>
                <w:color w:val="0063A6" w:themeColor="accent1"/>
              </w:rPr>
              <w:t>.</w:t>
            </w:r>
          </w:p>
        </w:tc>
      </w:tr>
      <w:tr w:rsidR="00680341"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680341" w:rsidRDefault="00680341" w:rsidP="00215CEE">
            <w:pPr>
              <w:pStyle w:val="Tabletextbold"/>
              <w:spacing w:before="60" w:after="60"/>
            </w:pPr>
          </w:p>
        </w:tc>
        <w:tc>
          <w:tcPr>
            <w:tcW w:w="1183" w:type="pct"/>
            <w:tcBorders>
              <w:top w:val="single" w:sz="6" w:space="0" w:color="0063A6" w:themeColor="accent1"/>
              <w:bottom w:val="single" w:sz="6" w:space="0" w:color="0063A6" w:themeColor="accent1"/>
            </w:tcBorders>
          </w:tcPr>
          <w:p w:rsidR="00680341" w:rsidRPr="001472C1" w:rsidRDefault="00680341" w:rsidP="005C33F8">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Funding outputs</w:t>
            </w:r>
          </w:p>
        </w:tc>
        <w:tc>
          <w:tcPr>
            <w:tcW w:w="632" w:type="pct"/>
            <w:tcBorders>
              <w:top w:val="single" w:sz="6" w:space="0" w:color="0063A6" w:themeColor="accent1"/>
              <w:bottom w:val="single" w:sz="6" w:space="0" w:color="0063A6" w:themeColor="accent1"/>
            </w:tcBorders>
          </w:tcPr>
          <w:p w:rsidR="00680341" w:rsidRPr="00B105F5"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pPr>
            <w:r>
              <w:t>PMF 4.1</w:t>
            </w:r>
          </w:p>
        </w:tc>
        <w:tc>
          <w:tcPr>
            <w:tcW w:w="598" w:type="pct"/>
            <w:tcBorders>
              <w:top w:val="single" w:sz="6" w:space="0" w:color="0063A6" w:themeColor="accent1"/>
              <w:bottom w:val="single" w:sz="6" w:space="0" w:color="0063A6" w:themeColor="accent1"/>
            </w:tcBorders>
          </w:tcPr>
          <w:p w:rsidR="00680341" w:rsidRPr="00653F72"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3.2</w:t>
            </w:r>
          </w:p>
        </w:tc>
        <w:tc>
          <w:tcPr>
            <w:tcW w:w="1860" w:type="pct"/>
            <w:tcBorders>
              <w:top w:val="single" w:sz="6" w:space="0" w:color="0063A6" w:themeColor="accent1"/>
              <w:bottom w:val="single" w:sz="6" w:space="0" w:color="0063A6" w:themeColor="accent1"/>
            </w:tcBorders>
          </w:tcPr>
          <w:p w:rsidR="00680341" w:rsidRPr="001472C1" w:rsidRDefault="00680341" w:rsidP="005C33F8">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Formerly called ‘Departmental Funding Model and output pricing’. All mandatory requirements moved to guidance as they were statem</w:t>
            </w:r>
            <w:r w:rsidR="009D5DF6" w:rsidRPr="001472C1">
              <w:rPr>
                <w:color w:val="0063A6" w:themeColor="accent1"/>
              </w:rPr>
              <w:t>ents of general principles only</w:t>
            </w:r>
            <w:r w:rsidR="00072C43" w:rsidRPr="001472C1">
              <w:rPr>
                <w:color w:val="0063A6" w:themeColor="accent1"/>
              </w:rPr>
              <w:t>.</w:t>
            </w:r>
          </w:p>
        </w:tc>
      </w:tr>
      <w:tr w:rsidR="00680341"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680341" w:rsidRDefault="00680341" w:rsidP="00215CEE">
            <w:pPr>
              <w:pStyle w:val="Tabletextbold"/>
              <w:spacing w:before="60" w:after="60"/>
            </w:pPr>
          </w:p>
        </w:tc>
        <w:tc>
          <w:tcPr>
            <w:tcW w:w="1183" w:type="pct"/>
            <w:tcBorders>
              <w:top w:val="single" w:sz="6" w:space="0" w:color="0063A6" w:themeColor="accent1"/>
              <w:bottom w:val="single" w:sz="6" w:space="0" w:color="0063A6" w:themeColor="accent1"/>
            </w:tcBorders>
          </w:tcPr>
          <w:p w:rsidR="00680341" w:rsidRPr="001472C1" w:rsidRDefault="00680341" w:rsidP="00D15BA8">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Varying the budgeted output funding mix</w:t>
            </w:r>
          </w:p>
        </w:tc>
        <w:tc>
          <w:tcPr>
            <w:tcW w:w="632" w:type="pct"/>
            <w:tcBorders>
              <w:top w:val="single" w:sz="6" w:space="0" w:color="0063A6" w:themeColor="accent1"/>
              <w:bottom w:val="single" w:sz="6" w:space="0" w:color="0063A6" w:themeColor="accent1"/>
            </w:tcBorders>
          </w:tcPr>
          <w:p w:rsidR="00680341" w:rsidRPr="00B105F5" w:rsidRDefault="00680341" w:rsidP="00215CEE">
            <w:pPr>
              <w:spacing w:before="60" w:after="60"/>
              <w:jc w:val="center"/>
              <w:cnfStyle w:val="000000000000" w:firstRow="0" w:lastRow="0" w:firstColumn="0" w:lastColumn="0" w:oddVBand="0" w:evenVBand="0" w:oddHBand="0" w:evenHBand="0" w:firstRowFirstColumn="0" w:firstRowLastColumn="0" w:lastRowFirstColumn="0" w:lastRowLastColumn="0"/>
            </w:pPr>
            <w:r>
              <w:t>PMF 5.1</w:t>
            </w:r>
          </w:p>
        </w:tc>
        <w:tc>
          <w:tcPr>
            <w:tcW w:w="598" w:type="pct"/>
            <w:tcBorders>
              <w:top w:val="single" w:sz="6" w:space="0" w:color="0063A6" w:themeColor="accent1"/>
              <w:bottom w:val="single" w:sz="6" w:space="0" w:color="0063A6" w:themeColor="accent1"/>
            </w:tcBorders>
          </w:tcPr>
          <w:p w:rsidR="00680341" w:rsidRPr="00653F72" w:rsidRDefault="00680341" w:rsidP="00215CEE">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3.3</w:t>
            </w:r>
          </w:p>
        </w:tc>
        <w:tc>
          <w:tcPr>
            <w:tcW w:w="1860" w:type="pct"/>
            <w:tcBorders>
              <w:top w:val="single" w:sz="6" w:space="0" w:color="0063A6" w:themeColor="accent1"/>
              <w:bottom w:val="single" w:sz="6" w:space="0" w:color="0063A6" w:themeColor="accent1"/>
            </w:tcBorders>
          </w:tcPr>
          <w:p w:rsidR="00680341" w:rsidRPr="001472C1" w:rsidRDefault="00680341" w:rsidP="00215CEE">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Formerly called ‘Changes to the budget output mix’.</w:t>
            </w:r>
            <w:r w:rsidR="002E4127" w:rsidRPr="001472C1">
              <w:rPr>
                <w:color w:val="0063A6" w:themeColor="accent1"/>
              </w:rPr>
              <w:t xml:space="preserve"> No significant content changes</w:t>
            </w:r>
            <w:r w:rsidR="00072C43" w:rsidRPr="001472C1">
              <w:rPr>
                <w:color w:val="0063A6" w:themeColor="accent1"/>
              </w:rPr>
              <w:t>.</w:t>
            </w:r>
          </w:p>
        </w:tc>
      </w:tr>
      <w:tr w:rsidR="00680341"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680341" w:rsidRDefault="00680341" w:rsidP="0019388A">
            <w:pPr>
              <w:pStyle w:val="Tabletextbold"/>
              <w:spacing w:before="60" w:after="60"/>
            </w:pPr>
          </w:p>
        </w:tc>
        <w:tc>
          <w:tcPr>
            <w:tcW w:w="1183" w:type="pct"/>
            <w:tcBorders>
              <w:top w:val="single" w:sz="6" w:space="0" w:color="0063A6" w:themeColor="accent1"/>
              <w:bottom w:val="single" w:sz="6" w:space="0" w:color="0063A6" w:themeColor="accent1"/>
            </w:tcBorders>
          </w:tcPr>
          <w:p w:rsidR="00680341" w:rsidRPr="001472C1" w:rsidRDefault="00680341" w:rsidP="0019388A">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Varying the output price</w:t>
            </w:r>
          </w:p>
        </w:tc>
        <w:tc>
          <w:tcPr>
            <w:tcW w:w="632" w:type="pct"/>
            <w:tcBorders>
              <w:top w:val="single" w:sz="6" w:space="0" w:color="0063A6" w:themeColor="accent1"/>
              <w:bottom w:val="single" w:sz="6" w:space="0" w:color="0063A6" w:themeColor="accent1"/>
            </w:tcBorders>
          </w:tcPr>
          <w:p w:rsidR="00680341" w:rsidRDefault="00680341" w:rsidP="00215CEE">
            <w:pPr>
              <w:spacing w:before="60" w:after="60"/>
              <w:jc w:val="center"/>
              <w:cnfStyle w:val="000000000000" w:firstRow="0" w:lastRow="0" w:firstColumn="0" w:lastColumn="0" w:oddVBand="0" w:evenVBand="0" w:oddHBand="0" w:evenHBand="0" w:firstRowFirstColumn="0" w:firstRowLastColumn="0" w:lastRowFirstColumn="0" w:lastRowLastColumn="0"/>
            </w:pPr>
            <w:r>
              <w:t>n/a</w:t>
            </w:r>
          </w:p>
        </w:tc>
        <w:tc>
          <w:tcPr>
            <w:tcW w:w="598" w:type="pct"/>
            <w:tcBorders>
              <w:top w:val="single" w:sz="6" w:space="0" w:color="0063A6" w:themeColor="accent1"/>
              <w:bottom w:val="single" w:sz="6" w:space="0" w:color="0063A6" w:themeColor="accent1"/>
            </w:tcBorders>
          </w:tcPr>
          <w:p w:rsidR="00680341" w:rsidRPr="00653F72" w:rsidRDefault="00680341" w:rsidP="00215CEE">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3.4</w:t>
            </w:r>
          </w:p>
        </w:tc>
        <w:tc>
          <w:tcPr>
            <w:tcW w:w="1860" w:type="pct"/>
            <w:tcBorders>
              <w:top w:val="single" w:sz="6" w:space="0" w:color="0063A6" w:themeColor="accent1"/>
              <w:bottom w:val="single" w:sz="6" w:space="0" w:color="0063A6" w:themeColor="accent1"/>
            </w:tcBorders>
          </w:tcPr>
          <w:p w:rsidR="00680341" w:rsidRPr="001472C1" w:rsidRDefault="00680341" w:rsidP="0019388A">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New section</w:t>
            </w:r>
            <w:r w:rsidR="00072C43" w:rsidRPr="001472C1">
              <w:rPr>
                <w:color w:val="0063A6" w:themeColor="accent1"/>
              </w:rPr>
              <w:t>.</w:t>
            </w:r>
          </w:p>
        </w:tc>
      </w:tr>
      <w:tr w:rsidR="00680341"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680341" w:rsidRDefault="00680341" w:rsidP="0019388A">
            <w:pPr>
              <w:pStyle w:val="Tabletextbold"/>
              <w:spacing w:before="60" w:after="60"/>
            </w:pPr>
          </w:p>
        </w:tc>
        <w:tc>
          <w:tcPr>
            <w:tcW w:w="1183" w:type="pct"/>
            <w:tcBorders>
              <w:top w:val="single" w:sz="6" w:space="0" w:color="0063A6" w:themeColor="accent1"/>
              <w:bottom w:val="single" w:sz="6" w:space="0" w:color="0063A6" w:themeColor="accent1"/>
            </w:tcBorders>
          </w:tcPr>
          <w:p w:rsidR="00680341" w:rsidRPr="001472C1" w:rsidRDefault="00680341" w:rsidP="0019388A">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Funding assets</w:t>
            </w:r>
          </w:p>
        </w:tc>
        <w:tc>
          <w:tcPr>
            <w:tcW w:w="632" w:type="pct"/>
            <w:tcBorders>
              <w:top w:val="single" w:sz="6" w:space="0" w:color="0063A6" w:themeColor="accent1"/>
              <w:bottom w:val="single" w:sz="6" w:space="0" w:color="0063A6" w:themeColor="accent1"/>
            </w:tcBorders>
          </w:tcPr>
          <w:p w:rsidR="00680341" w:rsidRDefault="00680341" w:rsidP="00215CEE">
            <w:pPr>
              <w:spacing w:before="60" w:after="60"/>
              <w:jc w:val="center"/>
              <w:cnfStyle w:val="000000000000" w:firstRow="0" w:lastRow="0" w:firstColumn="0" w:lastColumn="0" w:oddVBand="0" w:evenVBand="0" w:oddHBand="0" w:evenHBand="0" w:firstRowFirstColumn="0" w:firstRowLastColumn="0" w:lastRowFirstColumn="0" w:lastRowLastColumn="0"/>
            </w:pPr>
            <w:r>
              <w:t>BOF 3.1</w:t>
            </w:r>
          </w:p>
        </w:tc>
        <w:tc>
          <w:tcPr>
            <w:tcW w:w="598" w:type="pct"/>
            <w:tcBorders>
              <w:top w:val="single" w:sz="6" w:space="0" w:color="0063A6" w:themeColor="accent1"/>
              <w:bottom w:val="single" w:sz="6" w:space="0" w:color="0063A6" w:themeColor="accent1"/>
            </w:tcBorders>
          </w:tcPr>
          <w:p w:rsidR="00680341" w:rsidRPr="00653F72" w:rsidRDefault="00680341" w:rsidP="00215CEE">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3.5</w:t>
            </w:r>
          </w:p>
        </w:tc>
        <w:tc>
          <w:tcPr>
            <w:tcW w:w="1860" w:type="pct"/>
            <w:tcBorders>
              <w:top w:val="single" w:sz="6" w:space="0" w:color="0063A6" w:themeColor="accent1"/>
              <w:bottom w:val="single" w:sz="6" w:space="0" w:color="0063A6" w:themeColor="accent1"/>
            </w:tcBorders>
          </w:tcPr>
          <w:p w:rsidR="00680341" w:rsidRPr="001472C1" w:rsidRDefault="001F7262" w:rsidP="0019388A">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Additional </w:t>
            </w:r>
            <w:r w:rsidR="000633CE" w:rsidRPr="001472C1">
              <w:rPr>
                <w:color w:val="0063A6" w:themeColor="accent1"/>
              </w:rPr>
              <w:t xml:space="preserve">requirement </w:t>
            </w:r>
            <w:r w:rsidRPr="001472C1">
              <w:rPr>
                <w:color w:val="0063A6" w:themeColor="accent1"/>
              </w:rPr>
              <w:t xml:space="preserve">(3.5.1) </w:t>
            </w:r>
            <w:r w:rsidR="000633CE" w:rsidRPr="001472C1">
              <w:rPr>
                <w:color w:val="0063A6" w:themeColor="accent1"/>
              </w:rPr>
              <w:t xml:space="preserve">on whole-of-life costs of assets. Mandatory requirement on re-ordering of funding for assets programs changed to put </w:t>
            </w:r>
            <w:r w:rsidR="002D52BD" w:rsidRPr="001472C1">
              <w:rPr>
                <w:color w:val="0063A6" w:themeColor="accent1"/>
              </w:rPr>
              <w:t>net proceeds from asset sales before use of depreciation equivalent</w:t>
            </w:r>
            <w:r w:rsidR="00AC36E0" w:rsidRPr="001472C1">
              <w:rPr>
                <w:color w:val="0063A6" w:themeColor="accent1"/>
              </w:rPr>
              <w:t xml:space="preserve"> (3.5.2)</w:t>
            </w:r>
            <w:r w:rsidR="002D52BD" w:rsidRPr="001472C1">
              <w:rPr>
                <w:color w:val="0063A6" w:themeColor="accent1"/>
              </w:rPr>
              <w:t>.</w:t>
            </w:r>
            <w:r w:rsidR="00C323BA" w:rsidRPr="001472C1">
              <w:rPr>
                <w:color w:val="0063A6" w:themeColor="accent1"/>
              </w:rPr>
              <w:t xml:space="preserve"> Minor modification to requirement on replacing assets for better clarity</w:t>
            </w:r>
            <w:r w:rsidR="00AC36E0" w:rsidRPr="001472C1">
              <w:rPr>
                <w:color w:val="0063A6" w:themeColor="accent1"/>
              </w:rPr>
              <w:t xml:space="preserve"> (3.5.3)</w:t>
            </w:r>
            <w:r w:rsidR="00C323BA" w:rsidRPr="001472C1">
              <w:rPr>
                <w:color w:val="0063A6" w:themeColor="accent1"/>
              </w:rPr>
              <w:t>.</w:t>
            </w:r>
          </w:p>
        </w:tc>
      </w:tr>
      <w:tr w:rsidR="00680341"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val="restart"/>
            <w:tcBorders>
              <w:top w:val="single" w:sz="6" w:space="0" w:color="0063A6" w:themeColor="accent1"/>
              <w:bottom w:val="single" w:sz="6" w:space="0" w:color="0063A6" w:themeColor="accent1"/>
            </w:tcBorders>
          </w:tcPr>
          <w:p w:rsidR="00680341" w:rsidRDefault="00680341" w:rsidP="009E00B5">
            <w:pPr>
              <w:pStyle w:val="Tabletextbold"/>
              <w:spacing w:before="60" w:after="60"/>
            </w:pPr>
            <w:r>
              <w:t xml:space="preserve">Resource allocation – </w:t>
            </w:r>
            <w:r w:rsidR="00F42542">
              <w:t xml:space="preserve">legal </w:t>
            </w:r>
            <w:r>
              <w:t>mechanisms</w:t>
            </w:r>
          </w:p>
        </w:tc>
        <w:tc>
          <w:tcPr>
            <w:tcW w:w="1183" w:type="pct"/>
            <w:tcBorders>
              <w:top w:val="single" w:sz="6" w:space="0" w:color="0063A6" w:themeColor="accent1"/>
              <w:bottom w:val="single" w:sz="6" w:space="0" w:color="0063A6" w:themeColor="accent1"/>
            </w:tcBorders>
          </w:tcPr>
          <w:p w:rsidR="00680341" w:rsidRPr="001472C1" w:rsidRDefault="00680341" w:rsidP="005C33F8">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Appropriation of certain revenue and asset proceeds – section 29 of the FMA</w:t>
            </w:r>
          </w:p>
        </w:tc>
        <w:tc>
          <w:tcPr>
            <w:tcW w:w="632" w:type="pct"/>
            <w:tcBorders>
              <w:top w:val="single" w:sz="6" w:space="0" w:color="0063A6" w:themeColor="accent1"/>
              <w:bottom w:val="single" w:sz="6" w:space="0" w:color="0063A6" w:themeColor="accent1"/>
            </w:tcBorders>
          </w:tcPr>
          <w:p w:rsidR="00680341" w:rsidRPr="00B105F5"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pPr>
            <w:r>
              <w:t>BOF 1.1</w:t>
            </w:r>
          </w:p>
        </w:tc>
        <w:tc>
          <w:tcPr>
            <w:tcW w:w="598" w:type="pct"/>
            <w:tcBorders>
              <w:top w:val="single" w:sz="6" w:space="0" w:color="0063A6" w:themeColor="accent1"/>
              <w:bottom w:val="single" w:sz="6" w:space="0" w:color="0063A6" w:themeColor="accent1"/>
            </w:tcBorders>
          </w:tcPr>
          <w:p w:rsidR="00680341" w:rsidRPr="00653F72"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4.1</w:t>
            </w:r>
          </w:p>
        </w:tc>
        <w:tc>
          <w:tcPr>
            <w:tcW w:w="1860" w:type="pct"/>
            <w:tcBorders>
              <w:top w:val="single" w:sz="6" w:space="0" w:color="0063A6" w:themeColor="accent1"/>
              <w:bottom w:val="single" w:sz="6" w:space="0" w:color="0063A6" w:themeColor="accent1"/>
            </w:tcBorders>
          </w:tcPr>
          <w:p w:rsidR="00680341" w:rsidRPr="001472C1" w:rsidRDefault="005272ED" w:rsidP="006A6D46">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Insertion of guidance on revenue recognition </w:t>
            </w:r>
            <w:r w:rsidR="00E91E65" w:rsidRPr="001472C1">
              <w:rPr>
                <w:color w:val="0063A6" w:themeColor="accent1"/>
              </w:rPr>
              <w:t>due to the accounting standards changes (see Policy changes summary table above)</w:t>
            </w:r>
            <w:r w:rsidR="00D06013" w:rsidRPr="001472C1">
              <w:rPr>
                <w:color w:val="0063A6" w:themeColor="accent1"/>
              </w:rPr>
              <w:t>.</w:t>
            </w:r>
          </w:p>
        </w:tc>
      </w:tr>
      <w:tr w:rsidR="00E118D8"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E118D8" w:rsidRDefault="00E118D8" w:rsidP="0019388A">
            <w:pPr>
              <w:pStyle w:val="Tabletextbold"/>
              <w:spacing w:before="60" w:after="60"/>
            </w:pPr>
          </w:p>
        </w:tc>
        <w:tc>
          <w:tcPr>
            <w:tcW w:w="1183" w:type="pct"/>
            <w:tcBorders>
              <w:top w:val="single" w:sz="6" w:space="0" w:color="0063A6" w:themeColor="accent1"/>
              <w:bottom w:val="single" w:sz="6" w:space="0" w:color="0063A6" w:themeColor="accent1"/>
            </w:tcBorders>
          </w:tcPr>
          <w:p w:rsidR="00E118D8" w:rsidRPr="001472C1" w:rsidRDefault="00BD3D7E" w:rsidP="005C33F8">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Commonwealth grants – section 10 of the FMA</w:t>
            </w:r>
          </w:p>
        </w:tc>
        <w:tc>
          <w:tcPr>
            <w:tcW w:w="632" w:type="pct"/>
            <w:tcBorders>
              <w:top w:val="single" w:sz="6" w:space="0" w:color="0063A6" w:themeColor="accent1"/>
              <w:bottom w:val="single" w:sz="6" w:space="0" w:color="0063A6" w:themeColor="accent1"/>
            </w:tcBorders>
          </w:tcPr>
          <w:p w:rsidR="00E118D8" w:rsidRDefault="00BD3D7E" w:rsidP="005C33F8">
            <w:pPr>
              <w:spacing w:before="60" w:after="60"/>
              <w:jc w:val="center"/>
              <w:cnfStyle w:val="000000000000" w:firstRow="0" w:lastRow="0" w:firstColumn="0" w:lastColumn="0" w:oddVBand="0" w:evenVBand="0" w:oddHBand="0" w:evenHBand="0" w:firstRowFirstColumn="0" w:firstRowLastColumn="0" w:lastRowFirstColumn="0" w:lastRowLastColumn="0"/>
            </w:pPr>
            <w:r>
              <w:t>n/a</w:t>
            </w:r>
          </w:p>
        </w:tc>
        <w:tc>
          <w:tcPr>
            <w:tcW w:w="598" w:type="pct"/>
            <w:tcBorders>
              <w:top w:val="single" w:sz="6" w:space="0" w:color="0063A6" w:themeColor="accent1"/>
              <w:bottom w:val="single" w:sz="6" w:space="0" w:color="0063A6" w:themeColor="accent1"/>
            </w:tcBorders>
          </w:tcPr>
          <w:p w:rsidR="00E118D8" w:rsidRPr="00653F72" w:rsidRDefault="00BD3D7E" w:rsidP="005C33F8">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4.2</w:t>
            </w:r>
          </w:p>
        </w:tc>
        <w:tc>
          <w:tcPr>
            <w:tcW w:w="1860" w:type="pct"/>
            <w:tcBorders>
              <w:top w:val="single" w:sz="6" w:space="0" w:color="0063A6" w:themeColor="accent1"/>
              <w:bottom w:val="single" w:sz="6" w:space="0" w:color="0063A6" w:themeColor="accent1"/>
            </w:tcBorders>
          </w:tcPr>
          <w:p w:rsidR="00E118D8" w:rsidRPr="001472C1" w:rsidRDefault="00BD3D7E" w:rsidP="006A6D46">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New section reflecting existing policies</w:t>
            </w:r>
            <w:r w:rsidR="00072C43" w:rsidRPr="001472C1">
              <w:rPr>
                <w:color w:val="0063A6" w:themeColor="accent1"/>
              </w:rPr>
              <w:t>.</w:t>
            </w:r>
          </w:p>
        </w:tc>
      </w:tr>
      <w:tr w:rsidR="00680341"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680341" w:rsidRDefault="00680341" w:rsidP="0019388A">
            <w:pPr>
              <w:pStyle w:val="Tabletextbold"/>
              <w:spacing w:before="60" w:after="60"/>
            </w:pPr>
          </w:p>
        </w:tc>
        <w:tc>
          <w:tcPr>
            <w:tcW w:w="1183" w:type="pct"/>
            <w:tcBorders>
              <w:top w:val="single" w:sz="6" w:space="0" w:color="0063A6" w:themeColor="accent1"/>
              <w:bottom w:val="single" w:sz="6" w:space="0" w:color="0063A6" w:themeColor="accent1"/>
            </w:tcBorders>
          </w:tcPr>
          <w:p w:rsidR="00680341" w:rsidRPr="001472C1" w:rsidRDefault="00680341" w:rsidP="005C33F8">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The Trust Fund and trust accounts</w:t>
            </w:r>
          </w:p>
        </w:tc>
        <w:tc>
          <w:tcPr>
            <w:tcW w:w="632" w:type="pct"/>
            <w:tcBorders>
              <w:top w:val="single" w:sz="6" w:space="0" w:color="0063A6" w:themeColor="accent1"/>
              <w:bottom w:val="single" w:sz="6" w:space="0" w:color="0063A6" w:themeColor="accent1"/>
            </w:tcBorders>
          </w:tcPr>
          <w:p w:rsidR="00680341" w:rsidRPr="00B105F5"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pPr>
            <w:r>
              <w:t>BOF 1.2</w:t>
            </w:r>
          </w:p>
        </w:tc>
        <w:tc>
          <w:tcPr>
            <w:tcW w:w="598" w:type="pct"/>
            <w:tcBorders>
              <w:top w:val="single" w:sz="6" w:space="0" w:color="0063A6" w:themeColor="accent1"/>
              <w:bottom w:val="single" w:sz="6" w:space="0" w:color="0063A6" w:themeColor="accent1"/>
            </w:tcBorders>
          </w:tcPr>
          <w:p w:rsidR="00680341" w:rsidRPr="00653F72"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4.</w:t>
            </w:r>
            <w:r w:rsidR="00BD3D7E" w:rsidRPr="00653F72">
              <w:rPr>
                <w:color w:val="D50032"/>
              </w:rPr>
              <w:t>3</w:t>
            </w:r>
          </w:p>
        </w:tc>
        <w:tc>
          <w:tcPr>
            <w:tcW w:w="1860" w:type="pct"/>
            <w:tcBorders>
              <w:top w:val="single" w:sz="6" w:space="0" w:color="0063A6" w:themeColor="accent1"/>
              <w:bottom w:val="single" w:sz="6" w:space="0" w:color="0063A6" w:themeColor="accent1"/>
            </w:tcBorders>
          </w:tcPr>
          <w:p w:rsidR="00680341" w:rsidRPr="001472C1" w:rsidRDefault="00BD3D7E" w:rsidP="006A6D46">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Inclusion of mandatory requirements and guidance on the </w:t>
            </w:r>
            <w:r w:rsidR="00072C43" w:rsidRPr="001472C1">
              <w:rPr>
                <w:color w:val="0063A6" w:themeColor="accent1"/>
              </w:rPr>
              <w:t>i</w:t>
            </w:r>
            <w:r w:rsidRPr="001472C1">
              <w:rPr>
                <w:color w:val="0063A6" w:themeColor="accent1"/>
              </w:rPr>
              <w:t>nter-departmental transfer trust account</w:t>
            </w:r>
            <w:r w:rsidR="00E74C65" w:rsidRPr="001472C1">
              <w:rPr>
                <w:color w:val="0063A6" w:themeColor="accent1"/>
              </w:rPr>
              <w:t xml:space="preserve"> with corresponding adjustments to the Treasury Trust Fund guidance.</w:t>
            </w:r>
          </w:p>
        </w:tc>
      </w:tr>
      <w:tr w:rsidR="00680341"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680341" w:rsidRDefault="00680341" w:rsidP="0019388A">
            <w:pPr>
              <w:pStyle w:val="Tabletextbold"/>
              <w:spacing w:before="60" w:after="60"/>
            </w:pPr>
          </w:p>
        </w:tc>
        <w:tc>
          <w:tcPr>
            <w:tcW w:w="1183" w:type="pct"/>
            <w:tcBorders>
              <w:top w:val="single" w:sz="6" w:space="0" w:color="0063A6" w:themeColor="accent1"/>
              <w:bottom w:val="single" w:sz="6" w:space="0" w:color="0063A6" w:themeColor="accent1"/>
            </w:tcBorders>
          </w:tcPr>
          <w:p w:rsidR="00680341" w:rsidRPr="001472C1" w:rsidRDefault="00C404C6" w:rsidP="005C33F8">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rPr>
            </w:pPr>
            <w:r w:rsidRPr="001472C1">
              <w:rPr>
                <w:color w:val="000000" w:themeColor="text1"/>
              </w:rPr>
              <w:t xml:space="preserve">Treasurer’s Advance </w:t>
            </w:r>
            <w:r w:rsidR="00680341" w:rsidRPr="001472C1">
              <w:rPr>
                <w:color w:val="000000" w:themeColor="text1"/>
              </w:rPr>
              <w:t>f</w:t>
            </w:r>
            <w:r w:rsidRPr="001472C1">
              <w:rPr>
                <w:color w:val="000000" w:themeColor="text1"/>
              </w:rPr>
              <w:t>or urgent and unforeseen claims</w:t>
            </w:r>
          </w:p>
        </w:tc>
        <w:tc>
          <w:tcPr>
            <w:tcW w:w="632" w:type="pct"/>
            <w:tcBorders>
              <w:top w:val="single" w:sz="6" w:space="0" w:color="0063A6" w:themeColor="accent1"/>
              <w:bottom w:val="single" w:sz="6" w:space="0" w:color="0063A6" w:themeColor="accent1"/>
            </w:tcBorders>
          </w:tcPr>
          <w:p w:rsidR="00680341" w:rsidRPr="005261E1"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pPr>
            <w:r w:rsidRPr="005261E1">
              <w:t>BOF 1.3</w:t>
            </w:r>
          </w:p>
        </w:tc>
        <w:tc>
          <w:tcPr>
            <w:tcW w:w="598" w:type="pct"/>
            <w:tcBorders>
              <w:top w:val="single" w:sz="6" w:space="0" w:color="0063A6" w:themeColor="accent1"/>
              <w:bottom w:val="single" w:sz="6" w:space="0" w:color="0063A6" w:themeColor="accent1"/>
            </w:tcBorders>
          </w:tcPr>
          <w:p w:rsidR="00680341" w:rsidRPr="00653F72" w:rsidRDefault="00BD3D7E" w:rsidP="005C33F8">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4.4</w:t>
            </w:r>
          </w:p>
        </w:tc>
        <w:tc>
          <w:tcPr>
            <w:tcW w:w="1860" w:type="pct"/>
            <w:tcBorders>
              <w:top w:val="single" w:sz="6" w:space="0" w:color="0063A6" w:themeColor="accent1"/>
              <w:bottom w:val="single" w:sz="6" w:space="0" w:color="0063A6" w:themeColor="accent1"/>
            </w:tcBorders>
          </w:tcPr>
          <w:p w:rsidR="00680341" w:rsidRPr="001472C1" w:rsidRDefault="00680341" w:rsidP="006A6D46">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No </w:t>
            </w:r>
            <w:r w:rsidR="002E4127" w:rsidRPr="001472C1">
              <w:rPr>
                <w:color w:val="0063A6" w:themeColor="accent1"/>
              </w:rPr>
              <w:t xml:space="preserve">significant content </w:t>
            </w:r>
            <w:r w:rsidRPr="001472C1">
              <w:rPr>
                <w:color w:val="0063A6" w:themeColor="accent1"/>
              </w:rPr>
              <w:t>changes</w:t>
            </w:r>
            <w:r w:rsidR="00072C43" w:rsidRPr="001472C1">
              <w:rPr>
                <w:color w:val="0063A6" w:themeColor="accent1"/>
              </w:rPr>
              <w:t>.</w:t>
            </w:r>
          </w:p>
        </w:tc>
      </w:tr>
      <w:tr w:rsidR="00680341" w:rsidRPr="00B105F5" w:rsidTr="001472C1">
        <w:trPr>
          <w:trHeight w:val="529"/>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680341" w:rsidRDefault="00680341" w:rsidP="0019388A">
            <w:pPr>
              <w:pStyle w:val="Tabletextbold"/>
              <w:spacing w:before="60" w:after="60"/>
            </w:pPr>
          </w:p>
        </w:tc>
        <w:tc>
          <w:tcPr>
            <w:tcW w:w="1183" w:type="pct"/>
            <w:tcBorders>
              <w:top w:val="single" w:sz="6" w:space="0" w:color="0063A6" w:themeColor="accent1"/>
              <w:bottom w:val="single" w:sz="6" w:space="0" w:color="0063A6" w:themeColor="accent1"/>
            </w:tcBorders>
          </w:tcPr>
          <w:p w:rsidR="00680341" w:rsidRPr="001472C1" w:rsidRDefault="00680341" w:rsidP="00680341">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rPr>
            </w:pPr>
            <w:r w:rsidRPr="001472C1">
              <w:rPr>
                <w:color w:val="000000" w:themeColor="text1"/>
              </w:rPr>
              <w:t>Supplementation under section 35 of the FMA</w:t>
            </w:r>
          </w:p>
        </w:tc>
        <w:tc>
          <w:tcPr>
            <w:tcW w:w="632" w:type="pct"/>
            <w:tcBorders>
              <w:top w:val="single" w:sz="6" w:space="0" w:color="0063A6" w:themeColor="accent1"/>
              <w:bottom w:val="single" w:sz="6" w:space="0" w:color="0063A6" w:themeColor="accent1"/>
            </w:tcBorders>
          </w:tcPr>
          <w:p w:rsidR="00680341" w:rsidRPr="005261E1"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pPr>
            <w:r w:rsidRPr="005261E1">
              <w:t>BOF 1.4</w:t>
            </w:r>
          </w:p>
        </w:tc>
        <w:tc>
          <w:tcPr>
            <w:tcW w:w="598" w:type="pct"/>
            <w:tcBorders>
              <w:top w:val="single" w:sz="6" w:space="0" w:color="0063A6" w:themeColor="accent1"/>
              <w:bottom w:val="single" w:sz="6" w:space="0" w:color="0063A6" w:themeColor="accent1"/>
            </w:tcBorders>
          </w:tcPr>
          <w:p w:rsidR="00680341" w:rsidRPr="00653F72" w:rsidRDefault="00BD3D7E" w:rsidP="005C33F8">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4.5</w:t>
            </w:r>
          </w:p>
        </w:tc>
        <w:tc>
          <w:tcPr>
            <w:tcW w:w="1860" w:type="pct"/>
            <w:tcBorders>
              <w:top w:val="single" w:sz="6" w:space="0" w:color="0063A6" w:themeColor="accent1"/>
              <w:bottom w:val="single" w:sz="6" w:space="0" w:color="0063A6" w:themeColor="accent1"/>
            </w:tcBorders>
          </w:tcPr>
          <w:p w:rsidR="00680341" w:rsidRPr="001472C1" w:rsidRDefault="00680341" w:rsidP="00D15BA8">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Added Mandatory requirement </w:t>
            </w:r>
            <w:r w:rsidR="002448D6" w:rsidRPr="001472C1">
              <w:rPr>
                <w:color w:val="0063A6" w:themeColor="accent1"/>
              </w:rPr>
              <w:t>for</w:t>
            </w:r>
            <w:r w:rsidRPr="001472C1">
              <w:rPr>
                <w:color w:val="0063A6" w:themeColor="accent1"/>
              </w:rPr>
              <w:t xml:space="preserve"> discussion o</w:t>
            </w:r>
            <w:r w:rsidR="009D5DF6" w:rsidRPr="001472C1">
              <w:rPr>
                <w:color w:val="0063A6" w:themeColor="accent1"/>
              </w:rPr>
              <w:t>f request before letter is sent</w:t>
            </w:r>
            <w:r w:rsidR="00072C43" w:rsidRPr="001472C1">
              <w:rPr>
                <w:color w:val="0063A6" w:themeColor="accent1"/>
              </w:rPr>
              <w:t>.</w:t>
            </w:r>
            <w:r w:rsidRPr="001472C1">
              <w:rPr>
                <w:color w:val="0063A6" w:themeColor="accent1"/>
              </w:rPr>
              <w:t xml:space="preserve"> </w:t>
            </w:r>
          </w:p>
        </w:tc>
      </w:tr>
      <w:tr w:rsidR="00680341" w:rsidRPr="00B105F5" w:rsidTr="001472C1">
        <w:trPr>
          <w:trHeight w:val="739"/>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680341" w:rsidRDefault="00680341" w:rsidP="0019388A">
            <w:pPr>
              <w:pStyle w:val="Tabletextbold"/>
              <w:spacing w:before="60" w:after="60"/>
            </w:pPr>
          </w:p>
        </w:tc>
        <w:tc>
          <w:tcPr>
            <w:tcW w:w="1183" w:type="pct"/>
            <w:tcBorders>
              <w:top w:val="single" w:sz="6" w:space="0" w:color="0063A6" w:themeColor="accent1"/>
              <w:bottom w:val="single" w:sz="6" w:space="0" w:color="0063A6" w:themeColor="accent1"/>
            </w:tcBorders>
          </w:tcPr>
          <w:p w:rsidR="00680341" w:rsidRPr="001472C1" w:rsidRDefault="00680341" w:rsidP="005C33F8">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rPr>
            </w:pPr>
            <w:r w:rsidRPr="001472C1">
              <w:rPr>
                <w:color w:val="000000" w:themeColor="text1"/>
              </w:rPr>
              <w:t>Borrowing against future appropriations</w:t>
            </w:r>
            <w:r w:rsidR="001472C1">
              <w:rPr>
                <w:color w:val="000000" w:themeColor="text1"/>
              </w:rPr>
              <w:t xml:space="preserve"> – </w:t>
            </w:r>
            <w:r w:rsidRPr="001472C1">
              <w:rPr>
                <w:color w:val="000000" w:themeColor="text1"/>
              </w:rPr>
              <w:t>section 28 of the FMA</w:t>
            </w:r>
          </w:p>
        </w:tc>
        <w:tc>
          <w:tcPr>
            <w:tcW w:w="632" w:type="pct"/>
            <w:tcBorders>
              <w:top w:val="single" w:sz="6" w:space="0" w:color="0063A6" w:themeColor="accent1"/>
              <w:bottom w:val="single" w:sz="6" w:space="0" w:color="0063A6" w:themeColor="accent1"/>
            </w:tcBorders>
          </w:tcPr>
          <w:p w:rsidR="00680341" w:rsidRPr="005261E1"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pPr>
            <w:r w:rsidRPr="005261E1">
              <w:t>BOF 1.5</w:t>
            </w:r>
          </w:p>
        </w:tc>
        <w:tc>
          <w:tcPr>
            <w:tcW w:w="598" w:type="pct"/>
            <w:tcBorders>
              <w:top w:val="single" w:sz="6" w:space="0" w:color="0063A6" w:themeColor="accent1"/>
              <w:bottom w:val="single" w:sz="6" w:space="0" w:color="0063A6" w:themeColor="accent1"/>
            </w:tcBorders>
          </w:tcPr>
          <w:p w:rsidR="00680341" w:rsidRPr="00653F72" w:rsidRDefault="00BD3D7E" w:rsidP="005C33F8">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4.6</w:t>
            </w:r>
          </w:p>
        </w:tc>
        <w:tc>
          <w:tcPr>
            <w:tcW w:w="1860" w:type="pct"/>
            <w:tcBorders>
              <w:top w:val="single" w:sz="6" w:space="0" w:color="0063A6" w:themeColor="accent1"/>
              <w:bottom w:val="single" w:sz="6" w:space="0" w:color="0063A6" w:themeColor="accent1"/>
            </w:tcBorders>
          </w:tcPr>
          <w:p w:rsidR="00680341" w:rsidRPr="001472C1" w:rsidRDefault="00680341" w:rsidP="007E084E">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Added Mandatory requirement </w:t>
            </w:r>
            <w:r w:rsidR="002448D6" w:rsidRPr="001472C1">
              <w:rPr>
                <w:color w:val="0063A6" w:themeColor="accent1"/>
              </w:rPr>
              <w:t xml:space="preserve">for </w:t>
            </w:r>
            <w:r w:rsidRPr="001472C1">
              <w:rPr>
                <w:color w:val="0063A6" w:themeColor="accent1"/>
              </w:rPr>
              <w:t>discussion o</w:t>
            </w:r>
            <w:r w:rsidR="009D5DF6" w:rsidRPr="001472C1">
              <w:rPr>
                <w:color w:val="0063A6" w:themeColor="accent1"/>
              </w:rPr>
              <w:t>f request before letter is sent</w:t>
            </w:r>
            <w:r w:rsidR="00072C43" w:rsidRPr="001472C1">
              <w:rPr>
                <w:color w:val="0063A6" w:themeColor="accent1"/>
              </w:rPr>
              <w:t>.</w:t>
            </w:r>
            <w:r w:rsidRPr="001472C1">
              <w:rPr>
                <w:color w:val="0063A6" w:themeColor="accent1"/>
              </w:rPr>
              <w:t xml:space="preserve"> </w:t>
            </w:r>
          </w:p>
        </w:tc>
      </w:tr>
      <w:tr w:rsidR="00680341"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680341" w:rsidRDefault="00680341" w:rsidP="0019388A">
            <w:pPr>
              <w:pStyle w:val="Tabletextbold"/>
              <w:spacing w:before="60" w:after="60"/>
            </w:pPr>
          </w:p>
        </w:tc>
        <w:tc>
          <w:tcPr>
            <w:tcW w:w="1183" w:type="pct"/>
            <w:tcBorders>
              <w:top w:val="single" w:sz="6" w:space="0" w:color="0063A6" w:themeColor="accent1"/>
              <w:bottom w:val="single" w:sz="6" w:space="0" w:color="0063A6" w:themeColor="accent1"/>
            </w:tcBorders>
          </w:tcPr>
          <w:p w:rsidR="00680341" w:rsidRPr="001472C1" w:rsidRDefault="00680341" w:rsidP="005C33F8">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rPr>
            </w:pPr>
            <w:r w:rsidRPr="001472C1">
              <w:rPr>
                <w:color w:val="000000" w:themeColor="text1"/>
              </w:rPr>
              <w:t>Transfers between items o</w:t>
            </w:r>
            <w:r w:rsidR="00727D05" w:rsidRPr="001472C1">
              <w:rPr>
                <w:color w:val="000000" w:themeColor="text1"/>
              </w:rPr>
              <w:t>f d</w:t>
            </w:r>
            <w:r w:rsidRPr="001472C1">
              <w:rPr>
                <w:color w:val="000000" w:themeColor="text1"/>
              </w:rPr>
              <w:t>epartmental appropriation – section 30 of the FMA</w:t>
            </w:r>
          </w:p>
        </w:tc>
        <w:tc>
          <w:tcPr>
            <w:tcW w:w="632" w:type="pct"/>
            <w:tcBorders>
              <w:top w:val="single" w:sz="6" w:space="0" w:color="0063A6" w:themeColor="accent1"/>
              <w:bottom w:val="single" w:sz="6" w:space="0" w:color="0063A6" w:themeColor="accent1"/>
            </w:tcBorders>
          </w:tcPr>
          <w:p w:rsidR="00680341" w:rsidRPr="005261E1"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pPr>
            <w:r w:rsidRPr="005261E1">
              <w:t>BOF 1.6</w:t>
            </w:r>
          </w:p>
        </w:tc>
        <w:tc>
          <w:tcPr>
            <w:tcW w:w="598" w:type="pct"/>
            <w:tcBorders>
              <w:top w:val="single" w:sz="6" w:space="0" w:color="0063A6" w:themeColor="accent1"/>
              <w:bottom w:val="single" w:sz="6" w:space="0" w:color="0063A6" w:themeColor="accent1"/>
            </w:tcBorders>
          </w:tcPr>
          <w:p w:rsidR="00680341" w:rsidRPr="00653F72" w:rsidRDefault="00BD3D7E" w:rsidP="005C33F8">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4.7</w:t>
            </w:r>
          </w:p>
        </w:tc>
        <w:tc>
          <w:tcPr>
            <w:tcW w:w="1860" w:type="pct"/>
            <w:tcBorders>
              <w:top w:val="single" w:sz="6" w:space="0" w:color="0063A6" w:themeColor="accent1"/>
              <w:bottom w:val="single" w:sz="6" w:space="0" w:color="0063A6" w:themeColor="accent1"/>
            </w:tcBorders>
          </w:tcPr>
          <w:p w:rsidR="00680341" w:rsidRPr="001472C1" w:rsidRDefault="00680341" w:rsidP="007E084E">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Added Mandatory requirement </w:t>
            </w:r>
            <w:r w:rsidR="002448D6" w:rsidRPr="001472C1">
              <w:rPr>
                <w:color w:val="0063A6" w:themeColor="accent1"/>
              </w:rPr>
              <w:t>for</w:t>
            </w:r>
            <w:r w:rsidRPr="001472C1">
              <w:rPr>
                <w:color w:val="0063A6" w:themeColor="accent1"/>
              </w:rPr>
              <w:t xml:space="preserve"> discussion of</w:t>
            </w:r>
            <w:r w:rsidR="009D5DF6" w:rsidRPr="001472C1">
              <w:rPr>
                <w:color w:val="0063A6" w:themeColor="accent1"/>
              </w:rPr>
              <w:t xml:space="preserve"> request before letter is sent</w:t>
            </w:r>
            <w:r w:rsidR="00072C43" w:rsidRPr="001472C1">
              <w:rPr>
                <w:color w:val="0063A6" w:themeColor="accent1"/>
              </w:rPr>
              <w:t>.</w:t>
            </w:r>
          </w:p>
        </w:tc>
      </w:tr>
      <w:tr w:rsidR="00680341"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680341" w:rsidRDefault="00680341" w:rsidP="0019388A">
            <w:pPr>
              <w:pStyle w:val="Tabletextbold"/>
              <w:spacing w:before="60" w:after="60"/>
            </w:pPr>
          </w:p>
        </w:tc>
        <w:tc>
          <w:tcPr>
            <w:tcW w:w="1183" w:type="pct"/>
            <w:tcBorders>
              <w:top w:val="single" w:sz="6" w:space="0" w:color="0063A6" w:themeColor="accent1"/>
              <w:bottom w:val="single" w:sz="6" w:space="0" w:color="0063A6" w:themeColor="accent1"/>
            </w:tcBorders>
          </w:tcPr>
          <w:p w:rsidR="00680341" w:rsidRPr="001472C1" w:rsidRDefault="00680341" w:rsidP="005C33F8">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color w:val="000000" w:themeColor="text1"/>
              </w:rPr>
            </w:pPr>
            <w:r w:rsidRPr="001472C1">
              <w:rPr>
                <w:b w:val="0"/>
                <w:color w:val="000000" w:themeColor="text1"/>
              </w:rPr>
              <w:t xml:space="preserve">Carryover </w:t>
            </w:r>
            <w:r w:rsidR="00C404C6" w:rsidRPr="001472C1">
              <w:rPr>
                <w:b w:val="0"/>
                <w:color w:val="000000" w:themeColor="text1"/>
              </w:rPr>
              <w:t>of unused appropriation</w:t>
            </w:r>
            <w:r w:rsidRPr="001472C1">
              <w:rPr>
                <w:b w:val="0"/>
                <w:color w:val="000000" w:themeColor="text1"/>
              </w:rPr>
              <w:t xml:space="preserve"> – section 32 of the FMA</w:t>
            </w:r>
          </w:p>
        </w:tc>
        <w:tc>
          <w:tcPr>
            <w:tcW w:w="632" w:type="pct"/>
            <w:tcBorders>
              <w:top w:val="single" w:sz="6" w:space="0" w:color="0063A6" w:themeColor="accent1"/>
              <w:bottom w:val="single" w:sz="6" w:space="0" w:color="0063A6" w:themeColor="accent1"/>
            </w:tcBorders>
          </w:tcPr>
          <w:p w:rsidR="00680341" w:rsidRPr="005261E1"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pPr>
            <w:r w:rsidRPr="005261E1">
              <w:t>BOF 1.7</w:t>
            </w:r>
          </w:p>
        </w:tc>
        <w:tc>
          <w:tcPr>
            <w:tcW w:w="598" w:type="pct"/>
            <w:tcBorders>
              <w:top w:val="single" w:sz="6" w:space="0" w:color="0063A6" w:themeColor="accent1"/>
              <w:bottom w:val="single" w:sz="6" w:space="0" w:color="0063A6" w:themeColor="accent1"/>
            </w:tcBorders>
          </w:tcPr>
          <w:p w:rsidR="00680341" w:rsidRPr="00653F72" w:rsidRDefault="00BD3D7E" w:rsidP="005C33F8">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4.8</w:t>
            </w:r>
          </w:p>
        </w:tc>
        <w:tc>
          <w:tcPr>
            <w:tcW w:w="1860" w:type="pct"/>
            <w:tcBorders>
              <w:top w:val="single" w:sz="6" w:space="0" w:color="0063A6" w:themeColor="accent1"/>
              <w:bottom w:val="single" w:sz="6" w:space="0" w:color="0063A6" w:themeColor="accent1"/>
            </w:tcBorders>
          </w:tcPr>
          <w:p w:rsidR="000B5EAD" w:rsidRPr="001472C1" w:rsidRDefault="000B5EAD" w:rsidP="000B5EAD">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Addition of mandatory requirements:</w:t>
            </w:r>
          </w:p>
          <w:p w:rsidR="000B5EAD" w:rsidRPr="001472C1" w:rsidRDefault="000B5EAD" w:rsidP="001472C1">
            <w:pPr>
              <w:pStyle w:val="Tablebullet"/>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clarifying that only the Treasurer is permitted under the </w:t>
            </w:r>
            <w:r w:rsidR="004C0EFB" w:rsidRPr="001472C1">
              <w:rPr>
                <w:color w:val="0063A6" w:themeColor="accent1"/>
              </w:rPr>
              <w:t>FMA</w:t>
            </w:r>
            <w:r w:rsidRPr="001472C1">
              <w:rPr>
                <w:color w:val="0063A6" w:themeColor="accent1"/>
              </w:rPr>
              <w:t xml:space="preserve"> to carry over any unapplied appropriation; </w:t>
            </w:r>
          </w:p>
          <w:p w:rsidR="0098488A" w:rsidRPr="001472C1" w:rsidRDefault="000B5EAD" w:rsidP="001472C1">
            <w:pPr>
              <w:pStyle w:val="Tablebullet"/>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departments to follow any additional assessment criteria provided by DTF on carryover requests;</w:t>
            </w:r>
            <w:r w:rsidR="00BD4A6A" w:rsidRPr="001472C1">
              <w:rPr>
                <w:color w:val="0063A6" w:themeColor="accent1"/>
              </w:rPr>
              <w:t xml:space="preserve"> and</w:t>
            </w:r>
          </w:p>
          <w:p w:rsidR="000B5EAD" w:rsidRPr="001472C1" w:rsidRDefault="00680341" w:rsidP="001472C1">
            <w:pPr>
              <w:pStyle w:val="Tablebullet"/>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discussion of</w:t>
            </w:r>
            <w:r w:rsidR="005B36B6" w:rsidRPr="001472C1">
              <w:rPr>
                <w:color w:val="0063A6" w:themeColor="accent1"/>
              </w:rPr>
              <w:t xml:space="preserve"> </w:t>
            </w:r>
            <w:r w:rsidR="000B5EAD" w:rsidRPr="001472C1">
              <w:rPr>
                <w:color w:val="0063A6" w:themeColor="accent1"/>
              </w:rPr>
              <w:t xml:space="preserve">any carryover </w:t>
            </w:r>
            <w:r w:rsidR="005B36B6" w:rsidRPr="001472C1">
              <w:rPr>
                <w:color w:val="0063A6" w:themeColor="accent1"/>
              </w:rPr>
              <w:t xml:space="preserve">request before </w:t>
            </w:r>
            <w:r w:rsidR="000B5EAD" w:rsidRPr="001472C1">
              <w:rPr>
                <w:color w:val="0063A6" w:themeColor="accent1"/>
              </w:rPr>
              <w:t xml:space="preserve">a </w:t>
            </w:r>
            <w:r w:rsidR="005B36B6" w:rsidRPr="001472C1">
              <w:rPr>
                <w:color w:val="0063A6" w:themeColor="accent1"/>
              </w:rPr>
              <w:t>letter is sent</w:t>
            </w:r>
            <w:r w:rsidR="00924C9F" w:rsidRPr="001472C1">
              <w:rPr>
                <w:color w:val="0063A6" w:themeColor="accent1"/>
              </w:rPr>
              <w:t>.</w:t>
            </w:r>
          </w:p>
          <w:p w:rsidR="00680341" w:rsidRPr="001472C1" w:rsidRDefault="00924C9F" w:rsidP="000B5EAD">
            <w:pPr>
              <w:spacing w:before="60" w:after="60"/>
              <w:ind w:left="2"/>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Guidance inserted to clarify when a warrant is </w:t>
            </w:r>
            <w:r w:rsidR="00C17E2B" w:rsidRPr="001472C1">
              <w:rPr>
                <w:color w:val="0063A6" w:themeColor="accent1"/>
              </w:rPr>
              <w:t xml:space="preserve">not </w:t>
            </w:r>
            <w:r w:rsidRPr="001472C1">
              <w:rPr>
                <w:color w:val="0063A6" w:themeColor="accent1"/>
              </w:rPr>
              <w:t>required</w:t>
            </w:r>
            <w:r w:rsidR="000B5EAD" w:rsidRPr="001472C1">
              <w:rPr>
                <w:color w:val="0063A6" w:themeColor="accent1"/>
              </w:rPr>
              <w:t xml:space="preserve"> with</w:t>
            </w:r>
            <w:r w:rsidR="005B36B6" w:rsidRPr="001472C1">
              <w:rPr>
                <w:color w:val="0063A6" w:themeColor="accent1"/>
              </w:rPr>
              <w:t xml:space="preserve"> regards to</w:t>
            </w:r>
            <w:r w:rsidR="00AC36E0" w:rsidRPr="001472C1">
              <w:rPr>
                <w:color w:val="0063A6" w:themeColor="accent1"/>
              </w:rPr>
              <w:t xml:space="preserve"> a</w:t>
            </w:r>
            <w:r w:rsidR="005B36B6" w:rsidRPr="001472C1">
              <w:rPr>
                <w:color w:val="0063A6" w:themeColor="accent1"/>
              </w:rPr>
              <w:t xml:space="preserve"> carryover request</w:t>
            </w:r>
            <w:r w:rsidR="000B5EAD" w:rsidRPr="001472C1">
              <w:rPr>
                <w:color w:val="0063A6" w:themeColor="accent1"/>
              </w:rPr>
              <w:t>.</w:t>
            </w:r>
          </w:p>
        </w:tc>
      </w:tr>
      <w:tr w:rsidR="00680341"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680341" w:rsidRDefault="00680341" w:rsidP="0019388A">
            <w:pPr>
              <w:pStyle w:val="Tabletextbold"/>
              <w:spacing w:before="60" w:after="60"/>
            </w:pPr>
          </w:p>
        </w:tc>
        <w:tc>
          <w:tcPr>
            <w:tcW w:w="1183" w:type="pct"/>
            <w:tcBorders>
              <w:top w:val="single" w:sz="6" w:space="0" w:color="0063A6" w:themeColor="accent1"/>
              <w:bottom w:val="single" w:sz="6" w:space="0" w:color="0063A6" w:themeColor="accent1"/>
            </w:tcBorders>
          </w:tcPr>
          <w:p w:rsidR="00680341" w:rsidRPr="001472C1" w:rsidRDefault="00680341" w:rsidP="005C33F8">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rPr>
            </w:pPr>
            <w:r w:rsidRPr="001472C1">
              <w:rPr>
                <w:color w:val="000000" w:themeColor="text1"/>
              </w:rPr>
              <w:t>Access to previously appropriated amounts under section 33 of the FMA</w:t>
            </w:r>
          </w:p>
        </w:tc>
        <w:tc>
          <w:tcPr>
            <w:tcW w:w="632" w:type="pct"/>
            <w:tcBorders>
              <w:top w:val="single" w:sz="6" w:space="0" w:color="0063A6" w:themeColor="accent1"/>
              <w:bottom w:val="single" w:sz="6" w:space="0" w:color="0063A6" w:themeColor="accent1"/>
            </w:tcBorders>
          </w:tcPr>
          <w:p w:rsidR="00680341" w:rsidRPr="005261E1"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pPr>
            <w:r w:rsidRPr="005261E1">
              <w:t>BOF 1.8</w:t>
            </w:r>
          </w:p>
        </w:tc>
        <w:tc>
          <w:tcPr>
            <w:tcW w:w="598" w:type="pct"/>
            <w:tcBorders>
              <w:top w:val="single" w:sz="6" w:space="0" w:color="0063A6" w:themeColor="accent1"/>
              <w:bottom w:val="single" w:sz="6" w:space="0" w:color="0063A6" w:themeColor="accent1"/>
            </w:tcBorders>
          </w:tcPr>
          <w:p w:rsidR="00680341" w:rsidRPr="00653F72" w:rsidRDefault="00BD3D7E" w:rsidP="005C33F8">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4.9</w:t>
            </w:r>
          </w:p>
        </w:tc>
        <w:tc>
          <w:tcPr>
            <w:tcW w:w="1860" w:type="pct"/>
            <w:tcBorders>
              <w:top w:val="single" w:sz="6" w:space="0" w:color="0063A6" w:themeColor="accent1"/>
              <w:bottom w:val="single" w:sz="6" w:space="0" w:color="0063A6" w:themeColor="accent1"/>
            </w:tcBorders>
          </w:tcPr>
          <w:p w:rsidR="00680341" w:rsidRPr="001472C1" w:rsidRDefault="00680341" w:rsidP="007E084E">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Added Mandatory requirement </w:t>
            </w:r>
            <w:r w:rsidR="002448D6" w:rsidRPr="001472C1">
              <w:rPr>
                <w:color w:val="0063A6" w:themeColor="accent1"/>
              </w:rPr>
              <w:t>for</w:t>
            </w:r>
            <w:r w:rsidRPr="001472C1">
              <w:rPr>
                <w:color w:val="0063A6" w:themeColor="accent1"/>
              </w:rPr>
              <w:t xml:space="preserve"> discussion of</w:t>
            </w:r>
            <w:r w:rsidR="009D5DF6" w:rsidRPr="001472C1">
              <w:rPr>
                <w:color w:val="0063A6" w:themeColor="accent1"/>
              </w:rPr>
              <w:t xml:space="preserve"> request before letter is sent</w:t>
            </w:r>
            <w:r w:rsidR="00072C43" w:rsidRPr="001472C1">
              <w:rPr>
                <w:color w:val="0063A6" w:themeColor="accent1"/>
              </w:rPr>
              <w:t>.</w:t>
            </w:r>
          </w:p>
        </w:tc>
      </w:tr>
      <w:tr w:rsidR="00680341"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680341" w:rsidRDefault="00680341" w:rsidP="0019388A">
            <w:pPr>
              <w:pStyle w:val="Tabletextbold"/>
              <w:spacing w:before="60" w:after="60"/>
            </w:pPr>
          </w:p>
        </w:tc>
        <w:tc>
          <w:tcPr>
            <w:tcW w:w="1183" w:type="pct"/>
            <w:tcBorders>
              <w:top w:val="single" w:sz="6" w:space="0" w:color="0063A6" w:themeColor="accent1"/>
              <w:bottom w:val="single" w:sz="6" w:space="0" w:color="0063A6" w:themeColor="accent1"/>
            </w:tcBorders>
          </w:tcPr>
          <w:p w:rsidR="00680341" w:rsidRPr="001472C1" w:rsidRDefault="00680341" w:rsidP="005C33F8">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rPr>
            </w:pPr>
            <w:r w:rsidRPr="001472C1">
              <w:rPr>
                <w:color w:val="000000" w:themeColor="text1"/>
              </w:rPr>
              <w:t xml:space="preserve">Public Account </w:t>
            </w:r>
            <w:r w:rsidR="00991D06">
              <w:rPr>
                <w:color w:val="000000" w:themeColor="text1"/>
              </w:rPr>
              <w:t>a</w:t>
            </w:r>
            <w:r w:rsidRPr="001472C1">
              <w:rPr>
                <w:color w:val="000000" w:themeColor="text1"/>
              </w:rPr>
              <w:t xml:space="preserve">dvances </w:t>
            </w:r>
            <w:r w:rsidR="00C404C6" w:rsidRPr="001472C1">
              <w:rPr>
                <w:color w:val="000000" w:themeColor="text1"/>
              </w:rPr>
              <w:t xml:space="preserve">– </w:t>
            </w:r>
            <w:r w:rsidRPr="001472C1">
              <w:rPr>
                <w:color w:val="000000" w:themeColor="text1"/>
              </w:rPr>
              <w:t>section 37</w:t>
            </w:r>
            <w:r w:rsidR="00F42542" w:rsidRPr="001472C1">
              <w:rPr>
                <w:color w:val="000000" w:themeColor="text1"/>
              </w:rPr>
              <w:t xml:space="preserve"> of the FMA</w:t>
            </w:r>
          </w:p>
        </w:tc>
        <w:tc>
          <w:tcPr>
            <w:tcW w:w="632" w:type="pct"/>
            <w:tcBorders>
              <w:top w:val="single" w:sz="6" w:space="0" w:color="0063A6" w:themeColor="accent1"/>
              <w:bottom w:val="single" w:sz="6" w:space="0" w:color="0063A6" w:themeColor="accent1"/>
            </w:tcBorders>
          </w:tcPr>
          <w:p w:rsidR="00680341" w:rsidRPr="005261E1"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pPr>
            <w:r w:rsidRPr="005261E1">
              <w:t>BOF 1.9</w:t>
            </w:r>
          </w:p>
        </w:tc>
        <w:tc>
          <w:tcPr>
            <w:tcW w:w="598" w:type="pct"/>
            <w:tcBorders>
              <w:top w:val="single" w:sz="6" w:space="0" w:color="0063A6" w:themeColor="accent1"/>
              <w:bottom w:val="single" w:sz="6" w:space="0" w:color="0063A6" w:themeColor="accent1"/>
            </w:tcBorders>
          </w:tcPr>
          <w:p w:rsidR="00680341" w:rsidRPr="00653F72" w:rsidRDefault="00BD3D7E" w:rsidP="005C33F8">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4.10</w:t>
            </w:r>
          </w:p>
        </w:tc>
        <w:tc>
          <w:tcPr>
            <w:tcW w:w="1860" w:type="pct"/>
            <w:tcBorders>
              <w:top w:val="single" w:sz="6" w:space="0" w:color="0063A6" w:themeColor="accent1"/>
              <w:bottom w:val="single" w:sz="6" w:space="0" w:color="0063A6" w:themeColor="accent1"/>
            </w:tcBorders>
          </w:tcPr>
          <w:p w:rsidR="00680341" w:rsidRPr="001472C1" w:rsidRDefault="00680341" w:rsidP="007E084E">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Added Mandatory requirement </w:t>
            </w:r>
            <w:r w:rsidR="002448D6" w:rsidRPr="001472C1">
              <w:rPr>
                <w:color w:val="0063A6" w:themeColor="accent1"/>
              </w:rPr>
              <w:t>for</w:t>
            </w:r>
            <w:r w:rsidRPr="001472C1">
              <w:rPr>
                <w:color w:val="0063A6" w:themeColor="accent1"/>
              </w:rPr>
              <w:t xml:space="preserve"> discussion of</w:t>
            </w:r>
            <w:r w:rsidR="009D5DF6" w:rsidRPr="001472C1">
              <w:rPr>
                <w:color w:val="0063A6" w:themeColor="accent1"/>
              </w:rPr>
              <w:t xml:space="preserve"> request before letter is sent</w:t>
            </w:r>
            <w:r w:rsidR="00072C43" w:rsidRPr="001472C1">
              <w:rPr>
                <w:color w:val="0063A6" w:themeColor="accent1"/>
              </w:rPr>
              <w:t>.</w:t>
            </w:r>
          </w:p>
        </w:tc>
      </w:tr>
      <w:tr w:rsidR="00680341"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680341" w:rsidRDefault="00680341" w:rsidP="0019388A">
            <w:pPr>
              <w:pStyle w:val="Tabletextbold"/>
              <w:spacing w:before="60" w:after="60"/>
            </w:pPr>
          </w:p>
        </w:tc>
        <w:tc>
          <w:tcPr>
            <w:tcW w:w="1183" w:type="pct"/>
            <w:tcBorders>
              <w:top w:val="single" w:sz="6" w:space="0" w:color="0063A6" w:themeColor="accent1"/>
              <w:bottom w:val="single" w:sz="6" w:space="0" w:color="0063A6" w:themeColor="accent1"/>
            </w:tcBorders>
          </w:tcPr>
          <w:p w:rsidR="00680341" w:rsidRPr="001472C1" w:rsidRDefault="00680341" w:rsidP="005C33F8">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Departmental surpluses</w:t>
            </w:r>
          </w:p>
        </w:tc>
        <w:tc>
          <w:tcPr>
            <w:tcW w:w="632" w:type="pct"/>
            <w:tcBorders>
              <w:top w:val="single" w:sz="6" w:space="0" w:color="0063A6" w:themeColor="accent1"/>
              <w:bottom w:val="single" w:sz="6" w:space="0" w:color="0063A6" w:themeColor="accent1"/>
            </w:tcBorders>
          </w:tcPr>
          <w:p w:rsidR="00680341" w:rsidRPr="00B105F5"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pPr>
            <w:r>
              <w:t xml:space="preserve">2.1 </w:t>
            </w:r>
          </w:p>
        </w:tc>
        <w:tc>
          <w:tcPr>
            <w:tcW w:w="598" w:type="pct"/>
            <w:tcBorders>
              <w:top w:val="single" w:sz="6" w:space="0" w:color="0063A6" w:themeColor="accent1"/>
              <w:bottom w:val="single" w:sz="6" w:space="0" w:color="0063A6" w:themeColor="accent1"/>
            </w:tcBorders>
          </w:tcPr>
          <w:p w:rsidR="00680341" w:rsidRPr="00653F72" w:rsidRDefault="00BD3D7E" w:rsidP="005C33F8">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4.11</w:t>
            </w:r>
          </w:p>
        </w:tc>
        <w:tc>
          <w:tcPr>
            <w:tcW w:w="1860" w:type="pct"/>
            <w:tcBorders>
              <w:top w:val="single" w:sz="6" w:space="0" w:color="0063A6" w:themeColor="accent1"/>
              <w:bottom w:val="single" w:sz="6" w:space="0" w:color="0063A6" w:themeColor="accent1"/>
            </w:tcBorders>
          </w:tcPr>
          <w:p w:rsidR="00680341" w:rsidRPr="001472C1" w:rsidRDefault="002F7885" w:rsidP="005C33F8">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Mandatory requirement revised to remove duplication of instructions with section 4.9. </w:t>
            </w:r>
          </w:p>
        </w:tc>
      </w:tr>
      <w:tr w:rsidR="00680341"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680341" w:rsidRDefault="00680341" w:rsidP="0019388A">
            <w:pPr>
              <w:pStyle w:val="Tabletextbold"/>
              <w:spacing w:before="60" w:after="60"/>
            </w:pPr>
          </w:p>
        </w:tc>
        <w:tc>
          <w:tcPr>
            <w:tcW w:w="1183" w:type="pct"/>
            <w:tcBorders>
              <w:top w:val="single" w:sz="6" w:space="0" w:color="0063A6" w:themeColor="accent1"/>
              <w:bottom w:val="single" w:sz="6" w:space="0" w:color="0063A6" w:themeColor="accent1"/>
            </w:tcBorders>
          </w:tcPr>
          <w:p w:rsidR="00680341" w:rsidRPr="001472C1" w:rsidRDefault="00680341" w:rsidP="005C33F8">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Depreciation and depreciation equivalent</w:t>
            </w:r>
          </w:p>
        </w:tc>
        <w:tc>
          <w:tcPr>
            <w:tcW w:w="632" w:type="pct"/>
            <w:tcBorders>
              <w:top w:val="single" w:sz="6" w:space="0" w:color="0063A6" w:themeColor="accent1"/>
              <w:bottom w:val="single" w:sz="6" w:space="0" w:color="0063A6" w:themeColor="accent1"/>
            </w:tcBorders>
          </w:tcPr>
          <w:p w:rsidR="00680341" w:rsidRPr="00B105F5"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pPr>
            <w:r>
              <w:t>2</w:t>
            </w:r>
            <w:r w:rsidRPr="00B105F5">
              <w:t>.2</w:t>
            </w:r>
          </w:p>
        </w:tc>
        <w:tc>
          <w:tcPr>
            <w:tcW w:w="598" w:type="pct"/>
            <w:tcBorders>
              <w:top w:val="single" w:sz="6" w:space="0" w:color="0063A6" w:themeColor="accent1"/>
              <w:bottom w:val="single" w:sz="6" w:space="0" w:color="0063A6" w:themeColor="accent1"/>
            </w:tcBorders>
          </w:tcPr>
          <w:p w:rsidR="00680341" w:rsidRPr="00653F72" w:rsidRDefault="00BD3D7E" w:rsidP="005C33F8">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4.12</w:t>
            </w:r>
          </w:p>
        </w:tc>
        <w:tc>
          <w:tcPr>
            <w:tcW w:w="1860" w:type="pct"/>
            <w:tcBorders>
              <w:top w:val="single" w:sz="6" w:space="0" w:color="0063A6" w:themeColor="accent1"/>
              <w:bottom w:val="single" w:sz="6" w:space="0" w:color="0063A6" w:themeColor="accent1"/>
            </w:tcBorders>
          </w:tcPr>
          <w:p w:rsidR="00680341" w:rsidRPr="001472C1" w:rsidRDefault="001620E0" w:rsidP="006A6D46">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Added note </w:t>
            </w:r>
            <w:r w:rsidR="005B36B6" w:rsidRPr="001472C1">
              <w:rPr>
                <w:color w:val="0063A6" w:themeColor="accent1"/>
              </w:rPr>
              <w:t>on the funding of interest expense on the liability for Service Concession assets (see Policy changes summary table above)</w:t>
            </w:r>
            <w:r w:rsidR="00072C43" w:rsidRPr="001472C1">
              <w:rPr>
                <w:color w:val="0063A6" w:themeColor="accent1"/>
              </w:rPr>
              <w:t>.</w:t>
            </w:r>
          </w:p>
        </w:tc>
      </w:tr>
      <w:tr w:rsidR="00680341"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680341" w:rsidRDefault="00680341" w:rsidP="0019388A">
            <w:pPr>
              <w:pStyle w:val="Tabletextbold"/>
              <w:spacing w:before="60" w:after="60"/>
            </w:pPr>
          </w:p>
        </w:tc>
        <w:tc>
          <w:tcPr>
            <w:tcW w:w="1183" w:type="pct"/>
            <w:tcBorders>
              <w:top w:val="single" w:sz="6" w:space="0" w:color="0063A6" w:themeColor="accent1"/>
              <w:bottom w:val="single" w:sz="6" w:space="0" w:color="0063A6" w:themeColor="accent1"/>
            </w:tcBorders>
          </w:tcPr>
          <w:p w:rsidR="00680341" w:rsidRPr="001472C1" w:rsidRDefault="00680341" w:rsidP="005C33F8">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 xml:space="preserve">Long </w:t>
            </w:r>
            <w:r w:rsidR="00991D06">
              <w:rPr>
                <w:b w:val="0"/>
              </w:rPr>
              <w:t>s</w:t>
            </w:r>
            <w:r w:rsidRPr="001472C1">
              <w:rPr>
                <w:b w:val="0"/>
              </w:rPr>
              <w:t xml:space="preserve">ervice </w:t>
            </w:r>
            <w:r w:rsidR="00991D06">
              <w:rPr>
                <w:b w:val="0"/>
              </w:rPr>
              <w:t>l</w:t>
            </w:r>
            <w:r w:rsidRPr="001472C1">
              <w:rPr>
                <w:b w:val="0"/>
              </w:rPr>
              <w:t>eave and long service leave equivalent</w:t>
            </w:r>
          </w:p>
        </w:tc>
        <w:tc>
          <w:tcPr>
            <w:tcW w:w="632" w:type="pct"/>
            <w:tcBorders>
              <w:top w:val="single" w:sz="6" w:space="0" w:color="0063A6" w:themeColor="accent1"/>
              <w:bottom w:val="single" w:sz="6" w:space="0" w:color="0063A6" w:themeColor="accent1"/>
            </w:tcBorders>
          </w:tcPr>
          <w:p w:rsidR="00680341" w:rsidRPr="00B105F5" w:rsidRDefault="00680341" w:rsidP="00D15BA8">
            <w:pPr>
              <w:spacing w:before="60" w:after="60"/>
              <w:jc w:val="center"/>
              <w:cnfStyle w:val="000000000000" w:firstRow="0" w:lastRow="0" w:firstColumn="0" w:lastColumn="0" w:oddVBand="0" w:evenVBand="0" w:oddHBand="0" w:evenHBand="0" w:firstRowFirstColumn="0" w:firstRowLastColumn="0" w:lastRowFirstColumn="0" w:lastRowLastColumn="0"/>
            </w:pPr>
            <w:r>
              <w:t>2.3</w:t>
            </w:r>
          </w:p>
        </w:tc>
        <w:tc>
          <w:tcPr>
            <w:tcW w:w="598" w:type="pct"/>
            <w:tcBorders>
              <w:top w:val="single" w:sz="6" w:space="0" w:color="0063A6" w:themeColor="accent1"/>
              <w:bottom w:val="single" w:sz="6" w:space="0" w:color="0063A6" w:themeColor="accent1"/>
            </w:tcBorders>
          </w:tcPr>
          <w:p w:rsidR="00680341" w:rsidRPr="00653F72" w:rsidRDefault="00BD3D7E" w:rsidP="005C33F8">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4.13</w:t>
            </w:r>
          </w:p>
        </w:tc>
        <w:tc>
          <w:tcPr>
            <w:tcW w:w="1860" w:type="pct"/>
            <w:tcBorders>
              <w:top w:val="single" w:sz="6" w:space="0" w:color="0063A6" w:themeColor="accent1"/>
              <w:bottom w:val="single" w:sz="6" w:space="0" w:color="0063A6" w:themeColor="accent1"/>
            </w:tcBorders>
          </w:tcPr>
          <w:p w:rsidR="00680341" w:rsidRPr="001472C1" w:rsidRDefault="00680341" w:rsidP="006A6D46">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No </w:t>
            </w:r>
            <w:r w:rsidR="002E4127" w:rsidRPr="001472C1">
              <w:rPr>
                <w:color w:val="0063A6" w:themeColor="accent1"/>
              </w:rPr>
              <w:t xml:space="preserve">significant </w:t>
            </w:r>
            <w:r w:rsidRPr="001472C1">
              <w:rPr>
                <w:color w:val="0063A6" w:themeColor="accent1"/>
              </w:rPr>
              <w:t>content changes</w:t>
            </w:r>
            <w:r w:rsidR="00072C43" w:rsidRPr="001472C1">
              <w:rPr>
                <w:color w:val="0063A6" w:themeColor="accent1"/>
              </w:rPr>
              <w:t>.</w:t>
            </w:r>
          </w:p>
        </w:tc>
      </w:tr>
      <w:tr w:rsidR="00680341"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val="restart"/>
            <w:tcBorders>
              <w:top w:val="single" w:sz="6" w:space="0" w:color="0063A6" w:themeColor="accent1"/>
              <w:bottom w:val="single" w:sz="6" w:space="0" w:color="0063A6" w:themeColor="accent1"/>
            </w:tcBorders>
          </w:tcPr>
          <w:p w:rsidR="00680341" w:rsidRDefault="00680341" w:rsidP="005C33F8">
            <w:pPr>
              <w:pStyle w:val="Tabletextbold"/>
              <w:spacing w:before="60" w:after="60"/>
            </w:pPr>
            <w:r>
              <w:t>Accountability</w:t>
            </w:r>
          </w:p>
        </w:tc>
        <w:tc>
          <w:tcPr>
            <w:tcW w:w="1183" w:type="pct"/>
            <w:tcBorders>
              <w:top w:val="single" w:sz="6" w:space="0" w:color="0063A6" w:themeColor="accent1"/>
              <w:bottom w:val="single" w:sz="6" w:space="0" w:color="0063A6" w:themeColor="accent1"/>
            </w:tcBorders>
          </w:tcPr>
          <w:p w:rsidR="00680341" w:rsidRPr="001472C1" w:rsidRDefault="00680341" w:rsidP="005C33F8">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Output performance report</w:t>
            </w:r>
          </w:p>
        </w:tc>
        <w:tc>
          <w:tcPr>
            <w:tcW w:w="632" w:type="pct"/>
            <w:tcBorders>
              <w:top w:val="single" w:sz="6" w:space="0" w:color="0063A6" w:themeColor="accent1"/>
              <w:bottom w:val="single" w:sz="6" w:space="0" w:color="0063A6" w:themeColor="accent1"/>
            </w:tcBorders>
          </w:tcPr>
          <w:p w:rsidR="00680341" w:rsidRPr="00B105F5"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pPr>
            <w:r>
              <w:t>PMF 5.2</w:t>
            </w:r>
          </w:p>
        </w:tc>
        <w:tc>
          <w:tcPr>
            <w:tcW w:w="598" w:type="pct"/>
            <w:tcBorders>
              <w:top w:val="single" w:sz="6" w:space="0" w:color="0063A6" w:themeColor="accent1"/>
              <w:bottom w:val="single" w:sz="6" w:space="0" w:color="0063A6" w:themeColor="accent1"/>
            </w:tcBorders>
          </w:tcPr>
          <w:p w:rsidR="00680341" w:rsidRPr="00653F72" w:rsidRDefault="00680341" w:rsidP="007E084E">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5.1</w:t>
            </w:r>
          </w:p>
        </w:tc>
        <w:tc>
          <w:tcPr>
            <w:tcW w:w="1860" w:type="pct"/>
            <w:tcBorders>
              <w:top w:val="single" w:sz="6" w:space="0" w:color="0063A6" w:themeColor="accent1"/>
              <w:bottom w:val="single" w:sz="6" w:space="0" w:color="0063A6" w:themeColor="accent1"/>
            </w:tcBorders>
          </w:tcPr>
          <w:p w:rsidR="00680341" w:rsidRPr="001472C1" w:rsidRDefault="00680341" w:rsidP="005C33F8">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Split from Performance Reporting topic in previous PMF, mandatory requirements remain largely unchanged</w:t>
            </w:r>
            <w:r w:rsidR="00072C43" w:rsidRPr="001472C1">
              <w:rPr>
                <w:color w:val="0063A6" w:themeColor="accent1"/>
              </w:rPr>
              <w:t>.</w:t>
            </w:r>
          </w:p>
        </w:tc>
      </w:tr>
      <w:tr w:rsidR="00680341"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680341" w:rsidRDefault="00680341" w:rsidP="005C33F8">
            <w:pPr>
              <w:pStyle w:val="Tabletextbold"/>
              <w:spacing w:before="60" w:after="60"/>
            </w:pPr>
          </w:p>
        </w:tc>
        <w:tc>
          <w:tcPr>
            <w:tcW w:w="1183" w:type="pct"/>
            <w:tcBorders>
              <w:top w:val="single" w:sz="6" w:space="0" w:color="0063A6" w:themeColor="accent1"/>
              <w:bottom w:val="single" w:sz="6" w:space="0" w:color="0063A6" w:themeColor="accent1"/>
            </w:tcBorders>
          </w:tcPr>
          <w:p w:rsidR="00680341" w:rsidRPr="001472C1" w:rsidRDefault="00680341" w:rsidP="005C33F8">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Asset investment report</w:t>
            </w:r>
          </w:p>
        </w:tc>
        <w:tc>
          <w:tcPr>
            <w:tcW w:w="632" w:type="pct"/>
            <w:tcBorders>
              <w:top w:val="single" w:sz="6" w:space="0" w:color="0063A6" w:themeColor="accent1"/>
              <w:bottom w:val="single" w:sz="6" w:space="0" w:color="0063A6" w:themeColor="accent1"/>
            </w:tcBorders>
          </w:tcPr>
          <w:p w:rsidR="00680341" w:rsidRPr="00B105F5"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pPr>
            <w:r>
              <w:t>PMF 5.2</w:t>
            </w:r>
          </w:p>
        </w:tc>
        <w:tc>
          <w:tcPr>
            <w:tcW w:w="598" w:type="pct"/>
            <w:tcBorders>
              <w:top w:val="single" w:sz="6" w:space="0" w:color="0063A6" w:themeColor="accent1"/>
              <w:bottom w:val="single" w:sz="6" w:space="0" w:color="0063A6" w:themeColor="accent1"/>
            </w:tcBorders>
          </w:tcPr>
          <w:p w:rsidR="00680341" w:rsidRPr="00653F72"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5.2</w:t>
            </w:r>
          </w:p>
        </w:tc>
        <w:tc>
          <w:tcPr>
            <w:tcW w:w="1860" w:type="pct"/>
            <w:tcBorders>
              <w:top w:val="single" w:sz="6" w:space="0" w:color="0063A6" w:themeColor="accent1"/>
              <w:bottom w:val="single" w:sz="6" w:space="0" w:color="0063A6" w:themeColor="accent1"/>
            </w:tcBorders>
          </w:tcPr>
          <w:p w:rsidR="00680341" w:rsidRPr="001472C1" w:rsidRDefault="00680341" w:rsidP="005C33F8">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Split from Performance Reporting topic in previous PMF, mandatory requirements remain largely unchanged</w:t>
            </w:r>
            <w:r w:rsidR="00072C43" w:rsidRPr="001472C1">
              <w:rPr>
                <w:color w:val="0063A6" w:themeColor="accent1"/>
              </w:rPr>
              <w:t>.</w:t>
            </w:r>
          </w:p>
        </w:tc>
      </w:tr>
      <w:tr w:rsidR="00680341"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680341" w:rsidRDefault="00680341" w:rsidP="005C33F8">
            <w:pPr>
              <w:pStyle w:val="Tabletextbold"/>
              <w:spacing w:before="60" w:after="60"/>
            </w:pPr>
          </w:p>
        </w:tc>
        <w:tc>
          <w:tcPr>
            <w:tcW w:w="1183" w:type="pct"/>
            <w:tcBorders>
              <w:top w:val="single" w:sz="6" w:space="0" w:color="0063A6" w:themeColor="accent1"/>
              <w:bottom w:val="single" w:sz="6" w:space="0" w:color="0063A6" w:themeColor="accent1"/>
            </w:tcBorders>
          </w:tcPr>
          <w:p w:rsidR="00680341" w:rsidRPr="001472C1" w:rsidRDefault="00680341" w:rsidP="005C33F8">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Revenue certification</w:t>
            </w:r>
          </w:p>
        </w:tc>
        <w:tc>
          <w:tcPr>
            <w:tcW w:w="632" w:type="pct"/>
            <w:tcBorders>
              <w:top w:val="single" w:sz="6" w:space="0" w:color="0063A6" w:themeColor="accent1"/>
              <w:bottom w:val="single" w:sz="6" w:space="0" w:color="0063A6" w:themeColor="accent1"/>
            </w:tcBorders>
          </w:tcPr>
          <w:p w:rsidR="00680341" w:rsidRPr="00B105F5"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pPr>
            <w:r>
              <w:t>PMF 5.3</w:t>
            </w:r>
          </w:p>
        </w:tc>
        <w:tc>
          <w:tcPr>
            <w:tcW w:w="598" w:type="pct"/>
            <w:tcBorders>
              <w:top w:val="single" w:sz="6" w:space="0" w:color="0063A6" w:themeColor="accent1"/>
              <w:bottom w:val="single" w:sz="6" w:space="0" w:color="0063A6" w:themeColor="accent1"/>
            </w:tcBorders>
          </w:tcPr>
          <w:p w:rsidR="00680341" w:rsidRPr="00653F72"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5.3</w:t>
            </w:r>
          </w:p>
        </w:tc>
        <w:tc>
          <w:tcPr>
            <w:tcW w:w="1860" w:type="pct"/>
            <w:tcBorders>
              <w:top w:val="single" w:sz="6" w:space="0" w:color="0063A6" w:themeColor="accent1"/>
              <w:bottom w:val="single" w:sz="6" w:space="0" w:color="0063A6" w:themeColor="accent1"/>
            </w:tcBorders>
          </w:tcPr>
          <w:p w:rsidR="00680341" w:rsidRPr="001472C1" w:rsidRDefault="00680341" w:rsidP="005C33F8">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Changes to mandatory requirement</w:t>
            </w:r>
            <w:r w:rsidR="009D5DF6" w:rsidRPr="001472C1">
              <w:rPr>
                <w:color w:val="0063A6" w:themeColor="accent1"/>
              </w:rPr>
              <w:t xml:space="preserve">s for </w:t>
            </w:r>
            <w:r w:rsidR="0072793D" w:rsidRPr="001472C1">
              <w:rPr>
                <w:color w:val="0063A6" w:themeColor="accent1"/>
              </w:rPr>
              <w:t xml:space="preserve">better </w:t>
            </w:r>
            <w:r w:rsidR="009D5DF6" w:rsidRPr="001472C1">
              <w:rPr>
                <w:color w:val="0063A6" w:themeColor="accent1"/>
              </w:rPr>
              <w:t>clarity.</w:t>
            </w:r>
            <w:r w:rsidR="00E54CFE" w:rsidRPr="001472C1">
              <w:rPr>
                <w:color w:val="0063A6" w:themeColor="accent1"/>
              </w:rPr>
              <w:t xml:space="preserve"> </w:t>
            </w:r>
          </w:p>
        </w:tc>
      </w:tr>
      <w:tr w:rsidR="00680341"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680341" w:rsidRDefault="00680341" w:rsidP="00215CEE">
            <w:pPr>
              <w:pStyle w:val="Tabletextbold"/>
              <w:spacing w:before="60" w:after="60"/>
            </w:pPr>
          </w:p>
        </w:tc>
        <w:tc>
          <w:tcPr>
            <w:tcW w:w="1183" w:type="pct"/>
            <w:tcBorders>
              <w:top w:val="single" w:sz="6" w:space="0" w:color="0063A6" w:themeColor="accent1"/>
              <w:bottom w:val="single" w:sz="6" w:space="0" w:color="0063A6" w:themeColor="accent1"/>
            </w:tcBorders>
          </w:tcPr>
          <w:p w:rsidR="00680341" w:rsidRPr="001472C1" w:rsidRDefault="00680341" w:rsidP="007E084E">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Financial monthly reporting</w:t>
            </w:r>
          </w:p>
        </w:tc>
        <w:tc>
          <w:tcPr>
            <w:tcW w:w="632" w:type="pct"/>
            <w:tcBorders>
              <w:top w:val="single" w:sz="6" w:space="0" w:color="0063A6" w:themeColor="accent1"/>
              <w:bottom w:val="single" w:sz="6" w:space="0" w:color="0063A6" w:themeColor="accent1"/>
            </w:tcBorders>
          </w:tcPr>
          <w:p w:rsidR="00680341" w:rsidRPr="00B105F5"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pPr>
            <w:r>
              <w:t>FROF 1.1</w:t>
            </w:r>
          </w:p>
        </w:tc>
        <w:tc>
          <w:tcPr>
            <w:tcW w:w="598" w:type="pct"/>
            <w:tcBorders>
              <w:top w:val="single" w:sz="6" w:space="0" w:color="0063A6" w:themeColor="accent1"/>
              <w:bottom w:val="single" w:sz="6" w:space="0" w:color="0063A6" w:themeColor="accent1"/>
            </w:tcBorders>
          </w:tcPr>
          <w:p w:rsidR="00680341" w:rsidRPr="00653F72"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5.4</w:t>
            </w:r>
          </w:p>
        </w:tc>
        <w:tc>
          <w:tcPr>
            <w:tcW w:w="1860" w:type="pct"/>
            <w:tcBorders>
              <w:top w:val="single" w:sz="6" w:space="0" w:color="0063A6" w:themeColor="accent1"/>
              <w:bottom w:val="single" w:sz="6" w:space="0" w:color="0063A6" w:themeColor="accent1"/>
            </w:tcBorders>
          </w:tcPr>
          <w:p w:rsidR="00680341" w:rsidRPr="001472C1" w:rsidRDefault="00680341" w:rsidP="005C33F8">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Moved from the Financial Reporting Operations Framework</w:t>
            </w:r>
            <w:r w:rsidR="0043008B" w:rsidRPr="001472C1">
              <w:rPr>
                <w:color w:val="0063A6" w:themeColor="accent1"/>
              </w:rPr>
              <w:t>, minor changes to the mandatory requirements</w:t>
            </w:r>
            <w:r w:rsidR="00072C43" w:rsidRPr="001472C1">
              <w:rPr>
                <w:color w:val="0063A6" w:themeColor="accent1"/>
              </w:rPr>
              <w:t>.</w:t>
            </w:r>
          </w:p>
        </w:tc>
      </w:tr>
      <w:tr w:rsidR="00680341"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680341" w:rsidRDefault="00680341" w:rsidP="00215CEE">
            <w:pPr>
              <w:pStyle w:val="Tabletextbold"/>
              <w:spacing w:before="60" w:after="60"/>
            </w:pPr>
          </w:p>
        </w:tc>
        <w:tc>
          <w:tcPr>
            <w:tcW w:w="1183" w:type="pct"/>
            <w:tcBorders>
              <w:top w:val="single" w:sz="6" w:space="0" w:color="0063A6" w:themeColor="accent1"/>
              <w:bottom w:val="single" w:sz="6" w:space="0" w:color="0063A6" w:themeColor="accent1"/>
            </w:tcBorders>
          </w:tcPr>
          <w:p w:rsidR="00680341" w:rsidRPr="001472C1" w:rsidRDefault="00680341" w:rsidP="00215CEE">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Cash flow forecasting</w:t>
            </w:r>
          </w:p>
        </w:tc>
        <w:tc>
          <w:tcPr>
            <w:tcW w:w="632" w:type="pct"/>
            <w:tcBorders>
              <w:top w:val="single" w:sz="6" w:space="0" w:color="0063A6" w:themeColor="accent1"/>
              <w:bottom w:val="single" w:sz="6" w:space="0" w:color="0063A6" w:themeColor="accent1"/>
            </w:tcBorders>
          </w:tcPr>
          <w:p w:rsidR="00680341" w:rsidRDefault="00680341" w:rsidP="00215CEE">
            <w:pPr>
              <w:spacing w:before="60" w:after="60"/>
              <w:jc w:val="center"/>
              <w:cnfStyle w:val="000000000000" w:firstRow="0" w:lastRow="0" w:firstColumn="0" w:lastColumn="0" w:oddVBand="0" w:evenVBand="0" w:oddHBand="0" w:evenHBand="0" w:firstRowFirstColumn="0" w:firstRowLastColumn="0" w:lastRowFirstColumn="0" w:lastRowLastColumn="0"/>
            </w:pPr>
            <w:r>
              <w:t>FROF 2.1</w:t>
            </w:r>
          </w:p>
        </w:tc>
        <w:tc>
          <w:tcPr>
            <w:tcW w:w="598" w:type="pct"/>
            <w:tcBorders>
              <w:top w:val="single" w:sz="6" w:space="0" w:color="0063A6" w:themeColor="accent1"/>
              <w:bottom w:val="single" w:sz="6" w:space="0" w:color="0063A6" w:themeColor="accent1"/>
            </w:tcBorders>
          </w:tcPr>
          <w:p w:rsidR="00680341" w:rsidRPr="00653F72" w:rsidRDefault="00680341" w:rsidP="00215CEE">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5.5</w:t>
            </w:r>
          </w:p>
        </w:tc>
        <w:tc>
          <w:tcPr>
            <w:tcW w:w="1860" w:type="pct"/>
            <w:tcBorders>
              <w:top w:val="single" w:sz="6" w:space="0" w:color="0063A6" w:themeColor="accent1"/>
              <w:bottom w:val="single" w:sz="6" w:space="0" w:color="0063A6" w:themeColor="accent1"/>
            </w:tcBorders>
          </w:tcPr>
          <w:p w:rsidR="00680341" w:rsidRPr="001472C1" w:rsidRDefault="00680341" w:rsidP="00D15BA8">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Moved from the Financial Reporting Operations Framework</w:t>
            </w:r>
            <w:r w:rsidR="00072C43" w:rsidRPr="001472C1">
              <w:rPr>
                <w:color w:val="0063A6" w:themeColor="accent1"/>
              </w:rPr>
              <w:t>.</w:t>
            </w:r>
            <w:r w:rsidR="002C1CA5" w:rsidRPr="001472C1">
              <w:rPr>
                <w:color w:val="0063A6" w:themeColor="accent1"/>
              </w:rPr>
              <w:t xml:space="preserve"> </w:t>
            </w:r>
            <w:r w:rsidR="002A2832" w:rsidRPr="001472C1">
              <w:rPr>
                <w:color w:val="0063A6" w:themeColor="accent1"/>
              </w:rPr>
              <w:t>Mandatory requirement on cash flow forecasting (5.5.1) updated to specify that the requirement only applies to funds held in the Public Account.</w:t>
            </w:r>
          </w:p>
        </w:tc>
      </w:tr>
      <w:tr w:rsidR="00680341" w:rsidRPr="00B105F5" w:rsidTr="001472C1">
        <w:trPr>
          <w:trHeight w:val="155"/>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680341" w:rsidRDefault="00680341" w:rsidP="00215CEE">
            <w:pPr>
              <w:pStyle w:val="Tabletextbold"/>
              <w:spacing w:before="60" w:after="60"/>
            </w:pPr>
          </w:p>
        </w:tc>
        <w:tc>
          <w:tcPr>
            <w:tcW w:w="1183" w:type="pct"/>
            <w:tcBorders>
              <w:top w:val="single" w:sz="6" w:space="0" w:color="0063A6" w:themeColor="accent1"/>
              <w:bottom w:val="single" w:sz="6" w:space="0" w:color="0063A6" w:themeColor="accent1"/>
            </w:tcBorders>
          </w:tcPr>
          <w:p w:rsidR="00680341" w:rsidRPr="001472C1" w:rsidRDefault="00680341" w:rsidP="00215CEE">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Cash management and reconciliation</w:t>
            </w:r>
          </w:p>
        </w:tc>
        <w:tc>
          <w:tcPr>
            <w:tcW w:w="632" w:type="pct"/>
            <w:tcBorders>
              <w:top w:val="single" w:sz="6" w:space="0" w:color="0063A6" w:themeColor="accent1"/>
              <w:bottom w:val="single" w:sz="6" w:space="0" w:color="0063A6" w:themeColor="accent1"/>
            </w:tcBorders>
          </w:tcPr>
          <w:p w:rsidR="00680341" w:rsidRDefault="00680341" w:rsidP="00215CEE">
            <w:pPr>
              <w:spacing w:before="60" w:after="60"/>
              <w:jc w:val="center"/>
              <w:cnfStyle w:val="000000000000" w:firstRow="0" w:lastRow="0" w:firstColumn="0" w:lastColumn="0" w:oddVBand="0" w:evenVBand="0" w:oddHBand="0" w:evenHBand="0" w:firstRowFirstColumn="0" w:firstRowLastColumn="0" w:lastRowFirstColumn="0" w:lastRowLastColumn="0"/>
            </w:pPr>
            <w:r>
              <w:t>FROF 2.2</w:t>
            </w:r>
          </w:p>
        </w:tc>
        <w:tc>
          <w:tcPr>
            <w:tcW w:w="598" w:type="pct"/>
            <w:tcBorders>
              <w:top w:val="single" w:sz="6" w:space="0" w:color="0063A6" w:themeColor="accent1"/>
              <w:bottom w:val="single" w:sz="6" w:space="0" w:color="0063A6" w:themeColor="accent1"/>
            </w:tcBorders>
          </w:tcPr>
          <w:p w:rsidR="00680341" w:rsidRPr="00653F72" w:rsidRDefault="00680341" w:rsidP="00215CEE">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5.6</w:t>
            </w:r>
          </w:p>
        </w:tc>
        <w:tc>
          <w:tcPr>
            <w:tcW w:w="1860" w:type="pct"/>
            <w:tcBorders>
              <w:top w:val="single" w:sz="6" w:space="0" w:color="0063A6" w:themeColor="accent1"/>
              <w:bottom w:val="single" w:sz="6" w:space="0" w:color="0063A6" w:themeColor="accent1"/>
            </w:tcBorders>
          </w:tcPr>
          <w:p w:rsidR="00680341" w:rsidRPr="001472C1" w:rsidRDefault="00680341" w:rsidP="00D15BA8">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Moved from the Financial Reporting Operations Framework</w:t>
            </w:r>
            <w:r w:rsidR="003333CD" w:rsidRPr="001472C1">
              <w:rPr>
                <w:color w:val="0063A6" w:themeColor="accent1"/>
              </w:rPr>
              <w:t>. Guidance modified and updated to reference the CBS</w:t>
            </w:r>
            <w:r w:rsidR="00072C43" w:rsidRPr="001472C1">
              <w:rPr>
                <w:color w:val="0063A6" w:themeColor="accent1"/>
              </w:rPr>
              <w:t>.</w:t>
            </w:r>
            <w:r w:rsidR="003333CD" w:rsidRPr="001472C1">
              <w:rPr>
                <w:color w:val="0063A6" w:themeColor="accent1"/>
              </w:rPr>
              <w:t xml:space="preserve"> </w:t>
            </w:r>
          </w:p>
        </w:tc>
      </w:tr>
      <w:tr w:rsidR="00680341" w:rsidRPr="00B105F5" w:rsidTr="001472C1">
        <w:trPr>
          <w:trHeight w:val="308"/>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680341" w:rsidRDefault="00680341" w:rsidP="00215CEE">
            <w:pPr>
              <w:pStyle w:val="Tabletextbold"/>
              <w:spacing w:before="60" w:after="60"/>
            </w:pPr>
          </w:p>
        </w:tc>
        <w:tc>
          <w:tcPr>
            <w:tcW w:w="1183" w:type="pct"/>
            <w:tcBorders>
              <w:top w:val="single" w:sz="6" w:space="0" w:color="0063A6" w:themeColor="accent1"/>
              <w:bottom w:val="single" w:sz="6" w:space="0" w:color="0063A6" w:themeColor="accent1"/>
            </w:tcBorders>
          </w:tcPr>
          <w:p w:rsidR="00680341" w:rsidRPr="001472C1" w:rsidRDefault="00680341" w:rsidP="005C33F8">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Reporting</w:t>
            </w:r>
          </w:p>
        </w:tc>
        <w:tc>
          <w:tcPr>
            <w:tcW w:w="632" w:type="pct"/>
            <w:tcBorders>
              <w:top w:val="single" w:sz="6" w:space="0" w:color="0063A6" w:themeColor="accent1"/>
              <w:bottom w:val="single" w:sz="6" w:space="0" w:color="0063A6" w:themeColor="accent1"/>
            </w:tcBorders>
          </w:tcPr>
          <w:p w:rsidR="00680341"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pPr>
            <w:r>
              <w:t>PMF 7.1</w:t>
            </w:r>
          </w:p>
        </w:tc>
        <w:tc>
          <w:tcPr>
            <w:tcW w:w="598" w:type="pct"/>
            <w:tcBorders>
              <w:top w:val="single" w:sz="6" w:space="0" w:color="0063A6" w:themeColor="accent1"/>
              <w:bottom w:val="single" w:sz="6" w:space="0" w:color="0063A6" w:themeColor="accent1"/>
            </w:tcBorders>
          </w:tcPr>
          <w:p w:rsidR="00680341" w:rsidRPr="00653F72" w:rsidRDefault="00680341" w:rsidP="005C33F8">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n/a</w:t>
            </w:r>
          </w:p>
        </w:tc>
        <w:tc>
          <w:tcPr>
            <w:tcW w:w="1860" w:type="pct"/>
            <w:tcBorders>
              <w:top w:val="single" w:sz="6" w:space="0" w:color="0063A6" w:themeColor="accent1"/>
              <w:bottom w:val="single" w:sz="6" w:space="0" w:color="0063A6" w:themeColor="accent1"/>
            </w:tcBorders>
          </w:tcPr>
          <w:p w:rsidR="00680341" w:rsidRPr="001472C1" w:rsidRDefault="00680341" w:rsidP="007E084E">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Section removed</w:t>
            </w:r>
            <w:r w:rsidR="00072C43" w:rsidRPr="001472C1">
              <w:rPr>
                <w:color w:val="0063A6" w:themeColor="accent1"/>
              </w:rPr>
              <w:t>.</w:t>
            </w:r>
          </w:p>
        </w:tc>
      </w:tr>
      <w:tr w:rsidR="007176E4" w:rsidRPr="002C1CA5" w:rsidTr="001472C1">
        <w:tc>
          <w:tcPr>
            <w:cnfStyle w:val="001000000000" w:firstRow="0" w:lastRow="0" w:firstColumn="1" w:lastColumn="0" w:oddVBand="0" w:evenVBand="0" w:oddHBand="0" w:evenHBand="0" w:firstRowFirstColumn="0" w:firstRowLastColumn="0" w:lastRowFirstColumn="0" w:lastRowLastColumn="0"/>
            <w:tcW w:w="727" w:type="pct"/>
            <w:vMerge w:val="restart"/>
            <w:tcBorders>
              <w:top w:val="single" w:sz="6" w:space="0" w:color="0063A6" w:themeColor="accent1"/>
              <w:bottom w:val="single" w:sz="6" w:space="0" w:color="0063A6" w:themeColor="accent1"/>
            </w:tcBorders>
          </w:tcPr>
          <w:p w:rsidR="007176E4" w:rsidRPr="0066370B" w:rsidRDefault="007176E4" w:rsidP="00215CEE">
            <w:pPr>
              <w:pStyle w:val="Tabletextbold"/>
              <w:spacing w:before="60" w:after="60"/>
            </w:pPr>
            <w:r>
              <w:t>Evaluation</w:t>
            </w:r>
          </w:p>
        </w:tc>
        <w:tc>
          <w:tcPr>
            <w:tcW w:w="1183" w:type="pct"/>
            <w:tcBorders>
              <w:top w:val="single" w:sz="6" w:space="0" w:color="0063A6" w:themeColor="accent1"/>
              <w:bottom w:val="single" w:sz="6" w:space="0" w:color="0063A6" w:themeColor="accent1"/>
            </w:tcBorders>
          </w:tcPr>
          <w:p w:rsidR="007176E4" w:rsidRPr="001472C1" w:rsidRDefault="007176E4" w:rsidP="00D15BA8">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Evaluating lapsing programs</w:t>
            </w:r>
          </w:p>
        </w:tc>
        <w:tc>
          <w:tcPr>
            <w:tcW w:w="632" w:type="pct"/>
            <w:tcBorders>
              <w:top w:val="single" w:sz="6" w:space="0" w:color="0063A6" w:themeColor="accent1"/>
              <w:bottom w:val="single" w:sz="6" w:space="0" w:color="0063A6" w:themeColor="accent1"/>
            </w:tcBorders>
          </w:tcPr>
          <w:p w:rsidR="007176E4" w:rsidRPr="0066370B" w:rsidRDefault="007176E4" w:rsidP="00F93A83">
            <w:pPr>
              <w:spacing w:before="60" w:after="60"/>
              <w:jc w:val="center"/>
              <w:cnfStyle w:val="000000000000" w:firstRow="0" w:lastRow="0" w:firstColumn="0" w:lastColumn="0" w:oddVBand="0" w:evenVBand="0" w:oddHBand="0" w:evenHBand="0" w:firstRowFirstColumn="0" w:firstRowLastColumn="0" w:lastRowFirstColumn="0" w:lastRowLastColumn="0"/>
            </w:pPr>
            <w:r>
              <w:t>PMF 6.1</w:t>
            </w:r>
          </w:p>
        </w:tc>
        <w:tc>
          <w:tcPr>
            <w:tcW w:w="598" w:type="pct"/>
            <w:tcBorders>
              <w:top w:val="single" w:sz="6" w:space="0" w:color="0063A6" w:themeColor="accent1"/>
              <w:bottom w:val="single" w:sz="6" w:space="0" w:color="0063A6" w:themeColor="accent1"/>
            </w:tcBorders>
          </w:tcPr>
          <w:p w:rsidR="007176E4" w:rsidRPr="00653F72" w:rsidRDefault="007176E4" w:rsidP="00F93A83">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6.1</w:t>
            </w:r>
          </w:p>
        </w:tc>
        <w:tc>
          <w:tcPr>
            <w:tcW w:w="1860" w:type="pct"/>
            <w:tcBorders>
              <w:top w:val="single" w:sz="6" w:space="0" w:color="0063A6" w:themeColor="accent1"/>
              <w:bottom w:val="single" w:sz="6" w:space="0" w:color="0063A6" w:themeColor="accent1"/>
            </w:tcBorders>
          </w:tcPr>
          <w:p w:rsidR="00C80097" w:rsidRPr="001472C1" w:rsidRDefault="005B36B6" w:rsidP="005B36B6">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Policy changes – see Policy changes summary table above</w:t>
            </w:r>
            <w:r w:rsidR="002A2832" w:rsidRPr="001472C1">
              <w:rPr>
                <w:color w:val="0063A6" w:themeColor="accent1"/>
              </w:rPr>
              <w:t>.</w:t>
            </w:r>
          </w:p>
          <w:p w:rsidR="00091D05" w:rsidRPr="001472C1" w:rsidRDefault="00533030" w:rsidP="003312DF">
            <w:pPr>
              <w:spacing w:before="60" w:after="60"/>
              <w:cnfStyle w:val="000000000000" w:firstRow="0" w:lastRow="0" w:firstColumn="0" w:lastColumn="0" w:oddVBand="0" w:evenVBand="0" w:oddHBand="0" w:evenHBand="0" w:firstRowFirstColumn="0" w:firstRowLastColumn="0" w:lastRowFirstColumn="0" w:lastRowLastColumn="0"/>
              <w:rPr>
                <w:rFonts w:ascii="Helv" w:hAnsi="Helv" w:cs="Helv"/>
                <w:color w:val="0063A6" w:themeColor="accent1"/>
                <w:spacing w:val="0"/>
              </w:rPr>
            </w:pPr>
            <w:r w:rsidRPr="001472C1">
              <w:rPr>
                <w:rFonts w:ascii="Helv" w:hAnsi="Helv" w:cs="Helv"/>
                <w:color w:val="0063A6" w:themeColor="accent1"/>
                <w:spacing w:val="0"/>
              </w:rPr>
              <w:t>Editorial changes</w:t>
            </w:r>
            <w:r w:rsidR="001472C1">
              <w:rPr>
                <w:rFonts w:ascii="Helv" w:hAnsi="Helv" w:cs="Helv"/>
                <w:color w:val="0063A6" w:themeColor="accent1"/>
                <w:spacing w:val="0"/>
              </w:rPr>
              <w:t>:</w:t>
            </w:r>
          </w:p>
          <w:p w:rsidR="00091D05" w:rsidRPr="001472C1" w:rsidRDefault="00533030" w:rsidP="001472C1">
            <w:pPr>
              <w:pStyle w:val="Tablebullet"/>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Overview section expanded to incorporate material from the DTF Guide to Evaluation.</w:t>
            </w:r>
          </w:p>
          <w:p w:rsidR="00370D0D" w:rsidRPr="001472C1" w:rsidRDefault="00370D0D" w:rsidP="001472C1">
            <w:pPr>
              <w:pStyle w:val="Tablebullet"/>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improve</w:t>
            </w:r>
            <w:r w:rsidR="00091D05" w:rsidRPr="001472C1">
              <w:rPr>
                <w:color w:val="0063A6" w:themeColor="accent1"/>
              </w:rPr>
              <w:t>d</w:t>
            </w:r>
            <w:r w:rsidRPr="001472C1">
              <w:rPr>
                <w:color w:val="0063A6" w:themeColor="accent1"/>
              </w:rPr>
              <w:t xml:space="preserve"> clarity</w:t>
            </w:r>
            <w:r w:rsidR="00091D05" w:rsidRPr="001472C1">
              <w:rPr>
                <w:color w:val="0063A6" w:themeColor="accent1"/>
              </w:rPr>
              <w:t xml:space="preserve"> in guidance</w:t>
            </w:r>
            <w:r w:rsidRPr="001472C1">
              <w:rPr>
                <w:color w:val="0063A6" w:themeColor="accent1"/>
              </w:rPr>
              <w:t xml:space="preserve"> concerning what applies to programs with funding greater than $20</w:t>
            </w:r>
            <w:r w:rsidR="004C0EFB" w:rsidRPr="001472C1">
              <w:rPr>
                <w:color w:val="0063A6" w:themeColor="accent1"/>
              </w:rPr>
              <w:t xml:space="preserve"> </w:t>
            </w:r>
            <w:r w:rsidRPr="001472C1">
              <w:rPr>
                <w:color w:val="0063A6" w:themeColor="accent1"/>
              </w:rPr>
              <w:t>m</w:t>
            </w:r>
            <w:r w:rsidR="004C0EFB" w:rsidRPr="001472C1">
              <w:rPr>
                <w:color w:val="0063A6" w:themeColor="accent1"/>
              </w:rPr>
              <w:t>illion</w:t>
            </w:r>
            <w:r w:rsidRPr="001472C1">
              <w:rPr>
                <w:color w:val="0063A6" w:themeColor="accent1"/>
              </w:rPr>
              <w:t>.</w:t>
            </w:r>
          </w:p>
          <w:p w:rsidR="005870B6" w:rsidRPr="001472C1" w:rsidRDefault="00D1678E" w:rsidP="001472C1">
            <w:pPr>
              <w:pStyle w:val="Tablebullet"/>
              <w:cnfStyle w:val="000000000000" w:firstRow="0" w:lastRow="0" w:firstColumn="0" w:lastColumn="0" w:oddVBand="0" w:evenVBand="0" w:oddHBand="0" w:evenHBand="0" w:firstRowFirstColumn="0" w:firstRowLastColumn="0" w:lastRowFirstColumn="0" w:lastRowLastColumn="0"/>
            </w:pPr>
            <w:r w:rsidRPr="001472C1">
              <w:rPr>
                <w:color w:val="0063A6" w:themeColor="accent1"/>
              </w:rPr>
              <w:t>Inclusion of guidance on program evaluation models</w:t>
            </w:r>
            <w:r w:rsidR="005870B6" w:rsidRPr="001472C1">
              <w:rPr>
                <w:color w:val="0063A6" w:themeColor="accent1"/>
              </w:rPr>
              <w:t>.</w:t>
            </w:r>
          </w:p>
        </w:tc>
      </w:tr>
      <w:tr w:rsidR="007176E4" w:rsidTr="001472C1">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7176E4" w:rsidRPr="0066370B" w:rsidRDefault="007176E4" w:rsidP="00215CEE">
            <w:pPr>
              <w:pStyle w:val="Tabletextbold"/>
              <w:spacing w:before="60" w:after="60"/>
            </w:pPr>
          </w:p>
        </w:tc>
        <w:tc>
          <w:tcPr>
            <w:tcW w:w="1183" w:type="pct"/>
            <w:tcBorders>
              <w:top w:val="single" w:sz="6" w:space="0" w:color="0063A6" w:themeColor="accent1"/>
              <w:bottom w:val="single" w:sz="6" w:space="0" w:color="0063A6" w:themeColor="accent1"/>
            </w:tcBorders>
          </w:tcPr>
          <w:p w:rsidR="007176E4" w:rsidRPr="001472C1" w:rsidRDefault="007176E4" w:rsidP="00215CEE">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Funding reviews</w:t>
            </w:r>
          </w:p>
        </w:tc>
        <w:tc>
          <w:tcPr>
            <w:tcW w:w="632" w:type="pct"/>
            <w:tcBorders>
              <w:top w:val="single" w:sz="6" w:space="0" w:color="0063A6" w:themeColor="accent1"/>
              <w:bottom w:val="single" w:sz="6" w:space="0" w:color="0063A6" w:themeColor="accent1"/>
            </w:tcBorders>
          </w:tcPr>
          <w:p w:rsidR="007176E4" w:rsidRPr="0066370B" w:rsidRDefault="007176E4" w:rsidP="005C33F8">
            <w:pPr>
              <w:spacing w:before="60" w:after="60"/>
              <w:jc w:val="center"/>
              <w:cnfStyle w:val="000000000000" w:firstRow="0" w:lastRow="0" w:firstColumn="0" w:lastColumn="0" w:oddVBand="0" w:evenVBand="0" w:oddHBand="0" w:evenHBand="0" w:firstRowFirstColumn="0" w:firstRowLastColumn="0" w:lastRowFirstColumn="0" w:lastRowLastColumn="0"/>
            </w:pPr>
            <w:r>
              <w:t>PMF 6.2</w:t>
            </w:r>
          </w:p>
        </w:tc>
        <w:tc>
          <w:tcPr>
            <w:tcW w:w="598" w:type="pct"/>
            <w:tcBorders>
              <w:top w:val="single" w:sz="6" w:space="0" w:color="0063A6" w:themeColor="accent1"/>
              <w:bottom w:val="single" w:sz="6" w:space="0" w:color="0063A6" w:themeColor="accent1"/>
            </w:tcBorders>
          </w:tcPr>
          <w:p w:rsidR="007176E4" w:rsidRPr="00653F72" w:rsidRDefault="007176E4" w:rsidP="005C33F8">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6.2</w:t>
            </w:r>
          </w:p>
        </w:tc>
        <w:tc>
          <w:tcPr>
            <w:tcW w:w="1860" w:type="pct"/>
            <w:tcBorders>
              <w:top w:val="single" w:sz="6" w:space="0" w:color="0063A6" w:themeColor="accent1"/>
              <w:bottom w:val="single" w:sz="6" w:space="0" w:color="0063A6" w:themeColor="accent1"/>
            </w:tcBorders>
          </w:tcPr>
          <w:p w:rsidR="007176E4" w:rsidRPr="001472C1" w:rsidRDefault="007176E4" w:rsidP="00215CEE">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No changes</w:t>
            </w:r>
            <w:r w:rsidR="00072C43" w:rsidRPr="001472C1">
              <w:rPr>
                <w:color w:val="0063A6" w:themeColor="accent1"/>
              </w:rPr>
              <w:t>.</w:t>
            </w:r>
          </w:p>
        </w:tc>
      </w:tr>
      <w:tr w:rsidR="007176E4" w:rsidTr="001472C1">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7176E4" w:rsidRPr="0066370B" w:rsidRDefault="007176E4" w:rsidP="007176E4">
            <w:pPr>
              <w:pStyle w:val="Tabletextbold"/>
              <w:spacing w:before="60" w:after="60"/>
            </w:pPr>
          </w:p>
        </w:tc>
        <w:tc>
          <w:tcPr>
            <w:tcW w:w="1183" w:type="pct"/>
            <w:tcBorders>
              <w:top w:val="single" w:sz="6" w:space="0" w:color="0063A6" w:themeColor="accent1"/>
              <w:bottom w:val="single" w:sz="6" w:space="0" w:color="0063A6" w:themeColor="accent1"/>
            </w:tcBorders>
          </w:tcPr>
          <w:p w:rsidR="007176E4" w:rsidRPr="001472C1" w:rsidRDefault="007176E4" w:rsidP="007176E4">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Process for the creation of the fourth year estimates in SRIMS (rollover)</w:t>
            </w:r>
          </w:p>
        </w:tc>
        <w:tc>
          <w:tcPr>
            <w:tcW w:w="632" w:type="pct"/>
            <w:tcBorders>
              <w:top w:val="single" w:sz="6" w:space="0" w:color="0063A6" w:themeColor="accent1"/>
              <w:bottom w:val="single" w:sz="6" w:space="0" w:color="0063A6" w:themeColor="accent1"/>
            </w:tcBorders>
          </w:tcPr>
          <w:p w:rsidR="007176E4" w:rsidRPr="0066370B" w:rsidRDefault="007176E4" w:rsidP="007176E4">
            <w:pPr>
              <w:spacing w:before="60" w:after="60"/>
              <w:jc w:val="center"/>
              <w:cnfStyle w:val="000000000000" w:firstRow="0" w:lastRow="0" w:firstColumn="0" w:lastColumn="0" w:oddVBand="0" w:evenVBand="0" w:oddHBand="0" w:evenHBand="0" w:firstRowFirstColumn="0" w:firstRowLastColumn="0" w:lastRowFirstColumn="0" w:lastRowLastColumn="0"/>
            </w:pPr>
            <w:r>
              <w:t>BOF 6.2</w:t>
            </w:r>
          </w:p>
        </w:tc>
        <w:tc>
          <w:tcPr>
            <w:tcW w:w="598" w:type="pct"/>
            <w:tcBorders>
              <w:top w:val="single" w:sz="6" w:space="0" w:color="0063A6" w:themeColor="accent1"/>
              <w:bottom w:val="single" w:sz="6" w:space="0" w:color="0063A6" w:themeColor="accent1"/>
            </w:tcBorders>
          </w:tcPr>
          <w:p w:rsidR="007176E4" w:rsidRPr="00653F72" w:rsidRDefault="007176E4" w:rsidP="007176E4">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6.3</w:t>
            </w:r>
          </w:p>
        </w:tc>
        <w:tc>
          <w:tcPr>
            <w:tcW w:w="1860" w:type="pct"/>
            <w:tcBorders>
              <w:top w:val="single" w:sz="6" w:space="0" w:color="0063A6" w:themeColor="accent1"/>
              <w:bottom w:val="single" w:sz="6" w:space="0" w:color="0063A6" w:themeColor="accent1"/>
            </w:tcBorders>
          </w:tcPr>
          <w:p w:rsidR="00474061" w:rsidRPr="001472C1" w:rsidRDefault="005B36B6" w:rsidP="005B36B6">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Policy changes –</w:t>
            </w:r>
            <w:r w:rsidR="001F7869" w:rsidRPr="001472C1">
              <w:rPr>
                <w:color w:val="0063A6" w:themeColor="accent1"/>
              </w:rPr>
              <w:t xml:space="preserve"> </w:t>
            </w:r>
            <w:r w:rsidRPr="001472C1">
              <w:rPr>
                <w:color w:val="0063A6" w:themeColor="accent1"/>
              </w:rPr>
              <w:t>see Policy changes summary table above</w:t>
            </w:r>
            <w:r w:rsidR="002C1CA5" w:rsidRPr="001472C1">
              <w:rPr>
                <w:color w:val="0063A6" w:themeColor="accent1"/>
              </w:rPr>
              <w:t xml:space="preserve">. </w:t>
            </w:r>
            <w:r w:rsidR="007D3DA9" w:rsidRPr="001472C1">
              <w:rPr>
                <w:color w:val="0063A6" w:themeColor="accent1"/>
              </w:rPr>
              <w:t xml:space="preserve">Additional guidance inserted in table on inclusion of period expenditure. </w:t>
            </w:r>
            <w:r w:rsidR="0002487A" w:rsidRPr="001472C1">
              <w:rPr>
                <w:color w:val="0063A6" w:themeColor="accent1"/>
              </w:rPr>
              <w:t xml:space="preserve">Guidance </w:t>
            </w:r>
            <w:r w:rsidR="007D3DA9" w:rsidRPr="001472C1">
              <w:rPr>
                <w:color w:val="0063A6" w:themeColor="accent1"/>
              </w:rPr>
              <w:t xml:space="preserve">also </w:t>
            </w:r>
            <w:r w:rsidR="0002487A" w:rsidRPr="001472C1">
              <w:rPr>
                <w:color w:val="0063A6" w:themeColor="accent1"/>
              </w:rPr>
              <w:t>slightly modified for better clarity.</w:t>
            </w:r>
          </w:p>
        </w:tc>
      </w:tr>
      <w:tr w:rsidR="00C326D9" w:rsidTr="001472C1">
        <w:trPr>
          <w:trHeight w:val="23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6" w:space="0" w:color="0063A6" w:themeColor="accent1"/>
              <w:bottom w:val="single" w:sz="6" w:space="0" w:color="0063A6" w:themeColor="accent1"/>
            </w:tcBorders>
          </w:tcPr>
          <w:p w:rsidR="00C326D9" w:rsidRDefault="00C326D9" w:rsidP="003312DF">
            <w:pPr>
              <w:pStyle w:val="Tabletextbold"/>
              <w:keepNext/>
              <w:keepLines/>
              <w:spacing w:before="60" w:after="60"/>
            </w:pPr>
            <w:r>
              <w:t xml:space="preserve">Part B: and accounting framework supporting </w:t>
            </w:r>
            <w:r w:rsidRPr="00C326D9">
              <w:t>Other budget policies and the accounting framework supporting budget management</w:t>
            </w:r>
          </w:p>
        </w:tc>
      </w:tr>
      <w:tr w:rsidR="00C326D9" w:rsidTr="00991D06">
        <w:tc>
          <w:tcPr>
            <w:cnfStyle w:val="001000000000" w:firstRow="0" w:lastRow="0" w:firstColumn="1" w:lastColumn="0" w:oddVBand="0" w:evenVBand="0" w:oddHBand="0" w:evenHBand="0" w:firstRowFirstColumn="0" w:firstRowLastColumn="0" w:lastRowFirstColumn="0" w:lastRowLastColumn="0"/>
            <w:tcW w:w="727" w:type="pct"/>
            <w:tcBorders>
              <w:top w:val="single" w:sz="6" w:space="0" w:color="0063A6" w:themeColor="accent1"/>
              <w:bottom w:val="single" w:sz="4" w:space="0" w:color="E3EBF4"/>
            </w:tcBorders>
          </w:tcPr>
          <w:p w:rsidR="00C326D9" w:rsidRDefault="00C326D9" w:rsidP="00C326D9">
            <w:pPr>
              <w:pStyle w:val="Tabletextbold"/>
              <w:spacing w:before="60" w:after="60"/>
            </w:pPr>
            <w:r>
              <w:t>Other budget policies</w:t>
            </w:r>
          </w:p>
        </w:tc>
        <w:tc>
          <w:tcPr>
            <w:tcW w:w="1183" w:type="pct"/>
            <w:tcBorders>
              <w:top w:val="single" w:sz="6" w:space="0" w:color="0063A6" w:themeColor="accent1"/>
              <w:bottom w:val="single" w:sz="6" w:space="0" w:color="0063A6" w:themeColor="accent1"/>
            </w:tcBorders>
          </w:tcPr>
          <w:p w:rsidR="00C326D9" w:rsidRPr="001472C1" w:rsidRDefault="00C326D9"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Capital assets charge</w:t>
            </w:r>
          </w:p>
        </w:tc>
        <w:tc>
          <w:tcPr>
            <w:tcW w:w="632" w:type="pct"/>
            <w:tcBorders>
              <w:top w:val="single" w:sz="6" w:space="0" w:color="0063A6" w:themeColor="accent1"/>
              <w:bottom w:val="single" w:sz="6" w:space="0" w:color="0063A6" w:themeColor="accent1"/>
            </w:tcBorders>
          </w:tcPr>
          <w:p w:rsidR="00C326D9" w:rsidRDefault="00C326D9" w:rsidP="00C326D9">
            <w:pPr>
              <w:spacing w:before="60" w:after="60"/>
              <w:jc w:val="center"/>
              <w:cnfStyle w:val="000000000000" w:firstRow="0" w:lastRow="0" w:firstColumn="0" w:lastColumn="0" w:oddVBand="0" w:evenVBand="0" w:oddHBand="0" w:evenHBand="0" w:firstRowFirstColumn="0" w:firstRowLastColumn="0" w:lastRowFirstColumn="0" w:lastRowLastColumn="0"/>
            </w:pPr>
            <w:r>
              <w:t>BOF 3.2</w:t>
            </w:r>
          </w:p>
        </w:tc>
        <w:tc>
          <w:tcPr>
            <w:tcW w:w="598" w:type="pct"/>
            <w:tcBorders>
              <w:top w:val="single" w:sz="6" w:space="0" w:color="0063A6" w:themeColor="accent1"/>
              <w:bottom w:val="single" w:sz="6" w:space="0" w:color="0063A6" w:themeColor="accent1"/>
            </w:tcBorders>
          </w:tcPr>
          <w:p w:rsidR="00C326D9" w:rsidRPr="00653F72" w:rsidRDefault="00C326D9" w:rsidP="00C326D9">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7.1</w:t>
            </w:r>
          </w:p>
        </w:tc>
        <w:tc>
          <w:tcPr>
            <w:tcW w:w="1860" w:type="pct"/>
            <w:tcBorders>
              <w:top w:val="single" w:sz="6" w:space="0" w:color="0063A6" w:themeColor="accent1"/>
              <w:bottom w:val="single" w:sz="6" w:space="0" w:color="0063A6" w:themeColor="accent1"/>
            </w:tcBorders>
          </w:tcPr>
          <w:p w:rsidR="00C326D9" w:rsidRPr="001472C1" w:rsidRDefault="00C326D9"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Mandatory requirements simplified and moving of exempt controlled assets requirement to guidance as the nature of the exemptions did not form a mandatory requirement for attestation.</w:t>
            </w:r>
          </w:p>
          <w:p w:rsidR="00C326D9" w:rsidRPr="001472C1" w:rsidDel="00474061" w:rsidRDefault="00C326D9"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highlight w:val="yellow"/>
              </w:rPr>
            </w:pPr>
            <w:r w:rsidRPr="001472C1">
              <w:rPr>
                <w:color w:val="0063A6" w:themeColor="accent1"/>
              </w:rPr>
              <w:t>Insertion of note in guidance concerning current and future application of CAC on Right of Use and Service Concession assets</w:t>
            </w:r>
            <w:r w:rsidR="00BD4A6A" w:rsidRPr="001472C1">
              <w:rPr>
                <w:color w:val="0063A6" w:themeColor="accent1"/>
              </w:rPr>
              <w:t xml:space="preserve"> (these are exempt from the CAC)</w:t>
            </w:r>
            <w:r w:rsidRPr="001472C1">
              <w:rPr>
                <w:color w:val="0063A6" w:themeColor="accent1"/>
              </w:rPr>
              <w:t>.</w:t>
            </w:r>
          </w:p>
        </w:tc>
      </w:tr>
      <w:tr w:rsidR="005B36B6" w:rsidTr="00991D06">
        <w:tc>
          <w:tcPr>
            <w:cnfStyle w:val="001000000000" w:firstRow="0" w:lastRow="0" w:firstColumn="1" w:lastColumn="0" w:oddVBand="0" w:evenVBand="0" w:oddHBand="0" w:evenHBand="0" w:firstRowFirstColumn="0" w:firstRowLastColumn="0" w:lastRowFirstColumn="0" w:lastRowLastColumn="0"/>
            <w:tcW w:w="727" w:type="pct"/>
            <w:vMerge w:val="restart"/>
            <w:tcBorders>
              <w:top w:val="single" w:sz="4" w:space="0" w:color="E3EBF4"/>
              <w:bottom w:val="single" w:sz="4" w:space="0" w:color="auto"/>
            </w:tcBorders>
          </w:tcPr>
          <w:p w:rsidR="005B36B6" w:rsidRDefault="005B36B6" w:rsidP="00C326D9">
            <w:pPr>
              <w:pStyle w:val="Tabletextbold"/>
              <w:spacing w:before="60" w:after="60"/>
            </w:pPr>
          </w:p>
        </w:tc>
        <w:tc>
          <w:tcPr>
            <w:tcW w:w="1183" w:type="pct"/>
            <w:tcBorders>
              <w:top w:val="single" w:sz="6" w:space="0" w:color="0063A6" w:themeColor="accent1"/>
              <w:bottom w:val="single" w:sz="6" w:space="0" w:color="0063A6" w:themeColor="accent1"/>
            </w:tcBorders>
          </w:tcPr>
          <w:p w:rsidR="005B36B6" w:rsidRPr="001472C1" w:rsidRDefault="005B36B6"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Hypothecation arrangements</w:t>
            </w:r>
          </w:p>
        </w:tc>
        <w:tc>
          <w:tcPr>
            <w:tcW w:w="632" w:type="pct"/>
            <w:tcBorders>
              <w:top w:val="single" w:sz="6" w:space="0" w:color="0063A6" w:themeColor="accent1"/>
              <w:bottom w:val="single" w:sz="6" w:space="0" w:color="0063A6" w:themeColor="accent1"/>
            </w:tcBorders>
          </w:tcPr>
          <w:p w:rsidR="005B36B6" w:rsidRDefault="005B36B6" w:rsidP="00C326D9">
            <w:pPr>
              <w:spacing w:before="60" w:after="60"/>
              <w:jc w:val="center"/>
              <w:cnfStyle w:val="000000000000" w:firstRow="0" w:lastRow="0" w:firstColumn="0" w:lastColumn="0" w:oddVBand="0" w:evenVBand="0" w:oddHBand="0" w:evenHBand="0" w:firstRowFirstColumn="0" w:firstRowLastColumn="0" w:lastRowFirstColumn="0" w:lastRowLastColumn="0"/>
            </w:pPr>
            <w:r>
              <w:t>BOF 4.1</w:t>
            </w:r>
          </w:p>
        </w:tc>
        <w:tc>
          <w:tcPr>
            <w:tcW w:w="598" w:type="pct"/>
            <w:tcBorders>
              <w:top w:val="single" w:sz="6" w:space="0" w:color="0063A6" w:themeColor="accent1"/>
              <w:bottom w:val="single" w:sz="6" w:space="0" w:color="0063A6" w:themeColor="accent1"/>
            </w:tcBorders>
          </w:tcPr>
          <w:p w:rsidR="005B36B6" w:rsidRPr="00653F72" w:rsidRDefault="005B36B6" w:rsidP="00C326D9">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7.2</w:t>
            </w:r>
          </w:p>
        </w:tc>
        <w:tc>
          <w:tcPr>
            <w:tcW w:w="1860" w:type="pct"/>
            <w:tcBorders>
              <w:top w:val="single" w:sz="6" w:space="0" w:color="0063A6" w:themeColor="accent1"/>
              <w:bottom w:val="single" w:sz="6" w:space="0" w:color="0063A6" w:themeColor="accent1"/>
            </w:tcBorders>
          </w:tcPr>
          <w:p w:rsidR="005B36B6" w:rsidRPr="001472C1" w:rsidDel="00474061" w:rsidRDefault="005B36B6"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Editorial change to move criteria for hypothecation considerations into the mandatory requirement section. Note that the current BOF already requires the criteria to be followed, the editorial changes make the criteria clearer within the Mandatory Requirement box for attestation purposes. </w:t>
            </w:r>
          </w:p>
        </w:tc>
      </w:tr>
      <w:tr w:rsidR="005B36B6" w:rsidTr="00991D06">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4" w:space="0" w:color="auto"/>
            </w:tcBorders>
          </w:tcPr>
          <w:p w:rsidR="005B36B6" w:rsidRDefault="005B36B6" w:rsidP="00C326D9">
            <w:pPr>
              <w:pStyle w:val="Tabletextbold"/>
              <w:spacing w:before="60" w:after="60"/>
            </w:pPr>
          </w:p>
        </w:tc>
        <w:tc>
          <w:tcPr>
            <w:tcW w:w="1183" w:type="pct"/>
            <w:tcBorders>
              <w:top w:val="single" w:sz="6" w:space="0" w:color="0063A6" w:themeColor="accent1"/>
              <w:bottom w:val="single" w:sz="6" w:space="0" w:color="0063A6" w:themeColor="accent1"/>
            </w:tcBorders>
          </w:tcPr>
          <w:p w:rsidR="005B36B6" w:rsidRPr="001472C1" w:rsidRDefault="005B36B6"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Central contingencies</w:t>
            </w:r>
          </w:p>
        </w:tc>
        <w:tc>
          <w:tcPr>
            <w:tcW w:w="632" w:type="pct"/>
            <w:tcBorders>
              <w:top w:val="single" w:sz="6" w:space="0" w:color="0063A6" w:themeColor="accent1"/>
              <w:bottom w:val="single" w:sz="6" w:space="0" w:color="0063A6" w:themeColor="accent1"/>
            </w:tcBorders>
          </w:tcPr>
          <w:p w:rsidR="005B36B6" w:rsidRDefault="005B36B6" w:rsidP="00C326D9">
            <w:pPr>
              <w:spacing w:before="60" w:after="60"/>
              <w:jc w:val="center"/>
              <w:cnfStyle w:val="000000000000" w:firstRow="0" w:lastRow="0" w:firstColumn="0" w:lastColumn="0" w:oddVBand="0" w:evenVBand="0" w:oddHBand="0" w:evenHBand="0" w:firstRowFirstColumn="0" w:firstRowLastColumn="0" w:lastRowFirstColumn="0" w:lastRowLastColumn="0"/>
            </w:pPr>
            <w:r w:rsidRPr="00497F39">
              <w:t>BOF 4.</w:t>
            </w:r>
            <w:r>
              <w:t>2</w:t>
            </w:r>
          </w:p>
        </w:tc>
        <w:tc>
          <w:tcPr>
            <w:tcW w:w="598" w:type="pct"/>
            <w:tcBorders>
              <w:top w:val="single" w:sz="6" w:space="0" w:color="0063A6" w:themeColor="accent1"/>
              <w:bottom w:val="single" w:sz="6" w:space="0" w:color="0063A6" w:themeColor="accent1"/>
            </w:tcBorders>
          </w:tcPr>
          <w:p w:rsidR="005B36B6" w:rsidRPr="00653F72" w:rsidRDefault="005B36B6" w:rsidP="00C326D9">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7.3</w:t>
            </w:r>
          </w:p>
        </w:tc>
        <w:tc>
          <w:tcPr>
            <w:tcW w:w="1860" w:type="pct"/>
            <w:tcBorders>
              <w:top w:val="single" w:sz="6" w:space="0" w:color="0063A6" w:themeColor="accent1"/>
              <w:bottom w:val="single" w:sz="6" w:space="0" w:color="0063A6" w:themeColor="accent1"/>
            </w:tcBorders>
          </w:tcPr>
          <w:p w:rsidR="005B36B6" w:rsidRPr="001472C1" w:rsidDel="00474061" w:rsidRDefault="005B36B6"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No significant content changes.</w:t>
            </w:r>
          </w:p>
        </w:tc>
      </w:tr>
      <w:tr w:rsidR="005B36B6" w:rsidTr="00991D06">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4" w:space="0" w:color="auto"/>
            </w:tcBorders>
          </w:tcPr>
          <w:p w:rsidR="005B36B6" w:rsidRDefault="005B36B6" w:rsidP="00C326D9">
            <w:pPr>
              <w:pStyle w:val="Tabletextbold"/>
              <w:spacing w:before="60" w:after="60"/>
            </w:pPr>
          </w:p>
        </w:tc>
        <w:tc>
          <w:tcPr>
            <w:tcW w:w="1183" w:type="pct"/>
            <w:tcBorders>
              <w:top w:val="single" w:sz="6" w:space="0" w:color="0063A6" w:themeColor="accent1"/>
              <w:bottom w:val="single" w:sz="6" w:space="0" w:color="0063A6" w:themeColor="accent1"/>
            </w:tcBorders>
          </w:tcPr>
          <w:p w:rsidR="005B36B6" w:rsidRDefault="005B36B6"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Payments on Behalf of the State (POBOS)</w:t>
            </w:r>
          </w:p>
          <w:p w:rsidR="00A00094" w:rsidRPr="001472C1" w:rsidRDefault="00A00094"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p>
        </w:tc>
        <w:tc>
          <w:tcPr>
            <w:tcW w:w="632" w:type="pct"/>
            <w:tcBorders>
              <w:top w:val="single" w:sz="6" w:space="0" w:color="0063A6" w:themeColor="accent1"/>
              <w:bottom w:val="single" w:sz="6" w:space="0" w:color="0063A6" w:themeColor="accent1"/>
            </w:tcBorders>
          </w:tcPr>
          <w:p w:rsidR="005B36B6" w:rsidRDefault="005B36B6" w:rsidP="00C326D9">
            <w:pPr>
              <w:spacing w:before="60" w:after="60"/>
              <w:jc w:val="center"/>
              <w:cnfStyle w:val="000000000000" w:firstRow="0" w:lastRow="0" w:firstColumn="0" w:lastColumn="0" w:oddVBand="0" w:evenVBand="0" w:oddHBand="0" w:evenHBand="0" w:firstRowFirstColumn="0" w:firstRowLastColumn="0" w:lastRowFirstColumn="0" w:lastRowLastColumn="0"/>
            </w:pPr>
            <w:r>
              <w:t>n/a</w:t>
            </w:r>
          </w:p>
        </w:tc>
        <w:tc>
          <w:tcPr>
            <w:tcW w:w="598" w:type="pct"/>
            <w:tcBorders>
              <w:top w:val="single" w:sz="6" w:space="0" w:color="0063A6" w:themeColor="accent1"/>
              <w:bottom w:val="single" w:sz="6" w:space="0" w:color="0063A6" w:themeColor="accent1"/>
            </w:tcBorders>
          </w:tcPr>
          <w:p w:rsidR="005B36B6" w:rsidRPr="00653F72" w:rsidRDefault="005B36B6" w:rsidP="00C326D9">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7.4</w:t>
            </w:r>
          </w:p>
        </w:tc>
        <w:tc>
          <w:tcPr>
            <w:tcW w:w="1860" w:type="pct"/>
            <w:tcBorders>
              <w:top w:val="single" w:sz="6" w:space="0" w:color="0063A6" w:themeColor="accent1"/>
              <w:bottom w:val="single" w:sz="6" w:space="0" w:color="0063A6" w:themeColor="accent1"/>
            </w:tcBorders>
          </w:tcPr>
          <w:p w:rsidR="005B36B6" w:rsidRPr="001472C1" w:rsidDel="00474061" w:rsidRDefault="005B36B6"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New section reflecting existing policies.</w:t>
            </w:r>
          </w:p>
        </w:tc>
      </w:tr>
      <w:tr w:rsidR="00C326D9" w:rsidTr="00991D06">
        <w:tc>
          <w:tcPr>
            <w:cnfStyle w:val="001000000000" w:firstRow="0" w:lastRow="0" w:firstColumn="1" w:lastColumn="0" w:oddVBand="0" w:evenVBand="0" w:oddHBand="0" w:evenHBand="0" w:firstRowFirstColumn="0" w:firstRowLastColumn="0" w:lastRowFirstColumn="0" w:lastRowLastColumn="0"/>
            <w:tcW w:w="727" w:type="pct"/>
            <w:vMerge w:val="restart"/>
            <w:tcBorders>
              <w:top w:val="single" w:sz="4" w:space="0" w:color="auto"/>
              <w:bottom w:val="single" w:sz="6" w:space="0" w:color="0063A6" w:themeColor="accent1"/>
            </w:tcBorders>
          </w:tcPr>
          <w:p w:rsidR="00C326D9" w:rsidRDefault="00C326D9" w:rsidP="00C326D9">
            <w:pPr>
              <w:pStyle w:val="Tabletextbold"/>
              <w:spacing w:before="60" w:after="60"/>
            </w:pPr>
            <w:r w:rsidRPr="00C326D9">
              <w:t>The accounting framework supporting budget managemen</w:t>
            </w:r>
            <w:r>
              <w:t>t</w:t>
            </w:r>
          </w:p>
        </w:tc>
        <w:tc>
          <w:tcPr>
            <w:tcW w:w="1183" w:type="pct"/>
            <w:tcBorders>
              <w:top w:val="single" w:sz="6" w:space="0" w:color="0063A6" w:themeColor="accent1"/>
              <w:bottom w:val="single" w:sz="6" w:space="0" w:color="0063A6" w:themeColor="accent1"/>
            </w:tcBorders>
          </w:tcPr>
          <w:p w:rsidR="00C326D9" w:rsidRPr="001472C1" w:rsidRDefault="00C326D9"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The State Administration Unit</w:t>
            </w:r>
            <w:r w:rsidR="00AC36E0" w:rsidRPr="001472C1">
              <w:rPr>
                <w:b w:val="0"/>
              </w:rPr>
              <w:t xml:space="preserve"> (SAU)</w:t>
            </w:r>
          </w:p>
        </w:tc>
        <w:tc>
          <w:tcPr>
            <w:tcW w:w="632" w:type="pct"/>
            <w:tcBorders>
              <w:top w:val="single" w:sz="6" w:space="0" w:color="0063A6" w:themeColor="accent1"/>
              <w:bottom w:val="single" w:sz="6" w:space="0" w:color="0063A6" w:themeColor="accent1"/>
            </w:tcBorders>
          </w:tcPr>
          <w:p w:rsidR="00C326D9" w:rsidRDefault="00C326D9" w:rsidP="00C326D9">
            <w:pPr>
              <w:spacing w:before="60" w:after="60"/>
              <w:jc w:val="center"/>
              <w:cnfStyle w:val="000000000000" w:firstRow="0" w:lastRow="0" w:firstColumn="0" w:lastColumn="0" w:oddVBand="0" w:evenVBand="0" w:oddHBand="0" w:evenHBand="0" w:firstRowFirstColumn="0" w:firstRowLastColumn="0" w:lastRowFirstColumn="0" w:lastRowLastColumn="0"/>
            </w:pPr>
            <w:r w:rsidRPr="00497F39">
              <w:t xml:space="preserve">BOF </w:t>
            </w:r>
            <w:r>
              <w:t>5.1</w:t>
            </w:r>
          </w:p>
        </w:tc>
        <w:tc>
          <w:tcPr>
            <w:tcW w:w="598" w:type="pct"/>
            <w:tcBorders>
              <w:top w:val="single" w:sz="6" w:space="0" w:color="0063A6" w:themeColor="accent1"/>
              <w:bottom w:val="single" w:sz="6" w:space="0" w:color="0063A6" w:themeColor="accent1"/>
            </w:tcBorders>
          </w:tcPr>
          <w:p w:rsidR="00C326D9" w:rsidRPr="00653F72" w:rsidRDefault="00C326D9" w:rsidP="00C326D9">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8.1</w:t>
            </w:r>
          </w:p>
        </w:tc>
        <w:tc>
          <w:tcPr>
            <w:tcW w:w="1860" w:type="pct"/>
            <w:tcBorders>
              <w:top w:val="single" w:sz="6" w:space="0" w:color="0063A6" w:themeColor="accent1"/>
              <w:bottom w:val="single" w:sz="6" w:space="0" w:color="0063A6" w:themeColor="accent1"/>
            </w:tcBorders>
          </w:tcPr>
          <w:p w:rsidR="00C326D9" w:rsidRPr="001472C1" w:rsidDel="00474061" w:rsidRDefault="00C326D9"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No significant content changes</w:t>
            </w:r>
            <w:r w:rsidR="00072C43" w:rsidRPr="001472C1">
              <w:rPr>
                <w:color w:val="0063A6" w:themeColor="accent1"/>
              </w:rPr>
              <w:t>.</w:t>
            </w:r>
          </w:p>
        </w:tc>
      </w:tr>
      <w:tr w:rsidR="00C326D9" w:rsidTr="001472C1">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C326D9" w:rsidRDefault="00C326D9" w:rsidP="00C326D9">
            <w:pPr>
              <w:pStyle w:val="Tabletextbold"/>
              <w:spacing w:before="60" w:after="60"/>
            </w:pPr>
          </w:p>
        </w:tc>
        <w:tc>
          <w:tcPr>
            <w:tcW w:w="1183" w:type="pct"/>
            <w:tcBorders>
              <w:top w:val="single" w:sz="6" w:space="0" w:color="0063A6" w:themeColor="accent1"/>
              <w:bottom w:val="single" w:sz="6" w:space="0" w:color="0063A6" w:themeColor="accent1"/>
            </w:tcBorders>
          </w:tcPr>
          <w:p w:rsidR="00C326D9" w:rsidRPr="001472C1" w:rsidRDefault="00C326D9"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The SAU inter-entity account dissection</w:t>
            </w:r>
          </w:p>
        </w:tc>
        <w:tc>
          <w:tcPr>
            <w:tcW w:w="632" w:type="pct"/>
            <w:tcBorders>
              <w:top w:val="single" w:sz="6" w:space="0" w:color="0063A6" w:themeColor="accent1"/>
              <w:bottom w:val="single" w:sz="6" w:space="0" w:color="0063A6" w:themeColor="accent1"/>
            </w:tcBorders>
          </w:tcPr>
          <w:p w:rsidR="00C326D9" w:rsidRDefault="00C326D9" w:rsidP="00C326D9">
            <w:pPr>
              <w:spacing w:before="60" w:after="60"/>
              <w:jc w:val="center"/>
              <w:cnfStyle w:val="000000000000" w:firstRow="0" w:lastRow="0" w:firstColumn="0" w:lastColumn="0" w:oddVBand="0" w:evenVBand="0" w:oddHBand="0" w:evenHBand="0" w:firstRowFirstColumn="0" w:firstRowLastColumn="0" w:lastRowFirstColumn="0" w:lastRowLastColumn="0"/>
            </w:pPr>
            <w:r w:rsidRPr="00497F39">
              <w:t xml:space="preserve">BOF </w:t>
            </w:r>
            <w:r>
              <w:t>5.2</w:t>
            </w:r>
          </w:p>
        </w:tc>
        <w:tc>
          <w:tcPr>
            <w:tcW w:w="598" w:type="pct"/>
            <w:tcBorders>
              <w:top w:val="single" w:sz="6" w:space="0" w:color="0063A6" w:themeColor="accent1"/>
              <w:bottom w:val="single" w:sz="6" w:space="0" w:color="0063A6" w:themeColor="accent1"/>
            </w:tcBorders>
          </w:tcPr>
          <w:p w:rsidR="00C326D9" w:rsidRPr="00653F72" w:rsidRDefault="00C326D9" w:rsidP="00C326D9">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8.2</w:t>
            </w:r>
          </w:p>
        </w:tc>
        <w:tc>
          <w:tcPr>
            <w:tcW w:w="1860" w:type="pct"/>
            <w:tcBorders>
              <w:top w:val="single" w:sz="6" w:space="0" w:color="0063A6" w:themeColor="accent1"/>
              <w:bottom w:val="single" w:sz="6" w:space="0" w:color="0063A6" w:themeColor="accent1"/>
            </w:tcBorders>
          </w:tcPr>
          <w:p w:rsidR="00C326D9" w:rsidRPr="001472C1" w:rsidDel="00474061" w:rsidRDefault="00C326D9"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Further clarification of guidance. Removal of 5.2.1 (d) (in the BOF) to reduce the level of prescription in the mandatory requirement on the contents of the dissection.</w:t>
            </w:r>
            <w:r w:rsidR="009C7A3F" w:rsidRPr="001472C1">
              <w:rPr>
                <w:color w:val="0063A6" w:themeColor="accent1"/>
              </w:rPr>
              <w:t xml:space="preserve"> SAU dissection guidance moved from attachment to this section.</w:t>
            </w:r>
          </w:p>
        </w:tc>
      </w:tr>
      <w:tr w:rsidR="00C326D9" w:rsidTr="001472C1">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C326D9" w:rsidRDefault="00C326D9" w:rsidP="00C326D9">
            <w:pPr>
              <w:pStyle w:val="Tabletextbold"/>
              <w:spacing w:before="60" w:after="60"/>
            </w:pPr>
          </w:p>
        </w:tc>
        <w:tc>
          <w:tcPr>
            <w:tcW w:w="1183" w:type="pct"/>
            <w:tcBorders>
              <w:top w:val="single" w:sz="6" w:space="0" w:color="0063A6" w:themeColor="accent1"/>
              <w:bottom w:val="single" w:sz="6" w:space="0" w:color="0063A6" w:themeColor="accent1"/>
            </w:tcBorders>
          </w:tcPr>
          <w:p w:rsidR="00C326D9" w:rsidRPr="001472C1" w:rsidRDefault="00C326D9"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Policy and non-policy journal entries in the State Resource Information Management System (SRIMS)</w:t>
            </w:r>
          </w:p>
        </w:tc>
        <w:tc>
          <w:tcPr>
            <w:tcW w:w="632" w:type="pct"/>
            <w:tcBorders>
              <w:top w:val="single" w:sz="6" w:space="0" w:color="0063A6" w:themeColor="accent1"/>
              <w:bottom w:val="single" w:sz="6" w:space="0" w:color="0063A6" w:themeColor="accent1"/>
            </w:tcBorders>
          </w:tcPr>
          <w:p w:rsidR="00C326D9" w:rsidRDefault="00C326D9" w:rsidP="00C326D9">
            <w:pPr>
              <w:spacing w:before="60" w:after="60"/>
              <w:jc w:val="center"/>
              <w:cnfStyle w:val="000000000000" w:firstRow="0" w:lastRow="0" w:firstColumn="0" w:lastColumn="0" w:oddVBand="0" w:evenVBand="0" w:oddHBand="0" w:evenHBand="0" w:firstRowFirstColumn="0" w:firstRowLastColumn="0" w:lastRowFirstColumn="0" w:lastRowLastColumn="0"/>
            </w:pPr>
            <w:r>
              <w:t>BOF 6.1</w:t>
            </w:r>
          </w:p>
        </w:tc>
        <w:tc>
          <w:tcPr>
            <w:tcW w:w="598" w:type="pct"/>
            <w:tcBorders>
              <w:top w:val="single" w:sz="6" w:space="0" w:color="0063A6" w:themeColor="accent1"/>
              <w:bottom w:val="single" w:sz="6" w:space="0" w:color="0063A6" w:themeColor="accent1"/>
            </w:tcBorders>
          </w:tcPr>
          <w:p w:rsidR="00C326D9" w:rsidRPr="00653F72" w:rsidRDefault="00C326D9" w:rsidP="00C326D9">
            <w:pPr>
              <w:spacing w:before="60" w:after="60"/>
              <w:jc w:val="center"/>
              <w:cnfStyle w:val="000000000000" w:firstRow="0" w:lastRow="0" w:firstColumn="0" w:lastColumn="0" w:oddVBand="0" w:evenVBand="0" w:oddHBand="0" w:evenHBand="0" w:firstRowFirstColumn="0" w:firstRowLastColumn="0" w:lastRowFirstColumn="0" w:lastRowLastColumn="0"/>
              <w:rPr>
                <w:color w:val="D50032"/>
              </w:rPr>
            </w:pPr>
            <w:r w:rsidRPr="00653F72">
              <w:rPr>
                <w:color w:val="D50032"/>
              </w:rPr>
              <w:t>8.3</w:t>
            </w:r>
          </w:p>
        </w:tc>
        <w:tc>
          <w:tcPr>
            <w:tcW w:w="1860" w:type="pct"/>
            <w:tcBorders>
              <w:top w:val="single" w:sz="6" w:space="0" w:color="0063A6" w:themeColor="accent1"/>
              <w:bottom w:val="single" w:sz="6" w:space="0" w:color="0063A6" w:themeColor="accent1"/>
            </w:tcBorders>
          </w:tcPr>
          <w:p w:rsidR="00C326D9" w:rsidRPr="001472C1" w:rsidDel="00474061" w:rsidRDefault="00C326D9"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Additional guidance inserted that introduces </w:t>
            </w:r>
            <w:r w:rsidR="009C7A3F" w:rsidRPr="001472C1">
              <w:rPr>
                <w:color w:val="0063A6" w:themeColor="accent1"/>
              </w:rPr>
              <w:t>SRIMS and the forward estimates</w:t>
            </w:r>
            <w:r w:rsidRPr="001472C1">
              <w:rPr>
                <w:color w:val="0063A6" w:themeColor="accent1"/>
              </w:rPr>
              <w:t>. Inclusion of ‘machinery of government changes’ as an example of a non-policy SRIMS journal.</w:t>
            </w:r>
          </w:p>
        </w:tc>
      </w:tr>
      <w:tr w:rsidR="00C326D9" w:rsidTr="001472C1">
        <w:tc>
          <w:tcPr>
            <w:cnfStyle w:val="001000000000" w:firstRow="0" w:lastRow="0" w:firstColumn="1" w:lastColumn="0" w:oddVBand="0" w:evenVBand="0" w:oddHBand="0" w:evenHBand="0" w:firstRowFirstColumn="0" w:firstRowLastColumn="0" w:lastRowFirstColumn="0" w:lastRowLastColumn="0"/>
            <w:tcW w:w="727" w:type="pct"/>
            <w:vMerge w:val="restart"/>
            <w:tcBorders>
              <w:top w:val="single" w:sz="6" w:space="0" w:color="0063A6" w:themeColor="accent1"/>
              <w:bottom w:val="single" w:sz="6" w:space="0" w:color="0063A6" w:themeColor="accent1"/>
            </w:tcBorders>
          </w:tcPr>
          <w:p w:rsidR="00C326D9" w:rsidRPr="0066370B" w:rsidRDefault="00C326D9" w:rsidP="00C326D9">
            <w:pPr>
              <w:pStyle w:val="Tabletextbold"/>
              <w:spacing w:before="60" w:after="60"/>
            </w:pPr>
            <w:r>
              <w:t>Attachments</w:t>
            </w:r>
          </w:p>
        </w:tc>
        <w:tc>
          <w:tcPr>
            <w:tcW w:w="1183" w:type="pct"/>
            <w:tcBorders>
              <w:top w:val="single" w:sz="6" w:space="0" w:color="0063A6" w:themeColor="accent1"/>
              <w:bottom w:val="single" w:sz="6" w:space="0" w:color="0063A6" w:themeColor="accent1"/>
            </w:tcBorders>
          </w:tcPr>
          <w:p w:rsidR="00C326D9" w:rsidRPr="001472C1" w:rsidRDefault="00C326D9"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Further guidance for developing departmental objectives</w:t>
            </w:r>
          </w:p>
        </w:tc>
        <w:tc>
          <w:tcPr>
            <w:tcW w:w="632" w:type="pct"/>
            <w:tcBorders>
              <w:top w:val="single" w:sz="6" w:space="0" w:color="0063A6" w:themeColor="accent1"/>
              <w:bottom w:val="single" w:sz="6" w:space="0" w:color="0063A6" w:themeColor="accent1"/>
            </w:tcBorders>
          </w:tcPr>
          <w:p w:rsidR="00C326D9" w:rsidRPr="00D234A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rPr>
            </w:pPr>
            <w:r w:rsidRPr="00D234A2">
              <w:rPr>
                <w:b w:val="0"/>
              </w:rPr>
              <w:t>PMF Attachment 3</w:t>
            </w:r>
          </w:p>
        </w:tc>
        <w:tc>
          <w:tcPr>
            <w:tcW w:w="598" w:type="pct"/>
            <w:tcBorders>
              <w:top w:val="single" w:sz="6" w:space="0" w:color="0063A6" w:themeColor="accent1"/>
              <w:bottom w:val="single" w:sz="6" w:space="0" w:color="0063A6" w:themeColor="accent1"/>
            </w:tcBorders>
          </w:tcPr>
          <w:p w:rsidR="00C326D9" w:rsidRPr="00653F7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color w:val="D50032"/>
              </w:rPr>
            </w:pPr>
            <w:r w:rsidRPr="00653F72">
              <w:rPr>
                <w:b w:val="0"/>
                <w:color w:val="D50032"/>
              </w:rPr>
              <w:t>Attachment 1</w:t>
            </w:r>
          </w:p>
        </w:tc>
        <w:tc>
          <w:tcPr>
            <w:tcW w:w="1860" w:type="pct"/>
            <w:tcBorders>
              <w:top w:val="single" w:sz="6" w:space="0" w:color="0063A6" w:themeColor="accent1"/>
              <w:bottom w:val="single" w:sz="6" w:space="0" w:color="0063A6" w:themeColor="accent1"/>
            </w:tcBorders>
          </w:tcPr>
          <w:p w:rsidR="00C326D9" w:rsidRPr="001472C1" w:rsidRDefault="00C326D9"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No change</w:t>
            </w:r>
            <w:r w:rsidR="00072C43" w:rsidRPr="001472C1">
              <w:rPr>
                <w:color w:val="0063A6" w:themeColor="accent1"/>
              </w:rPr>
              <w:t>.</w:t>
            </w:r>
          </w:p>
        </w:tc>
      </w:tr>
      <w:tr w:rsidR="00C326D9" w:rsidTr="001472C1">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C326D9" w:rsidRPr="0066370B" w:rsidRDefault="00C326D9" w:rsidP="00C326D9">
            <w:pPr>
              <w:pStyle w:val="Tabletextbold"/>
              <w:spacing w:before="60" w:after="60"/>
            </w:pPr>
          </w:p>
        </w:tc>
        <w:tc>
          <w:tcPr>
            <w:tcW w:w="1183" w:type="pct"/>
            <w:tcBorders>
              <w:top w:val="single" w:sz="6" w:space="0" w:color="0063A6" w:themeColor="accent1"/>
              <w:bottom w:val="single" w:sz="6" w:space="0" w:color="0063A6" w:themeColor="accent1"/>
            </w:tcBorders>
          </w:tcPr>
          <w:p w:rsidR="00C326D9" w:rsidRPr="001472C1" w:rsidRDefault="00C326D9"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Further guidance for developing departmental objective indicators</w:t>
            </w:r>
          </w:p>
        </w:tc>
        <w:tc>
          <w:tcPr>
            <w:tcW w:w="632" w:type="pct"/>
            <w:tcBorders>
              <w:top w:val="single" w:sz="6" w:space="0" w:color="0063A6" w:themeColor="accent1"/>
              <w:bottom w:val="single" w:sz="6" w:space="0" w:color="0063A6" w:themeColor="accent1"/>
            </w:tcBorders>
          </w:tcPr>
          <w:p w:rsidR="00C326D9" w:rsidRPr="00D234A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rPr>
            </w:pPr>
            <w:r w:rsidRPr="00D234A2">
              <w:rPr>
                <w:b w:val="0"/>
              </w:rPr>
              <w:t>PMF Attachment 4</w:t>
            </w:r>
          </w:p>
        </w:tc>
        <w:tc>
          <w:tcPr>
            <w:tcW w:w="598" w:type="pct"/>
            <w:tcBorders>
              <w:top w:val="single" w:sz="6" w:space="0" w:color="0063A6" w:themeColor="accent1"/>
              <w:bottom w:val="single" w:sz="6" w:space="0" w:color="0063A6" w:themeColor="accent1"/>
            </w:tcBorders>
          </w:tcPr>
          <w:p w:rsidR="00C326D9" w:rsidRPr="00653F7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color w:val="D50032"/>
              </w:rPr>
            </w:pPr>
            <w:r w:rsidRPr="00653F72">
              <w:rPr>
                <w:b w:val="0"/>
                <w:color w:val="D50032"/>
              </w:rPr>
              <w:t>Attachment 2</w:t>
            </w:r>
          </w:p>
        </w:tc>
        <w:tc>
          <w:tcPr>
            <w:tcW w:w="1860" w:type="pct"/>
            <w:tcBorders>
              <w:top w:val="single" w:sz="6" w:space="0" w:color="0063A6" w:themeColor="accent1"/>
              <w:bottom w:val="single" w:sz="6" w:space="0" w:color="0063A6" w:themeColor="accent1"/>
            </w:tcBorders>
          </w:tcPr>
          <w:p w:rsidR="00C326D9" w:rsidRPr="001472C1" w:rsidRDefault="00C326D9"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No change</w:t>
            </w:r>
            <w:r w:rsidR="00072C43" w:rsidRPr="001472C1">
              <w:rPr>
                <w:color w:val="0063A6" w:themeColor="accent1"/>
              </w:rPr>
              <w:t>.</w:t>
            </w:r>
          </w:p>
        </w:tc>
      </w:tr>
      <w:tr w:rsidR="00C326D9" w:rsidTr="001472C1">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C326D9" w:rsidRPr="0066370B" w:rsidRDefault="00C326D9" w:rsidP="00C326D9">
            <w:pPr>
              <w:pStyle w:val="Tabletextbold"/>
              <w:spacing w:before="60" w:after="60"/>
            </w:pPr>
          </w:p>
        </w:tc>
        <w:tc>
          <w:tcPr>
            <w:tcW w:w="1183" w:type="pct"/>
            <w:tcBorders>
              <w:top w:val="single" w:sz="6" w:space="0" w:color="0063A6" w:themeColor="accent1"/>
              <w:bottom w:val="single" w:sz="6" w:space="0" w:color="0063A6" w:themeColor="accent1"/>
            </w:tcBorders>
          </w:tcPr>
          <w:p w:rsidR="00C326D9" w:rsidRPr="001472C1" w:rsidRDefault="00C326D9"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Methodology for output costing</w:t>
            </w:r>
          </w:p>
        </w:tc>
        <w:tc>
          <w:tcPr>
            <w:tcW w:w="632" w:type="pct"/>
            <w:tcBorders>
              <w:top w:val="single" w:sz="6" w:space="0" w:color="0063A6" w:themeColor="accent1"/>
              <w:bottom w:val="single" w:sz="6" w:space="0" w:color="0063A6" w:themeColor="accent1"/>
            </w:tcBorders>
          </w:tcPr>
          <w:p w:rsidR="00C326D9" w:rsidRPr="00D234A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rPr>
            </w:pPr>
            <w:r w:rsidRPr="00D234A2">
              <w:rPr>
                <w:b w:val="0"/>
              </w:rPr>
              <w:t>PMF Attachment 8</w:t>
            </w:r>
          </w:p>
        </w:tc>
        <w:tc>
          <w:tcPr>
            <w:tcW w:w="598" w:type="pct"/>
            <w:tcBorders>
              <w:top w:val="single" w:sz="6" w:space="0" w:color="0063A6" w:themeColor="accent1"/>
              <w:bottom w:val="single" w:sz="6" w:space="0" w:color="0063A6" w:themeColor="accent1"/>
            </w:tcBorders>
          </w:tcPr>
          <w:p w:rsidR="00C326D9" w:rsidRPr="00653F7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color w:val="D50032"/>
              </w:rPr>
            </w:pPr>
            <w:r w:rsidRPr="00653F72">
              <w:rPr>
                <w:b w:val="0"/>
                <w:color w:val="D50032"/>
              </w:rPr>
              <w:t>n/a</w:t>
            </w:r>
          </w:p>
        </w:tc>
        <w:tc>
          <w:tcPr>
            <w:tcW w:w="1860" w:type="pct"/>
            <w:tcBorders>
              <w:top w:val="single" w:sz="6" w:space="0" w:color="0063A6" w:themeColor="accent1"/>
              <w:bottom w:val="single" w:sz="6" w:space="0" w:color="0063A6" w:themeColor="accent1"/>
            </w:tcBorders>
          </w:tcPr>
          <w:p w:rsidR="00C326D9" w:rsidRPr="001472C1" w:rsidRDefault="00C326D9"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Guidance has been removed but available to departments in a separate document upon request</w:t>
            </w:r>
            <w:r w:rsidR="00072C43" w:rsidRPr="001472C1">
              <w:rPr>
                <w:color w:val="0063A6" w:themeColor="accent1"/>
              </w:rPr>
              <w:t>.</w:t>
            </w:r>
          </w:p>
        </w:tc>
      </w:tr>
      <w:tr w:rsidR="00C326D9" w:rsidTr="001472C1">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C326D9" w:rsidRPr="0066370B" w:rsidRDefault="00C326D9" w:rsidP="00C326D9">
            <w:pPr>
              <w:pStyle w:val="Tabletextbold"/>
              <w:spacing w:before="60" w:after="60"/>
            </w:pPr>
          </w:p>
        </w:tc>
        <w:tc>
          <w:tcPr>
            <w:tcW w:w="1183" w:type="pct"/>
            <w:tcBorders>
              <w:top w:val="single" w:sz="6" w:space="0" w:color="0063A6" w:themeColor="accent1"/>
              <w:bottom w:val="single" w:sz="6" w:space="0" w:color="0063A6" w:themeColor="accent1"/>
            </w:tcBorders>
          </w:tcPr>
          <w:p w:rsidR="00C326D9" w:rsidRPr="001472C1" w:rsidRDefault="00C326D9"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Further guidance for developing outputs</w:t>
            </w:r>
          </w:p>
        </w:tc>
        <w:tc>
          <w:tcPr>
            <w:tcW w:w="632" w:type="pct"/>
            <w:tcBorders>
              <w:top w:val="single" w:sz="6" w:space="0" w:color="0063A6" w:themeColor="accent1"/>
              <w:bottom w:val="single" w:sz="6" w:space="0" w:color="0063A6" w:themeColor="accent1"/>
            </w:tcBorders>
          </w:tcPr>
          <w:p w:rsidR="00C326D9" w:rsidRPr="00D234A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rPr>
            </w:pPr>
            <w:r w:rsidRPr="00D234A2">
              <w:rPr>
                <w:b w:val="0"/>
              </w:rPr>
              <w:t>PMF Attachment 5</w:t>
            </w:r>
          </w:p>
        </w:tc>
        <w:tc>
          <w:tcPr>
            <w:tcW w:w="598" w:type="pct"/>
            <w:tcBorders>
              <w:top w:val="single" w:sz="6" w:space="0" w:color="0063A6" w:themeColor="accent1"/>
              <w:bottom w:val="single" w:sz="6" w:space="0" w:color="0063A6" w:themeColor="accent1"/>
            </w:tcBorders>
          </w:tcPr>
          <w:p w:rsidR="00C326D9" w:rsidRPr="00653F7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color w:val="D50032"/>
              </w:rPr>
            </w:pPr>
            <w:r w:rsidRPr="00653F72">
              <w:rPr>
                <w:b w:val="0"/>
                <w:color w:val="D50032"/>
              </w:rPr>
              <w:t>Attachment 3</w:t>
            </w:r>
          </w:p>
        </w:tc>
        <w:tc>
          <w:tcPr>
            <w:tcW w:w="1860" w:type="pct"/>
            <w:tcBorders>
              <w:top w:val="single" w:sz="6" w:space="0" w:color="0063A6" w:themeColor="accent1"/>
              <w:bottom w:val="single" w:sz="6" w:space="0" w:color="0063A6" w:themeColor="accent1"/>
            </w:tcBorders>
          </w:tcPr>
          <w:p w:rsidR="00C326D9" w:rsidRPr="001472C1" w:rsidRDefault="00C326D9"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Guidance has been updated to reflect current practice</w:t>
            </w:r>
            <w:r w:rsidR="00072C43" w:rsidRPr="001472C1">
              <w:rPr>
                <w:color w:val="0063A6" w:themeColor="accent1"/>
              </w:rPr>
              <w:t>.</w:t>
            </w:r>
          </w:p>
        </w:tc>
      </w:tr>
      <w:tr w:rsidR="00C326D9" w:rsidTr="001472C1">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C326D9" w:rsidRPr="0066370B" w:rsidRDefault="00C326D9" w:rsidP="00C326D9">
            <w:pPr>
              <w:pStyle w:val="Tabletextbold"/>
              <w:spacing w:before="60" w:after="60"/>
            </w:pPr>
          </w:p>
        </w:tc>
        <w:tc>
          <w:tcPr>
            <w:tcW w:w="1183" w:type="pct"/>
            <w:tcBorders>
              <w:top w:val="single" w:sz="6" w:space="0" w:color="0063A6" w:themeColor="accent1"/>
              <w:bottom w:val="single" w:sz="6" w:space="0" w:color="0063A6" w:themeColor="accent1"/>
            </w:tcBorders>
          </w:tcPr>
          <w:p w:rsidR="00C326D9" w:rsidRPr="001472C1" w:rsidRDefault="00C326D9"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Further guidance for developing performance measures</w:t>
            </w:r>
          </w:p>
        </w:tc>
        <w:tc>
          <w:tcPr>
            <w:tcW w:w="632" w:type="pct"/>
            <w:tcBorders>
              <w:top w:val="single" w:sz="6" w:space="0" w:color="0063A6" w:themeColor="accent1"/>
              <w:bottom w:val="single" w:sz="6" w:space="0" w:color="0063A6" w:themeColor="accent1"/>
            </w:tcBorders>
          </w:tcPr>
          <w:p w:rsidR="00C326D9" w:rsidRPr="00D234A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rPr>
            </w:pPr>
            <w:r w:rsidRPr="00D234A2">
              <w:rPr>
                <w:b w:val="0"/>
              </w:rPr>
              <w:t>PMF Attachment 6</w:t>
            </w:r>
          </w:p>
        </w:tc>
        <w:tc>
          <w:tcPr>
            <w:tcW w:w="598" w:type="pct"/>
            <w:tcBorders>
              <w:top w:val="single" w:sz="6" w:space="0" w:color="0063A6" w:themeColor="accent1"/>
              <w:bottom w:val="single" w:sz="6" w:space="0" w:color="0063A6" w:themeColor="accent1"/>
            </w:tcBorders>
          </w:tcPr>
          <w:p w:rsidR="00C326D9" w:rsidRPr="00653F7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color w:val="D50032"/>
              </w:rPr>
            </w:pPr>
            <w:r w:rsidRPr="00653F72">
              <w:rPr>
                <w:b w:val="0"/>
                <w:color w:val="D50032"/>
              </w:rPr>
              <w:t>Attachment 4</w:t>
            </w:r>
          </w:p>
        </w:tc>
        <w:tc>
          <w:tcPr>
            <w:tcW w:w="1860" w:type="pct"/>
            <w:tcBorders>
              <w:top w:val="single" w:sz="6" w:space="0" w:color="0063A6" w:themeColor="accent1"/>
              <w:bottom w:val="single" w:sz="6" w:space="0" w:color="0063A6" w:themeColor="accent1"/>
            </w:tcBorders>
          </w:tcPr>
          <w:p w:rsidR="00C326D9" w:rsidRPr="001472C1" w:rsidRDefault="00C326D9"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Guidance has been updated to reflect current practice</w:t>
            </w:r>
            <w:r w:rsidR="00072C43" w:rsidRPr="001472C1">
              <w:rPr>
                <w:color w:val="0063A6" w:themeColor="accent1"/>
              </w:rPr>
              <w:t>.</w:t>
            </w:r>
          </w:p>
        </w:tc>
      </w:tr>
      <w:tr w:rsidR="00C326D9" w:rsidTr="001472C1">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C326D9" w:rsidRPr="0066370B" w:rsidRDefault="00C326D9" w:rsidP="00C326D9">
            <w:pPr>
              <w:pStyle w:val="Tabletextbold"/>
              <w:spacing w:before="60" w:after="60"/>
            </w:pPr>
          </w:p>
        </w:tc>
        <w:tc>
          <w:tcPr>
            <w:tcW w:w="1183" w:type="pct"/>
            <w:tcBorders>
              <w:top w:val="single" w:sz="6" w:space="0" w:color="0063A6" w:themeColor="accent1"/>
              <w:bottom w:val="single" w:sz="6" w:space="0" w:color="0063A6" w:themeColor="accent1"/>
            </w:tcBorders>
          </w:tcPr>
          <w:p w:rsidR="00C326D9" w:rsidRPr="001472C1" w:rsidRDefault="00C326D9"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Overview of medium-term planning process</w:t>
            </w:r>
          </w:p>
        </w:tc>
        <w:tc>
          <w:tcPr>
            <w:tcW w:w="632" w:type="pct"/>
            <w:tcBorders>
              <w:top w:val="single" w:sz="6" w:space="0" w:color="0063A6" w:themeColor="accent1"/>
              <w:bottom w:val="single" w:sz="6" w:space="0" w:color="0063A6" w:themeColor="accent1"/>
            </w:tcBorders>
          </w:tcPr>
          <w:p w:rsidR="00C326D9" w:rsidRPr="00D234A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rPr>
            </w:pPr>
            <w:r w:rsidRPr="00D234A2">
              <w:rPr>
                <w:b w:val="0"/>
              </w:rPr>
              <w:t>PMF Attachment 2</w:t>
            </w:r>
          </w:p>
        </w:tc>
        <w:tc>
          <w:tcPr>
            <w:tcW w:w="598" w:type="pct"/>
            <w:tcBorders>
              <w:top w:val="single" w:sz="6" w:space="0" w:color="0063A6" w:themeColor="accent1"/>
              <w:bottom w:val="single" w:sz="6" w:space="0" w:color="0063A6" w:themeColor="accent1"/>
            </w:tcBorders>
          </w:tcPr>
          <w:p w:rsidR="00C326D9" w:rsidRPr="00653F7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color w:val="D50032"/>
              </w:rPr>
            </w:pPr>
            <w:r w:rsidRPr="00653F72">
              <w:rPr>
                <w:b w:val="0"/>
                <w:color w:val="D50032"/>
              </w:rPr>
              <w:t>Attachment 5</w:t>
            </w:r>
          </w:p>
        </w:tc>
        <w:tc>
          <w:tcPr>
            <w:tcW w:w="1860" w:type="pct"/>
            <w:tcBorders>
              <w:top w:val="single" w:sz="6" w:space="0" w:color="0063A6" w:themeColor="accent1"/>
              <w:bottom w:val="single" w:sz="6" w:space="0" w:color="0063A6" w:themeColor="accent1"/>
            </w:tcBorders>
          </w:tcPr>
          <w:p w:rsidR="00C326D9" w:rsidRPr="001472C1" w:rsidRDefault="00C326D9"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No content </w:t>
            </w:r>
            <w:r w:rsidR="00072C43" w:rsidRPr="001472C1">
              <w:rPr>
                <w:color w:val="0063A6" w:themeColor="accent1"/>
              </w:rPr>
              <w:t>changes.</w:t>
            </w:r>
          </w:p>
        </w:tc>
      </w:tr>
      <w:tr w:rsidR="00C326D9" w:rsidTr="001472C1">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C326D9" w:rsidRPr="0066370B" w:rsidRDefault="00C326D9" w:rsidP="00C326D9">
            <w:pPr>
              <w:pStyle w:val="Tabletextbold"/>
              <w:spacing w:before="60" w:after="60"/>
            </w:pPr>
          </w:p>
        </w:tc>
        <w:tc>
          <w:tcPr>
            <w:tcW w:w="1183" w:type="pct"/>
            <w:tcBorders>
              <w:top w:val="single" w:sz="6" w:space="0" w:color="0063A6" w:themeColor="accent1"/>
              <w:bottom w:val="single" w:sz="6" w:space="0" w:color="0063A6" w:themeColor="accent1"/>
            </w:tcBorders>
          </w:tcPr>
          <w:p w:rsidR="00C326D9" w:rsidRPr="001472C1" w:rsidRDefault="00C326D9"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Departmental performance statements – performance measure footnote guidance</w:t>
            </w:r>
          </w:p>
        </w:tc>
        <w:tc>
          <w:tcPr>
            <w:tcW w:w="632" w:type="pct"/>
            <w:tcBorders>
              <w:top w:val="single" w:sz="6" w:space="0" w:color="0063A6" w:themeColor="accent1"/>
              <w:bottom w:val="single" w:sz="6" w:space="0" w:color="0063A6" w:themeColor="accent1"/>
            </w:tcBorders>
          </w:tcPr>
          <w:p w:rsidR="00C326D9" w:rsidRPr="00D234A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rPr>
            </w:pPr>
            <w:r w:rsidRPr="00D234A2">
              <w:rPr>
                <w:b w:val="0"/>
              </w:rPr>
              <w:t>PMF Attachment 7</w:t>
            </w:r>
          </w:p>
        </w:tc>
        <w:tc>
          <w:tcPr>
            <w:tcW w:w="598" w:type="pct"/>
            <w:tcBorders>
              <w:top w:val="single" w:sz="6" w:space="0" w:color="0063A6" w:themeColor="accent1"/>
              <w:bottom w:val="single" w:sz="6" w:space="0" w:color="0063A6" w:themeColor="accent1"/>
            </w:tcBorders>
          </w:tcPr>
          <w:p w:rsidR="00C326D9" w:rsidRPr="00653F7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color w:val="D50032"/>
              </w:rPr>
            </w:pPr>
            <w:r w:rsidRPr="00653F72">
              <w:rPr>
                <w:b w:val="0"/>
                <w:color w:val="D50032"/>
              </w:rPr>
              <w:t>Attachment 6</w:t>
            </w:r>
          </w:p>
        </w:tc>
        <w:tc>
          <w:tcPr>
            <w:tcW w:w="1860" w:type="pct"/>
            <w:tcBorders>
              <w:top w:val="single" w:sz="6" w:space="0" w:color="0063A6" w:themeColor="accent1"/>
              <w:bottom w:val="single" w:sz="6" w:space="0" w:color="0063A6" w:themeColor="accent1"/>
            </w:tcBorders>
          </w:tcPr>
          <w:p w:rsidR="00C326D9" w:rsidRPr="001472C1" w:rsidRDefault="00C326D9"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Were mandatory requirements, converted to guidance</w:t>
            </w:r>
            <w:r w:rsidR="00072C43" w:rsidRPr="001472C1">
              <w:rPr>
                <w:color w:val="0063A6" w:themeColor="accent1"/>
              </w:rPr>
              <w:t>.</w:t>
            </w:r>
          </w:p>
        </w:tc>
      </w:tr>
      <w:tr w:rsidR="00C326D9" w:rsidTr="001472C1">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C326D9" w:rsidRPr="0066370B" w:rsidRDefault="00C326D9" w:rsidP="00C326D9">
            <w:pPr>
              <w:pStyle w:val="Tabletextbold"/>
              <w:spacing w:before="60" w:after="60"/>
            </w:pPr>
          </w:p>
        </w:tc>
        <w:tc>
          <w:tcPr>
            <w:tcW w:w="1183" w:type="pct"/>
            <w:tcBorders>
              <w:top w:val="single" w:sz="6" w:space="0" w:color="0063A6" w:themeColor="accent1"/>
              <w:bottom w:val="single" w:sz="6" w:space="0" w:color="0063A6" w:themeColor="accent1"/>
            </w:tcBorders>
          </w:tcPr>
          <w:p w:rsidR="00C326D9" w:rsidRPr="001472C1" w:rsidRDefault="00C326D9"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The Departmental Funding Model</w:t>
            </w:r>
          </w:p>
        </w:tc>
        <w:tc>
          <w:tcPr>
            <w:tcW w:w="632" w:type="pct"/>
            <w:tcBorders>
              <w:top w:val="single" w:sz="6" w:space="0" w:color="0063A6" w:themeColor="accent1"/>
              <w:bottom w:val="single" w:sz="6" w:space="0" w:color="0063A6" w:themeColor="accent1"/>
            </w:tcBorders>
          </w:tcPr>
          <w:p w:rsidR="00C326D9" w:rsidRPr="00D234A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rPr>
            </w:pPr>
            <w:r w:rsidRPr="00D234A2">
              <w:rPr>
                <w:b w:val="0"/>
              </w:rPr>
              <w:t>n/a</w:t>
            </w:r>
          </w:p>
        </w:tc>
        <w:tc>
          <w:tcPr>
            <w:tcW w:w="598" w:type="pct"/>
            <w:tcBorders>
              <w:top w:val="single" w:sz="6" w:space="0" w:color="0063A6" w:themeColor="accent1"/>
              <w:bottom w:val="single" w:sz="6" w:space="0" w:color="0063A6" w:themeColor="accent1"/>
            </w:tcBorders>
          </w:tcPr>
          <w:p w:rsidR="00C326D9" w:rsidRPr="00653F7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color w:val="D50032"/>
              </w:rPr>
            </w:pPr>
            <w:r w:rsidRPr="00653F72">
              <w:rPr>
                <w:b w:val="0"/>
                <w:color w:val="D50032"/>
              </w:rPr>
              <w:t>Attachment 7</w:t>
            </w:r>
          </w:p>
        </w:tc>
        <w:tc>
          <w:tcPr>
            <w:tcW w:w="1860" w:type="pct"/>
            <w:tcBorders>
              <w:top w:val="single" w:sz="6" w:space="0" w:color="0063A6" w:themeColor="accent1"/>
              <w:bottom w:val="single" w:sz="6" w:space="0" w:color="0063A6" w:themeColor="accent1"/>
            </w:tcBorders>
          </w:tcPr>
          <w:p w:rsidR="00C326D9" w:rsidRPr="001472C1" w:rsidRDefault="00C326D9"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New guidance</w:t>
            </w:r>
            <w:r w:rsidR="00072C43" w:rsidRPr="001472C1">
              <w:rPr>
                <w:color w:val="0063A6" w:themeColor="accent1"/>
              </w:rPr>
              <w:t>.</w:t>
            </w:r>
          </w:p>
        </w:tc>
      </w:tr>
      <w:tr w:rsidR="00C326D9" w:rsidTr="001472C1">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C326D9" w:rsidRPr="0066370B" w:rsidRDefault="00C326D9" w:rsidP="00C326D9">
            <w:pPr>
              <w:pStyle w:val="Tabletextbold"/>
              <w:spacing w:before="60" w:after="60"/>
            </w:pPr>
          </w:p>
        </w:tc>
        <w:tc>
          <w:tcPr>
            <w:tcW w:w="1183" w:type="pct"/>
            <w:tcBorders>
              <w:top w:val="single" w:sz="6" w:space="0" w:color="0063A6" w:themeColor="accent1"/>
              <w:bottom w:val="single" w:sz="6" w:space="0" w:color="0063A6" w:themeColor="accent1"/>
            </w:tcBorders>
          </w:tcPr>
          <w:p w:rsidR="00C326D9" w:rsidRPr="001472C1" w:rsidRDefault="00C326D9"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Applying the correct appropriation accounts in SRIMS as part of the Departmental Funding Model</w:t>
            </w:r>
          </w:p>
        </w:tc>
        <w:tc>
          <w:tcPr>
            <w:tcW w:w="632" w:type="pct"/>
            <w:tcBorders>
              <w:top w:val="single" w:sz="6" w:space="0" w:color="0063A6" w:themeColor="accent1"/>
              <w:bottom w:val="single" w:sz="6" w:space="0" w:color="0063A6" w:themeColor="accent1"/>
            </w:tcBorders>
          </w:tcPr>
          <w:p w:rsidR="00C326D9" w:rsidRPr="00D234A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rPr>
            </w:pPr>
            <w:r w:rsidRPr="00D234A2">
              <w:rPr>
                <w:b w:val="0"/>
              </w:rPr>
              <w:t>n/a</w:t>
            </w:r>
          </w:p>
        </w:tc>
        <w:tc>
          <w:tcPr>
            <w:tcW w:w="598" w:type="pct"/>
            <w:tcBorders>
              <w:top w:val="single" w:sz="6" w:space="0" w:color="0063A6" w:themeColor="accent1"/>
              <w:bottom w:val="single" w:sz="6" w:space="0" w:color="0063A6" w:themeColor="accent1"/>
            </w:tcBorders>
          </w:tcPr>
          <w:p w:rsidR="00C326D9" w:rsidRPr="00653F7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color w:val="D50032"/>
              </w:rPr>
            </w:pPr>
            <w:r w:rsidRPr="00653F72">
              <w:rPr>
                <w:b w:val="0"/>
                <w:color w:val="D50032"/>
              </w:rPr>
              <w:t>Attachment 8</w:t>
            </w:r>
          </w:p>
        </w:tc>
        <w:tc>
          <w:tcPr>
            <w:tcW w:w="1860" w:type="pct"/>
            <w:tcBorders>
              <w:top w:val="single" w:sz="6" w:space="0" w:color="0063A6" w:themeColor="accent1"/>
              <w:bottom w:val="single" w:sz="6" w:space="0" w:color="0063A6" w:themeColor="accent1"/>
            </w:tcBorders>
          </w:tcPr>
          <w:p w:rsidR="00C326D9" w:rsidRPr="001472C1" w:rsidRDefault="00C326D9"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New guidance</w:t>
            </w:r>
            <w:r w:rsidR="00072C43" w:rsidRPr="001472C1">
              <w:rPr>
                <w:color w:val="0063A6" w:themeColor="accent1"/>
              </w:rPr>
              <w:t>.</w:t>
            </w:r>
          </w:p>
        </w:tc>
      </w:tr>
      <w:tr w:rsidR="00C326D9" w:rsidTr="001472C1">
        <w:trPr>
          <w:trHeight w:val="364"/>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C326D9" w:rsidRPr="0066370B" w:rsidRDefault="00C326D9" w:rsidP="00C326D9">
            <w:pPr>
              <w:pStyle w:val="Tabletextbold"/>
              <w:spacing w:before="60" w:after="60"/>
            </w:pPr>
          </w:p>
        </w:tc>
        <w:tc>
          <w:tcPr>
            <w:tcW w:w="1183" w:type="pct"/>
            <w:tcBorders>
              <w:top w:val="single" w:sz="6" w:space="0" w:color="0063A6" w:themeColor="accent1"/>
              <w:bottom w:val="single" w:sz="6" w:space="0" w:color="0063A6" w:themeColor="accent1"/>
            </w:tcBorders>
          </w:tcPr>
          <w:p w:rsidR="00C326D9" w:rsidRPr="001472C1" w:rsidRDefault="00C326D9"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Depreciation equivalent diagram</w:t>
            </w:r>
          </w:p>
        </w:tc>
        <w:tc>
          <w:tcPr>
            <w:tcW w:w="632" w:type="pct"/>
            <w:tcBorders>
              <w:top w:val="single" w:sz="6" w:space="0" w:color="0063A6" w:themeColor="accent1"/>
              <w:bottom w:val="single" w:sz="6" w:space="0" w:color="0063A6" w:themeColor="accent1"/>
            </w:tcBorders>
          </w:tcPr>
          <w:p w:rsidR="00C326D9" w:rsidRPr="00D234A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rPr>
            </w:pPr>
            <w:r w:rsidRPr="00D234A2">
              <w:rPr>
                <w:b w:val="0"/>
              </w:rPr>
              <w:t>BOF Attachment 3</w:t>
            </w:r>
          </w:p>
        </w:tc>
        <w:tc>
          <w:tcPr>
            <w:tcW w:w="598" w:type="pct"/>
            <w:tcBorders>
              <w:top w:val="single" w:sz="6" w:space="0" w:color="0063A6" w:themeColor="accent1"/>
              <w:bottom w:val="single" w:sz="6" w:space="0" w:color="0063A6" w:themeColor="accent1"/>
            </w:tcBorders>
          </w:tcPr>
          <w:p w:rsidR="00C326D9" w:rsidRPr="00653F7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color w:val="D50032"/>
              </w:rPr>
            </w:pPr>
            <w:r w:rsidRPr="00653F72">
              <w:rPr>
                <w:b w:val="0"/>
                <w:color w:val="D50032"/>
              </w:rPr>
              <w:t>Attachment 9</w:t>
            </w:r>
          </w:p>
        </w:tc>
        <w:tc>
          <w:tcPr>
            <w:tcW w:w="1860" w:type="pct"/>
            <w:tcBorders>
              <w:top w:val="single" w:sz="6" w:space="0" w:color="0063A6" w:themeColor="accent1"/>
              <w:bottom w:val="single" w:sz="6" w:space="0" w:color="0063A6" w:themeColor="accent1"/>
            </w:tcBorders>
          </w:tcPr>
          <w:p w:rsidR="00C326D9" w:rsidRPr="001472C1" w:rsidRDefault="00C326D9"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No content </w:t>
            </w:r>
            <w:r w:rsidR="00072C43" w:rsidRPr="001472C1">
              <w:rPr>
                <w:color w:val="0063A6" w:themeColor="accent1"/>
              </w:rPr>
              <w:t>changes.</w:t>
            </w:r>
          </w:p>
        </w:tc>
      </w:tr>
      <w:tr w:rsidR="00C326D9" w:rsidTr="001472C1">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C326D9" w:rsidRPr="0066370B" w:rsidRDefault="00C326D9" w:rsidP="00C326D9">
            <w:pPr>
              <w:pStyle w:val="Tabletextbold"/>
              <w:spacing w:before="60" w:after="60"/>
            </w:pPr>
          </w:p>
        </w:tc>
        <w:tc>
          <w:tcPr>
            <w:tcW w:w="1183" w:type="pct"/>
            <w:tcBorders>
              <w:top w:val="single" w:sz="6" w:space="0" w:color="0063A6" w:themeColor="accent1"/>
              <w:bottom w:val="single" w:sz="6" w:space="0" w:color="0063A6" w:themeColor="accent1"/>
            </w:tcBorders>
          </w:tcPr>
          <w:p w:rsidR="00C326D9" w:rsidRPr="001472C1" w:rsidRDefault="00C326D9"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 xml:space="preserve">Pro-forma journal entries for </w:t>
            </w:r>
            <w:r w:rsidR="00AC36E0" w:rsidRPr="001472C1">
              <w:rPr>
                <w:b w:val="0"/>
              </w:rPr>
              <w:t>long service leave (LSL)</w:t>
            </w:r>
            <w:r w:rsidRPr="001472C1">
              <w:rPr>
                <w:b w:val="0"/>
              </w:rPr>
              <w:t xml:space="preserve"> transactions </w:t>
            </w:r>
          </w:p>
        </w:tc>
        <w:tc>
          <w:tcPr>
            <w:tcW w:w="632" w:type="pct"/>
            <w:tcBorders>
              <w:top w:val="single" w:sz="6" w:space="0" w:color="0063A6" w:themeColor="accent1"/>
              <w:bottom w:val="single" w:sz="6" w:space="0" w:color="0063A6" w:themeColor="accent1"/>
            </w:tcBorders>
          </w:tcPr>
          <w:p w:rsidR="00C326D9" w:rsidRPr="00D234A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rPr>
            </w:pPr>
            <w:r w:rsidRPr="00D234A2">
              <w:rPr>
                <w:b w:val="0"/>
              </w:rPr>
              <w:t>BOF Attachment 4</w:t>
            </w:r>
          </w:p>
        </w:tc>
        <w:tc>
          <w:tcPr>
            <w:tcW w:w="598" w:type="pct"/>
            <w:tcBorders>
              <w:top w:val="single" w:sz="6" w:space="0" w:color="0063A6" w:themeColor="accent1"/>
              <w:bottom w:val="single" w:sz="6" w:space="0" w:color="0063A6" w:themeColor="accent1"/>
            </w:tcBorders>
          </w:tcPr>
          <w:p w:rsidR="00C326D9" w:rsidRPr="00653F7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color w:val="D50032"/>
              </w:rPr>
            </w:pPr>
            <w:r w:rsidRPr="00653F72">
              <w:rPr>
                <w:b w:val="0"/>
                <w:color w:val="D50032"/>
              </w:rPr>
              <w:t>Attachment 10</w:t>
            </w:r>
          </w:p>
        </w:tc>
        <w:tc>
          <w:tcPr>
            <w:tcW w:w="1860" w:type="pct"/>
            <w:tcBorders>
              <w:top w:val="single" w:sz="6" w:space="0" w:color="0063A6" w:themeColor="accent1"/>
              <w:bottom w:val="single" w:sz="6" w:space="0" w:color="0063A6" w:themeColor="accent1"/>
            </w:tcBorders>
          </w:tcPr>
          <w:p w:rsidR="00C326D9" w:rsidRPr="001472C1" w:rsidRDefault="00C326D9"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No content </w:t>
            </w:r>
            <w:r w:rsidR="00072C43" w:rsidRPr="001472C1">
              <w:rPr>
                <w:color w:val="0063A6" w:themeColor="accent1"/>
              </w:rPr>
              <w:t>changes.</w:t>
            </w:r>
          </w:p>
        </w:tc>
      </w:tr>
      <w:tr w:rsidR="00C326D9" w:rsidTr="001472C1">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C326D9" w:rsidRPr="0066370B" w:rsidRDefault="00C326D9" w:rsidP="00C326D9">
            <w:pPr>
              <w:pStyle w:val="Tabletextbold"/>
              <w:spacing w:before="60" w:after="60"/>
            </w:pPr>
          </w:p>
        </w:tc>
        <w:tc>
          <w:tcPr>
            <w:tcW w:w="1183" w:type="pct"/>
            <w:tcBorders>
              <w:top w:val="single" w:sz="6" w:space="0" w:color="0063A6" w:themeColor="accent1"/>
              <w:bottom w:val="single" w:sz="6" w:space="0" w:color="0063A6" w:themeColor="accent1"/>
            </w:tcBorders>
          </w:tcPr>
          <w:p w:rsidR="00C326D9" w:rsidRPr="001472C1" w:rsidRDefault="00AC36E0"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R</w:t>
            </w:r>
            <w:r w:rsidR="00C326D9" w:rsidRPr="001472C1">
              <w:rPr>
                <w:b w:val="0"/>
              </w:rPr>
              <w:t xml:space="preserve">epresentation of LSL funding </w:t>
            </w:r>
            <w:r w:rsidR="00991D06">
              <w:rPr>
                <w:b w:val="0"/>
              </w:rPr>
              <w:t>flows</w:t>
            </w:r>
          </w:p>
        </w:tc>
        <w:tc>
          <w:tcPr>
            <w:tcW w:w="632" w:type="pct"/>
            <w:tcBorders>
              <w:top w:val="single" w:sz="6" w:space="0" w:color="0063A6" w:themeColor="accent1"/>
              <w:bottom w:val="single" w:sz="6" w:space="0" w:color="0063A6" w:themeColor="accent1"/>
            </w:tcBorders>
          </w:tcPr>
          <w:p w:rsidR="00C326D9" w:rsidRPr="00D234A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rPr>
            </w:pPr>
            <w:r w:rsidRPr="00D234A2">
              <w:rPr>
                <w:b w:val="0"/>
              </w:rPr>
              <w:t>BOF Attachment 5</w:t>
            </w:r>
          </w:p>
        </w:tc>
        <w:tc>
          <w:tcPr>
            <w:tcW w:w="598" w:type="pct"/>
            <w:tcBorders>
              <w:top w:val="single" w:sz="6" w:space="0" w:color="0063A6" w:themeColor="accent1"/>
              <w:bottom w:val="single" w:sz="6" w:space="0" w:color="0063A6" w:themeColor="accent1"/>
            </w:tcBorders>
          </w:tcPr>
          <w:p w:rsidR="00C326D9" w:rsidRPr="00653F7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color w:val="D50032"/>
              </w:rPr>
            </w:pPr>
            <w:r w:rsidRPr="00653F72">
              <w:rPr>
                <w:b w:val="0"/>
                <w:color w:val="D50032"/>
              </w:rPr>
              <w:t>Attachment 11</w:t>
            </w:r>
          </w:p>
        </w:tc>
        <w:tc>
          <w:tcPr>
            <w:tcW w:w="1860" w:type="pct"/>
            <w:tcBorders>
              <w:top w:val="single" w:sz="6" w:space="0" w:color="0063A6" w:themeColor="accent1"/>
              <w:bottom w:val="single" w:sz="6" w:space="0" w:color="0063A6" w:themeColor="accent1"/>
            </w:tcBorders>
          </w:tcPr>
          <w:p w:rsidR="00C326D9" w:rsidRPr="001472C1" w:rsidRDefault="00EB249A"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DEDJTR replaced with DJPR in the example</w:t>
            </w:r>
            <w:r w:rsidR="00072C43" w:rsidRPr="001472C1">
              <w:rPr>
                <w:color w:val="0063A6" w:themeColor="accent1"/>
              </w:rPr>
              <w:t>.</w:t>
            </w:r>
          </w:p>
        </w:tc>
      </w:tr>
      <w:tr w:rsidR="00C326D9" w:rsidTr="001472C1">
        <w:trPr>
          <w:trHeight w:val="378"/>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C326D9" w:rsidRPr="0066370B" w:rsidRDefault="00C326D9" w:rsidP="00C326D9">
            <w:pPr>
              <w:pStyle w:val="Tabletextbold"/>
              <w:spacing w:before="60" w:after="60"/>
            </w:pPr>
          </w:p>
        </w:tc>
        <w:tc>
          <w:tcPr>
            <w:tcW w:w="1183" w:type="pct"/>
            <w:tcBorders>
              <w:top w:val="single" w:sz="6" w:space="0" w:color="0063A6" w:themeColor="accent1"/>
              <w:bottom w:val="single" w:sz="6" w:space="0" w:color="0063A6" w:themeColor="accent1"/>
            </w:tcBorders>
          </w:tcPr>
          <w:p w:rsidR="00C326D9" w:rsidRPr="001472C1" w:rsidRDefault="00C326D9"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Template for cash and actuals reconciliation in SRIMS</w:t>
            </w:r>
          </w:p>
        </w:tc>
        <w:tc>
          <w:tcPr>
            <w:tcW w:w="632" w:type="pct"/>
            <w:tcBorders>
              <w:top w:val="single" w:sz="6" w:space="0" w:color="0063A6" w:themeColor="accent1"/>
              <w:bottom w:val="single" w:sz="6" w:space="0" w:color="0063A6" w:themeColor="accent1"/>
            </w:tcBorders>
          </w:tcPr>
          <w:p w:rsidR="00C326D9" w:rsidRPr="00C404C6"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rPr>
            </w:pPr>
            <w:r w:rsidRPr="00C404C6">
              <w:rPr>
                <w:b w:val="0"/>
              </w:rPr>
              <w:t xml:space="preserve">FROF Attachment 1 </w:t>
            </w:r>
          </w:p>
        </w:tc>
        <w:tc>
          <w:tcPr>
            <w:tcW w:w="598" w:type="pct"/>
            <w:tcBorders>
              <w:top w:val="single" w:sz="6" w:space="0" w:color="0063A6" w:themeColor="accent1"/>
              <w:bottom w:val="single" w:sz="6" w:space="0" w:color="0063A6" w:themeColor="accent1"/>
            </w:tcBorders>
          </w:tcPr>
          <w:p w:rsidR="00C326D9" w:rsidRPr="00653F72"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color w:val="D50032"/>
              </w:rPr>
            </w:pPr>
            <w:r w:rsidRPr="00653F72">
              <w:rPr>
                <w:b w:val="0"/>
                <w:color w:val="D50032"/>
              </w:rPr>
              <w:t>Attachment 12</w:t>
            </w:r>
          </w:p>
        </w:tc>
        <w:tc>
          <w:tcPr>
            <w:tcW w:w="1860" w:type="pct"/>
            <w:tcBorders>
              <w:top w:val="single" w:sz="6" w:space="0" w:color="0063A6" w:themeColor="accent1"/>
              <w:bottom w:val="single" w:sz="6" w:space="0" w:color="0063A6" w:themeColor="accent1"/>
            </w:tcBorders>
          </w:tcPr>
          <w:p w:rsidR="00C326D9" w:rsidRPr="001472C1" w:rsidRDefault="00C326D9"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No content </w:t>
            </w:r>
            <w:r w:rsidR="00072C43" w:rsidRPr="001472C1">
              <w:rPr>
                <w:color w:val="0063A6" w:themeColor="accent1"/>
              </w:rPr>
              <w:t>changes.</w:t>
            </w:r>
          </w:p>
        </w:tc>
      </w:tr>
      <w:tr w:rsidR="003C7F2C" w:rsidTr="001472C1">
        <w:trPr>
          <w:trHeight w:val="378"/>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3C7F2C" w:rsidRPr="0066370B" w:rsidRDefault="003C7F2C" w:rsidP="00C326D9">
            <w:pPr>
              <w:pStyle w:val="Tabletextbold"/>
              <w:spacing w:before="60" w:after="60"/>
            </w:pPr>
          </w:p>
        </w:tc>
        <w:tc>
          <w:tcPr>
            <w:tcW w:w="1183" w:type="pct"/>
            <w:tcBorders>
              <w:top w:val="single" w:sz="6" w:space="0" w:color="0063A6" w:themeColor="accent1"/>
              <w:bottom w:val="single" w:sz="6" w:space="0" w:color="0063A6" w:themeColor="accent1"/>
            </w:tcBorders>
          </w:tcPr>
          <w:p w:rsidR="003C7F2C" w:rsidRPr="001472C1" w:rsidRDefault="005B36B6"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Planning, designing and conducting effective evaluations</w:t>
            </w:r>
          </w:p>
        </w:tc>
        <w:tc>
          <w:tcPr>
            <w:tcW w:w="632" w:type="pct"/>
            <w:tcBorders>
              <w:top w:val="single" w:sz="6" w:space="0" w:color="0063A6" w:themeColor="accent1"/>
              <w:bottom w:val="single" w:sz="6" w:space="0" w:color="0063A6" w:themeColor="accent1"/>
            </w:tcBorders>
          </w:tcPr>
          <w:p w:rsidR="003C7F2C" w:rsidRPr="00C404C6" w:rsidRDefault="00003C84"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rPr>
            </w:pPr>
            <w:r>
              <w:rPr>
                <w:b w:val="0"/>
              </w:rPr>
              <w:t>n/a</w:t>
            </w:r>
          </w:p>
        </w:tc>
        <w:tc>
          <w:tcPr>
            <w:tcW w:w="598" w:type="pct"/>
            <w:tcBorders>
              <w:top w:val="single" w:sz="6" w:space="0" w:color="0063A6" w:themeColor="accent1"/>
              <w:bottom w:val="single" w:sz="6" w:space="0" w:color="0063A6" w:themeColor="accent1"/>
            </w:tcBorders>
          </w:tcPr>
          <w:p w:rsidR="003C7F2C" w:rsidRPr="00653F72" w:rsidRDefault="00003C84"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color w:val="D50032"/>
              </w:rPr>
            </w:pPr>
            <w:r w:rsidRPr="00653F72">
              <w:rPr>
                <w:b w:val="0"/>
                <w:color w:val="D50032"/>
              </w:rPr>
              <w:t xml:space="preserve">Attachment </w:t>
            </w:r>
            <w:r w:rsidR="005B36B6" w:rsidRPr="00653F72">
              <w:rPr>
                <w:b w:val="0"/>
                <w:color w:val="D50032"/>
              </w:rPr>
              <w:t>13</w:t>
            </w:r>
          </w:p>
        </w:tc>
        <w:tc>
          <w:tcPr>
            <w:tcW w:w="1860" w:type="pct"/>
            <w:tcBorders>
              <w:top w:val="single" w:sz="6" w:space="0" w:color="0063A6" w:themeColor="accent1"/>
              <w:bottom w:val="single" w:sz="6" w:space="0" w:color="0063A6" w:themeColor="accent1"/>
            </w:tcBorders>
          </w:tcPr>
          <w:p w:rsidR="003C7F2C" w:rsidRPr="001472C1" w:rsidRDefault="00003C84"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Material </w:t>
            </w:r>
            <w:r w:rsidR="005B36B6" w:rsidRPr="001472C1">
              <w:rPr>
                <w:color w:val="0063A6" w:themeColor="accent1"/>
              </w:rPr>
              <w:t>moved from the DTF Guide to Evaluation, content revised for editorial consistency.</w:t>
            </w:r>
          </w:p>
        </w:tc>
      </w:tr>
      <w:tr w:rsidR="00C326D9" w:rsidTr="001472C1">
        <w:trPr>
          <w:trHeight w:val="378"/>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C326D9" w:rsidRPr="0066370B" w:rsidRDefault="00C326D9" w:rsidP="00C326D9">
            <w:pPr>
              <w:pStyle w:val="Tabletextbold"/>
              <w:spacing w:before="60" w:after="60"/>
            </w:pPr>
          </w:p>
        </w:tc>
        <w:tc>
          <w:tcPr>
            <w:tcW w:w="1183" w:type="pct"/>
            <w:tcBorders>
              <w:top w:val="single" w:sz="6" w:space="0" w:color="0063A6" w:themeColor="accent1"/>
              <w:bottom w:val="single" w:sz="6" w:space="0" w:color="0063A6" w:themeColor="accent1"/>
            </w:tcBorders>
          </w:tcPr>
          <w:p w:rsidR="00C326D9" w:rsidRPr="001472C1" w:rsidRDefault="00C326D9"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Guidance on lapsing programs evaluations</w:t>
            </w:r>
          </w:p>
        </w:tc>
        <w:tc>
          <w:tcPr>
            <w:tcW w:w="632" w:type="pct"/>
            <w:tcBorders>
              <w:top w:val="single" w:sz="6" w:space="0" w:color="0063A6" w:themeColor="accent1"/>
              <w:bottom w:val="single" w:sz="6" w:space="0" w:color="0063A6" w:themeColor="accent1"/>
            </w:tcBorders>
          </w:tcPr>
          <w:p w:rsidR="00C326D9" w:rsidRPr="00C404C6"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rPr>
            </w:pPr>
            <w:r w:rsidRPr="00C404C6">
              <w:rPr>
                <w:b w:val="0"/>
              </w:rPr>
              <w:t>PMF Attachment 9</w:t>
            </w:r>
          </w:p>
        </w:tc>
        <w:tc>
          <w:tcPr>
            <w:tcW w:w="598" w:type="pct"/>
            <w:tcBorders>
              <w:top w:val="single" w:sz="6" w:space="0" w:color="0063A6" w:themeColor="accent1"/>
              <w:bottom w:val="single" w:sz="6" w:space="0" w:color="0063A6" w:themeColor="accent1"/>
            </w:tcBorders>
          </w:tcPr>
          <w:p w:rsidR="00C326D9" w:rsidRPr="00653F72" w:rsidRDefault="005B36B6"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color w:val="D50032"/>
              </w:rPr>
            </w:pPr>
            <w:r w:rsidRPr="00653F72">
              <w:rPr>
                <w:b w:val="0"/>
                <w:color w:val="D50032"/>
              </w:rPr>
              <w:t>Attachment 14</w:t>
            </w:r>
          </w:p>
        </w:tc>
        <w:tc>
          <w:tcPr>
            <w:tcW w:w="1860" w:type="pct"/>
            <w:tcBorders>
              <w:top w:val="single" w:sz="6" w:space="0" w:color="0063A6" w:themeColor="accent1"/>
              <w:bottom w:val="single" w:sz="6" w:space="0" w:color="0063A6" w:themeColor="accent1"/>
            </w:tcBorders>
          </w:tcPr>
          <w:p w:rsidR="00C326D9" w:rsidRPr="001472C1" w:rsidRDefault="00C326D9"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Were mandatory requirements for programs less than and greater than $5m, now converted to guidance and combined into one set of guidance with 7 questions. Moving of requirements on report length to main section’s guidance material.</w:t>
            </w:r>
          </w:p>
        </w:tc>
      </w:tr>
      <w:tr w:rsidR="00C326D9" w:rsidTr="001472C1">
        <w:trPr>
          <w:trHeight w:val="378"/>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6" w:space="0" w:color="0063A6" w:themeColor="accent1"/>
            </w:tcBorders>
          </w:tcPr>
          <w:p w:rsidR="00C326D9" w:rsidRPr="0066370B" w:rsidRDefault="00C326D9" w:rsidP="00C326D9">
            <w:pPr>
              <w:pStyle w:val="Tabletextbold"/>
              <w:spacing w:before="60" w:after="60"/>
            </w:pPr>
          </w:p>
        </w:tc>
        <w:tc>
          <w:tcPr>
            <w:tcW w:w="1183" w:type="pct"/>
            <w:tcBorders>
              <w:top w:val="single" w:sz="6" w:space="0" w:color="0063A6" w:themeColor="accent1"/>
              <w:bottom w:val="single" w:sz="6" w:space="0" w:color="0063A6" w:themeColor="accent1"/>
            </w:tcBorders>
          </w:tcPr>
          <w:p w:rsidR="00C326D9" w:rsidRPr="001472C1" w:rsidRDefault="00C326D9"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The history of the establishment of the SAU</w:t>
            </w:r>
          </w:p>
        </w:tc>
        <w:tc>
          <w:tcPr>
            <w:tcW w:w="632" w:type="pct"/>
            <w:tcBorders>
              <w:top w:val="single" w:sz="6" w:space="0" w:color="0063A6" w:themeColor="accent1"/>
              <w:bottom w:val="single" w:sz="6" w:space="0" w:color="0063A6" w:themeColor="accent1"/>
            </w:tcBorders>
          </w:tcPr>
          <w:p w:rsidR="00C326D9" w:rsidRPr="00C404C6"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rPr>
            </w:pPr>
            <w:r w:rsidRPr="00C404C6">
              <w:rPr>
                <w:b w:val="0"/>
              </w:rPr>
              <w:t>BOF Attachment 2</w:t>
            </w:r>
          </w:p>
        </w:tc>
        <w:tc>
          <w:tcPr>
            <w:tcW w:w="598" w:type="pct"/>
            <w:tcBorders>
              <w:top w:val="single" w:sz="6" w:space="0" w:color="0063A6" w:themeColor="accent1"/>
              <w:bottom w:val="single" w:sz="6" w:space="0" w:color="0063A6" w:themeColor="accent1"/>
            </w:tcBorders>
          </w:tcPr>
          <w:p w:rsidR="00C326D9" w:rsidRPr="00653F72" w:rsidRDefault="005B36B6"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color w:val="D50032"/>
              </w:rPr>
            </w:pPr>
            <w:r w:rsidRPr="00653F72">
              <w:rPr>
                <w:b w:val="0"/>
                <w:color w:val="D50032"/>
              </w:rPr>
              <w:t>Attachment 15</w:t>
            </w:r>
          </w:p>
        </w:tc>
        <w:tc>
          <w:tcPr>
            <w:tcW w:w="1860" w:type="pct"/>
            <w:tcBorders>
              <w:top w:val="single" w:sz="6" w:space="0" w:color="0063A6" w:themeColor="accent1"/>
              <w:bottom w:val="single" w:sz="6" w:space="0" w:color="0063A6" w:themeColor="accent1"/>
            </w:tcBorders>
          </w:tcPr>
          <w:p w:rsidR="00C326D9" w:rsidRPr="001472C1" w:rsidRDefault="00C326D9"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 xml:space="preserve">No content </w:t>
            </w:r>
            <w:r w:rsidR="00072C43" w:rsidRPr="001472C1">
              <w:rPr>
                <w:color w:val="0063A6" w:themeColor="accent1"/>
              </w:rPr>
              <w:t>changes.</w:t>
            </w:r>
          </w:p>
        </w:tc>
      </w:tr>
      <w:tr w:rsidR="00C326D9" w:rsidTr="001472C1">
        <w:trPr>
          <w:trHeight w:val="378"/>
        </w:trPr>
        <w:tc>
          <w:tcPr>
            <w:cnfStyle w:val="001000000000" w:firstRow="0" w:lastRow="0" w:firstColumn="1" w:lastColumn="0" w:oddVBand="0" w:evenVBand="0" w:oddHBand="0" w:evenHBand="0" w:firstRowFirstColumn="0" w:firstRowLastColumn="0" w:lastRowFirstColumn="0" w:lastRowLastColumn="0"/>
            <w:tcW w:w="727" w:type="pct"/>
            <w:vMerge/>
            <w:tcBorders>
              <w:top w:val="single" w:sz="6" w:space="0" w:color="0063A6" w:themeColor="accent1"/>
              <w:bottom w:val="single" w:sz="12" w:space="0" w:color="0063A6" w:themeColor="accent1"/>
            </w:tcBorders>
          </w:tcPr>
          <w:p w:rsidR="00C326D9" w:rsidRPr="0066370B" w:rsidRDefault="00C326D9" w:rsidP="00C326D9">
            <w:pPr>
              <w:pStyle w:val="Tabletextbold"/>
              <w:spacing w:before="60" w:after="60"/>
            </w:pPr>
          </w:p>
        </w:tc>
        <w:tc>
          <w:tcPr>
            <w:tcW w:w="1183" w:type="pct"/>
            <w:tcBorders>
              <w:top w:val="single" w:sz="6" w:space="0" w:color="0063A6" w:themeColor="accent1"/>
              <w:bottom w:val="single" w:sz="12" w:space="0" w:color="0063A6" w:themeColor="accent1"/>
            </w:tcBorders>
          </w:tcPr>
          <w:p w:rsidR="00C326D9" w:rsidRPr="001472C1" w:rsidRDefault="00C326D9" w:rsidP="00C326D9">
            <w:pPr>
              <w:pStyle w:val="Tabletextbold"/>
              <w:spacing w:before="60" w:after="60"/>
              <w:cnfStyle w:val="000000000000" w:firstRow="0" w:lastRow="0" w:firstColumn="0" w:lastColumn="0" w:oddVBand="0" w:evenVBand="0" w:oddHBand="0" w:evenHBand="0" w:firstRowFirstColumn="0" w:firstRowLastColumn="0" w:lastRowFirstColumn="0" w:lastRowLastColumn="0"/>
              <w:rPr>
                <w:b w:val="0"/>
              </w:rPr>
            </w:pPr>
            <w:r w:rsidRPr="001472C1">
              <w:rPr>
                <w:b w:val="0"/>
              </w:rPr>
              <w:t>SAU dissection template</w:t>
            </w:r>
          </w:p>
        </w:tc>
        <w:tc>
          <w:tcPr>
            <w:tcW w:w="632" w:type="pct"/>
            <w:tcBorders>
              <w:top w:val="single" w:sz="6" w:space="0" w:color="0063A6" w:themeColor="accent1"/>
              <w:bottom w:val="single" w:sz="12" w:space="0" w:color="0063A6" w:themeColor="accent1"/>
            </w:tcBorders>
          </w:tcPr>
          <w:p w:rsidR="00C326D9" w:rsidRPr="00C404C6" w:rsidRDefault="00C326D9"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rPr>
            </w:pPr>
            <w:r w:rsidRPr="00C404C6">
              <w:rPr>
                <w:b w:val="0"/>
              </w:rPr>
              <w:t>BOF Attachment 1</w:t>
            </w:r>
          </w:p>
        </w:tc>
        <w:tc>
          <w:tcPr>
            <w:tcW w:w="598" w:type="pct"/>
            <w:tcBorders>
              <w:top w:val="single" w:sz="6" w:space="0" w:color="0063A6" w:themeColor="accent1"/>
              <w:bottom w:val="single" w:sz="12" w:space="0" w:color="0063A6" w:themeColor="accent1"/>
            </w:tcBorders>
          </w:tcPr>
          <w:p w:rsidR="00C326D9" w:rsidRPr="00653F72" w:rsidRDefault="009C7A3F" w:rsidP="00C326D9">
            <w:pPr>
              <w:pStyle w:val="Tabletextbold"/>
              <w:spacing w:before="60" w:after="60"/>
              <w:jc w:val="center"/>
              <w:cnfStyle w:val="000000000000" w:firstRow="0" w:lastRow="0" w:firstColumn="0" w:lastColumn="0" w:oddVBand="0" w:evenVBand="0" w:oddHBand="0" w:evenHBand="0" w:firstRowFirstColumn="0" w:firstRowLastColumn="0" w:lastRowFirstColumn="0" w:lastRowLastColumn="0"/>
              <w:rPr>
                <w:b w:val="0"/>
                <w:color w:val="D50032"/>
              </w:rPr>
            </w:pPr>
            <w:r w:rsidRPr="00653F72">
              <w:rPr>
                <w:b w:val="0"/>
                <w:color w:val="D50032"/>
              </w:rPr>
              <w:t>n/a</w:t>
            </w:r>
          </w:p>
        </w:tc>
        <w:tc>
          <w:tcPr>
            <w:tcW w:w="1860" w:type="pct"/>
            <w:tcBorders>
              <w:top w:val="single" w:sz="6" w:space="0" w:color="0063A6" w:themeColor="accent1"/>
              <w:bottom w:val="single" w:sz="12" w:space="0" w:color="0063A6" w:themeColor="accent1"/>
            </w:tcBorders>
          </w:tcPr>
          <w:p w:rsidR="00C326D9" w:rsidRPr="001472C1" w:rsidRDefault="005B36B6" w:rsidP="00C326D9">
            <w:pPr>
              <w:spacing w:before="60" w:after="60"/>
              <w:cnfStyle w:val="000000000000" w:firstRow="0" w:lastRow="0" w:firstColumn="0" w:lastColumn="0" w:oddVBand="0" w:evenVBand="0" w:oddHBand="0" w:evenHBand="0" w:firstRowFirstColumn="0" w:firstRowLastColumn="0" w:lastRowFirstColumn="0" w:lastRowLastColumn="0"/>
              <w:rPr>
                <w:color w:val="0063A6" w:themeColor="accent1"/>
              </w:rPr>
            </w:pPr>
            <w:r w:rsidRPr="001472C1">
              <w:rPr>
                <w:color w:val="0063A6" w:themeColor="accent1"/>
              </w:rPr>
              <w:t>T</w:t>
            </w:r>
            <w:r w:rsidR="00C326D9" w:rsidRPr="001472C1">
              <w:rPr>
                <w:color w:val="0063A6" w:themeColor="accent1"/>
              </w:rPr>
              <w:t xml:space="preserve">emplate </w:t>
            </w:r>
            <w:r w:rsidRPr="001472C1">
              <w:rPr>
                <w:color w:val="0063A6" w:themeColor="accent1"/>
              </w:rPr>
              <w:t xml:space="preserve">attachment removed </w:t>
            </w:r>
            <w:r w:rsidR="00D13920" w:rsidRPr="001472C1">
              <w:rPr>
                <w:color w:val="0063A6" w:themeColor="accent1"/>
              </w:rPr>
              <w:t xml:space="preserve">to avoid duplication </w:t>
            </w:r>
            <w:r w:rsidRPr="001472C1">
              <w:rPr>
                <w:color w:val="0063A6" w:themeColor="accent1"/>
              </w:rPr>
              <w:t>as departments should now refer to SRIMS for the most current template.</w:t>
            </w:r>
            <w:r w:rsidR="009C7A3F" w:rsidRPr="001472C1">
              <w:rPr>
                <w:color w:val="0063A6" w:themeColor="accent1"/>
              </w:rPr>
              <w:t xml:space="preserve"> Template text explanation has now been moved to the SAU section</w:t>
            </w:r>
            <w:r w:rsidR="00AC36E0" w:rsidRPr="001472C1">
              <w:rPr>
                <w:color w:val="0063A6" w:themeColor="accent1"/>
              </w:rPr>
              <w:t xml:space="preserve"> (8.1)</w:t>
            </w:r>
            <w:r w:rsidR="009C7A3F" w:rsidRPr="001472C1">
              <w:rPr>
                <w:color w:val="0063A6" w:themeColor="accent1"/>
              </w:rPr>
              <w:t>.</w:t>
            </w:r>
          </w:p>
        </w:tc>
      </w:tr>
    </w:tbl>
    <w:p w:rsidR="00B3659E" w:rsidRPr="009F3731" w:rsidRDefault="00B3659E" w:rsidP="00854A48"/>
    <w:sectPr w:rsidR="00B3659E" w:rsidRPr="009F3731" w:rsidSect="001472C1">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440" w:right="1440" w:bottom="1354"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6FF" w:rsidRDefault="00C106FF" w:rsidP="002D711A">
      <w:pPr>
        <w:spacing w:after="0" w:line="240" w:lineRule="auto"/>
      </w:pPr>
      <w:r>
        <w:separator/>
      </w:r>
    </w:p>
  </w:endnote>
  <w:endnote w:type="continuationSeparator" w:id="0">
    <w:p w:rsidR="00C106FF" w:rsidRDefault="00C106FF"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DFC" w:rsidRPr="001E31FA" w:rsidRDefault="001A2DFC" w:rsidP="001E31FA">
    <w:pPr>
      <w:pStyle w:val="Spacer"/>
    </w:pPr>
  </w:p>
  <w:p w:rsidR="001A2DFC" w:rsidRPr="00297281" w:rsidRDefault="001A2DFC" w:rsidP="00C022F9">
    <w:pPr>
      <w:pStyle w:val="Footer"/>
    </w:pPr>
    <w:r w:rsidRPr="00D542F3">
      <w:t xml:space="preserve">Page </w:t>
    </w:r>
    <w:r w:rsidRPr="00D542F3">
      <w:rPr>
        <w:rStyle w:val="PageNumber"/>
      </w:rPr>
      <w:fldChar w:fldCharType="begin"/>
    </w:r>
    <w:r w:rsidRPr="00D542F3">
      <w:rPr>
        <w:rStyle w:val="PageNumber"/>
      </w:rPr>
      <w:instrText xml:space="preserve"> Page </w:instrText>
    </w:r>
    <w:r w:rsidRPr="00D542F3">
      <w:rPr>
        <w:rStyle w:val="PageNumber"/>
      </w:rPr>
      <w:fldChar w:fldCharType="separate"/>
    </w:r>
    <w:r>
      <w:rPr>
        <w:rStyle w:val="PageNumber"/>
      </w:rPr>
      <w:t>2</w:t>
    </w:r>
    <w:r w:rsidRPr="00D542F3">
      <w:rPr>
        <w:rStyle w:val="PageNumber"/>
      </w:rPr>
      <w:fldChar w:fldCharType="end"/>
    </w:r>
    <w:r>
      <w:rPr>
        <w:rStyle w:val="PageNumber"/>
      </w:rPr>
      <w:tab/>
    </w:r>
    <w:r w:rsidRPr="00C92338">
      <w:rPr>
        <w:b/>
        <w:noProof w:val="0"/>
        <w:color w:val="0063A6" w:themeColor="accent1"/>
        <w:sz w:val="20"/>
      </w:rPr>
      <w:fldChar w:fldCharType="begin"/>
    </w:r>
    <w:r w:rsidRPr="00C92338">
      <w:rPr>
        <w:b/>
        <w:color w:val="0063A6" w:themeColor="accent1"/>
        <w:sz w:val="20"/>
      </w:rPr>
      <w:instrText xml:space="preserve"> StyleRef “Title” </w:instrText>
    </w:r>
    <w:r w:rsidRPr="00C92338">
      <w:rPr>
        <w:b/>
        <w:noProof w:val="0"/>
        <w:color w:val="0063A6" w:themeColor="accent1"/>
        <w:sz w:val="20"/>
      </w:rPr>
      <w:fldChar w:fldCharType="separate"/>
    </w:r>
    <w:r w:rsidR="00D12601">
      <w:rPr>
        <w:b/>
        <w:color w:val="0063A6" w:themeColor="accent1"/>
        <w:sz w:val="20"/>
      </w:rPr>
      <w:t>The Resource Management Framework – Fact Sheet</w:t>
    </w:r>
    <w:r w:rsidRPr="00C92338">
      <w:rPr>
        <w:b/>
        <w:color w:val="0063A6" w:themeColor="accent1"/>
        <w:sz w:val="20"/>
      </w:rPr>
      <w:fldChar w:fldCharType="end"/>
    </w:r>
    <w:r>
      <w:rPr>
        <w:b/>
        <w:color w:val="0063A6" w:themeColor="accent1"/>
      </w:rPr>
      <w:t xml:space="preserve"> – </w:t>
    </w:r>
    <w:r>
      <w:rPr>
        <w:noProof w:val="0"/>
      </w:rPr>
      <w:fldChar w:fldCharType="begin"/>
    </w:r>
    <w:r>
      <w:instrText xml:space="preserve"> StyleRef “Subtitle” </w:instrText>
    </w:r>
    <w:r>
      <w:rPr>
        <w:noProof w:val="0"/>
      </w:rPr>
      <w:fldChar w:fldCharType="separate"/>
    </w:r>
    <w:r w:rsidR="00D12601">
      <w:rPr>
        <w:b/>
        <w:bCs/>
        <w:lang w:val="en-US"/>
      </w:rPr>
      <w:t>Error! No text of specified style in document.</w:t>
    </w:r>
    <w:r>
      <w:fldChar w:fldCharType="end"/>
    </w:r>
    <w:r w:rsidRPr="0018749C">
      <w:t xml:space="preserve">, </w:t>
    </w:r>
    <w:r>
      <w:rPr>
        <w:noProof w:val="0"/>
      </w:rPr>
      <w:fldChar w:fldCharType="begin"/>
    </w:r>
    <w:r>
      <w:instrText xml:space="preserve"> StyleRef “Tertiary Title” </w:instrText>
    </w:r>
    <w:r>
      <w:rPr>
        <w:noProof w:val="0"/>
      </w:rPr>
      <w:fldChar w:fldCharType="separate"/>
    </w:r>
    <w:r w:rsidR="00D12601">
      <w:rPr>
        <w:b/>
        <w:bCs/>
        <w:lang w:val="en-US"/>
      </w:rPr>
      <w:t>Error! No text of specified style in document.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DFC" w:rsidRDefault="001A2DFC" w:rsidP="00165E66">
    <w:pPr>
      <w:pStyle w:val="Spacer"/>
    </w:pPr>
  </w:p>
  <w:p w:rsidR="001A2DFC" w:rsidRPr="00C022F9" w:rsidRDefault="001A2DFC"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0D4994">
      <w:rPr>
        <w:b/>
        <w:color w:val="0063A6" w:themeColor="accent1"/>
      </w:rPr>
      <w:t>The Resource Management Framework – Fact Sheet</w:t>
    </w:r>
    <w:r w:rsidRPr="00C022F9">
      <w:rPr>
        <w:b/>
        <w:color w:val="0063A6" w:themeColor="accent1"/>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DFC" w:rsidRPr="00014213" w:rsidRDefault="001A2DFC" w:rsidP="00C022F9">
    <w:pPr>
      <w:pStyle w:val="Footer"/>
    </w:pPr>
    <w:r>
      <w:drawing>
        <wp:anchor distT="0" distB="0" distL="114300" distR="114300" simplePos="0" relativeHeight="251655168" behindDoc="0" locked="0" layoutInCell="1" allowOverlap="1" wp14:anchorId="35449AF9" wp14:editId="23FA1867">
          <wp:simplePos x="0" y="0"/>
          <wp:positionH relativeFrom="column">
            <wp:posOffset>4240861</wp:posOffset>
          </wp:positionH>
          <wp:positionV relativeFrom="page">
            <wp:posOffset>9493250</wp:posOffset>
          </wp:positionV>
          <wp:extent cx="1956435" cy="582930"/>
          <wp:effectExtent l="0" t="0" r="5715" b="7620"/>
          <wp:wrapNone/>
          <wp:docPr id="29"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DFC" w:rsidRDefault="001A2DFC" w:rsidP="00165E66">
    <w:pPr>
      <w:pStyle w:val="Spacer"/>
    </w:pPr>
  </w:p>
  <w:p w:rsidR="001A2DFC" w:rsidRPr="00C022F9" w:rsidRDefault="001A2DFC" w:rsidP="00215CEE">
    <w:pPr>
      <w:pStyle w:val="Footer"/>
      <w:tabs>
        <w:tab w:val="clear" w:pos="9026"/>
        <w:tab w:val="right" w:pos="13950"/>
      </w:tabs>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0D4994">
      <w:rPr>
        <w:b/>
        <w:color w:val="0063A6" w:themeColor="accent1"/>
      </w:rPr>
      <w:t>The Resource Management Framework – Fact Sheet</w:t>
    </w:r>
    <w:r w:rsidRPr="00C022F9">
      <w:rPr>
        <w:b/>
        <w:color w:val="0063A6" w:themeColor="accent1"/>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6</w:t>
    </w:r>
    <w:r w:rsidRPr="00DE60CC">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DFC" w:rsidRDefault="001A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6FF" w:rsidRDefault="00C106FF" w:rsidP="002D711A">
      <w:pPr>
        <w:spacing w:after="0" w:line="240" w:lineRule="auto"/>
      </w:pPr>
      <w:r>
        <w:separator/>
      </w:r>
    </w:p>
  </w:footnote>
  <w:footnote w:type="continuationSeparator" w:id="0">
    <w:p w:rsidR="00C106FF" w:rsidRDefault="00C106FF" w:rsidP="002D711A">
      <w:pPr>
        <w:spacing w:after="0" w:line="240" w:lineRule="auto"/>
      </w:pPr>
      <w:r>
        <w:continuationSeparator/>
      </w:r>
    </w:p>
  </w:footnote>
  <w:footnote w:id="1">
    <w:p w:rsidR="001A2DFC" w:rsidRDefault="001A2DFC">
      <w:pPr>
        <w:pStyle w:val="FootnoteText"/>
      </w:pPr>
      <w:r>
        <w:rPr>
          <w:rStyle w:val="FootnoteReference"/>
        </w:rPr>
        <w:footnoteRef/>
      </w:r>
      <w:r>
        <w:t xml:space="preserve"> DTF will continue to work through any further issues that may arise as a result of the AASB changes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DFC" w:rsidRDefault="001A2DFC">
    <w:pPr>
      <w:pStyle w:val="Header"/>
    </w:pPr>
    <w:r w:rsidRPr="00227C39">
      <w:rPr>
        <w:noProof/>
      </w:rPr>
      <w:drawing>
        <wp:anchor distT="0" distB="0" distL="114300" distR="114300" simplePos="0" relativeHeight="251657216" behindDoc="0" locked="0" layoutInCell="1" allowOverlap="1" wp14:anchorId="5A6767B5" wp14:editId="4C02821D">
          <wp:simplePos x="0" y="0"/>
          <wp:positionH relativeFrom="column">
            <wp:posOffset>-325755</wp:posOffset>
          </wp:positionH>
          <wp:positionV relativeFrom="page">
            <wp:posOffset>297815</wp:posOffset>
          </wp:positionV>
          <wp:extent cx="1380490" cy="411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Pr="00227C39">
      <w:rPr>
        <w:noProof/>
      </w:rPr>
      <w:drawing>
        <wp:anchor distT="0" distB="0" distL="114300" distR="114300" simplePos="0" relativeHeight="251656192" behindDoc="0" locked="0" layoutInCell="1" allowOverlap="1" wp14:anchorId="174679F0" wp14:editId="05C0B925">
          <wp:simplePos x="0" y="0"/>
          <wp:positionH relativeFrom="column">
            <wp:posOffset>-914400</wp:posOffset>
          </wp:positionH>
          <wp:positionV relativeFrom="page">
            <wp:posOffset>124147</wp:posOffset>
          </wp:positionV>
          <wp:extent cx="7592124" cy="740664"/>
          <wp:effectExtent l="0" t="0" r="0" b="2540"/>
          <wp:wrapNone/>
          <wp:docPr id="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2124" cy="7406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DFC" w:rsidRDefault="001A2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DFC" w:rsidRPr="0041689E" w:rsidRDefault="001A2DFC" w:rsidP="00215CEE">
    <w:pPr>
      <w:pStyle w:val="Header"/>
    </w:pPr>
    <w:r>
      <w:rPr>
        <w:noProof/>
      </w:rPr>
      <w:drawing>
        <wp:anchor distT="0" distB="0" distL="114300" distR="114300" simplePos="0" relativeHeight="251659264" behindDoc="0" locked="0" layoutInCell="1" allowOverlap="1" wp14:anchorId="13B61BFE" wp14:editId="4C5C9359">
          <wp:simplePos x="0" y="0"/>
          <wp:positionH relativeFrom="column">
            <wp:posOffset>-237379</wp:posOffset>
          </wp:positionH>
          <wp:positionV relativeFrom="page">
            <wp:posOffset>229870</wp:posOffset>
          </wp:positionV>
          <wp:extent cx="1183640" cy="352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183640" cy="352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68DA064" wp14:editId="524ED4C0">
          <wp:simplePos x="0" y="0"/>
          <wp:positionH relativeFrom="column">
            <wp:posOffset>-2218994</wp:posOffset>
          </wp:positionH>
          <wp:positionV relativeFrom="page">
            <wp:posOffset>115570</wp:posOffset>
          </wp:positionV>
          <wp:extent cx="13157835" cy="548640"/>
          <wp:effectExtent l="0" t="0" r="571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2" cstate="print">
                    <a:extLst>
                      <a:ext uri="{28A0092B-C50C-407E-A947-70E740481C1C}">
                        <a14:useLocalDpi xmlns:a14="http://schemas.microsoft.com/office/drawing/2010/main" val="0"/>
                      </a:ext>
                    </a:extLst>
                  </a:blip>
                  <a:srcRect b="13750"/>
                  <a:stretch/>
                </pic:blipFill>
                <pic:spPr bwMode="auto">
                  <a:xfrm>
                    <a:off x="0" y="0"/>
                    <a:ext cx="1315783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DFC" w:rsidRDefault="001A2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3C9E"/>
    <w:multiLevelType w:val="hybridMultilevel"/>
    <w:tmpl w:val="B2248270"/>
    <w:lvl w:ilvl="0" w:tplc="821E433C">
      <w:start w:val="8"/>
      <w:numFmt w:val="bullet"/>
      <w:lvlText w:val="-"/>
      <w:lvlJc w:val="left"/>
      <w:pPr>
        <w:ind w:left="362" w:hanging="360"/>
      </w:pPr>
      <w:rPr>
        <w:rFonts w:ascii="Arial" w:eastAsia="Times New Roman" w:hAnsi="Arial" w:cs="Arial" w:hint="default"/>
      </w:rPr>
    </w:lvl>
    <w:lvl w:ilvl="1" w:tplc="0C090003" w:tentative="1">
      <w:start w:val="1"/>
      <w:numFmt w:val="bullet"/>
      <w:lvlText w:val="o"/>
      <w:lvlJc w:val="left"/>
      <w:pPr>
        <w:ind w:left="1082" w:hanging="360"/>
      </w:pPr>
      <w:rPr>
        <w:rFonts w:ascii="Courier New" w:hAnsi="Courier New" w:cs="Courier New" w:hint="default"/>
      </w:rPr>
    </w:lvl>
    <w:lvl w:ilvl="2" w:tplc="0C090005" w:tentative="1">
      <w:start w:val="1"/>
      <w:numFmt w:val="bullet"/>
      <w:lvlText w:val=""/>
      <w:lvlJc w:val="left"/>
      <w:pPr>
        <w:ind w:left="1802" w:hanging="360"/>
      </w:pPr>
      <w:rPr>
        <w:rFonts w:ascii="Wingdings" w:hAnsi="Wingdings" w:hint="default"/>
      </w:rPr>
    </w:lvl>
    <w:lvl w:ilvl="3" w:tplc="0C090001" w:tentative="1">
      <w:start w:val="1"/>
      <w:numFmt w:val="bullet"/>
      <w:lvlText w:val=""/>
      <w:lvlJc w:val="left"/>
      <w:pPr>
        <w:ind w:left="2522" w:hanging="360"/>
      </w:pPr>
      <w:rPr>
        <w:rFonts w:ascii="Symbol" w:hAnsi="Symbol" w:hint="default"/>
      </w:rPr>
    </w:lvl>
    <w:lvl w:ilvl="4" w:tplc="0C090003" w:tentative="1">
      <w:start w:val="1"/>
      <w:numFmt w:val="bullet"/>
      <w:lvlText w:val="o"/>
      <w:lvlJc w:val="left"/>
      <w:pPr>
        <w:ind w:left="3242" w:hanging="360"/>
      </w:pPr>
      <w:rPr>
        <w:rFonts w:ascii="Courier New" w:hAnsi="Courier New" w:cs="Courier New" w:hint="default"/>
      </w:rPr>
    </w:lvl>
    <w:lvl w:ilvl="5" w:tplc="0C090005" w:tentative="1">
      <w:start w:val="1"/>
      <w:numFmt w:val="bullet"/>
      <w:lvlText w:val=""/>
      <w:lvlJc w:val="left"/>
      <w:pPr>
        <w:ind w:left="3962" w:hanging="360"/>
      </w:pPr>
      <w:rPr>
        <w:rFonts w:ascii="Wingdings" w:hAnsi="Wingdings" w:hint="default"/>
      </w:rPr>
    </w:lvl>
    <w:lvl w:ilvl="6" w:tplc="0C090001" w:tentative="1">
      <w:start w:val="1"/>
      <w:numFmt w:val="bullet"/>
      <w:lvlText w:val=""/>
      <w:lvlJc w:val="left"/>
      <w:pPr>
        <w:ind w:left="4682" w:hanging="360"/>
      </w:pPr>
      <w:rPr>
        <w:rFonts w:ascii="Symbol" w:hAnsi="Symbol" w:hint="default"/>
      </w:rPr>
    </w:lvl>
    <w:lvl w:ilvl="7" w:tplc="0C090003" w:tentative="1">
      <w:start w:val="1"/>
      <w:numFmt w:val="bullet"/>
      <w:lvlText w:val="o"/>
      <w:lvlJc w:val="left"/>
      <w:pPr>
        <w:ind w:left="5402" w:hanging="360"/>
      </w:pPr>
      <w:rPr>
        <w:rFonts w:ascii="Courier New" w:hAnsi="Courier New" w:cs="Courier New" w:hint="default"/>
      </w:rPr>
    </w:lvl>
    <w:lvl w:ilvl="8" w:tplc="0C090005" w:tentative="1">
      <w:start w:val="1"/>
      <w:numFmt w:val="bullet"/>
      <w:lvlText w:val=""/>
      <w:lvlJc w:val="left"/>
      <w:pPr>
        <w:ind w:left="6122" w:hanging="360"/>
      </w:pPr>
      <w:rPr>
        <w:rFonts w:ascii="Wingdings" w:hAnsi="Wingdings" w:hint="default"/>
      </w:rPr>
    </w:lvl>
  </w:abstractNum>
  <w:abstractNum w:abstractNumId="1" w15:restartNumberingAfterBreak="0">
    <w:nsid w:val="26456FFD"/>
    <w:multiLevelType w:val="multilevel"/>
    <w:tmpl w:val="99CA7C8A"/>
    <w:lvl w:ilvl="0">
      <w:start w:val="1"/>
      <w:numFmt w:val="bullet"/>
      <w:pStyle w:val="Tablebullet"/>
      <w:lvlText w:val=""/>
      <w:lvlJc w:val="left"/>
      <w:pPr>
        <w:ind w:left="288" w:hanging="288"/>
      </w:pPr>
      <w:rPr>
        <w:rFonts w:ascii="Symbol" w:hAnsi="Symbol" w:hint="default"/>
        <w:color w:val="0063A6" w:themeColor="accent1"/>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63B73249"/>
    <w:multiLevelType w:val="hybridMultilevel"/>
    <w:tmpl w:val="D632C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985"/>
    <w:rsid w:val="0000146A"/>
    <w:rsid w:val="00003C84"/>
    <w:rsid w:val="00010162"/>
    <w:rsid w:val="000116BA"/>
    <w:rsid w:val="00012F6F"/>
    <w:rsid w:val="00014213"/>
    <w:rsid w:val="00014B55"/>
    <w:rsid w:val="00020E3E"/>
    <w:rsid w:val="000228B8"/>
    <w:rsid w:val="00023BF3"/>
    <w:rsid w:val="0002487A"/>
    <w:rsid w:val="000250FC"/>
    <w:rsid w:val="00026811"/>
    <w:rsid w:val="000270BD"/>
    <w:rsid w:val="00032C46"/>
    <w:rsid w:val="00037170"/>
    <w:rsid w:val="000413AD"/>
    <w:rsid w:val="0004356D"/>
    <w:rsid w:val="00043AB3"/>
    <w:rsid w:val="00045296"/>
    <w:rsid w:val="00051C08"/>
    <w:rsid w:val="0005313F"/>
    <w:rsid w:val="00057B7D"/>
    <w:rsid w:val="000622C2"/>
    <w:rsid w:val="000633CE"/>
    <w:rsid w:val="00064B81"/>
    <w:rsid w:val="00072C43"/>
    <w:rsid w:val="000730EB"/>
    <w:rsid w:val="00075E6C"/>
    <w:rsid w:val="0007757C"/>
    <w:rsid w:val="00081FE9"/>
    <w:rsid w:val="00087D99"/>
    <w:rsid w:val="00091D05"/>
    <w:rsid w:val="000944CC"/>
    <w:rsid w:val="0009564F"/>
    <w:rsid w:val="000B24F6"/>
    <w:rsid w:val="000B29AD"/>
    <w:rsid w:val="000B5EAD"/>
    <w:rsid w:val="000B7C02"/>
    <w:rsid w:val="000C6372"/>
    <w:rsid w:val="000D4994"/>
    <w:rsid w:val="000D6913"/>
    <w:rsid w:val="000D6D5B"/>
    <w:rsid w:val="000D757F"/>
    <w:rsid w:val="000D7E09"/>
    <w:rsid w:val="000E392D"/>
    <w:rsid w:val="000E407A"/>
    <w:rsid w:val="000F3180"/>
    <w:rsid w:val="000F4288"/>
    <w:rsid w:val="000F5079"/>
    <w:rsid w:val="000F628B"/>
    <w:rsid w:val="000F655C"/>
    <w:rsid w:val="000F7165"/>
    <w:rsid w:val="00100397"/>
    <w:rsid w:val="00102379"/>
    <w:rsid w:val="0010425D"/>
    <w:rsid w:val="001056E6"/>
    <w:rsid w:val="001065D6"/>
    <w:rsid w:val="0011128F"/>
    <w:rsid w:val="00113FBD"/>
    <w:rsid w:val="001166D2"/>
    <w:rsid w:val="00121252"/>
    <w:rsid w:val="00124609"/>
    <w:rsid w:val="001254CE"/>
    <w:rsid w:val="00130252"/>
    <w:rsid w:val="00134CEA"/>
    <w:rsid w:val="001422CC"/>
    <w:rsid w:val="001438C8"/>
    <w:rsid w:val="001443E6"/>
    <w:rsid w:val="00144482"/>
    <w:rsid w:val="001472C1"/>
    <w:rsid w:val="001476B4"/>
    <w:rsid w:val="00150251"/>
    <w:rsid w:val="0015393C"/>
    <w:rsid w:val="00153B4D"/>
    <w:rsid w:val="001617B6"/>
    <w:rsid w:val="00161DAB"/>
    <w:rsid w:val="001620E0"/>
    <w:rsid w:val="00162BE5"/>
    <w:rsid w:val="00162FDE"/>
    <w:rsid w:val="00165E66"/>
    <w:rsid w:val="00166A22"/>
    <w:rsid w:val="0017493C"/>
    <w:rsid w:val="0017743B"/>
    <w:rsid w:val="001852D9"/>
    <w:rsid w:val="001910B3"/>
    <w:rsid w:val="0019388A"/>
    <w:rsid w:val="00196BEA"/>
    <w:rsid w:val="00196EC3"/>
    <w:rsid w:val="001A2DFC"/>
    <w:rsid w:val="001B585B"/>
    <w:rsid w:val="001C5845"/>
    <w:rsid w:val="001C7BAE"/>
    <w:rsid w:val="001D3131"/>
    <w:rsid w:val="001D3732"/>
    <w:rsid w:val="001E0D7B"/>
    <w:rsid w:val="001E31FA"/>
    <w:rsid w:val="001E3C73"/>
    <w:rsid w:val="001E64F6"/>
    <w:rsid w:val="001E6E23"/>
    <w:rsid w:val="001E7766"/>
    <w:rsid w:val="001F012F"/>
    <w:rsid w:val="001F3265"/>
    <w:rsid w:val="001F67AA"/>
    <w:rsid w:val="001F7262"/>
    <w:rsid w:val="001F7869"/>
    <w:rsid w:val="002012BD"/>
    <w:rsid w:val="002122DA"/>
    <w:rsid w:val="0021272F"/>
    <w:rsid w:val="00212A52"/>
    <w:rsid w:val="002158E7"/>
    <w:rsid w:val="00215B74"/>
    <w:rsid w:val="00215CEE"/>
    <w:rsid w:val="002200BE"/>
    <w:rsid w:val="00222B0A"/>
    <w:rsid w:val="00222BEB"/>
    <w:rsid w:val="00222F6E"/>
    <w:rsid w:val="00225E60"/>
    <w:rsid w:val="0023202C"/>
    <w:rsid w:val="002361A3"/>
    <w:rsid w:val="00236203"/>
    <w:rsid w:val="002405A3"/>
    <w:rsid w:val="00242FCD"/>
    <w:rsid w:val="002448D6"/>
    <w:rsid w:val="00245043"/>
    <w:rsid w:val="0024540A"/>
    <w:rsid w:val="00246547"/>
    <w:rsid w:val="00256BA6"/>
    <w:rsid w:val="00257760"/>
    <w:rsid w:val="00272364"/>
    <w:rsid w:val="00273805"/>
    <w:rsid w:val="0027797D"/>
    <w:rsid w:val="0028009E"/>
    <w:rsid w:val="00280872"/>
    <w:rsid w:val="00284C94"/>
    <w:rsid w:val="0028659B"/>
    <w:rsid w:val="00292D36"/>
    <w:rsid w:val="00294A48"/>
    <w:rsid w:val="0029571E"/>
    <w:rsid w:val="00295FF1"/>
    <w:rsid w:val="002960F7"/>
    <w:rsid w:val="00297281"/>
    <w:rsid w:val="002A2832"/>
    <w:rsid w:val="002B07FF"/>
    <w:rsid w:val="002B0BC3"/>
    <w:rsid w:val="002B53F3"/>
    <w:rsid w:val="002C1CA5"/>
    <w:rsid w:val="002C54E0"/>
    <w:rsid w:val="002D48F0"/>
    <w:rsid w:val="002D52BD"/>
    <w:rsid w:val="002D711A"/>
    <w:rsid w:val="002D7336"/>
    <w:rsid w:val="002E1066"/>
    <w:rsid w:val="002E27CD"/>
    <w:rsid w:val="002E3396"/>
    <w:rsid w:val="002E4127"/>
    <w:rsid w:val="002E760D"/>
    <w:rsid w:val="002F1BFB"/>
    <w:rsid w:val="002F6FC5"/>
    <w:rsid w:val="002F7885"/>
    <w:rsid w:val="00303CCF"/>
    <w:rsid w:val="0030682F"/>
    <w:rsid w:val="00310DA6"/>
    <w:rsid w:val="0031149C"/>
    <w:rsid w:val="00320C04"/>
    <w:rsid w:val="00323E73"/>
    <w:rsid w:val="003312DF"/>
    <w:rsid w:val="003327DC"/>
    <w:rsid w:val="003333CD"/>
    <w:rsid w:val="0034196F"/>
    <w:rsid w:val="0035293F"/>
    <w:rsid w:val="00353CD6"/>
    <w:rsid w:val="003559B0"/>
    <w:rsid w:val="00355D8E"/>
    <w:rsid w:val="0035695F"/>
    <w:rsid w:val="00356BA0"/>
    <w:rsid w:val="0036735F"/>
    <w:rsid w:val="00370D0D"/>
    <w:rsid w:val="00372048"/>
    <w:rsid w:val="00372AC8"/>
    <w:rsid w:val="00385499"/>
    <w:rsid w:val="00386EB2"/>
    <w:rsid w:val="0038771C"/>
    <w:rsid w:val="0039405B"/>
    <w:rsid w:val="00395479"/>
    <w:rsid w:val="003A1138"/>
    <w:rsid w:val="003A1C92"/>
    <w:rsid w:val="003A541A"/>
    <w:rsid w:val="003A6923"/>
    <w:rsid w:val="003B5F95"/>
    <w:rsid w:val="003B60AB"/>
    <w:rsid w:val="003C2C23"/>
    <w:rsid w:val="003C2C67"/>
    <w:rsid w:val="003C5BA4"/>
    <w:rsid w:val="003C73B7"/>
    <w:rsid w:val="003C7F2C"/>
    <w:rsid w:val="003E3E26"/>
    <w:rsid w:val="003F1295"/>
    <w:rsid w:val="003F4D8B"/>
    <w:rsid w:val="003F76FC"/>
    <w:rsid w:val="004002EB"/>
    <w:rsid w:val="0040062C"/>
    <w:rsid w:val="0040234A"/>
    <w:rsid w:val="004061A4"/>
    <w:rsid w:val="004110DF"/>
    <w:rsid w:val="00414D76"/>
    <w:rsid w:val="0041689E"/>
    <w:rsid w:val="004207D1"/>
    <w:rsid w:val="004236C8"/>
    <w:rsid w:val="00427681"/>
    <w:rsid w:val="00427A8D"/>
    <w:rsid w:val="0043008B"/>
    <w:rsid w:val="00430DB9"/>
    <w:rsid w:val="00431DE9"/>
    <w:rsid w:val="00433DB7"/>
    <w:rsid w:val="00437847"/>
    <w:rsid w:val="004379BC"/>
    <w:rsid w:val="00442EF7"/>
    <w:rsid w:val="00444A04"/>
    <w:rsid w:val="00453750"/>
    <w:rsid w:val="00456941"/>
    <w:rsid w:val="00457BF4"/>
    <w:rsid w:val="004649A8"/>
    <w:rsid w:val="004669E3"/>
    <w:rsid w:val="004702EA"/>
    <w:rsid w:val="00474061"/>
    <w:rsid w:val="00482628"/>
    <w:rsid w:val="00482D02"/>
    <w:rsid w:val="004845B8"/>
    <w:rsid w:val="004A1E21"/>
    <w:rsid w:val="004A7519"/>
    <w:rsid w:val="004B2ADA"/>
    <w:rsid w:val="004B59F7"/>
    <w:rsid w:val="004C0324"/>
    <w:rsid w:val="004C0E4D"/>
    <w:rsid w:val="004C0EFB"/>
    <w:rsid w:val="004C6D79"/>
    <w:rsid w:val="004D1B3A"/>
    <w:rsid w:val="004D302C"/>
    <w:rsid w:val="004D3518"/>
    <w:rsid w:val="004D62D6"/>
    <w:rsid w:val="004D7E68"/>
    <w:rsid w:val="004E1FF1"/>
    <w:rsid w:val="004E35B1"/>
    <w:rsid w:val="0051403A"/>
    <w:rsid w:val="005160BB"/>
    <w:rsid w:val="005247F0"/>
    <w:rsid w:val="005261E1"/>
    <w:rsid w:val="005272ED"/>
    <w:rsid w:val="00527B26"/>
    <w:rsid w:val="00527D38"/>
    <w:rsid w:val="00533030"/>
    <w:rsid w:val="00533BB8"/>
    <w:rsid w:val="0053416C"/>
    <w:rsid w:val="00541C2F"/>
    <w:rsid w:val="00546C7D"/>
    <w:rsid w:val="0056118D"/>
    <w:rsid w:val="00563527"/>
    <w:rsid w:val="00563AE7"/>
    <w:rsid w:val="005646E0"/>
    <w:rsid w:val="005727E4"/>
    <w:rsid w:val="00575FA1"/>
    <w:rsid w:val="00576015"/>
    <w:rsid w:val="00577216"/>
    <w:rsid w:val="00580F58"/>
    <w:rsid w:val="0058124E"/>
    <w:rsid w:val="00584301"/>
    <w:rsid w:val="005870B6"/>
    <w:rsid w:val="005875A3"/>
    <w:rsid w:val="005875A5"/>
    <w:rsid w:val="005A3416"/>
    <w:rsid w:val="005A474A"/>
    <w:rsid w:val="005B0F38"/>
    <w:rsid w:val="005B27FE"/>
    <w:rsid w:val="005B36B6"/>
    <w:rsid w:val="005B4313"/>
    <w:rsid w:val="005B482C"/>
    <w:rsid w:val="005C33F8"/>
    <w:rsid w:val="005C34E9"/>
    <w:rsid w:val="005C3E6D"/>
    <w:rsid w:val="005D04BD"/>
    <w:rsid w:val="005D11B1"/>
    <w:rsid w:val="005E0DE3"/>
    <w:rsid w:val="005E1F9C"/>
    <w:rsid w:val="005F09BE"/>
    <w:rsid w:val="005F61DF"/>
    <w:rsid w:val="00600E54"/>
    <w:rsid w:val="00602185"/>
    <w:rsid w:val="006023F9"/>
    <w:rsid w:val="00610559"/>
    <w:rsid w:val="00620597"/>
    <w:rsid w:val="00621471"/>
    <w:rsid w:val="00624AC6"/>
    <w:rsid w:val="006262BC"/>
    <w:rsid w:val="0063098A"/>
    <w:rsid w:val="006332F6"/>
    <w:rsid w:val="00634A1C"/>
    <w:rsid w:val="00634D1B"/>
    <w:rsid w:val="006356EA"/>
    <w:rsid w:val="006361E7"/>
    <w:rsid w:val="00645FF8"/>
    <w:rsid w:val="00652625"/>
    <w:rsid w:val="006534B2"/>
    <w:rsid w:val="00653F72"/>
    <w:rsid w:val="0065615D"/>
    <w:rsid w:val="00657011"/>
    <w:rsid w:val="006650B5"/>
    <w:rsid w:val="006651B1"/>
    <w:rsid w:val="00665778"/>
    <w:rsid w:val="00676071"/>
    <w:rsid w:val="0068014F"/>
    <w:rsid w:val="00680341"/>
    <w:rsid w:val="006815C7"/>
    <w:rsid w:val="00690643"/>
    <w:rsid w:val="0069674E"/>
    <w:rsid w:val="006A039B"/>
    <w:rsid w:val="006A44D8"/>
    <w:rsid w:val="006A5B34"/>
    <w:rsid w:val="006A5F5B"/>
    <w:rsid w:val="006A6D46"/>
    <w:rsid w:val="006B005E"/>
    <w:rsid w:val="006B7A27"/>
    <w:rsid w:val="006C77A9"/>
    <w:rsid w:val="006C7E9C"/>
    <w:rsid w:val="006E159C"/>
    <w:rsid w:val="006E528B"/>
    <w:rsid w:val="006F3C41"/>
    <w:rsid w:val="006F6693"/>
    <w:rsid w:val="00702C89"/>
    <w:rsid w:val="00707FE8"/>
    <w:rsid w:val="007176E4"/>
    <w:rsid w:val="00721F55"/>
    <w:rsid w:val="00722DCC"/>
    <w:rsid w:val="00723273"/>
    <w:rsid w:val="00724962"/>
    <w:rsid w:val="00724A0F"/>
    <w:rsid w:val="00726C36"/>
    <w:rsid w:val="0072793D"/>
    <w:rsid w:val="00727D05"/>
    <w:rsid w:val="007320B4"/>
    <w:rsid w:val="00732162"/>
    <w:rsid w:val="00736732"/>
    <w:rsid w:val="00750CBE"/>
    <w:rsid w:val="00755502"/>
    <w:rsid w:val="007570DF"/>
    <w:rsid w:val="00760B5C"/>
    <w:rsid w:val="0076361E"/>
    <w:rsid w:val="00766B5A"/>
    <w:rsid w:val="00771685"/>
    <w:rsid w:val="00773689"/>
    <w:rsid w:val="00773E77"/>
    <w:rsid w:val="00775A82"/>
    <w:rsid w:val="00780990"/>
    <w:rsid w:val="007834F2"/>
    <w:rsid w:val="00791020"/>
    <w:rsid w:val="00791DC1"/>
    <w:rsid w:val="0079569E"/>
    <w:rsid w:val="00795E36"/>
    <w:rsid w:val="00797021"/>
    <w:rsid w:val="007A1228"/>
    <w:rsid w:val="007A2979"/>
    <w:rsid w:val="007A3CA0"/>
    <w:rsid w:val="007A5F82"/>
    <w:rsid w:val="007B1C91"/>
    <w:rsid w:val="007B3202"/>
    <w:rsid w:val="007C0963"/>
    <w:rsid w:val="007C19CB"/>
    <w:rsid w:val="007C4A7D"/>
    <w:rsid w:val="007D0F05"/>
    <w:rsid w:val="007D2923"/>
    <w:rsid w:val="007D3DA9"/>
    <w:rsid w:val="007D54CB"/>
    <w:rsid w:val="007D798E"/>
    <w:rsid w:val="007E084E"/>
    <w:rsid w:val="007F1A4C"/>
    <w:rsid w:val="007F67FD"/>
    <w:rsid w:val="008022C3"/>
    <w:rsid w:val="008027D6"/>
    <w:rsid w:val="008041E6"/>
    <w:rsid w:val="008065D2"/>
    <w:rsid w:val="00807210"/>
    <w:rsid w:val="00810171"/>
    <w:rsid w:val="00810A53"/>
    <w:rsid w:val="00813721"/>
    <w:rsid w:val="008137F7"/>
    <w:rsid w:val="00813E9D"/>
    <w:rsid w:val="008141D8"/>
    <w:rsid w:val="008173FA"/>
    <w:rsid w:val="0082065C"/>
    <w:rsid w:val="0082194C"/>
    <w:rsid w:val="008220C4"/>
    <w:rsid w:val="008222FF"/>
    <w:rsid w:val="008241FF"/>
    <w:rsid w:val="00827C16"/>
    <w:rsid w:val="00831D14"/>
    <w:rsid w:val="008342DA"/>
    <w:rsid w:val="0083618B"/>
    <w:rsid w:val="00836490"/>
    <w:rsid w:val="008411E9"/>
    <w:rsid w:val="0084200F"/>
    <w:rsid w:val="00843B2C"/>
    <w:rsid w:val="00847025"/>
    <w:rsid w:val="00852042"/>
    <w:rsid w:val="00854A48"/>
    <w:rsid w:val="00861BB5"/>
    <w:rsid w:val="00870168"/>
    <w:rsid w:val="008733F2"/>
    <w:rsid w:val="008765AE"/>
    <w:rsid w:val="0089075F"/>
    <w:rsid w:val="0089634A"/>
    <w:rsid w:val="0089712F"/>
    <w:rsid w:val="008A0751"/>
    <w:rsid w:val="008A4900"/>
    <w:rsid w:val="008A59D2"/>
    <w:rsid w:val="008A6B38"/>
    <w:rsid w:val="008A70BE"/>
    <w:rsid w:val="008B57A7"/>
    <w:rsid w:val="008B7F11"/>
    <w:rsid w:val="008C3774"/>
    <w:rsid w:val="008C41E4"/>
    <w:rsid w:val="008D0281"/>
    <w:rsid w:val="008D5F07"/>
    <w:rsid w:val="008E3C4E"/>
    <w:rsid w:val="008E4D8C"/>
    <w:rsid w:val="008E6BE1"/>
    <w:rsid w:val="008E73A6"/>
    <w:rsid w:val="008F2999"/>
    <w:rsid w:val="008F6D45"/>
    <w:rsid w:val="00901E91"/>
    <w:rsid w:val="00903E38"/>
    <w:rsid w:val="00906B0E"/>
    <w:rsid w:val="00910927"/>
    <w:rsid w:val="00912275"/>
    <w:rsid w:val="00912D29"/>
    <w:rsid w:val="00917180"/>
    <w:rsid w:val="00923CE3"/>
    <w:rsid w:val="00924955"/>
    <w:rsid w:val="00924C9F"/>
    <w:rsid w:val="00925F79"/>
    <w:rsid w:val="0094269E"/>
    <w:rsid w:val="00946384"/>
    <w:rsid w:val="0095461A"/>
    <w:rsid w:val="00963E0B"/>
    <w:rsid w:val="00970299"/>
    <w:rsid w:val="0097518C"/>
    <w:rsid w:val="00980DBF"/>
    <w:rsid w:val="009828DA"/>
    <w:rsid w:val="009834C0"/>
    <w:rsid w:val="0098488A"/>
    <w:rsid w:val="00986AAC"/>
    <w:rsid w:val="00991D06"/>
    <w:rsid w:val="009944B9"/>
    <w:rsid w:val="0099580B"/>
    <w:rsid w:val="009A1DA2"/>
    <w:rsid w:val="009A3704"/>
    <w:rsid w:val="009A46C8"/>
    <w:rsid w:val="009A46DD"/>
    <w:rsid w:val="009A4739"/>
    <w:rsid w:val="009A674F"/>
    <w:rsid w:val="009A7D0D"/>
    <w:rsid w:val="009B1985"/>
    <w:rsid w:val="009B199C"/>
    <w:rsid w:val="009B54C8"/>
    <w:rsid w:val="009B61F1"/>
    <w:rsid w:val="009B62E0"/>
    <w:rsid w:val="009C2A6D"/>
    <w:rsid w:val="009C3D88"/>
    <w:rsid w:val="009C58C7"/>
    <w:rsid w:val="009C7A3F"/>
    <w:rsid w:val="009D5DF6"/>
    <w:rsid w:val="009E00B5"/>
    <w:rsid w:val="009E3858"/>
    <w:rsid w:val="009E70DD"/>
    <w:rsid w:val="009F2ED9"/>
    <w:rsid w:val="009F3231"/>
    <w:rsid w:val="009F3731"/>
    <w:rsid w:val="009F5664"/>
    <w:rsid w:val="009F5C58"/>
    <w:rsid w:val="00A00094"/>
    <w:rsid w:val="00A023A0"/>
    <w:rsid w:val="00A0389B"/>
    <w:rsid w:val="00A1562B"/>
    <w:rsid w:val="00A170F4"/>
    <w:rsid w:val="00A17376"/>
    <w:rsid w:val="00A22A47"/>
    <w:rsid w:val="00A239D0"/>
    <w:rsid w:val="00A252E3"/>
    <w:rsid w:val="00A2559E"/>
    <w:rsid w:val="00A25FD9"/>
    <w:rsid w:val="00A30D9F"/>
    <w:rsid w:val="00A3651B"/>
    <w:rsid w:val="00A36D66"/>
    <w:rsid w:val="00A43250"/>
    <w:rsid w:val="00A46BA8"/>
    <w:rsid w:val="00A47634"/>
    <w:rsid w:val="00A526D7"/>
    <w:rsid w:val="00A54D77"/>
    <w:rsid w:val="00A612FE"/>
    <w:rsid w:val="00A65E44"/>
    <w:rsid w:val="00A65F22"/>
    <w:rsid w:val="00A66526"/>
    <w:rsid w:val="00A71611"/>
    <w:rsid w:val="00A731B4"/>
    <w:rsid w:val="00A735BD"/>
    <w:rsid w:val="00A75FC2"/>
    <w:rsid w:val="00A76396"/>
    <w:rsid w:val="00A80207"/>
    <w:rsid w:val="00A86196"/>
    <w:rsid w:val="00A906D8"/>
    <w:rsid w:val="00AA26B8"/>
    <w:rsid w:val="00AB3FE2"/>
    <w:rsid w:val="00AB71F2"/>
    <w:rsid w:val="00AC36E0"/>
    <w:rsid w:val="00AC70C7"/>
    <w:rsid w:val="00AD1A83"/>
    <w:rsid w:val="00AD1B6C"/>
    <w:rsid w:val="00AD3322"/>
    <w:rsid w:val="00AD6294"/>
    <w:rsid w:val="00AD7E4E"/>
    <w:rsid w:val="00AE1A91"/>
    <w:rsid w:val="00AE41D9"/>
    <w:rsid w:val="00AE6AF2"/>
    <w:rsid w:val="00AF0D57"/>
    <w:rsid w:val="00AF19EE"/>
    <w:rsid w:val="00AF4D58"/>
    <w:rsid w:val="00AF6666"/>
    <w:rsid w:val="00B057BA"/>
    <w:rsid w:val="00B059FA"/>
    <w:rsid w:val="00B10154"/>
    <w:rsid w:val="00B23F6E"/>
    <w:rsid w:val="00B24BA4"/>
    <w:rsid w:val="00B30D81"/>
    <w:rsid w:val="00B30DA4"/>
    <w:rsid w:val="00B34A49"/>
    <w:rsid w:val="00B3659E"/>
    <w:rsid w:val="00B40D69"/>
    <w:rsid w:val="00B424F6"/>
    <w:rsid w:val="00B4354F"/>
    <w:rsid w:val="00B47130"/>
    <w:rsid w:val="00B53684"/>
    <w:rsid w:val="00B549D1"/>
    <w:rsid w:val="00B57776"/>
    <w:rsid w:val="00B6640A"/>
    <w:rsid w:val="00B750D9"/>
    <w:rsid w:val="00B81B44"/>
    <w:rsid w:val="00B84C28"/>
    <w:rsid w:val="00B9053B"/>
    <w:rsid w:val="00B9607A"/>
    <w:rsid w:val="00B96346"/>
    <w:rsid w:val="00BA219B"/>
    <w:rsid w:val="00BB00E8"/>
    <w:rsid w:val="00BB2CC7"/>
    <w:rsid w:val="00BB55A4"/>
    <w:rsid w:val="00BC17FA"/>
    <w:rsid w:val="00BC3422"/>
    <w:rsid w:val="00BD3D7E"/>
    <w:rsid w:val="00BD3F05"/>
    <w:rsid w:val="00BD41F4"/>
    <w:rsid w:val="00BD48F8"/>
    <w:rsid w:val="00BD4A6A"/>
    <w:rsid w:val="00BD4DD4"/>
    <w:rsid w:val="00BE5B54"/>
    <w:rsid w:val="00BE65A7"/>
    <w:rsid w:val="00BE69E8"/>
    <w:rsid w:val="00C0072C"/>
    <w:rsid w:val="00C015B9"/>
    <w:rsid w:val="00C022F9"/>
    <w:rsid w:val="00C032EA"/>
    <w:rsid w:val="00C06EB5"/>
    <w:rsid w:val="00C106FF"/>
    <w:rsid w:val="00C1145F"/>
    <w:rsid w:val="00C146BF"/>
    <w:rsid w:val="00C17E2B"/>
    <w:rsid w:val="00C323BA"/>
    <w:rsid w:val="00C325FF"/>
    <w:rsid w:val="00C326D9"/>
    <w:rsid w:val="00C404C6"/>
    <w:rsid w:val="00C40F75"/>
    <w:rsid w:val="00C603F1"/>
    <w:rsid w:val="00C606A0"/>
    <w:rsid w:val="00C61056"/>
    <w:rsid w:val="00C637E1"/>
    <w:rsid w:val="00C638F5"/>
    <w:rsid w:val="00C67638"/>
    <w:rsid w:val="00C70CAC"/>
    <w:rsid w:val="00C70D50"/>
    <w:rsid w:val="00C713D9"/>
    <w:rsid w:val="00C80097"/>
    <w:rsid w:val="00C81F51"/>
    <w:rsid w:val="00C855B6"/>
    <w:rsid w:val="00C907D7"/>
    <w:rsid w:val="00C92338"/>
    <w:rsid w:val="00CA03AD"/>
    <w:rsid w:val="00CA2E52"/>
    <w:rsid w:val="00CA652E"/>
    <w:rsid w:val="00CA7C3A"/>
    <w:rsid w:val="00CB108C"/>
    <w:rsid w:val="00CB1C43"/>
    <w:rsid w:val="00CC194D"/>
    <w:rsid w:val="00CC2481"/>
    <w:rsid w:val="00CC2663"/>
    <w:rsid w:val="00CC2DB2"/>
    <w:rsid w:val="00CC6DAE"/>
    <w:rsid w:val="00CC7710"/>
    <w:rsid w:val="00CD0307"/>
    <w:rsid w:val="00CD3D1B"/>
    <w:rsid w:val="00CE486A"/>
    <w:rsid w:val="00CE59C0"/>
    <w:rsid w:val="00CF6AB1"/>
    <w:rsid w:val="00CF7DCA"/>
    <w:rsid w:val="00D01E3E"/>
    <w:rsid w:val="00D06013"/>
    <w:rsid w:val="00D12601"/>
    <w:rsid w:val="00D13920"/>
    <w:rsid w:val="00D15BA8"/>
    <w:rsid w:val="00D1678E"/>
    <w:rsid w:val="00D211E9"/>
    <w:rsid w:val="00D2312F"/>
    <w:rsid w:val="00D234A2"/>
    <w:rsid w:val="00D269C1"/>
    <w:rsid w:val="00D30E6F"/>
    <w:rsid w:val="00D34ADE"/>
    <w:rsid w:val="00D36358"/>
    <w:rsid w:val="00D44953"/>
    <w:rsid w:val="00D46F72"/>
    <w:rsid w:val="00D542F3"/>
    <w:rsid w:val="00D54C96"/>
    <w:rsid w:val="00D5644B"/>
    <w:rsid w:val="00D56E25"/>
    <w:rsid w:val="00D668F6"/>
    <w:rsid w:val="00D67BC7"/>
    <w:rsid w:val="00D718D7"/>
    <w:rsid w:val="00D7288C"/>
    <w:rsid w:val="00D814B7"/>
    <w:rsid w:val="00D90688"/>
    <w:rsid w:val="00D926AD"/>
    <w:rsid w:val="00D92E12"/>
    <w:rsid w:val="00D94140"/>
    <w:rsid w:val="00D94CA9"/>
    <w:rsid w:val="00DA1584"/>
    <w:rsid w:val="00DA2D0B"/>
    <w:rsid w:val="00DA3AAD"/>
    <w:rsid w:val="00DB30A9"/>
    <w:rsid w:val="00DB312B"/>
    <w:rsid w:val="00DC0B0F"/>
    <w:rsid w:val="00DC274F"/>
    <w:rsid w:val="00DC5654"/>
    <w:rsid w:val="00DC658F"/>
    <w:rsid w:val="00DE60CC"/>
    <w:rsid w:val="00DF62E2"/>
    <w:rsid w:val="00DF6939"/>
    <w:rsid w:val="00DF79A6"/>
    <w:rsid w:val="00E05C55"/>
    <w:rsid w:val="00E06F93"/>
    <w:rsid w:val="00E118D8"/>
    <w:rsid w:val="00E1785C"/>
    <w:rsid w:val="00E2633C"/>
    <w:rsid w:val="00E26B32"/>
    <w:rsid w:val="00E3300A"/>
    <w:rsid w:val="00E3364D"/>
    <w:rsid w:val="00E407B6"/>
    <w:rsid w:val="00E419C0"/>
    <w:rsid w:val="00E41EF1"/>
    <w:rsid w:val="00E42942"/>
    <w:rsid w:val="00E46545"/>
    <w:rsid w:val="00E468A6"/>
    <w:rsid w:val="00E54A38"/>
    <w:rsid w:val="00E54CFE"/>
    <w:rsid w:val="00E553F9"/>
    <w:rsid w:val="00E60AA2"/>
    <w:rsid w:val="00E63E3F"/>
    <w:rsid w:val="00E6568A"/>
    <w:rsid w:val="00E6645A"/>
    <w:rsid w:val="00E71BDF"/>
    <w:rsid w:val="00E74C65"/>
    <w:rsid w:val="00E83CA7"/>
    <w:rsid w:val="00E85403"/>
    <w:rsid w:val="00E91E65"/>
    <w:rsid w:val="00E954B6"/>
    <w:rsid w:val="00E963C5"/>
    <w:rsid w:val="00EB249A"/>
    <w:rsid w:val="00EC01E8"/>
    <w:rsid w:val="00EC07FD"/>
    <w:rsid w:val="00EC171D"/>
    <w:rsid w:val="00EC3746"/>
    <w:rsid w:val="00ED487E"/>
    <w:rsid w:val="00ED66CF"/>
    <w:rsid w:val="00EE0393"/>
    <w:rsid w:val="00EE0D53"/>
    <w:rsid w:val="00EE1702"/>
    <w:rsid w:val="00EE7A0D"/>
    <w:rsid w:val="00F01B40"/>
    <w:rsid w:val="00F022F0"/>
    <w:rsid w:val="00F12662"/>
    <w:rsid w:val="00F12BC3"/>
    <w:rsid w:val="00F17CE1"/>
    <w:rsid w:val="00F20483"/>
    <w:rsid w:val="00F2115C"/>
    <w:rsid w:val="00F2188C"/>
    <w:rsid w:val="00F22ABA"/>
    <w:rsid w:val="00F23C8C"/>
    <w:rsid w:val="00F26602"/>
    <w:rsid w:val="00F36757"/>
    <w:rsid w:val="00F36B12"/>
    <w:rsid w:val="00F37047"/>
    <w:rsid w:val="00F42542"/>
    <w:rsid w:val="00F60F9F"/>
    <w:rsid w:val="00F64503"/>
    <w:rsid w:val="00F64DDD"/>
    <w:rsid w:val="00F64F08"/>
    <w:rsid w:val="00F67F37"/>
    <w:rsid w:val="00F70D23"/>
    <w:rsid w:val="00F734F5"/>
    <w:rsid w:val="00F7370C"/>
    <w:rsid w:val="00F84373"/>
    <w:rsid w:val="00F85D01"/>
    <w:rsid w:val="00F931D1"/>
    <w:rsid w:val="00F93531"/>
    <w:rsid w:val="00F93A83"/>
    <w:rsid w:val="00F966B1"/>
    <w:rsid w:val="00F97D48"/>
    <w:rsid w:val="00FA0311"/>
    <w:rsid w:val="00FA1631"/>
    <w:rsid w:val="00FA2C35"/>
    <w:rsid w:val="00FA5694"/>
    <w:rsid w:val="00FA7CC1"/>
    <w:rsid w:val="00FB00EB"/>
    <w:rsid w:val="00FB32C3"/>
    <w:rsid w:val="00FC2707"/>
    <w:rsid w:val="00FC2AA5"/>
    <w:rsid w:val="00FC42E5"/>
    <w:rsid w:val="00FC5015"/>
    <w:rsid w:val="00FD1BD6"/>
    <w:rsid w:val="00FD3E50"/>
    <w:rsid w:val="00FD449F"/>
    <w:rsid w:val="00FD5519"/>
    <w:rsid w:val="00FD640F"/>
    <w:rsid w:val="00FD6B4C"/>
    <w:rsid w:val="00FD7272"/>
    <w:rsid w:val="00FD7605"/>
    <w:rsid w:val="00FD7DDB"/>
    <w:rsid w:val="00FE37E9"/>
    <w:rsid w:val="00FF1798"/>
    <w:rsid w:val="00FF4E99"/>
    <w:rsid w:val="00FF71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F49877-A1D6-4B62-BB2F-F919F4DB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CEE"/>
    <w:pPr>
      <w:spacing w:before="160" w:after="100"/>
    </w:pPr>
    <w:rPr>
      <w:spacing w:val="2"/>
    </w:rPr>
  </w:style>
  <w:style w:type="paragraph" w:styleId="Heading1">
    <w:name w:val="heading 1"/>
    <w:next w:val="Normal"/>
    <w:link w:val="Heading1Char"/>
    <w:qFormat/>
    <w:rsid w:val="00215CEE"/>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215CEE"/>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215CEE"/>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215CEE"/>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215C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15CEE"/>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215CEE"/>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215CEE"/>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215CEE"/>
    <w:pPr>
      <w:tabs>
        <w:tab w:val="right" w:leader="dot" w:pos="9000"/>
      </w:tabs>
      <w:ind w:right="432"/>
    </w:pPr>
    <w:rPr>
      <w:sz w:val="24"/>
      <w:szCs w:val="24"/>
    </w:rPr>
  </w:style>
  <w:style w:type="paragraph" w:styleId="TOC2">
    <w:name w:val="toc 2"/>
    <w:next w:val="Normal"/>
    <w:uiPriority w:val="39"/>
    <w:rsid w:val="00215CEE"/>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215CE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215CEE"/>
    <w:pPr>
      <w:spacing w:after="60" w:line="240" w:lineRule="auto"/>
    </w:pPr>
    <w:rPr>
      <w:sz w:val="16"/>
    </w:rPr>
  </w:style>
  <w:style w:type="paragraph" w:styleId="Index2">
    <w:name w:val="index 2"/>
    <w:basedOn w:val="Normal"/>
    <w:next w:val="Normal"/>
    <w:uiPriority w:val="99"/>
    <w:semiHidden/>
    <w:rsid w:val="00215CEE"/>
    <w:pPr>
      <w:spacing w:after="0" w:line="240" w:lineRule="auto"/>
      <w:ind w:left="216"/>
    </w:pPr>
    <w:rPr>
      <w:sz w:val="16"/>
      <w:szCs w:val="16"/>
    </w:rPr>
  </w:style>
  <w:style w:type="character" w:styleId="Hyperlink">
    <w:name w:val="Hyperlink"/>
    <w:basedOn w:val="DefaultParagraphFont"/>
    <w:uiPriority w:val="99"/>
    <w:rsid w:val="00215CEE"/>
    <w:rPr>
      <w:color w:val="53565A" w:themeColor="hyperlink"/>
      <w:u w:val="none"/>
    </w:rPr>
  </w:style>
  <w:style w:type="character" w:customStyle="1" w:styleId="Heading1Char">
    <w:name w:val="Heading 1 Char"/>
    <w:basedOn w:val="DefaultParagraphFont"/>
    <w:link w:val="Heading1"/>
    <w:rsid w:val="00215CEE"/>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215CEE"/>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215CEE"/>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215CEE"/>
    <w:pPr>
      <w:numPr>
        <w:ilvl w:val="1"/>
      </w:numPr>
    </w:pPr>
  </w:style>
  <w:style w:type="paragraph" w:customStyle="1" w:styleId="Bulletindent">
    <w:name w:val="Bullet indent"/>
    <w:basedOn w:val="Bullet2"/>
    <w:uiPriority w:val="9"/>
    <w:qFormat/>
    <w:rsid w:val="00215CEE"/>
    <w:pPr>
      <w:numPr>
        <w:ilvl w:val="2"/>
      </w:numPr>
    </w:pPr>
  </w:style>
  <w:style w:type="paragraph" w:customStyle="1" w:styleId="Heading1numbered">
    <w:name w:val="Heading 1 numbered"/>
    <w:basedOn w:val="Heading1"/>
    <w:next w:val="NormalIndent"/>
    <w:uiPriority w:val="8"/>
    <w:qFormat/>
    <w:rsid w:val="00215CEE"/>
  </w:style>
  <w:style w:type="paragraph" w:customStyle="1" w:styleId="Heading2numbered">
    <w:name w:val="Heading 2 numbered"/>
    <w:basedOn w:val="Heading2"/>
    <w:next w:val="NormalIndent"/>
    <w:uiPriority w:val="8"/>
    <w:qFormat/>
    <w:rsid w:val="00215CEE"/>
  </w:style>
  <w:style w:type="paragraph" w:customStyle="1" w:styleId="Heading3numbered">
    <w:name w:val="Heading 3 numbered"/>
    <w:basedOn w:val="Heading3"/>
    <w:next w:val="NormalIndent"/>
    <w:uiPriority w:val="8"/>
    <w:qFormat/>
    <w:rsid w:val="00215CEE"/>
  </w:style>
  <w:style w:type="character" w:customStyle="1" w:styleId="Heading3Char">
    <w:name w:val="Heading 3 Char"/>
    <w:basedOn w:val="DefaultParagraphFont"/>
    <w:link w:val="Heading3"/>
    <w:rsid w:val="00215CE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215CEE"/>
  </w:style>
  <w:style w:type="character" w:customStyle="1" w:styleId="Heading4Char">
    <w:name w:val="Heading 4 Char"/>
    <w:basedOn w:val="DefaultParagraphFont"/>
    <w:link w:val="Heading4"/>
    <w:rsid w:val="00215CEE"/>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215CEE"/>
    <w:pPr>
      <w:spacing w:line="252" w:lineRule="auto"/>
      <w:ind w:left="792"/>
    </w:pPr>
  </w:style>
  <w:style w:type="paragraph" w:customStyle="1" w:styleId="NoteNormal">
    <w:name w:val="Note Normal"/>
    <w:basedOn w:val="Normal"/>
    <w:rsid w:val="00215CEE"/>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215CEE"/>
    <w:pPr>
      <w:spacing w:before="0" w:after="0" w:line="120" w:lineRule="atLeast"/>
    </w:pPr>
    <w:rPr>
      <w:rFonts w:eastAsia="Times New Roman" w:cs="Calibri"/>
      <w:spacing w:val="0"/>
      <w:sz w:val="10"/>
      <w:szCs w:val="22"/>
    </w:rPr>
  </w:style>
  <w:style w:type="paragraph" w:styleId="Subtitle">
    <w:name w:val="Subtitle"/>
    <w:link w:val="SubtitleChar"/>
    <w:uiPriority w:val="98"/>
    <w:rsid w:val="00215CEE"/>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215CEE"/>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215CEE"/>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215CEE"/>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215CEE"/>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15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CEE"/>
    <w:rPr>
      <w:rFonts w:ascii="Tahoma" w:hAnsi="Tahoma" w:cs="Tahoma"/>
      <w:spacing w:val="2"/>
      <w:sz w:val="16"/>
      <w:szCs w:val="16"/>
    </w:rPr>
  </w:style>
  <w:style w:type="paragraph" w:customStyle="1" w:styleId="Bulletindent2">
    <w:name w:val="Bullet indent 2"/>
    <w:basedOn w:val="Normal"/>
    <w:uiPriority w:val="9"/>
    <w:qFormat/>
    <w:rsid w:val="00215CEE"/>
    <w:pPr>
      <w:numPr>
        <w:ilvl w:val="3"/>
        <w:numId w:val="1"/>
      </w:numPr>
      <w:spacing w:before="100"/>
      <w:contextualSpacing/>
    </w:pPr>
  </w:style>
  <w:style w:type="paragraph" w:styleId="IndexHeading">
    <w:name w:val="index heading"/>
    <w:basedOn w:val="Normal"/>
    <w:next w:val="Index1"/>
    <w:uiPriority w:val="99"/>
    <w:semiHidden/>
    <w:rsid w:val="00215CEE"/>
    <w:rPr>
      <w:rFonts w:asciiTheme="majorHAnsi" w:eastAsiaTheme="majorEastAsia" w:hAnsiTheme="majorHAnsi" w:cstheme="majorBidi"/>
      <w:b/>
      <w:bCs/>
    </w:rPr>
  </w:style>
  <w:style w:type="paragraph" w:styleId="Header">
    <w:name w:val="header"/>
    <w:basedOn w:val="Normal"/>
    <w:link w:val="HeaderChar"/>
    <w:uiPriority w:val="99"/>
    <w:semiHidden/>
    <w:rsid w:val="00215C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5CEE"/>
    <w:rPr>
      <w:spacing w:val="2"/>
    </w:rPr>
  </w:style>
  <w:style w:type="paragraph" w:styleId="Footer">
    <w:name w:val="footer"/>
    <w:basedOn w:val="Normal"/>
    <w:link w:val="FooterChar"/>
    <w:uiPriority w:val="24"/>
    <w:rsid w:val="00215CEE"/>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215CEE"/>
    <w:rPr>
      <w:noProof/>
      <w:spacing w:val="2"/>
      <w:sz w:val="18"/>
      <w:szCs w:val="18"/>
    </w:rPr>
  </w:style>
  <w:style w:type="character" w:styleId="PageNumber">
    <w:name w:val="page number"/>
    <w:uiPriority w:val="49"/>
    <w:semiHidden/>
    <w:rsid w:val="00215CEE"/>
    <w:rPr>
      <w:b w:val="0"/>
      <w:color w:val="000000" w:themeColor="text1"/>
    </w:rPr>
  </w:style>
  <w:style w:type="paragraph" w:styleId="TOCHeading">
    <w:name w:val="TOC Heading"/>
    <w:basedOn w:val="Heading1"/>
    <w:next w:val="Normal"/>
    <w:uiPriority w:val="39"/>
    <w:rsid w:val="00215CEE"/>
    <w:pPr>
      <w:spacing w:before="480" w:after="720"/>
      <w:outlineLvl w:val="9"/>
    </w:pPr>
    <w:rPr>
      <w:spacing w:val="2"/>
    </w:rPr>
  </w:style>
  <w:style w:type="paragraph" w:customStyle="1" w:styleId="NormalTight">
    <w:name w:val="Normal Tight"/>
    <w:uiPriority w:val="99"/>
    <w:semiHidden/>
    <w:rsid w:val="00215CEE"/>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215CE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215CE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215CEE"/>
    <w:pPr>
      <w:spacing w:before="5800"/>
      <w:ind w:right="1382"/>
    </w:pPr>
  </w:style>
  <w:style w:type="paragraph" w:styleId="TOC4">
    <w:name w:val="toc 4"/>
    <w:basedOn w:val="TOC1"/>
    <w:next w:val="Normal"/>
    <w:uiPriority w:val="39"/>
    <w:rsid w:val="00215CEE"/>
    <w:pPr>
      <w:ind w:left="450" w:hanging="450"/>
    </w:pPr>
    <w:rPr>
      <w:noProof/>
      <w:lang w:eastAsia="en-US"/>
    </w:rPr>
  </w:style>
  <w:style w:type="paragraph" w:styleId="TOC5">
    <w:name w:val="toc 5"/>
    <w:basedOn w:val="TOC2"/>
    <w:next w:val="Normal"/>
    <w:uiPriority w:val="39"/>
    <w:rsid w:val="00215CEE"/>
    <w:pPr>
      <w:ind w:left="1080" w:hanging="634"/>
    </w:pPr>
    <w:rPr>
      <w:lang w:eastAsia="en-US"/>
    </w:rPr>
  </w:style>
  <w:style w:type="paragraph" w:styleId="TOC6">
    <w:name w:val="toc 6"/>
    <w:basedOn w:val="TOC3"/>
    <w:next w:val="Normal"/>
    <w:uiPriority w:val="39"/>
    <w:rsid w:val="00215CEE"/>
    <w:pPr>
      <w:ind w:left="1800" w:hanging="720"/>
    </w:pPr>
    <w:rPr>
      <w:lang w:eastAsia="en-US"/>
    </w:rPr>
  </w:style>
  <w:style w:type="table" w:customStyle="1" w:styleId="DTFtexttable">
    <w:name w:val="DTF text table"/>
    <w:basedOn w:val="TableGrid"/>
    <w:uiPriority w:val="99"/>
    <w:rsid w:val="00215CEE"/>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215CEE"/>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215CEE"/>
    <w:pPr>
      <w:spacing w:before="60" w:after="60" w:line="264" w:lineRule="auto"/>
    </w:pPr>
    <w:rPr>
      <w:sz w:val="17"/>
    </w:rPr>
  </w:style>
  <w:style w:type="paragraph" w:customStyle="1" w:styleId="Tabletextright">
    <w:name w:val="Table text right"/>
    <w:basedOn w:val="Tabletext"/>
    <w:uiPriority w:val="5"/>
    <w:qFormat/>
    <w:rsid w:val="00215CEE"/>
    <w:pPr>
      <w:jc w:val="right"/>
    </w:pPr>
  </w:style>
  <w:style w:type="paragraph" w:customStyle="1" w:styleId="Listnumindent2">
    <w:name w:val="List num indent 2"/>
    <w:basedOn w:val="Normal"/>
    <w:uiPriority w:val="9"/>
    <w:qFormat/>
    <w:rsid w:val="00215CEE"/>
    <w:pPr>
      <w:spacing w:before="100"/>
      <w:contextualSpacing/>
    </w:pPr>
  </w:style>
  <w:style w:type="paragraph" w:customStyle="1" w:styleId="Listnumindent">
    <w:name w:val="List num indent"/>
    <w:basedOn w:val="Normal"/>
    <w:uiPriority w:val="5"/>
    <w:qFormat/>
    <w:rsid w:val="00215CEE"/>
    <w:pPr>
      <w:spacing w:before="100"/>
    </w:pPr>
  </w:style>
  <w:style w:type="paragraph" w:customStyle="1" w:styleId="Listnum">
    <w:name w:val="List num"/>
    <w:basedOn w:val="Normal"/>
    <w:uiPriority w:val="1"/>
    <w:qFormat/>
    <w:rsid w:val="00215CEE"/>
  </w:style>
  <w:style w:type="paragraph" w:customStyle="1" w:styleId="Listnum2">
    <w:name w:val="List num 2"/>
    <w:basedOn w:val="Normal"/>
    <w:uiPriority w:val="1"/>
    <w:qFormat/>
    <w:rsid w:val="00215CEE"/>
  </w:style>
  <w:style w:type="paragraph" w:customStyle="1" w:styleId="Tabletextcentred">
    <w:name w:val="Table text centred"/>
    <w:basedOn w:val="Tabletext"/>
    <w:uiPriority w:val="5"/>
    <w:qFormat/>
    <w:rsid w:val="00215CEE"/>
    <w:pPr>
      <w:jc w:val="center"/>
    </w:pPr>
  </w:style>
  <w:style w:type="paragraph" w:customStyle="1" w:styleId="Tableheader">
    <w:name w:val="Table header"/>
    <w:basedOn w:val="Tabletext"/>
    <w:uiPriority w:val="5"/>
    <w:qFormat/>
    <w:rsid w:val="00215CEE"/>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215CEE"/>
    <w:pPr>
      <w:numPr>
        <w:numId w:val="2"/>
      </w:numPr>
    </w:pPr>
  </w:style>
  <w:style w:type="paragraph" w:customStyle="1" w:styleId="Tabledash">
    <w:name w:val="Table dash"/>
    <w:basedOn w:val="Tablebullet"/>
    <w:uiPriority w:val="6"/>
    <w:rsid w:val="00215CEE"/>
    <w:pPr>
      <w:numPr>
        <w:ilvl w:val="1"/>
      </w:numPr>
    </w:pPr>
  </w:style>
  <w:style w:type="paragraph" w:customStyle="1" w:styleId="Tabletextindent">
    <w:name w:val="Table text indent"/>
    <w:basedOn w:val="Tabletext"/>
    <w:uiPriority w:val="5"/>
    <w:qFormat/>
    <w:rsid w:val="00215CEE"/>
    <w:pPr>
      <w:ind w:left="288"/>
    </w:pPr>
  </w:style>
  <w:style w:type="paragraph" w:customStyle="1" w:styleId="Numpara">
    <w:name w:val="Num para"/>
    <w:basedOn w:val="ListParagraph"/>
    <w:uiPriority w:val="2"/>
    <w:qFormat/>
    <w:rsid w:val="00215CEE"/>
    <w:pPr>
      <w:numPr>
        <w:numId w:val="3"/>
      </w:numPr>
      <w:tabs>
        <w:tab w:val="left" w:pos="540"/>
      </w:tabs>
    </w:pPr>
  </w:style>
  <w:style w:type="paragraph" w:styleId="ListParagraph">
    <w:name w:val="List Paragraph"/>
    <w:basedOn w:val="Normal"/>
    <w:uiPriority w:val="34"/>
    <w:qFormat/>
    <w:rsid w:val="00215CEE"/>
    <w:pPr>
      <w:ind w:left="720"/>
      <w:contextualSpacing/>
    </w:pPr>
  </w:style>
  <w:style w:type="character" w:styleId="FollowedHyperlink">
    <w:name w:val="FollowedHyperlink"/>
    <w:basedOn w:val="DefaultParagraphFont"/>
    <w:uiPriority w:val="99"/>
    <w:semiHidden/>
    <w:rsid w:val="008A0751"/>
    <w:rPr>
      <w:color w:val="8A2A2B" w:themeColor="followedHyperlink"/>
      <w:u w:val="single"/>
    </w:rPr>
  </w:style>
  <w:style w:type="paragraph" w:customStyle="1" w:styleId="Tablechartdiagramheading">
    <w:name w:val="Table/chart/diagram heading"/>
    <w:uiPriority w:val="4"/>
    <w:qFormat/>
    <w:rsid w:val="00215CEE"/>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215CEE"/>
    <w:pPr>
      <w:spacing w:before="0" w:after="0" w:line="240" w:lineRule="auto"/>
    </w:pPr>
    <w:rPr>
      <w:sz w:val="17"/>
    </w:rPr>
  </w:style>
  <w:style w:type="character" w:customStyle="1" w:styleId="FootnoteTextChar">
    <w:name w:val="Footnote Text Char"/>
    <w:basedOn w:val="DefaultParagraphFont"/>
    <w:link w:val="FootnoteText"/>
    <w:uiPriority w:val="99"/>
    <w:semiHidden/>
    <w:rsid w:val="00215CEE"/>
    <w:rPr>
      <w:spacing w:val="2"/>
      <w:sz w:val="17"/>
    </w:rPr>
  </w:style>
  <w:style w:type="character" w:styleId="FootnoteReference">
    <w:name w:val="footnote reference"/>
    <w:basedOn w:val="DefaultParagraphFont"/>
    <w:uiPriority w:val="99"/>
    <w:semiHidden/>
    <w:rsid w:val="00215CEE"/>
    <w:rPr>
      <w:vertAlign w:val="superscript"/>
    </w:rPr>
  </w:style>
  <w:style w:type="table" w:customStyle="1" w:styleId="DTFfinancialtableindent">
    <w:name w:val="DTF financial table indent"/>
    <w:basedOn w:val="DTFfinancialtable"/>
    <w:uiPriority w:val="99"/>
    <w:rsid w:val="00215CEE"/>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215CEE"/>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215CEE"/>
    <w:pPr>
      <w:numPr>
        <w:numId w:val="0"/>
      </w:numPr>
      <w:tabs>
        <w:tab w:val="clear" w:pos="540"/>
      </w:tabs>
    </w:pPr>
  </w:style>
  <w:style w:type="paragraph" w:customStyle="1" w:styleId="Tablenum1">
    <w:name w:val="Table num 1"/>
    <w:basedOn w:val="Normal"/>
    <w:uiPriority w:val="6"/>
    <w:rsid w:val="00215CEE"/>
    <w:pPr>
      <w:numPr>
        <w:ilvl w:val="2"/>
        <w:numId w:val="2"/>
      </w:numPr>
    </w:pPr>
    <w:rPr>
      <w:sz w:val="17"/>
    </w:rPr>
  </w:style>
  <w:style w:type="paragraph" w:customStyle="1" w:styleId="Tablenum2">
    <w:name w:val="Table num 2"/>
    <w:basedOn w:val="Normal"/>
    <w:uiPriority w:val="6"/>
    <w:rsid w:val="00215CEE"/>
    <w:pPr>
      <w:numPr>
        <w:ilvl w:val="3"/>
        <w:numId w:val="2"/>
      </w:numPr>
    </w:pPr>
    <w:rPr>
      <w:sz w:val="17"/>
    </w:rPr>
  </w:style>
  <w:style w:type="paragraph" w:customStyle="1" w:styleId="NoteNormalindent">
    <w:name w:val="Note Normal indent"/>
    <w:basedOn w:val="NoteNormal"/>
    <w:uiPriority w:val="8"/>
    <w:rsid w:val="00215CEE"/>
    <w:pPr>
      <w:ind w:left="792"/>
    </w:pPr>
  </w:style>
  <w:style w:type="paragraph" w:styleId="Caption">
    <w:name w:val="caption"/>
    <w:basedOn w:val="Normal"/>
    <w:next w:val="Normal"/>
    <w:uiPriority w:val="35"/>
    <w:rsid w:val="00215CEE"/>
    <w:pPr>
      <w:spacing w:before="0" w:after="200" w:line="240" w:lineRule="auto"/>
    </w:pPr>
    <w:rPr>
      <w:b/>
      <w:bCs/>
      <w:color w:val="383834" w:themeColor="background2" w:themeShade="40"/>
      <w:sz w:val="18"/>
      <w:szCs w:val="18"/>
    </w:rPr>
  </w:style>
  <w:style w:type="paragraph" w:customStyle="1" w:styleId="Tabletextbold">
    <w:name w:val="Table text bold"/>
    <w:basedOn w:val="Normal"/>
    <w:qFormat/>
    <w:rsid w:val="00215CEE"/>
    <w:pPr>
      <w:spacing w:line="264" w:lineRule="auto"/>
    </w:pPr>
    <w:rPr>
      <w:rFonts w:eastAsiaTheme="minorHAnsi"/>
      <w:b/>
      <w:sz w:val="17"/>
      <w:szCs w:val="21"/>
      <w:lang w:eastAsia="en-US"/>
    </w:rPr>
  </w:style>
  <w:style w:type="table" w:styleId="ListTable3-Accent1">
    <w:name w:val="List Table 3 Accent 1"/>
    <w:basedOn w:val="TableNormal"/>
    <w:uiPriority w:val="48"/>
    <w:rsid w:val="0040062C"/>
    <w:pPr>
      <w:spacing w:after="0" w:line="240" w:lineRule="auto"/>
    </w:pPr>
    <w:tblPr>
      <w:tblStyleRowBandSize w:val="1"/>
      <w:tblStyleColBandSize w:val="1"/>
      <w:tblBorders>
        <w:top w:val="single" w:sz="4" w:space="0" w:color="0063A6" w:themeColor="accent1"/>
        <w:left w:val="single" w:sz="4" w:space="0" w:color="0063A6" w:themeColor="accent1"/>
        <w:bottom w:val="single" w:sz="4" w:space="0" w:color="0063A6" w:themeColor="accent1"/>
        <w:right w:val="single" w:sz="4" w:space="0" w:color="0063A6" w:themeColor="accent1"/>
      </w:tblBorders>
    </w:tblPr>
    <w:tblStylePr w:type="firstRow">
      <w:rPr>
        <w:b/>
        <w:bCs/>
        <w:color w:val="FFFFFF" w:themeColor="background1"/>
      </w:rPr>
      <w:tblPr/>
      <w:tcPr>
        <w:shd w:val="clear" w:color="auto" w:fill="0063A6" w:themeFill="accent1"/>
      </w:tcPr>
    </w:tblStylePr>
    <w:tblStylePr w:type="lastRow">
      <w:rPr>
        <w:b/>
        <w:bCs/>
      </w:rPr>
      <w:tblPr/>
      <w:tcPr>
        <w:tcBorders>
          <w:top w:val="double" w:sz="4" w:space="0" w:color="0063A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3A6" w:themeColor="accent1"/>
          <w:right w:val="single" w:sz="4" w:space="0" w:color="0063A6" w:themeColor="accent1"/>
        </w:tcBorders>
      </w:tcPr>
    </w:tblStylePr>
    <w:tblStylePr w:type="band1Horz">
      <w:tblPr/>
      <w:tcPr>
        <w:tcBorders>
          <w:top w:val="single" w:sz="4" w:space="0" w:color="0063A6" w:themeColor="accent1"/>
          <w:bottom w:val="single" w:sz="4" w:space="0" w:color="0063A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3A6" w:themeColor="accent1"/>
          <w:left w:val="nil"/>
        </w:tcBorders>
      </w:tcPr>
    </w:tblStylePr>
    <w:tblStylePr w:type="swCell">
      <w:tblPr/>
      <w:tcPr>
        <w:tcBorders>
          <w:top w:val="double" w:sz="4" w:space="0" w:color="0063A6" w:themeColor="accent1"/>
          <w:right w:val="nil"/>
        </w:tcBorders>
      </w:tcPr>
    </w:tblStylePr>
  </w:style>
  <w:style w:type="character" w:styleId="UnresolvedMention">
    <w:name w:val="Unresolved Mention"/>
    <w:basedOn w:val="DefaultParagraphFont"/>
    <w:uiPriority w:val="99"/>
    <w:semiHidden/>
    <w:unhideWhenUsed/>
    <w:rsid w:val="00E06F93"/>
    <w:rPr>
      <w:color w:val="808080"/>
      <w:shd w:val="clear" w:color="auto" w:fill="E6E6E6"/>
    </w:rPr>
  </w:style>
  <w:style w:type="paragraph" w:customStyle="1" w:styleId="Listnum3">
    <w:name w:val="List num 3"/>
    <w:basedOn w:val="Normal"/>
    <w:uiPriority w:val="1"/>
    <w:rsid w:val="005A474A"/>
    <w:pPr>
      <w:tabs>
        <w:tab w:val="num" w:pos="1512"/>
      </w:tabs>
      <w:ind w:left="1512"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92054">
      <w:bodyDiv w:val="1"/>
      <w:marLeft w:val="0"/>
      <w:marRight w:val="0"/>
      <w:marTop w:val="0"/>
      <w:marBottom w:val="0"/>
      <w:divBdr>
        <w:top w:val="none" w:sz="0" w:space="0" w:color="auto"/>
        <w:left w:val="none" w:sz="0" w:space="0" w:color="auto"/>
        <w:bottom w:val="none" w:sz="0" w:space="0" w:color="auto"/>
        <w:right w:val="none" w:sz="0" w:space="0" w:color="auto"/>
      </w:divBdr>
      <w:divsChild>
        <w:div w:id="450782874">
          <w:marLeft w:val="547"/>
          <w:marRight w:val="0"/>
          <w:marTop w:val="0"/>
          <w:marBottom w:val="0"/>
          <w:divBdr>
            <w:top w:val="none" w:sz="0" w:space="0" w:color="auto"/>
            <w:left w:val="none" w:sz="0" w:space="0" w:color="auto"/>
            <w:bottom w:val="none" w:sz="0" w:space="0" w:color="auto"/>
            <w:right w:val="none" w:sz="0" w:space="0" w:color="auto"/>
          </w:divBdr>
        </w:div>
        <w:div w:id="735278087">
          <w:marLeft w:val="547"/>
          <w:marRight w:val="0"/>
          <w:marTop w:val="0"/>
          <w:marBottom w:val="0"/>
          <w:divBdr>
            <w:top w:val="none" w:sz="0" w:space="0" w:color="auto"/>
            <w:left w:val="none" w:sz="0" w:space="0" w:color="auto"/>
            <w:bottom w:val="none" w:sz="0" w:space="0" w:color="auto"/>
            <w:right w:val="none" w:sz="0" w:space="0" w:color="auto"/>
          </w:divBdr>
        </w:div>
        <w:div w:id="804542845">
          <w:marLeft w:val="547"/>
          <w:marRight w:val="0"/>
          <w:marTop w:val="0"/>
          <w:marBottom w:val="0"/>
          <w:divBdr>
            <w:top w:val="none" w:sz="0" w:space="0" w:color="auto"/>
            <w:left w:val="none" w:sz="0" w:space="0" w:color="auto"/>
            <w:bottom w:val="none" w:sz="0" w:space="0" w:color="auto"/>
            <w:right w:val="none" w:sz="0" w:space="0" w:color="auto"/>
          </w:divBdr>
        </w:div>
        <w:div w:id="1381246662">
          <w:marLeft w:val="547"/>
          <w:marRight w:val="0"/>
          <w:marTop w:val="0"/>
          <w:marBottom w:val="0"/>
          <w:divBdr>
            <w:top w:val="none" w:sz="0" w:space="0" w:color="auto"/>
            <w:left w:val="none" w:sz="0" w:space="0" w:color="auto"/>
            <w:bottom w:val="none" w:sz="0" w:space="0" w:color="auto"/>
            <w:right w:val="none" w:sz="0" w:space="0" w:color="auto"/>
          </w:divBdr>
        </w:div>
      </w:divsChild>
    </w:div>
    <w:div w:id="956721083">
      <w:bodyDiv w:val="1"/>
      <w:marLeft w:val="0"/>
      <w:marRight w:val="0"/>
      <w:marTop w:val="0"/>
      <w:marBottom w:val="0"/>
      <w:divBdr>
        <w:top w:val="none" w:sz="0" w:space="0" w:color="auto"/>
        <w:left w:val="none" w:sz="0" w:space="0" w:color="auto"/>
        <w:bottom w:val="none" w:sz="0" w:space="0" w:color="auto"/>
        <w:right w:val="none" w:sz="0" w:space="0" w:color="auto"/>
      </w:divBdr>
      <w:divsChild>
        <w:div w:id="505630035">
          <w:marLeft w:val="547"/>
          <w:marRight w:val="0"/>
          <w:marTop w:val="0"/>
          <w:marBottom w:val="0"/>
          <w:divBdr>
            <w:top w:val="none" w:sz="0" w:space="0" w:color="auto"/>
            <w:left w:val="none" w:sz="0" w:space="0" w:color="auto"/>
            <w:bottom w:val="none" w:sz="0" w:space="0" w:color="auto"/>
            <w:right w:val="none" w:sz="0" w:space="0" w:color="auto"/>
          </w:divBdr>
        </w:div>
        <w:div w:id="524563261">
          <w:marLeft w:val="547"/>
          <w:marRight w:val="0"/>
          <w:marTop w:val="0"/>
          <w:marBottom w:val="0"/>
          <w:divBdr>
            <w:top w:val="none" w:sz="0" w:space="0" w:color="auto"/>
            <w:left w:val="none" w:sz="0" w:space="0" w:color="auto"/>
            <w:bottom w:val="none" w:sz="0" w:space="0" w:color="auto"/>
            <w:right w:val="none" w:sz="0" w:space="0" w:color="auto"/>
          </w:divBdr>
        </w:div>
        <w:div w:id="1038554746">
          <w:marLeft w:val="547"/>
          <w:marRight w:val="0"/>
          <w:marTop w:val="0"/>
          <w:marBottom w:val="0"/>
          <w:divBdr>
            <w:top w:val="none" w:sz="0" w:space="0" w:color="auto"/>
            <w:left w:val="none" w:sz="0" w:space="0" w:color="auto"/>
            <w:bottom w:val="none" w:sz="0" w:space="0" w:color="auto"/>
            <w:right w:val="none" w:sz="0" w:space="0" w:color="auto"/>
          </w:divBdr>
        </w:div>
        <w:div w:id="12368158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f.vic.gov.au/Publications/Government-Financial-Management-publications/Standing-Directions-of-the-Minister-for-Finance-2016/Standing-Directions-2016-publicat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inancial.frameworks@dtf.vic.gov.a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8-29T01:14:51.014"/>
    </inkml:context>
    <inkml:brush xml:id="br0">
      <inkml:brushProperty name="width" value="0.05" units="cm"/>
      <inkml:brushProperty name="height" value="0.05" units="cm"/>
    </inkml:brush>
  </inkml:definitions>
  <inkml:trace contextRef="#ctx0" brushRef="#br0">1 0 5640 0 0,'0'0'120'0'0,"0"0"24"0"0,0 0 8 0 0,0 0 16 0 0,0 0-168 0 0,26 0 0 0 0,-26 0 0 0 0,0 0-1632 0 0,0 0-368 0 0</inkml:trace>
</inkml:ink>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1CD2F-4D2F-4D55-BAD8-D6ED6548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0</TotalTime>
  <Pages>10</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ENG</dc:creator>
  <cp:keywords/>
  <dc:description/>
  <cp:lastModifiedBy>Paul Bowerman (DTF)</cp:lastModifiedBy>
  <cp:revision>2</cp:revision>
  <cp:lastPrinted>2019-02-11T02:59:00Z</cp:lastPrinted>
  <dcterms:created xsi:type="dcterms:W3CDTF">2019-02-11T22:28:00Z</dcterms:created>
  <dcterms:modified xsi:type="dcterms:W3CDTF">2019-02-11T22:28:00Z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65085470-02fe-45e0-b38d-3530e6e6b61c</vt:lpwstr>
  </property>
  <property fmtid="{D5CDD505-2E9C-101B-9397-08002B2CF9AE}" pid="3" name="PSPFClassification">
    <vt:lpwstr>Do Not Mark</vt:lpwstr>
  </property>
  <property fmtid="{D5CDD505-2E9C-101B-9397-08002B2CF9AE}" pid="4" name="Classification">
    <vt:lpwstr>Do Not Mark</vt:lpwstr>
  </property>
</Properties>
</file>