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75" w:rsidRPr="00A0104F" w:rsidRDefault="00D45375" w:rsidP="00A0104F">
      <w:pPr>
        <w:pStyle w:val="Title"/>
        <w:spacing w:line="240" w:lineRule="auto"/>
        <w:rPr>
          <w:rFonts w:asciiTheme="minorHAnsi" w:hAnsiTheme="minorHAnsi" w:cstheme="minorHAnsi"/>
          <w:sz w:val="50"/>
          <w:szCs w:val="50"/>
        </w:rPr>
      </w:pPr>
      <w:bookmarkStart w:id="0" w:name="_Toc442780672"/>
      <w:r w:rsidRPr="00A0104F">
        <w:rPr>
          <w:rFonts w:asciiTheme="minorHAnsi" w:hAnsiTheme="minorHAnsi" w:cstheme="minorHAnsi"/>
          <w:sz w:val="50"/>
          <w:szCs w:val="50"/>
        </w:rPr>
        <w:t>Natural Disaster Financial Assistance</w:t>
      </w:r>
      <w:r w:rsidR="005A04CE" w:rsidRPr="00A0104F">
        <w:rPr>
          <w:rFonts w:asciiTheme="minorHAnsi" w:hAnsiTheme="minorHAnsi" w:cstheme="minorHAnsi"/>
          <w:sz w:val="50"/>
          <w:szCs w:val="50"/>
        </w:rPr>
        <w:t xml:space="preserve"> for </w:t>
      </w:r>
      <w:r w:rsidR="002A5665">
        <w:rPr>
          <w:rFonts w:asciiTheme="minorHAnsi" w:hAnsiTheme="minorHAnsi" w:cstheme="minorHAnsi"/>
          <w:sz w:val="50"/>
          <w:szCs w:val="50"/>
        </w:rPr>
        <w:t>C</w:t>
      </w:r>
      <w:r w:rsidR="005B0C35">
        <w:rPr>
          <w:rFonts w:asciiTheme="minorHAnsi" w:hAnsiTheme="minorHAnsi" w:cstheme="minorHAnsi"/>
          <w:sz w:val="50"/>
          <w:szCs w:val="50"/>
        </w:rPr>
        <w:t>MAs</w:t>
      </w:r>
    </w:p>
    <w:p w:rsidR="00B06FC1" w:rsidRPr="00A0104F" w:rsidRDefault="00FE21EC" w:rsidP="00A0104F">
      <w:pPr>
        <w:pStyle w:val="Title"/>
        <w:spacing w:line="240" w:lineRule="auto"/>
        <w:rPr>
          <w:rFonts w:asciiTheme="minorHAnsi" w:hAnsiTheme="minorHAnsi" w:cstheme="minorHAnsi"/>
          <w:i/>
        </w:rPr>
      </w:pPr>
      <w:r w:rsidRPr="00A0104F">
        <w:rPr>
          <w:rFonts w:asciiTheme="minorHAnsi" w:hAnsiTheme="minorHAnsi" w:cstheme="minorHAnsi"/>
          <w:b w:val="0"/>
          <w:color w:val="000000" w:themeColor="text1"/>
          <w:sz w:val="44"/>
          <w:szCs w:val="44"/>
        </w:rPr>
        <w:t xml:space="preserve">Supporting </w:t>
      </w:r>
      <w:r w:rsidR="00D45375" w:rsidRPr="00A0104F">
        <w:rPr>
          <w:rFonts w:asciiTheme="minorHAnsi" w:hAnsiTheme="minorHAnsi" w:cstheme="minorHAnsi"/>
          <w:b w:val="0"/>
          <w:color w:val="000000" w:themeColor="text1"/>
          <w:sz w:val="44"/>
          <w:szCs w:val="44"/>
        </w:rPr>
        <w:t>d</w:t>
      </w:r>
      <w:r w:rsidRPr="00A0104F">
        <w:rPr>
          <w:rFonts w:asciiTheme="minorHAnsi" w:hAnsiTheme="minorHAnsi" w:cstheme="minorHAnsi"/>
          <w:b w:val="0"/>
          <w:color w:val="000000" w:themeColor="text1"/>
          <w:sz w:val="44"/>
          <w:szCs w:val="44"/>
        </w:rPr>
        <w:t>ocumentation</w:t>
      </w:r>
      <w:r w:rsidR="00B33AF4" w:rsidRPr="00A0104F">
        <w:rPr>
          <w:rFonts w:asciiTheme="minorHAnsi" w:hAnsiTheme="minorHAnsi" w:cstheme="minorHAnsi"/>
          <w:color w:val="000000" w:themeColor="text1"/>
          <w:sz w:val="44"/>
          <w:szCs w:val="44"/>
        </w:rPr>
        <w:t xml:space="preserve"> </w:t>
      </w:r>
      <w:r w:rsidRPr="00A0104F">
        <w:rPr>
          <w:rFonts w:asciiTheme="minorHAnsi" w:hAnsiTheme="minorHAnsi" w:cstheme="minorHAnsi"/>
          <w:b w:val="0"/>
          <w:color w:val="000000" w:themeColor="text1"/>
          <w:sz w:val="44"/>
          <w:szCs w:val="44"/>
        </w:rPr>
        <w:t xml:space="preserve">required with </w:t>
      </w:r>
      <w:r w:rsidR="00D45375" w:rsidRPr="00A0104F">
        <w:rPr>
          <w:rFonts w:asciiTheme="minorHAnsi" w:hAnsiTheme="minorHAnsi" w:cstheme="minorHAnsi"/>
          <w:b w:val="0"/>
          <w:color w:val="000000" w:themeColor="text1"/>
          <w:sz w:val="44"/>
          <w:szCs w:val="44"/>
        </w:rPr>
        <w:t>claims</w:t>
      </w:r>
    </w:p>
    <w:p w:rsidR="00B03B65" w:rsidRPr="00A0104F" w:rsidRDefault="00C17FC1" w:rsidP="00A0104F">
      <w:pPr>
        <w:pStyle w:val="Heading2"/>
        <w:rPr>
          <w:rStyle w:val="Strong"/>
        </w:rPr>
      </w:pPr>
      <w:r w:rsidRPr="00A0104F">
        <w:rPr>
          <w:rStyle w:val="Strong"/>
          <w:b/>
          <w:bCs/>
        </w:rPr>
        <w:t>Overvie</w:t>
      </w:r>
      <w:r w:rsidR="00B03B65" w:rsidRPr="00A0104F">
        <w:rPr>
          <w:rStyle w:val="Strong"/>
          <w:b/>
          <w:bCs/>
        </w:rPr>
        <w:t>w</w:t>
      </w:r>
    </w:p>
    <w:p w:rsidR="00165623" w:rsidRPr="00D76429" w:rsidRDefault="00165623" w:rsidP="00165623">
      <w:pPr>
        <w:pStyle w:val="Heading2"/>
        <w:rPr>
          <w:rStyle w:val="Strong"/>
          <w:rFonts w:asciiTheme="minorHAnsi" w:eastAsiaTheme="minorEastAsia" w:hAnsiTheme="minorHAnsi" w:cstheme="minorHAnsi"/>
          <w:color w:val="auto"/>
          <w:sz w:val="20"/>
          <w:szCs w:val="20"/>
          <w:lang w:val="en"/>
        </w:rPr>
      </w:pPr>
      <w:r>
        <w:rPr>
          <w:rStyle w:val="Strong"/>
          <w:rFonts w:asciiTheme="minorHAnsi" w:hAnsiTheme="minorHAnsi" w:cstheme="minorHAnsi"/>
          <w:color w:val="auto"/>
          <w:sz w:val="20"/>
          <w:szCs w:val="20"/>
          <w:lang w:val="en"/>
        </w:rPr>
        <w:t xml:space="preserve">When lodging a claim in DTF’s Automated Claims Management System (ACMS), CMAs are now required to provide the </w:t>
      </w:r>
      <w:r w:rsidRPr="00D76429">
        <w:rPr>
          <w:rStyle w:val="Strong"/>
          <w:rFonts w:asciiTheme="minorHAnsi" w:hAnsiTheme="minorHAnsi" w:cstheme="minorHAnsi"/>
          <w:color w:val="auto"/>
          <w:sz w:val="20"/>
          <w:szCs w:val="20"/>
          <w:lang w:val="en"/>
        </w:rPr>
        <w:t>following supporting documentation:</w:t>
      </w:r>
    </w:p>
    <w:p w:rsidR="00165623" w:rsidRDefault="00165623" w:rsidP="00165623">
      <w:pPr>
        <w:pStyle w:val="ListParagraph"/>
        <w:numPr>
          <w:ilvl w:val="0"/>
          <w:numId w:val="53"/>
        </w:numPr>
        <w:rPr>
          <w:rStyle w:val="Strong"/>
          <w:rFonts w:cstheme="minorHAnsi"/>
          <w:b w:val="0"/>
          <w:lang w:val="en"/>
        </w:rPr>
      </w:pPr>
      <w:r w:rsidRPr="00741CB7">
        <w:rPr>
          <w:rStyle w:val="Strong"/>
          <w:rFonts w:cstheme="minorHAnsi"/>
          <w:b w:val="0"/>
          <w:lang w:val="en"/>
        </w:rPr>
        <w:t>E</w:t>
      </w:r>
      <w:r w:rsidRPr="00497FD1">
        <w:rPr>
          <w:rStyle w:val="Strong"/>
          <w:rFonts w:cstheme="minorHAnsi"/>
          <w:b w:val="0"/>
          <w:lang w:val="en"/>
        </w:rPr>
        <w:t xml:space="preserve">vidence of the event and impact on the local government area </w:t>
      </w:r>
      <w:r w:rsidRPr="00013008">
        <w:rPr>
          <w:rStyle w:val="Strong"/>
          <w:rFonts w:cstheme="minorHAnsi"/>
          <w:b w:val="0"/>
          <w:lang w:val="en"/>
        </w:rPr>
        <w:t>including local media articles, and State Emergency Service and Bureau of Meteorology reports</w:t>
      </w:r>
      <w:r w:rsidRPr="00545C65">
        <w:rPr>
          <w:rStyle w:val="Strong"/>
          <w:rFonts w:cstheme="minorHAnsi"/>
          <w:b w:val="0"/>
          <w:lang w:val="en"/>
        </w:rPr>
        <w:t xml:space="preserve"> (this is only required for the first claim)</w:t>
      </w:r>
      <w:r w:rsidRPr="00600498">
        <w:rPr>
          <w:rStyle w:val="Strong"/>
          <w:rFonts w:cstheme="minorHAnsi"/>
          <w:b w:val="0"/>
          <w:lang w:val="en"/>
        </w:rPr>
        <w:t>. This evidence provides an understanding of the overall impact of the event for the claim assessment and audit process;</w:t>
      </w:r>
    </w:p>
    <w:p w:rsidR="00165623" w:rsidRDefault="00165623" w:rsidP="00165623">
      <w:pPr>
        <w:pStyle w:val="ListParagraph"/>
        <w:ind w:left="360"/>
        <w:rPr>
          <w:rStyle w:val="Strong"/>
          <w:rFonts w:cstheme="minorHAnsi"/>
          <w:b w:val="0"/>
          <w:lang w:val="en"/>
        </w:rPr>
      </w:pPr>
    </w:p>
    <w:p w:rsidR="00165623" w:rsidRPr="00D76429" w:rsidRDefault="00165623" w:rsidP="00165623">
      <w:pPr>
        <w:pStyle w:val="ListParagraph"/>
        <w:numPr>
          <w:ilvl w:val="0"/>
          <w:numId w:val="53"/>
        </w:numPr>
        <w:rPr>
          <w:rStyle w:val="Strong"/>
          <w:rFonts w:asciiTheme="majorHAnsi" w:eastAsiaTheme="majorEastAsia" w:hAnsiTheme="majorHAnsi" w:cstheme="minorHAnsi"/>
          <w:b w:val="0"/>
          <w:bCs w:val="0"/>
          <w:lang w:val="en"/>
        </w:rPr>
      </w:pPr>
      <w:r w:rsidRPr="00D76429">
        <w:rPr>
          <w:rStyle w:val="Strong"/>
          <w:rFonts w:cstheme="minorHAnsi"/>
          <w:b w:val="0"/>
          <w:lang w:val="en"/>
        </w:rPr>
        <w:t>Details of expenditure incurred, which provides a direct link to the eligible activities undertaken:</w:t>
      </w:r>
    </w:p>
    <w:p w:rsidR="00165623" w:rsidRPr="00D76429" w:rsidRDefault="00165623" w:rsidP="00165623">
      <w:pPr>
        <w:ind w:left="360"/>
        <w:rPr>
          <w:rStyle w:val="Strong"/>
          <w:rFonts w:asciiTheme="majorHAnsi" w:eastAsiaTheme="majorEastAsia" w:hAnsiTheme="majorHAnsi" w:cstheme="minorHAnsi"/>
          <w:b w:val="0"/>
          <w:bCs w:val="0"/>
          <w:lang w:val="en"/>
        </w:rPr>
      </w:pPr>
      <w:r w:rsidRPr="00D76429">
        <w:rPr>
          <w:rStyle w:val="Strong"/>
          <w:rFonts w:cstheme="minorHAnsi"/>
          <w:lang w:val="en"/>
        </w:rPr>
        <w:t>For all relief and recovery activities</w:t>
      </w:r>
      <w:r>
        <w:rPr>
          <w:rStyle w:val="Strong"/>
          <w:rFonts w:cstheme="minorHAnsi"/>
          <w:lang w:val="en"/>
        </w:rPr>
        <w:t xml:space="preserve"> provide</w:t>
      </w:r>
    </w:p>
    <w:p w:rsidR="00165623" w:rsidRPr="00D76429" w:rsidRDefault="00165623" w:rsidP="00165623">
      <w:pPr>
        <w:pStyle w:val="ListParagraph"/>
        <w:numPr>
          <w:ilvl w:val="0"/>
          <w:numId w:val="51"/>
        </w:numPr>
        <w:ind w:left="709" w:hanging="349"/>
        <w:rPr>
          <w:rStyle w:val="Strong"/>
          <w:rFonts w:asciiTheme="majorHAnsi" w:eastAsiaTheme="majorEastAsia" w:hAnsiTheme="majorHAnsi" w:cstheme="minorHAnsi"/>
          <w:b w:val="0"/>
          <w:bCs w:val="0"/>
          <w:lang w:val="en"/>
        </w:rPr>
      </w:pPr>
      <w:r>
        <w:rPr>
          <w:rStyle w:val="Strong"/>
          <w:rFonts w:cstheme="minorHAnsi"/>
          <w:b w:val="0"/>
          <w:lang w:val="en"/>
        </w:rPr>
        <w:t>d</w:t>
      </w:r>
      <w:r w:rsidRPr="00D76429">
        <w:rPr>
          <w:rStyle w:val="Strong"/>
          <w:rFonts w:cstheme="minorHAnsi"/>
          <w:b w:val="0"/>
          <w:lang w:val="en"/>
        </w:rPr>
        <w:t>etailed general ledger reports and/or a transaction listing (in excel format), which clearly outlines all expenditure being claimed and reconciles with the total claim amount which has been lodged in the ACMS – see section “Transaction listing” for additional information.</w:t>
      </w:r>
    </w:p>
    <w:p w:rsidR="00165623" w:rsidRPr="00D76429" w:rsidRDefault="00165623" w:rsidP="00165623">
      <w:pPr>
        <w:pStyle w:val="ListParagraph"/>
        <w:numPr>
          <w:ilvl w:val="0"/>
          <w:numId w:val="51"/>
        </w:numPr>
        <w:ind w:left="709" w:hanging="349"/>
        <w:rPr>
          <w:rStyle w:val="Strong"/>
          <w:rFonts w:asciiTheme="majorHAnsi" w:eastAsiaTheme="majorEastAsia" w:hAnsiTheme="majorHAnsi" w:cstheme="minorHAnsi"/>
          <w:b w:val="0"/>
          <w:bCs w:val="0"/>
          <w:lang w:val="en"/>
        </w:rPr>
      </w:pPr>
      <w:r>
        <w:rPr>
          <w:rStyle w:val="Strong"/>
          <w:rFonts w:cstheme="minorHAnsi"/>
          <w:b w:val="0"/>
          <w:lang w:val="en"/>
        </w:rPr>
        <w:t>a</w:t>
      </w:r>
      <w:r w:rsidRPr="00D76429">
        <w:rPr>
          <w:rStyle w:val="Strong"/>
          <w:rFonts w:cstheme="minorHAnsi"/>
          <w:b w:val="0"/>
          <w:lang w:val="en"/>
        </w:rPr>
        <w:t>ll external invoices associated with relief and recovery activities. All invoices should correspond with an appropriate item line on the transaction listing.</w:t>
      </w:r>
    </w:p>
    <w:p w:rsidR="00165623" w:rsidRPr="00D76429" w:rsidRDefault="00165623" w:rsidP="00165623">
      <w:pPr>
        <w:pStyle w:val="ListParagraph"/>
        <w:numPr>
          <w:ilvl w:val="0"/>
          <w:numId w:val="51"/>
        </w:numPr>
        <w:ind w:left="709" w:hanging="349"/>
        <w:rPr>
          <w:rStyle w:val="Strong"/>
          <w:rFonts w:asciiTheme="majorHAnsi" w:eastAsiaTheme="majorEastAsia" w:hAnsiTheme="majorHAnsi" w:cstheme="minorHAnsi"/>
          <w:b w:val="0"/>
          <w:bCs w:val="0"/>
          <w:lang w:val="en"/>
        </w:rPr>
      </w:pPr>
      <w:r>
        <w:rPr>
          <w:rStyle w:val="Strong"/>
          <w:rFonts w:cstheme="minorHAnsi"/>
          <w:b w:val="0"/>
          <w:lang w:val="en"/>
        </w:rPr>
        <w:t>a</w:t>
      </w:r>
      <w:r w:rsidRPr="00D76429">
        <w:rPr>
          <w:rStyle w:val="Strong"/>
          <w:rFonts w:cstheme="minorHAnsi"/>
          <w:b w:val="0"/>
          <w:lang w:val="en"/>
        </w:rPr>
        <w:t>ll timesheets relating to the general ledger as well as position descriptions associated with undertaking relief and recovery activities (note that all position descriptions are required to be approved by DTF prior to each role commencing).</w:t>
      </w:r>
    </w:p>
    <w:p w:rsidR="00165623" w:rsidRPr="00D76429" w:rsidRDefault="00165623" w:rsidP="00165623">
      <w:pPr>
        <w:pStyle w:val="ListParagraph"/>
        <w:numPr>
          <w:ilvl w:val="0"/>
          <w:numId w:val="51"/>
        </w:numPr>
        <w:ind w:left="709" w:hanging="349"/>
        <w:rPr>
          <w:rStyle w:val="Strong"/>
          <w:rFonts w:asciiTheme="majorHAnsi" w:eastAsiaTheme="majorEastAsia" w:hAnsiTheme="majorHAnsi" w:cstheme="minorHAnsi"/>
          <w:b w:val="0"/>
          <w:bCs w:val="0"/>
          <w:lang w:val="en"/>
        </w:rPr>
      </w:pPr>
      <w:r>
        <w:rPr>
          <w:rStyle w:val="Strong"/>
          <w:rFonts w:cstheme="minorHAnsi"/>
          <w:b w:val="0"/>
          <w:lang w:val="en"/>
        </w:rPr>
        <w:t>all administrative data that supports the transactions including contract/work orders, timesheets and minutes of meetings.</w:t>
      </w:r>
    </w:p>
    <w:p w:rsidR="00165623" w:rsidRPr="00D76429" w:rsidRDefault="00165623" w:rsidP="00165623">
      <w:pPr>
        <w:ind w:left="360"/>
        <w:rPr>
          <w:rStyle w:val="Strong"/>
          <w:rFonts w:asciiTheme="majorHAnsi" w:eastAsiaTheme="majorEastAsia" w:hAnsiTheme="majorHAnsi" w:cstheme="minorHAnsi"/>
          <w:b w:val="0"/>
          <w:bCs w:val="0"/>
          <w:lang w:val="en"/>
        </w:rPr>
      </w:pPr>
      <w:r w:rsidRPr="00D76429">
        <w:rPr>
          <w:rStyle w:val="Strong"/>
          <w:rFonts w:cstheme="minorHAnsi"/>
          <w:lang w:val="en"/>
        </w:rPr>
        <w:t xml:space="preserve">For Restoration of Essential Public Assets </w:t>
      </w:r>
      <w:r>
        <w:rPr>
          <w:rStyle w:val="Strong"/>
          <w:rFonts w:cstheme="minorHAnsi"/>
          <w:lang w:val="en"/>
        </w:rPr>
        <w:t>(</w:t>
      </w:r>
      <w:r w:rsidRPr="00D76429">
        <w:rPr>
          <w:rStyle w:val="Strong"/>
          <w:rFonts w:cstheme="minorHAnsi"/>
          <w:lang w:val="en"/>
        </w:rPr>
        <w:t>in addition to the above documentation</w:t>
      </w:r>
      <w:r>
        <w:rPr>
          <w:rStyle w:val="Strong"/>
          <w:rFonts w:cstheme="minorHAnsi"/>
          <w:lang w:val="en"/>
        </w:rPr>
        <w:t>) provide</w:t>
      </w:r>
    </w:p>
    <w:p w:rsidR="00165623" w:rsidRPr="00D76429" w:rsidRDefault="00165623" w:rsidP="00165623">
      <w:pPr>
        <w:pStyle w:val="ListParagraph"/>
        <w:numPr>
          <w:ilvl w:val="0"/>
          <w:numId w:val="55"/>
        </w:numPr>
        <w:rPr>
          <w:rStyle w:val="Strong"/>
          <w:rFonts w:cstheme="minorHAnsi"/>
          <w:b w:val="0"/>
          <w:lang w:val="en"/>
        </w:rPr>
      </w:pPr>
      <w:r>
        <w:rPr>
          <w:rStyle w:val="Strong"/>
          <w:rFonts w:cstheme="minorHAnsi"/>
          <w:b w:val="0"/>
          <w:lang w:val="en"/>
        </w:rPr>
        <w:t>e</w:t>
      </w:r>
      <w:r w:rsidRPr="00D76429">
        <w:rPr>
          <w:rStyle w:val="Strong"/>
          <w:rFonts w:cstheme="minorHAnsi"/>
          <w:b w:val="0"/>
          <w:lang w:val="en"/>
        </w:rPr>
        <w:t>vidence demonstrating the nexus between the natural disaster and the restoration of damage of the essential public asset. Evidence includes:</w:t>
      </w:r>
    </w:p>
    <w:p w:rsidR="00165623" w:rsidRPr="00D76429" w:rsidRDefault="00165623" w:rsidP="00165623">
      <w:pPr>
        <w:pStyle w:val="ListParagraph"/>
        <w:numPr>
          <w:ilvl w:val="0"/>
          <w:numId w:val="56"/>
        </w:numPr>
        <w:rPr>
          <w:rStyle w:val="Strong"/>
          <w:rFonts w:cstheme="minorHAnsi"/>
          <w:b w:val="0"/>
          <w:lang w:val="en"/>
        </w:rPr>
      </w:pPr>
      <w:r w:rsidRPr="00D76429">
        <w:rPr>
          <w:rStyle w:val="Strong"/>
          <w:rFonts w:cstheme="minorHAnsi"/>
          <w:b w:val="0"/>
          <w:lang w:val="en"/>
        </w:rPr>
        <w:t>pre-disaster condition, the post-disaster condition, and post-restoration condition of the asset – see section “Pre and post restoration evidence”.</w:t>
      </w:r>
    </w:p>
    <w:p w:rsidR="00165623" w:rsidRDefault="00165623" w:rsidP="00165623">
      <w:pPr>
        <w:pStyle w:val="ListParagraph"/>
        <w:numPr>
          <w:ilvl w:val="0"/>
          <w:numId w:val="56"/>
        </w:numPr>
        <w:rPr>
          <w:rStyle w:val="Strong"/>
          <w:rFonts w:cstheme="minorHAnsi"/>
          <w:b w:val="0"/>
          <w:lang w:val="en"/>
        </w:rPr>
      </w:pPr>
      <w:r>
        <w:rPr>
          <w:rStyle w:val="Strong"/>
          <w:rFonts w:cstheme="minorHAnsi"/>
          <w:b w:val="0"/>
          <w:lang w:val="en"/>
        </w:rPr>
        <w:t>t</w:t>
      </w:r>
      <w:r w:rsidRPr="00D76429">
        <w:rPr>
          <w:rStyle w:val="Strong"/>
          <w:rFonts w:cstheme="minorHAnsi"/>
          <w:b w:val="0"/>
          <w:lang w:val="en"/>
        </w:rPr>
        <w:t xml:space="preserve">hat restoration has been undertaken using current engineering and design standards and not betterment (note that any costs associated with betterment and/or enhancement of the asset which is contributed by the </w:t>
      </w:r>
      <w:r>
        <w:rPr>
          <w:rStyle w:val="Strong"/>
          <w:rFonts w:cstheme="minorHAnsi"/>
          <w:b w:val="0"/>
          <w:lang w:val="en"/>
        </w:rPr>
        <w:t>CMA</w:t>
      </w:r>
      <w:r w:rsidRPr="00D76429">
        <w:rPr>
          <w:rStyle w:val="Strong"/>
          <w:rFonts w:cstheme="minorHAnsi"/>
          <w:b w:val="0"/>
          <w:lang w:val="en"/>
        </w:rPr>
        <w:t xml:space="preserve"> needs to be lodged as</w:t>
      </w:r>
      <w:r>
        <w:rPr>
          <w:rStyle w:val="Strong"/>
          <w:rFonts w:cstheme="minorHAnsi"/>
          <w:b w:val="0"/>
          <w:lang w:val="en"/>
        </w:rPr>
        <w:t xml:space="preserve"> part of a claim – see section on “Current engineering and design standards”.</w:t>
      </w:r>
    </w:p>
    <w:p w:rsidR="00165623" w:rsidRDefault="00165623" w:rsidP="00165623">
      <w:pPr>
        <w:pStyle w:val="ListParagraph"/>
        <w:ind w:left="360"/>
        <w:rPr>
          <w:rStyle w:val="Strong"/>
          <w:rFonts w:cstheme="minorHAnsi"/>
          <w:b w:val="0"/>
          <w:lang w:val="en"/>
        </w:rPr>
      </w:pPr>
    </w:p>
    <w:p w:rsidR="00165623" w:rsidRPr="00B04AE0" w:rsidRDefault="00165623" w:rsidP="00165623">
      <w:pPr>
        <w:pStyle w:val="ListParagraph"/>
        <w:numPr>
          <w:ilvl w:val="0"/>
          <w:numId w:val="53"/>
        </w:numPr>
        <w:rPr>
          <w:rStyle w:val="Strong"/>
          <w:rFonts w:cstheme="minorHAnsi"/>
          <w:b w:val="0"/>
          <w:lang w:val="en"/>
        </w:rPr>
      </w:pPr>
      <w:r w:rsidRPr="00545C65">
        <w:rPr>
          <w:rStyle w:val="Strong"/>
          <w:rFonts w:cstheme="minorHAnsi"/>
          <w:b w:val="0"/>
          <w:lang w:val="en"/>
        </w:rPr>
        <w:t xml:space="preserve">Mitigation strategies i.e. disaster resilience plans, risk profiles and </w:t>
      </w:r>
      <w:r w:rsidRPr="00AD26AC">
        <w:rPr>
          <w:rStyle w:val="Strong"/>
          <w:rFonts w:cstheme="minorHAnsi"/>
          <w:b w:val="0"/>
          <w:lang w:val="en"/>
        </w:rPr>
        <w:t>hazard mapping.</w:t>
      </w:r>
    </w:p>
    <w:p w:rsidR="00165623" w:rsidRPr="005779A6" w:rsidRDefault="00165623" w:rsidP="00165623">
      <w:pPr>
        <w:pStyle w:val="NormalWeb"/>
        <w:spacing w:line="276" w:lineRule="auto"/>
        <w:jc w:val="both"/>
        <w:rPr>
          <w:rStyle w:val="Strong"/>
          <w:rFonts w:asciiTheme="minorHAnsi" w:eastAsiaTheme="minorEastAsia" w:hAnsiTheme="minorHAnsi" w:cstheme="minorHAnsi"/>
          <w:b w:val="0"/>
          <w:spacing w:val="2"/>
          <w:sz w:val="20"/>
          <w:szCs w:val="20"/>
          <w:lang w:val="en"/>
        </w:rPr>
      </w:pPr>
      <w:r w:rsidRPr="005779A6">
        <w:rPr>
          <w:rStyle w:val="Strong"/>
          <w:rFonts w:asciiTheme="minorHAnsi" w:hAnsiTheme="minorHAnsi" w:cstheme="minorHAnsi"/>
          <w:b w:val="0"/>
          <w:sz w:val="20"/>
          <w:szCs w:val="20"/>
          <w:lang w:val="en"/>
        </w:rPr>
        <w:t xml:space="preserve">Without </w:t>
      </w:r>
      <w:r>
        <w:rPr>
          <w:rStyle w:val="Strong"/>
          <w:rFonts w:asciiTheme="minorHAnsi" w:hAnsiTheme="minorHAnsi" w:cstheme="minorHAnsi"/>
          <w:b w:val="0"/>
          <w:sz w:val="20"/>
          <w:szCs w:val="20"/>
          <w:lang w:val="en"/>
        </w:rPr>
        <w:t xml:space="preserve">the </w:t>
      </w:r>
      <w:r w:rsidRPr="005779A6">
        <w:rPr>
          <w:rStyle w:val="Strong"/>
          <w:rFonts w:asciiTheme="minorHAnsi" w:hAnsiTheme="minorHAnsi" w:cstheme="minorHAnsi"/>
          <w:b w:val="0"/>
          <w:sz w:val="20"/>
          <w:szCs w:val="20"/>
          <w:lang w:val="en"/>
        </w:rPr>
        <w:t>supporting documentation</w:t>
      </w:r>
      <w:r>
        <w:rPr>
          <w:rStyle w:val="Strong"/>
          <w:rFonts w:asciiTheme="minorHAnsi" w:hAnsiTheme="minorHAnsi" w:cstheme="minorHAnsi"/>
          <w:b w:val="0"/>
          <w:sz w:val="20"/>
          <w:szCs w:val="20"/>
          <w:lang w:val="en"/>
        </w:rPr>
        <w:t xml:space="preserve"> (as outlined in this document)</w:t>
      </w:r>
      <w:r w:rsidRPr="005779A6">
        <w:rPr>
          <w:rStyle w:val="Strong"/>
          <w:rFonts w:asciiTheme="minorHAnsi" w:hAnsiTheme="minorHAnsi" w:cstheme="minorHAnsi"/>
          <w:b w:val="0"/>
          <w:sz w:val="20"/>
          <w:szCs w:val="20"/>
          <w:lang w:val="en"/>
        </w:rPr>
        <w:t>, claims will be</w:t>
      </w:r>
      <w:r>
        <w:rPr>
          <w:rStyle w:val="Strong"/>
          <w:rFonts w:asciiTheme="minorHAnsi" w:hAnsiTheme="minorHAnsi" w:cstheme="minorHAnsi"/>
          <w:b w:val="0"/>
          <w:sz w:val="20"/>
          <w:szCs w:val="20"/>
          <w:lang w:val="en"/>
        </w:rPr>
        <w:t xml:space="preserve"> deemed</w:t>
      </w:r>
      <w:r w:rsidRPr="005779A6">
        <w:rPr>
          <w:rStyle w:val="Strong"/>
          <w:rFonts w:asciiTheme="minorHAnsi" w:hAnsiTheme="minorHAnsi" w:cstheme="minorHAnsi"/>
          <w:b w:val="0"/>
          <w:sz w:val="20"/>
          <w:szCs w:val="20"/>
          <w:lang w:val="en"/>
        </w:rPr>
        <w:t xml:space="preserve"> </w:t>
      </w:r>
      <w:r w:rsidRPr="005779A6">
        <w:rPr>
          <w:rStyle w:val="Strong"/>
          <w:rFonts w:asciiTheme="minorHAnsi" w:hAnsiTheme="minorHAnsi" w:cstheme="minorHAnsi"/>
          <w:b w:val="0"/>
          <w:sz w:val="20"/>
          <w:szCs w:val="20"/>
          <w:u w:val="single"/>
          <w:lang w:val="en"/>
        </w:rPr>
        <w:t>ineligible</w:t>
      </w:r>
      <w:r w:rsidRPr="005779A6">
        <w:rPr>
          <w:rStyle w:val="Strong"/>
          <w:rFonts w:asciiTheme="minorHAnsi" w:hAnsiTheme="minorHAnsi" w:cstheme="minorHAnsi"/>
          <w:b w:val="0"/>
          <w:sz w:val="20"/>
          <w:szCs w:val="20"/>
          <w:lang w:val="en"/>
        </w:rPr>
        <w:t xml:space="preserve"> for reimbursement </w:t>
      </w:r>
      <w:r>
        <w:rPr>
          <w:rStyle w:val="Strong"/>
          <w:rFonts w:asciiTheme="minorHAnsi" w:hAnsiTheme="minorHAnsi" w:cstheme="minorHAnsi"/>
          <w:b w:val="0"/>
          <w:sz w:val="20"/>
          <w:szCs w:val="20"/>
          <w:lang w:val="en"/>
        </w:rPr>
        <w:t>under</w:t>
      </w:r>
      <w:r w:rsidRPr="005779A6">
        <w:rPr>
          <w:rStyle w:val="Strong"/>
          <w:rFonts w:asciiTheme="minorHAnsi" w:hAnsiTheme="minorHAnsi" w:cstheme="minorHAnsi"/>
          <w:b w:val="0"/>
          <w:sz w:val="20"/>
          <w:szCs w:val="20"/>
          <w:lang w:val="en"/>
        </w:rPr>
        <w:t xml:space="preserve"> the NDFA. Additionally, </w:t>
      </w:r>
      <w:r>
        <w:rPr>
          <w:rStyle w:val="Strong"/>
          <w:rFonts w:asciiTheme="minorHAnsi" w:hAnsiTheme="minorHAnsi" w:cstheme="minorHAnsi"/>
          <w:b w:val="0"/>
          <w:sz w:val="20"/>
          <w:szCs w:val="20"/>
          <w:lang w:val="en"/>
        </w:rPr>
        <w:t>CMAs</w:t>
      </w:r>
      <w:r w:rsidRPr="005779A6">
        <w:rPr>
          <w:rStyle w:val="Strong"/>
          <w:rFonts w:asciiTheme="minorHAnsi" w:hAnsiTheme="minorHAnsi" w:cstheme="minorHAnsi"/>
          <w:b w:val="0"/>
          <w:sz w:val="20"/>
          <w:szCs w:val="20"/>
          <w:lang w:val="en"/>
        </w:rPr>
        <w:t xml:space="preserve"> are required to keep </w:t>
      </w:r>
      <w:r>
        <w:rPr>
          <w:rStyle w:val="Strong"/>
          <w:rFonts w:asciiTheme="minorHAnsi" w:hAnsiTheme="minorHAnsi" w:cstheme="minorHAnsi"/>
          <w:b w:val="0"/>
          <w:sz w:val="20"/>
          <w:szCs w:val="20"/>
          <w:lang w:val="en"/>
        </w:rPr>
        <w:t xml:space="preserve">other additional </w:t>
      </w:r>
      <w:r w:rsidRPr="005779A6">
        <w:rPr>
          <w:rStyle w:val="Strong"/>
          <w:rFonts w:asciiTheme="minorHAnsi" w:hAnsiTheme="minorHAnsi" w:cstheme="minorHAnsi"/>
          <w:b w:val="0"/>
          <w:sz w:val="20"/>
          <w:szCs w:val="20"/>
          <w:lang w:val="en"/>
        </w:rPr>
        <w:t xml:space="preserve">supporting documentation </w:t>
      </w:r>
      <w:r>
        <w:rPr>
          <w:rStyle w:val="Strong"/>
          <w:rFonts w:asciiTheme="minorHAnsi" w:hAnsiTheme="minorHAnsi" w:cstheme="minorHAnsi"/>
          <w:b w:val="0"/>
          <w:sz w:val="20"/>
          <w:szCs w:val="20"/>
          <w:lang w:val="en"/>
        </w:rPr>
        <w:t xml:space="preserve">(not already provided to DTF) on-hand for a period of seven years from the </w:t>
      </w:r>
      <w:r>
        <w:rPr>
          <w:rStyle w:val="Strong"/>
          <w:rFonts w:asciiTheme="minorHAnsi" w:hAnsiTheme="minorHAnsi" w:cstheme="minorHAnsi"/>
          <w:b w:val="0"/>
          <w:sz w:val="20"/>
          <w:szCs w:val="20"/>
          <w:lang w:val="en"/>
        </w:rPr>
        <w:lastRenderedPageBreak/>
        <w:t>end of the financial year in which the expenditure has been claimed or until such time as the clams are subject to audit by the Victorian Auditor-General’s Office or the Commonwealth.</w:t>
      </w:r>
    </w:p>
    <w:p w:rsidR="00AE02B5" w:rsidRPr="00A0104F" w:rsidRDefault="00AE02B5" w:rsidP="00A0104F">
      <w:pPr>
        <w:pStyle w:val="Heading2"/>
        <w:rPr>
          <w:rStyle w:val="Strong"/>
          <w:rFonts w:asciiTheme="minorHAnsi" w:eastAsia="Times New Roman" w:hAnsiTheme="minorHAnsi" w:cstheme="minorHAnsi"/>
          <w:b/>
          <w:bCs/>
          <w:spacing w:val="0"/>
          <w:szCs w:val="28"/>
          <w:lang w:val="en"/>
        </w:rPr>
      </w:pPr>
      <w:r w:rsidRPr="00A0104F">
        <w:rPr>
          <w:rStyle w:val="Strong"/>
          <w:rFonts w:asciiTheme="minorHAnsi" w:hAnsiTheme="minorHAnsi" w:cstheme="minorHAnsi"/>
          <w:b/>
          <w:szCs w:val="28"/>
          <w:lang w:val="en"/>
        </w:rPr>
        <w:t xml:space="preserve">Transaction </w:t>
      </w:r>
      <w:r w:rsidR="00306273" w:rsidRPr="00A0104F">
        <w:rPr>
          <w:rStyle w:val="Strong"/>
          <w:rFonts w:asciiTheme="minorHAnsi" w:hAnsiTheme="minorHAnsi" w:cstheme="minorHAnsi"/>
          <w:b/>
          <w:szCs w:val="28"/>
          <w:lang w:val="en"/>
        </w:rPr>
        <w:t>l</w:t>
      </w:r>
      <w:r w:rsidRPr="00A0104F">
        <w:rPr>
          <w:rStyle w:val="Strong"/>
          <w:rFonts w:asciiTheme="minorHAnsi" w:hAnsiTheme="minorHAnsi" w:cstheme="minorHAnsi"/>
          <w:b/>
          <w:szCs w:val="28"/>
          <w:lang w:val="en"/>
        </w:rPr>
        <w:t>isting</w:t>
      </w:r>
    </w:p>
    <w:p w:rsidR="00266778" w:rsidRDefault="002C5BE8" w:rsidP="00A0104F">
      <w:pPr>
        <w:pStyle w:val="NormalWeb"/>
        <w:spacing w:line="276" w:lineRule="auto"/>
        <w:jc w:val="both"/>
        <w:rPr>
          <w:rStyle w:val="Strong"/>
          <w:rFonts w:asciiTheme="minorHAnsi" w:eastAsiaTheme="minorEastAsia" w:hAnsiTheme="minorHAnsi" w:cstheme="minorHAnsi"/>
          <w:b w:val="0"/>
          <w:spacing w:val="2"/>
          <w:sz w:val="20"/>
          <w:szCs w:val="20"/>
          <w:lang w:val="en"/>
        </w:rPr>
      </w:pPr>
      <w:r w:rsidRPr="00A0104F">
        <w:rPr>
          <w:rStyle w:val="Strong"/>
          <w:rFonts w:asciiTheme="minorHAnsi" w:hAnsiTheme="minorHAnsi" w:cstheme="minorHAnsi"/>
          <w:b w:val="0"/>
          <w:sz w:val="20"/>
          <w:szCs w:val="20"/>
          <w:lang w:val="en"/>
        </w:rPr>
        <w:t xml:space="preserve">A transaction listing generally refers to </w:t>
      </w:r>
      <w:r w:rsidR="007C2C15" w:rsidRPr="00A0104F">
        <w:rPr>
          <w:rStyle w:val="Strong"/>
          <w:rFonts w:asciiTheme="minorHAnsi" w:hAnsiTheme="minorHAnsi" w:cstheme="minorHAnsi"/>
          <w:b w:val="0"/>
          <w:sz w:val="20"/>
          <w:szCs w:val="20"/>
          <w:lang w:val="en"/>
        </w:rPr>
        <w:t xml:space="preserve">a </w:t>
      </w:r>
      <w:r w:rsidRPr="00A0104F">
        <w:rPr>
          <w:rStyle w:val="Strong"/>
          <w:rFonts w:asciiTheme="minorHAnsi" w:hAnsiTheme="minorHAnsi" w:cstheme="minorHAnsi"/>
          <w:b w:val="0"/>
          <w:sz w:val="20"/>
          <w:szCs w:val="20"/>
          <w:lang w:val="en"/>
        </w:rPr>
        <w:t xml:space="preserve">general ledger </w:t>
      </w:r>
      <w:r w:rsidR="007C2C15" w:rsidRPr="00A0104F">
        <w:rPr>
          <w:rStyle w:val="Strong"/>
          <w:rFonts w:asciiTheme="minorHAnsi" w:hAnsiTheme="minorHAnsi" w:cstheme="minorHAnsi"/>
          <w:b w:val="0"/>
          <w:sz w:val="20"/>
          <w:szCs w:val="20"/>
          <w:lang w:val="en"/>
        </w:rPr>
        <w:t>that includes a</w:t>
      </w:r>
      <w:r w:rsidRPr="00A0104F">
        <w:rPr>
          <w:rStyle w:val="Strong"/>
          <w:rFonts w:asciiTheme="minorHAnsi" w:hAnsiTheme="minorHAnsi" w:cstheme="minorHAnsi"/>
          <w:b w:val="0"/>
          <w:sz w:val="20"/>
          <w:szCs w:val="20"/>
          <w:lang w:val="en"/>
        </w:rPr>
        <w:t xml:space="preserve"> reasonable level of information </w:t>
      </w:r>
      <w:r w:rsidR="007C2C15" w:rsidRPr="00A0104F">
        <w:rPr>
          <w:rStyle w:val="Strong"/>
          <w:rFonts w:asciiTheme="minorHAnsi" w:hAnsiTheme="minorHAnsi" w:cstheme="minorHAnsi"/>
          <w:b w:val="0"/>
          <w:sz w:val="20"/>
          <w:szCs w:val="20"/>
          <w:lang w:val="en"/>
        </w:rPr>
        <w:t>regarding the nature of relief and recovery works</w:t>
      </w:r>
      <w:r w:rsidRPr="00A0104F">
        <w:rPr>
          <w:rStyle w:val="Strong"/>
          <w:rFonts w:asciiTheme="minorHAnsi" w:hAnsiTheme="minorHAnsi" w:cstheme="minorHAnsi"/>
          <w:b w:val="0"/>
          <w:sz w:val="20"/>
          <w:szCs w:val="20"/>
          <w:lang w:val="en"/>
        </w:rPr>
        <w:t>. Where such information is not available o</w:t>
      </w:r>
      <w:r w:rsidR="00F81A10" w:rsidRPr="00A0104F">
        <w:rPr>
          <w:rStyle w:val="Strong"/>
          <w:rFonts w:asciiTheme="minorHAnsi" w:hAnsiTheme="minorHAnsi" w:cstheme="minorHAnsi"/>
          <w:b w:val="0"/>
          <w:sz w:val="20"/>
          <w:szCs w:val="20"/>
          <w:lang w:val="en"/>
        </w:rPr>
        <w:t xml:space="preserve">n a </w:t>
      </w:r>
      <w:r w:rsidRPr="00A0104F">
        <w:rPr>
          <w:rStyle w:val="Strong"/>
          <w:rFonts w:asciiTheme="minorHAnsi" w:hAnsiTheme="minorHAnsi" w:cstheme="minorHAnsi"/>
          <w:b w:val="0"/>
          <w:sz w:val="20"/>
          <w:szCs w:val="20"/>
          <w:lang w:val="en"/>
        </w:rPr>
        <w:t xml:space="preserve">general ledger, </w:t>
      </w:r>
      <w:r w:rsidR="002A5665">
        <w:rPr>
          <w:rStyle w:val="Strong"/>
          <w:rFonts w:asciiTheme="minorHAnsi" w:hAnsiTheme="minorHAnsi" w:cstheme="minorHAnsi"/>
          <w:b w:val="0"/>
          <w:sz w:val="20"/>
          <w:szCs w:val="20"/>
          <w:lang w:val="en"/>
        </w:rPr>
        <w:t>CMA</w:t>
      </w:r>
      <w:r w:rsidRPr="00A0104F">
        <w:rPr>
          <w:rStyle w:val="Strong"/>
          <w:rFonts w:asciiTheme="minorHAnsi" w:hAnsiTheme="minorHAnsi" w:cstheme="minorHAnsi"/>
          <w:b w:val="0"/>
          <w:sz w:val="20"/>
          <w:szCs w:val="20"/>
          <w:lang w:val="en"/>
        </w:rPr>
        <w:t>s</w:t>
      </w:r>
      <w:r w:rsidR="00F11D46" w:rsidRPr="00A0104F">
        <w:rPr>
          <w:rStyle w:val="Strong"/>
          <w:rFonts w:asciiTheme="minorHAnsi" w:hAnsiTheme="minorHAnsi" w:cstheme="minorHAnsi"/>
          <w:b w:val="0"/>
          <w:sz w:val="20"/>
          <w:szCs w:val="20"/>
          <w:lang w:val="en"/>
        </w:rPr>
        <w:t xml:space="preserve"> </w:t>
      </w:r>
      <w:r w:rsidR="00AA4508" w:rsidRPr="00A0104F">
        <w:rPr>
          <w:rStyle w:val="Strong"/>
          <w:rFonts w:asciiTheme="minorHAnsi" w:hAnsiTheme="minorHAnsi" w:cstheme="minorHAnsi"/>
          <w:b w:val="0"/>
          <w:sz w:val="20"/>
          <w:szCs w:val="20"/>
          <w:lang w:val="en"/>
        </w:rPr>
        <w:t>are encouraged to provide</w:t>
      </w:r>
      <w:r w:rsidRPr="00A0104F">
        <w:rPr>
          <w:rStyle w:val="Strong"/>
          <w:rFonts w:asciiTheme="minorHAnsi" w:hAnsiTheme="minorHAnsi" w:cstheme="minorHAnsi"/>
          <w:b w:val="0"/>
          <w:sz w:val="20"/>
          <w:szCs w:val="20"/>
          <w:lang w:val="en"/>
        </w:rPr>
        <w:t xml:space="preserve"> additional information through</w:t>
      </w:r>
      <w:r w:rsidR="00B06FC1" w:rsidRPr="00A0104F">
        <w:rPr>
          <w:rStyle w:val="Strong"/>
          <w:rFonts w:asciiTheme="minorHAnsi" w:hAnsiTheme="minorHAnsi" w:cstheme="minorHAnsi"/>
          <w:b w:val="0"/>
          <w:sz w:val="20"/>
          <w:szCs w:val="20"/>
          <w:lang w:val="en"/>
        </w:rPr>
        <w:t xml:space="preserve"> the </w:t>
      </w:r>
      <w:r w:rsidR="00F81A10" w:rsidRPr="00A0104F">
        <w:rPr>
          <w:rStyle w:val="Strong"/>
          <w:rFonts w:asciiTheme="minorHAnsi" w:hAnsiTheme="minorHAnsi" w:cstheme="minorHAnsi"/>
          <w:b w:val="0"/>
          <w:sz w:val="20"/>
          <w:szCs w:val="20"/>
          <w:lang w:val="en"/>
        </w:rPr>
        <w:t xml:space="preserve">ACMS </w:t>
      </w:r>
      <w:r w:rsidR="00F11D46" w:rsidRPr="00A0104F">
        <w:rPr>
          <w:rStyle w:val="Strong"/>
          <w:rFonts w:asciiTheme="minorHAnsi" w:hAnsiTheme="minorHAnsi" w:cstheme="minorHAnsi"/>
          <w:b w:val="0"/>
          <w:sz w:val="20"/>
          <w:szCs w:val="20"/>
          <w:lang w:val="en"/>
        </w:rPr>
        <w:t>T</w:t>
      </w:r>
      <w:r w:rsidR="00AE02B5" w:rsidRPr="00A0104F">
        <w:rPr>
          <w:rStyle w:val="Strong"/>
          <w:rFonts w:asciiTheme="minorHAnsi" w:hAnsiTheme="minorHAnsi" w:cstheme="minorHAnsi"/>
          <w:b w:val="0"/>
          <w:sz w:val="20"/>
          <w:szCs w:val="20"/>
          <w:lang w:val="en"/>
        </w:rPr>
        <w:t xml:space="preserve">ransaction </w:t>
      </w:r>
      <w:r w:rsidR="00F11D46" w:rsidRPr="00A0104F">
        <w:rPr>
          <w:rStyle w:val="Strong"/>
          <w:rFonts w:asciiTheme="minorHAnsi" w:hAnsiTheme="minorHAnsi" w:cstheme="minorHAnsi"/>
          <w:b w:val="0"/>
          <w:sz w:val="20"/>
          <w:szCs w:val="20"/>
          <w:lang w:val="en"/>
        </w:rPr>
        <w:t>L</w:t>
      </w:r>
      <w:r w:rsidR="00AE02B5" w:rsidRPr="00A0104F">
        <w:rPr>
          <w:rStyle w:val="Strong"/>
          <w:rFonts w:asciiTheme="minorHAnsi" w:hAnsiTheme="minorHAnsi" w:cstheme="minorHAnsi"/>
          <w:b w:val="0"/>
          <w:sz w:val="20"/>
          <w:szCs w:val="20"/>
          <w:lang w:val="en"/>
        </w:rPr>
        <w:t>isting</w:t>
      </w:r>
      <w:r w:rsidR="00FE21EC" w:rsidRPr="00A0104F">
        <w:rPr>
          <w:rStyle w:val="Strong"/>
          <w:rFonts w:asciiTheme="minorHAnsi" w:hAnsiTheme="minorHAnsi" w:cstheme="minorHAnsi"/>
          <w:b w:val="0"/>
          <w:sz w:val="20"/>
          <w:szCs w:val="20"/>
          <w:lang w:val="en"/>
        </w:rPr>
        <w:t xml:space="preserve"> template</w:t>
      </w:r>
      <w:r w:rsidR="00607673">
        <w:rPr>
          <w:rStyle w:val="Strong"/>
          <w:rFonts w:asciiTheme="minorHAnsi" w:hAnsiTheme="minorHAnsi" w:cstheme="minorHAnsi"/>
          <w:b w:val="0"/>
          <w:sz w:val="20"/>
          <w:szCs w:val="20"/>
          <w:lang w:val="en"/>
        </w:rPr>
        <w:t>,</w:t>
      </w:r>
      <w:r w:rsidR="00FE21EC" w:rsidRPr="00A0104F">
        <w:rPr>
          <w:rStyle w:val="Strong"/>
          <w:rFonts w:asciiTheme="minorHAnsi" w:hAnsiTheme="minorHAnsi" w:cstheme="minorHAnsi"/>
          <w:b w:val="0"/>
          <w:sz w:val="20"/>
          <w:szCs w:val="20"/>
          <w:lang w:val="en"/>
        </w:rPr>
        <w:t xml:space="preserve"> </w:t>
      </w:r>
      <w:r w:rsidR="00B06FC1" w:rsidRPr="00A0104F">
        <w:rPr>
          <w:rStyle w:val="Strong"/>
          <w:rFonts w:asciiTheme="minorHAnsi" w:hAnsiTheme="minorHAnsi" w:cstheme="minorHAnsi"/>
          <w:b w:val="0"/>
          <w:sz w:val="20"/>
          <w:szCs w:val="20"/>
          <w:lang w:val="en"/>
        </w:rPr>
        <w:t xml:space="preserve">which </w:t>
      </w:r>
      <w:r w:rsidR="00607673">
        <w:rPr>
          <w:rStyle w:val="Strong"/>
          <w:rFonts w:asciiTheme="minorHAnsi" w:hAnsiTheme="minorHAnsi" w:cstheme="minorHAnsi"/>
          <w:b w:val="0"/>
          <w:sz w:val="20"/>
          <w:szCs w:val="20"/>
          <w:lang w:val="en"/>
        </w:rPr>
        <w:t>was developed by DTF following the PwC audit, a</w:t>
      </w:r>
      <w:r w:rsidR="00B06FC1" w:rsidRPr="00A0104F">
        <w:rPr>
          <w:rStyle w:val="Strong"/>
          <w:rFonts w:asciiTheme="minorHAnsi" w:hAnsiTheme="minorHAnsi" w:cstheme="minorHAnsi"/>
          <w:b w:val="0"/>
          <w:sz w:val="20"/>
          <w:szCs w:val="20"/>
          <w:lang w:val="en"/>
        </w:rPr>
        <w:t xml:space="preserve">s a guide for </w:t>
      </w:r>
      <w:r w:rsidR="002A5665">
        <w:rPr>
          <w:rStyle w:val="Strong"/>
          <w:rFonts w:asciiTheme="minorHAnsi" w:hAnsiTheme="minorHAnsi" w:cstheme="minorHAnsi"/>
          <w:b w:val="0"/>
          <w:sz w:val="20"/>
          <w:szCs w:val="20"/>
          <w:lang w:val="en"/>
        </w:rPr>
        <w:t>CMA</w:t>
      </w:r>
      <w:r w:rsidR="00B06FC1" w:rsidRPr="00A0104F">
        <w:rPr>
          <w:rStyle w:val="Strong"/>
          <w:rFonts w:asciiTheme="minorHAnsi" w:hAnsiTheme="minorHAnsi" w:cstheme="minorHAnsi"/>
          <w:b w:val="0"/>
          <w:sz w:val="20"/>
          <w:szCs w:val="20"/>
          <w:lang w:val="en"/>
        </w:rPr>
        <w:t xml:space="preserve">s. The </w:t>
      </w:r>
      <w:r w:rsidR="007C2C15" w:rsidRPr="00A0104F">
        <w:rPr>
          <w:rStyle w:val="Strong"/>
          <w:rFonts w:asciiTheme="minorHAnsi" w:hAnsiTheme="minorHAnsi" w:cstheme="minorHAnsi"/>
          <w:b w:val="0"/>
          <w:sz w:val="20"/>
          <w:szCs w:val="20"/>
          <w:lang w:val="en"/>
        </w:rPr>
        <w:t>template</w:t>
      </w:r>
      <w:r w:rsidR="00B06FC1" w:rsidRPr="00A0104F">
        <w:rPr>
          <w:rStyle w:val="Strong"/>
          <w:rFonts w:asciiTheme="minorHAnsi" w:hAnsiTheme="minorHAnsi" w:cstheme="minorHAnsi"/>
          <w:b w:val="0"/>
          <w:sz w:val="20"/>
          <w:szCs w:val="20"/>
          <w:lang w:val="en"/>
        </w:rPr>
        <w:t xml:space="preserve"> </w:t>
      </w:r>
      <w:r w:rsidR="00FE21EC" w:rsidRPr="00A0104F">
        <w:rPr>
          <w:rStyle w:val="Strong"/>
          <w:rFonts w:asciiTheme="minorHAnsi" w:hAnsiTheme="minorHAnsi" w:cstheme="minorHAnsi"/>
          <w:b w:val="0"/>
          <w:sz w:val="20"/>
          <w:szCs w:val="20"/>
          <w:lang w:val="en"/>
        </w:rPr>
        <w:t>can be found</w:t>
      </w:r>
      <w:r w:rsidR="00AE02B5" w:rsidRPr="00A0104F">
        <w:rPr>
          <w:rStyle w:val="Strong"/>
          <w:rFonts w:asciiTheme="minorHAnsi" w:hAnsiTheme="minorHAnsi" w:cstheme="minorHAnsi"/>
          <w:b w:val="0"/>
          <w:sz w:val="20"/>
          <w:szCs w:val="20"/>
          <w:lang w:val="en"/>
        </w:rPr>
        <w:t xml:space="preserve"> on the ACMS</w:t>
      </w:r>
      <w:r w:rsidR="00FE21EC" w:rsidRPr="00A0104F">
        <w:rPr>
          <w:rStyle w:val="Strong"/>
          <w:rFonts w:asciiTheme="minorHAnsi" w:hAnsiTheme="minorHAnsi" w:cstheme="minorHAnsi"/>
          <w:b w:val="0"/>
          <w:sz w:val="20"/>
          <w:szCs w:val="20"/>
          <w:lang w:val="en"/>
        </w:rPr>
        <w:t xml:space="preserve"> under ‘</w:t>
      </w:r>
      <w:r w:rsidR="00FE21EC" w:rsidRPr="00A0104F">
        <w:rPr>
          <w:rStyle w:val="Emphasis"/>
          <w:rFonts w:asciiTheme="minorHAnsi" w:hAnsiTheme="minorHAnsi" w:cstheme="minorHAnsi"/>
          <w:bCs/>
          <w:sz w:val="20"/>
          <w:szCs w:val="20"/>
          <w:lang w:val="en"/>
        </w:rPr>
        <w:t>Documents, Guides &amp; Forms</w:t>
      </w:r>
      <w:r w:rsidR="00FE21EC" w:rsidRPr="00A0104F">
        <w:rPr>
          <w:rStyle w:val="Strong"/>
          <w:rFonts w:asciiTheme="minorHAnsi" w:hAnsiTheme="minorHAnsi" w:cstheme="minorHAnsi"/>
          <w:b w:val="0"/>
          <w:sz w:val="20"/>
          <w:szCs w:val="20"/>
          <w:lang w:val="en"/>
        </w:rPr>
        <w:t xml:space="preserve">’ (on the menu, left hand side) entitled </w:t>
      </w:r>
      <w:r w:rsidR="00AE02B5" w:rsidRPr="00A0104F">
        <w:rPr>
          <w:rStyle w:val="Strong"/>
          <w:rFonts w:asciiTheme="minorHAnsi" w:hAnsiTheme="minorHAnsi" w:cstheme="minorHAnsi"/>
          <w:b w:val="0"/>
          <w:sz w:val="20"/>
          <w:szCs w:val="20"/>
          <w:lang w:val="en"/>
        </w:rPr>
        <w:t>‘</w:t>
      </w:r>
      <w:r w:rsidR="00FE21EC" w:rsidRPr="00A0104F">
        <w:rPr>
          <w:rStyle w:val="Strong"/>
          <w:rFonts w:asciiTheme="minorHAnsi" w:hAnsiTheme="minorHAnsi" w:cstheme="minorHAnsi"/>
          <w:b w:val="0"/>
          <w:i/>
          <w:sz w:val="20"/>
          <w:szCs w:val="20"/>
          <w:lang w:val="en"/>
        </w:rPr>
        <w:t>ACMS Transaction Listing</w:t>
      </w:r>
      <w:r w:rsidR="00AE02B5" w:rsidRPr="00A0104F">
        <w:rPr>
          <w:rStyle w:val="Strong"/>
          <w:rFonts w:asciiTheme="minorHAnsi" w:hAnsiTheme="minorHAnsi" w:cstheme="minorHAnsi"/>
          <w:b w:val="0"/>
          <w:i/>
          <w:sz w:val="20"/>
          <w:szCs w:val="20"/>
          <w:lang w:val="en"/>
        </w:rPr>
        <w:t>’</w:t>
      </w:r>
      <w:r w:rsidR="00FE21EC" w:rsidRPr="00A0104F">
        <w:rPr>
          <w:rStyle w:val="Strong"/>
          <w:rFonts w:asciiTheme="minorHAnsi" w:hAnsiTheme="minorHAnsi" w:cstheme="minorHAnsi"/>
          <w:b w:val="0"/>
          <w:sz w:val="20"/>
          <w:szCs w:val="20"/>
          <w:lang w:val="en"/>
        </w:rPr>
        <w:t xml:space="preserve">.  </w:t>
      </w:r>
    </w:p>
    <w:p w:rsidR="00B06FC1" w:rsidRPr="00A0104F" w:rsidRDefault="00266778" w:rsidP="00A0104F">
      <w:pPr>
        <w:pStyle w:val="NormalWeb"/>
        <w:spacing w:line="276" w:lineRule="auto"/>
        <w:jc w:val="both"/>
        <w:rPr>
          <w:rStyle w:val="Strong"/>
          <w:rFonts w:asciiTheme="minorHAnsi" w:hAnsiTheme="minorHAnsi" w:cstheme="minorHAnsi"/>
          <w:b w:val="0"/>
          <w:sz w:val="20"/>
          <w:szCs w:val="20"/>
          <w:lang w:val="en"/>
        </w:rPr>
      </w:pPr>
      <w:r w:rsidRPr="00A0104F">
        <w:rPr>
          <w:rStyle w:val="Strong"/>
          <w:rFonts w:asciiTheme="minorHAnsi" w:hAnsiTheme="minorHAnsi" w:cstheme="minorHAnsi"/>
          <w:b w:val="0"/>
          <w:sz w:val="20"/>
          <w:szCs w:val="20"/>
          <w:lang w:val="en"/>
        </w:rPr>
        <w:t>If using your own transaction listing, please ensure it includes the same information as the template (i.e. Date, Invoice Number, Supplier and Description of Works Undertaken).</w:t>
      </w:r>
      <w:r w:rsidR="00F81A10" w:rsidRPr="00A0104F">
        <w:rPr>
          <w:rStyle w:val="Strong"/>
          <w:rFonts w:asciiTheme="minorHAnsi" w:hAnsiTheme="minorHAnsi" w:cstheme="minorHAnsi"/>
          <w:b w:val="0"/>
          <w:sz w:val="20"/>
          <w:szCs w:val="20"/>
          <w:lang w:val="en"/>
        </w:rPr>
        <w:t xml:space="preserve"> In the absence of receiving this information, the NDFA Team will be required to request missing information, </w:t>
      </w:r>
      <w:r w:rsidR="00882232">
        <w:rPr>
          <w:rStyle w:val="Strong"/>
          <w:rFonts w:asciiTheme="minorHAnsi" w:hAnsiTheme="minorHAnsi" w:cstheme="minorHAnsi"/>
          <w:b w:val="0"/>
          <w:sz w:val="20"/>
          <w:szCs w:val="20"/>
          <w:lang w:val="en"/>
        </w:rPr>
        <w:t>which may risk</w:t>
      </w:r>
      <w:r w:rsidR="00F81A10" w:rsidRPr="00A0104F">
        <w:rPr>
          <w:rStyle w:val="Strong"/>
          <w:rFonts w:asciiTheme="minorHAnsi" w:hAnsiTheme="minorHAnsi" w:cstheme="minorHAnsi"/>
          <w:b w:val="0"/>
          <w:sz w:val="20"/>
          <w:szCs w:val="20"/>
          <w:lang w:val="en"/>
        </w:rPr>
        <w:t xml:space="preserve"> slowing down the claims process.</w:t>
      </w:r>
    </w:p>
    <w:p w:rsidR="00AE02B5" w:rsidRPr="00A0104F" w:rsidRDefault="00487D5D" w:rsidP="00A0104F">
      <w:pPr>
        <w:pStyle w:val="Heading2"/>
        <w:rPr>
          <w:rStyle w:val="Strong"/>
          <w:rFonts w:asciiTheme="minorHAnsi" w:eastAsiaTheme="minorEastAsia" w:hAnsiTheme="minorHAnsi" w:cstheme="minorHAnsi"/>
          <w:color w:val="00559A" w:themeColor="accent4" w:themeShade="BF"/>
          <w:szCs w:val="28"/>
          <w:lang w:val="en"/>
        </w:rPr>
      </w:pPr>
      <w:r w:rsidRPr="00A0104F">
        <w:rPr>
          <w:rStyle w:val="Strong"/>
          <w:rFonts w:asciiTheme="minorHAnsi" w:hAnsiTheme="minorHAnsi" w:cstheme="minorHAnsi"/>
          <w:b/>
          <w:szCs w:val="28"/>
          <w:lang w:val="en"/>
        </w:rPr>
        <w:t>Pre and Post</w:t>
      </w:r>
      <w:r w:rsidR="00497FD1" w:rsidRPr="00A0104F">
        <w:rPr>
          <w:rStyle w:val="Strong"/>
          <w:rFonts w:asciiTheme="minorHAnsi" w:hAnsiTheme="minorHAnsi" w:cstheme="minorHAnsi"/>
          <w:b/>
          <w:szCs w:val="28"/>
          <w:lang w:val="en"/>
        </w:rPr>
        <w:t>-damage and Post-</w:t>
      </w:r>
      <w:r w:rsidRPr="00A0104F">
        <w:rPr>
          <w:rStyle w:val="Strong"/>
          <w:rFonts w:asciiTheme="minorHAnsi" w:hAnsiTheme="minorHAnsi" w:cstheme="minorHAnsi"/>
          <w:b/>
          <w:szCs w:val="28"/>
          <w:lang w:val="en"/>
        </w:rPr>
        <w:t>Restoration evidence required</w:t>
      </w:r>
    </w:p>
    <w:p w:rsidR="00B33AF4" w:rsidRDefault="00313A1F" w:rsidP="00A0104F">
      <w:pPr>
        <w:jc w:val="both"/>
        <w:rPr>
          <w:rFonts w:cstheme="minorHAnsi"/>
          <w:color w:val="000000"/>
        </w:rPr>
      </w:pPr>
      <w:r w:rsidRPr="00A0104F">
        <w:rPr>
          <w:rFonts w:cstheme="minorHAnsi"/>
          <w:color w:val="000000"/>
        </w:rPr>
        <w:t>Claims that do not include the three types of evidence</w:t>
      </w:r>
      <w:r w:rsidR="00487D5D">
        <w:rPr>
          <w:rFonts w:cstheme="minorHAnsi"/>
          <w:color w:val="000000"/>
        </w:rPr>
        <w:t xml:space="preserve"> relating to </w:t>
      </w:r>
      <w:r w:rsidR="00487D5D" w:rsidRPr="005779A6">
        <w:rPr>
          <w:rFonts w:cstheme="minorHAnsi"/>
          <w:color w:val="000000"/>
        </w:rPr>
        <w:t xml:space="preserve">(1) </w:t>
      </w:r>
      <w:r w:rsidR="00487D5D" w:rsidRPr="0057686D">
        <w:rPr>
          <w:rFonts w:cstheme="minorHAnsi"/>
          <w:color w:val="000000"/>
        </w:rPr>
        <w:t xml:space="preserve">pre-disaster condition, </w:t>
      </w:r>
      <w:r w:rsidR="00487D5D" w:rsidRPr="005779A6">
        <w:rPr>
          <w:rFonts w:cstheme="minorHAnsi"/>
          <w:color w:val="000000"/>
        </w:rPr>
        <w:t>(2) post-</w:t>
      </w:r>
      <w:r w:rsidR="00487D5D" w:rsidRPr="0057686D">
        <w:rPr>
          <w:rFonts w:cstheme="minorHAnsi"/>
          <w:color w:val="000000"/>
        </w:rPr>
        <w:t xml:space="preserve">disaster condition, and </w:t>
      </w:r>
      <w:r w:rsidR="00487D5D" w:rsidRPr="005779A6">
        <w:rPr>
          <w:rFonts w:cstheme="minorHAnsi"/>
          <w:color w:val="000000"/>
        </w:rPr>
        <w:t xml:space="preserve">(3) </w:t>
      </w:r>
      <w:r w:rsidR="00487D5D" w:rsidRPr="0057686D">
        <w:rPr>
          <w:rFonts w:cstheme="minorHAnsi"/>
          <w:color w:val="000000"/>
        </w:rPr>
        <w:t>post-restoration condition of assets damaged during an eligible disaster</w:t>
      </w:r>
      <w:r w:rsidRPr="00A0104F">
        <w:rPr>
          <w:rFonts w:cstheme="minorHAnsi"/>
          <w:color w:val="000000"/>
        </w:rPr>
        <w:t xml:space="preserve"> will be </w:t>
      </w:r>
      <w:r w:rsidRPr="00A0104F">
        <w:rPr>
          <w:rFonts w:cstheme="minorHAnsi"/>
          <w:color w:val="000000"/>
          <w:u w:val="single"/>
        </w:rPr>
        <w:t>ineligible</w:t>
      </w:r>
      <w:r w:rsidRPr="00A0104F">
        <w:rPr>
          <w:rFonts w:cstheme="minorHAnsi"/>
          <w:color w:val="000000"/>
        </w:rPr>
        <w:t xml:space="preserve"> for reimbursement under the NDFA scheme.</w:t>
      </w:r>
    </w:p>
    <w:p w:rsidR="00B33AF4" w:rsidRPr="00A0104F" w:rsidRDefault="00065193" w:rsidP="00A0104F">
      <w:pPr>
        <w:jc w:val="both"/>
        <w:rPr>
          <w:rFonts w:cstheme="minorHAnsi"/>
          <w:b/>
          <w:sz w:val="22"/>
          <w:szCs w:val="22"/>
          <w:lang w:eastAsia="en-US"/>
        </w:rPr>
      </w:pPr>
      <w:r w:rsidRPr="00741CB7">
        <w:rPr>
          <w:rFonts w:cstheme="minorHAnsi"/>
          <w:b/>
          <w:sz w:val="22"/>
          <w:szCs w:val="22"/>
          <w:lang w:eastAsia="en-US"/>
        </w:rPr>
        <w:t xml:space="preserve">1. </w:t>
      </w:r>
      <w:r w:rsidR="00B33AF4" w:rsidRPr="00A0104F">
        <w:rPr>
          <w:rFonts w:cstheme="minorHAnsi"/>
          <w:b/>
          <w:sz w:val="22"/>
          <w:szCs w:val="22"/>
          <w:lang w:eastAsia="en-US"/>
        </w:rPr>
        <w:t>Pre-disaster condition</w:t>
      </w:r>
    </w:p>
    <w:p w:rsidR="00B33AF4" w:rsidRPr="009D223A" w:rsidRDefault="00B33AF4" w:rsidP="00A0104F">
      <w:pPr>
        <w:jc w:val="both"/>
        <w:rPr>
          <w:rFonts w:cstheme="minorHAnsi"/>
          <w:lang w:eastAsia="en-US"/>
        </w:rPr>
      </w:pPr>
      <w:r w:rsidRPr="00741CB7">
        <w:rPr>
          <w:rFonts w:cstheme="minorHAnsi"/>
          <w:lang w:eastAsia="en-US"/>
        </w:rPr>
        <w:t xml:space="preserve">The pre-disaster standard of a damaged asset is considered to be the condition of the asset and its level of functionality or utility </w:t>
      </w:r>
      <w:r w:rsidRPr="00741CB7">
        <w:rPr>
          <w:rFonts w:cstheme="minorHAnsi"/>
          <w:i/>
          <w:u w:val="single"/>
          <w:lang w:eastAsia="en-US"/>
        </w:rPr>
        <w:t>prior to</w:t>
      </w:r>
      <w:r w:rsidRPr="00741CB7">
        <w:rPr>
          <w:rFonts w:cstheme="minorHAnsi"/>
          <w:lang w:eastAsia="en-US"/>
        </w:rPr>
        <w:t xml:space="preserve"> the eligible natural disaster. </w:t>
      </w:r>
    </w:p>
    <w:p w:rsidR="00B33AF4" w:rsidRPr="009D223A" w:rsidRDefault="00B33AF4" w:rsidP="00A0104F">
      <w:pPr>
        <w:jc w:val="both"/>
        <w:rPr>
          <w:rFonts w:cstheme="minorHAnsi"/>
          <w:lang w:eastAsia="en-US"/>
        </w:rPr>
      </w:pPr>
      <w:r w:rsidRPr="00497FD1">
        <w:rPr>
          <w:rFonts w:cstheme="minorHAnsi"/>
          <w:lang w:eastAsia="en-US"/>
        </w:rPr>
        <w:t>In the case of a road asset, the pre-disaster standard includes factors such as traffic and vehicle capacity, classification and/or role of the road within the road network, signage, street parking, road width and number of carriageways – for</w:t>
      </w:r>
      <w:r w:rsidRPr="00013008">
        <w:rPr>
          <w:rFonts w:cstheme="minorHAnsi"/>
          <w:lang w:eastAsia="en-US"/>
        </w:rPr>
        <w:t xml:space="preserve"> example, a gravel road is replaced using gravel and not </w:t>
      </w:r>
      <w:r w:rsidRPr="009D223A">
        <w:rPr>
          <w:rFonts w:cstheme="minorHAnsi"/>
          <w:lang w:eastAsia="en-US"/>
        </w:rPr>
        <w:t>bitumen.</w:t>
      </w:r>
    </w:p>
    <w:p w:rsidR="00B33AF4" w:rsidRPr="009D223A" w:rsidRDefault="00B33AF4" w:rsidP="00A0104F">
      <w:pPr>
        <w:jc w:val="both"/>
        <w:rPr>
          <w:rFonts w:cstheme="minorHAnsi"/>
          <w:lang w:eastAsia="en-US"/>
        </w:rPr>
      </w:pPr>
      <w:r w:rsidRPr="009D223A">
        <w:rPr>
          <w:rFonts w:cstheme="minorHAnsi"/>
          <w:lang w:eastAsia="en-US"/>
        </w:rPr>
        <w:t xml:space="preserve">To demonstrate the pre-disaster standard of a damaged asset, </w:t>
      </w:r>
      <w:r w:rsidR="002A5665">
        <w:rPr>
          <w:rFonts w:cstheme="minorHAnsi"/>
          <w:lang w:eastAsia="en-US"/>
        </w:rPr>
        <w:t>CMAs</w:t>
      </w:r>
      <w:r w:rsidRPr="009D223A">
        <w:rPr>
          <w:rFonts w:cstheme="minorHAnsi"/>
          <w:lang w:eastAsia="en-US"/>
        </w:rPr>
        <w:t xml:space="preserve"> </w:t>
      </w:r>
      <w:r w:rsidRPr="009D223A">
        <w:rPr>
          <w:rFonts w:cstheme="minorHAnsi"/>
          <w:i/>
          <w:lang w:eastAsia="en-US"/>
        </w:rPr>
        <w:t xml:space="preserve">must </w:t>
      </w:r>
      <w:r w:rsidRPr="009D223A">
        <w:rPr>
          <w:rFonts w:cstheme="minorHAnsi"/>
          <w:lang w:eastAsia="en-US"/>
        </w:rPr>
        <w:t xml:space="preserve">be able to demonstrate the location, nature and pre-disaster condition of the damaged asset through </w:t>
      </w:r>
      <w:r w:rsidRPr="009D223A">
        <w:rPr>
          <w:rFonts w:cstheme="minorHAnsi"/>
          <w:u w:val="single"/>
          <w:lang w:eastAsia="en-US"/>
        </w:rPr>
        <w:t>one or more</w:t>
      </w:r>
      <w:r w:rsidRPr="009D223A">
        <w:rPr>
          <w:rFonts w:cstheme="minorHAnsi"/>
          <w:lang w:eastAsia="en-US"/>
        </w:rPr>
        <w:t xml:space="preserve"> of the following means:</w:t>
      </w:r>
    </w:p>
    <w:p w:rsidR="00B33AF4" w:rsidRPr="009D223A" w:rsidRDefault="00B33AF4" w:rsidP="00A0104F">
      <w:pPr>
        <w:numPr>
          <w:ilvl w:val="0"/>
          <w:numId w:val="47"/>
        </w:numPr>
        <w:spacing w:before="100" w:line="260" w:lineRule="atLeast"/>
        <w:contextualSpacing/>
        <w:jc w:val="both"/>
        <w:rPr>
          <w:rFonts w:cstheme="minorHAnsi"/>
          <w:lang w:eastAsia="en-US"/>
        </w:rPr>
      </w:pPr>
      <w:r w:rsidRPr="00A0104F">
        <w:rPr>
          <w:rFonts w:cstheme="minorHAnsi"/>
          <w:color w:val="000000"/>
        </w:rPr>
        <w:t xml:space="preserve">the primary and most direct evidence will include </w:t>
      </w:r>
      <w:r w:rsidRPr="009D223A">
        <w:rPr>
          <w:rFonts w:cstheme="minorHAnsi"/>
          <w:lang w:eastAsia="en-US"/>
        </w:rPr>
        <w:t>visual and geospatial data and information which may include (but is not limited to) satellite images, Google earth images, photographs, video footage</w:t>
      </w:r>
      <w:r w:rsidR="0057686D" w:rsidRPr="009D223A">
        <w:rPr>
          <w:rFonts w:cstheme="minorHAnsi"/>
          <w:lang w:eastAsia="en-US"/>
        </w:rPr>
        <w:t>.</w:t>
      </w:r>
      <w:r w:rsidR="009D223A" w:rsidRPr="00A0104F">
        <w:rPr>
          <w:rFonts w:cstheme="minorHAnsi"/>
          <w:lang w:eastAsia="en-US"/>
        </w:rPr>
        <w:t xml:space="preserve"> Evidence provided needs to be clear with regards to the timing of the pre-condition evidence i.e. 12 months prior to the actual natural disaster occurring. </w:t>
      </w:r>
    </w:p>
    <w:p w:rsidR="00497FD1" w:rsidRPr="00A0104F" w:rsidRDefault="00B33AF4" w:rsidP="00A0104F">
      <w:pPr>
        <w:pStyle w:val="ListParagraph"/>
        <w:numPr>
          <w:ilvl w:val="0"/>
          <w:numId w:val="47"/>
        </w:numPr>
        <w:autoSpaceDE w:val="0"/>
        <w:autoSpaceDN w:val="0"/>
        <w:adjustRightInd w:val="0"/>
        <w:spacing w:before="100" w:line="260" w:lineRule="atLeast"/>
        <w:jc w:val="both"/>
        <w:rPr>
          <w:rFonts w:cstheme="minorHAnsi"/>
        </w:rPr>
      </w:pPr>
      <w:r w:rsidRPr="00A0104F">
        <w:rPr>
          <w:rFonts w:cstheme="minorHAnsi"/>
          <w:color w:val="000000"/>
        </w:rPr>
        <w:t xml:space="preserve">In the absence of any photographic evidence, other information (less direct) that can be provided to can include Engineer Reports, </w:t>
      </w:r>
      <w:r w:rsidR="009D223A" w:rsidRPr="00A0104F">
        <w:rPr>
          <w:rFonts w:cstheme="minorHAnsi"/>
          <w:color w:val="000000"/>
        </w:rPr>
        <w:t xml:space="preserve">an Asset Register or </w:t>
      </w:r>
      <w:r w:rsidRPr="00A0104F">
        <w:rPr>
          <w:rFonts w:cstheme="minorHAnsi"/>
          <w:color w:val="000000"/>
        </w:rPr>
        <w:t>Asset Maintenance/</w:t>
      </w:r>
      <w:r w:rsidR="009D223A" w:rsidRPr="00A0104F">
        <w:rPr>
          <w:rFonts w:cstheme="minorHAnsi"/>
          <w:color w:val="000000"/>
        </w:rPr>
        <w:t>Inspection</w:t>
      </w:r>
      <w:r w:rsidRPr="00A0104F">
        <w:rPr>
          <w:rFonts w:cstheme="minorHAnsi"/>
          <w:color w:val="000000"/>
        </w:rPr>
        <w:t xml:space="preserve"> Log, </w:t>
      </w:r>
      <w:r w:rsidR="009D223A" w:rsidRPr="00A0104F">
        <w:rPr>
          <w:rFonts w:cstheme="minorHAnsi"/>
          <w:color w:val="000000"/>
        </w:rPr>
        <w:t xml:space="preserve">or an </w:t>
      </w:r>
      <w:r w:rsidRPr="00A0104F">
        <w:rPr>
          <w:rFonts w:cstheme="minorHAnsi"/>
          <w:color w:val="000000"/>
        </w:rPr>
        <w:t>inspection report</w:t>
      </w:r>
      <w:r w:rsidR="009D223A" w:rsidRPr="00A0104F">
        <w:rPr>
          <w:rFonts w:cstheme="minorHAnsi"/>
          <w:color w:val="000000"/>
        </w:rPr>
        <w:t xml:space="preserve"> undertaken or verified by a suitably qualified professional such as the VicRoads assessor.</w:t>
      </w:r>
    </w:p>
    <w:p w:rsidR="00B33AF4" w:rsidRPr="00497FD1" w:rsidRDefault="00B33AF4" w:rsidP="00A0104F">
      <w:pPr>
        <w:pStyle w:val="ListParagraph"/>
        <w:numPr>
          <w:ilvl w:val="0"/>
          <w:numId w:val="47"/>
        </w:numPr>
        <w:autoSpaceDE w:val="0"/>
        <w:autoSpaceDN w:val="0"/>
        <w:adjustRightInd w:val="0"/>
        <w:spacing w:before="100" w:line="260" w:lineRule="atLeast"/>
        <w:jc w:val="both"/>
        <w:rPr>
          <w:rFonts w:cstheme="minorHAnsi"/>
        </w:rPr>
      </w:pPr>
      <w:r w:rsidRPr="00A0104F">
        <w:t xml:space="preserve">If there is still no substantive basis using </w:t>
      </w:r>
      <w:r w:rsidR="009D223A" w:rsidRPr="00A0104F">
        <w:t xml:space="preserve">the </w:t>
      </w:r>
      <w:r w:rsidRPr="00A0104F">
        <w:t>information identified above that can prove the</w:t>
      </w:r>
      <w:r w:rsidRPr="00A0104F">
        <w:rPr>
          <w:rFonts w:cstheme="minorHAnsi"/>
          <w:color w:val="000000"/>
        </w:rPr>
        <w:t xml:space="preserve"> damages are </w:t>
      </w:r>
      <w:r w:rsidRPr="00A0104F">
        <w:rPr>
          <w:rFonts w:cstheme="minorHAnsi"/>
          <w:b/>
          <w:bCs/>
          <w:color w:val="000000"/>
        </w:rPr>
        <w:t xml:space="preserve">directly attributable </w:t>
      </w:r>
      <w:r w:rsidRPr="00A0104F">
        <w:rPr>
          <w:rFonts w:cstheme="minorHAnsi"/>
          <w:color w:val="000000"/>
        </w:rPr>
        <w:t xml:space="preserve">to the event, then this assessment outcome </w:t>
      </w:r>
      <w:r w:rsidR="004837E0" w:rsidRPr="00497FD1">
        <w:rPr>
          <w:rFonts w:cstheme="minorHAnsi"/>
          <w:color w:val="000000"/>
        </w:rPr>
        <w:t>will be properly</w:t>
      </w:r>
      <w:r w:rsidRPr="00A0104F">
        <w:rPr>
          <w:rFonts w:cstheme="minorHAnsi"/>
          <w:color w:val="000000"/>
        </w:rPr>
        <w:t xml:space="preserve"> documented by VicRoads as part of the claim assessment, with </w:t>
      </w:r>
      <w:r w:rsidR="009D223A" w:rsidRPr="00A0104F">
        <w:rPr>
          <w:rFonts w:cstheme="minorHAnsi"/>
          <w:color w:val="000000"/>
        </w:rPr>
        <w:t>a</w:t>
      </w:r>
      <w:r w:rsidRPr="00A0104F">
        <w:rPr>
          <w:rFonts w:cstheme="minorHAnsi"/>
          <w:color w:val="000000"/>
        </w:rPr>
        <w:t xml:space="preserve"> reasonable reduction on ineligible costs recommended back to DTF.</w:t>
      </w:r>
    </w:p>
    <w:p w:rsidR="00F5705C" w:rsidRPr="00497FD1" w:rsidRDefault="00DF3FC8" w:rsidP="00A0104F">
      <w:pPr>
        <w:numPr>
          <w:ilvl w:val="0"/>
          <w:numId w:val="47"/>
        </w:numPr>
        <w:spacing w:before="100" w:line="260" w:lineRule="atLeast"/>
        <w:contextualSpacing/>
        <w:rPr>
          <w:rFonts w:cstheme="minorHAnsi"/>
          <w:lang w:eastAsia="en-US"/>
        </w:rPr>
      </w:pPr>
      <w:r w:rsidRPr="009D223A">
        <w:rPr>
          <w:rFonts w:cstheme="minorHAnsi"/>
          <w:b/>
        </w:rPr>
        <w:t xml:space="preserve">Note: Road Management Plans are not sufficient evidence to demonstrate the </w:t>
      </w:r>
      <w:r w:rsidR="00202C0F">
        <w:rPr>
          <w:rFonts w:cstheme="minorHAnsi"/>
          <w:b/>
        </w:rPr>
        <w:br/>
      </w:r>
      <w:r w:rsidRPr="009D223A">
        <w:rPr>
          <w:rFonts w:cstheme="minorHAnsi"/>
          <w:b/>
        </w:rPr>
        <w:t xml:space="preserve">pre-condition of assets prior to an event. </w:t>
      </w:r>
    </w:p>
    <w:p w:rsidR="0009569D" w:rsidRDefault="0009569D" w:rsidP="00A0104F">
      <w:pPr>
        <w:spacing w:before="100" w:line="260" w:lineRule="atLeast"/>
        <w:contextualSpacing/>
        <w:jc w:val="both"/>
        <w:rPr>
          <w:rFonts w:cstheme="minorHAnsi"/>
          <w:sz w:val="22"/>
          <w:szCs w:val="22"/>
          <w:lang w:eastAsia="en-US"/>
        </w:rPr>
      </w:pPr>
    </w:p>
    <w:p w:rsidR="0009569D" w:rsidRPr="00A0104F" w:rsidRDefault="00065193" w:rsidP="0009569D">
      <w:pPr>
        <w:jc w:val="both"/>
        <w:rPr>
          <w:rFonts w:cstheme="minorHAnsi"/>
          <w:b/>
          <w:sz w:val="22"/>
          <w:szCs w:val="22"/>
          <w:lang w:eastAsia="en-US"/>
        </w:rPr>
      </w:pPr>
      <w:r w:rsidRPr="009D223A">
        <w:rPr>
          <w:rFonts w:cstheme="minorHAnsi"/>
          <w:b/>
          <w:sz w:val="22"/>
          <w:szCs w:val="22"/>
          <w:lang w:eastAsia="en-US"/>
        </w:rPr>
        <w:t xml:space="preserve">2. </w:t>
      </w:r>
      <w:r w:rsidR="0009569D" w:rsidRPr="00A0104F">
        <w:rPr>
          <w:rFonts w:cstheme="minorHAnsi"/>
          <w:b/>
          <w:sz w:val="22"/>
          <w:szCs w:val="22"/>
          <w:lang w:eastAsia="en-US"/>
        </w:rPr>
        <w:t>Post-disaster condition</w:t>
      </w:r>
    </w:p>
    <w:p w:rsidR="00E01E21" w:rsidRDefault="0009569D" w:rsidP="00A0104F">
      <w:pPr>
        <w:shd w:val="clear" w:color="auto" w:fill="FFFFFF" w:themeFill="background1"/>
        <w:jc w:val="both"/>
        <w:rPr>
          <w:rFonts w:cstheme="minorHAnsi"/>
          <w:lang w:eastAsia="en-US"/>
        </w:rPr>
      </w:pPr>
      <w:r w:rsidRPr="00A0104F">
        <w:rPr>
          <w:rFonts w:cstheme="minorHAnsi"/>
          <w:lang w:eastAsia="en-US"/>
        </w:rPr>
        <w:t xml:space="preserve">The post-disaster condition is the condition of the asset </w:t>
      </w:r>
      <w:r w:rsidRPr="00A0104F">
        <w:rPr>
          <w:rFonts w:cstheme="minorHAnsi"/>
          <w:i/>
          <w:u w:val="single"/>
          <w:lang w:eastAsia="en-US"/>
        </w:rPr>
        <w:t>after</w:t>
      </w:r>
      <w:r w:rsidRPr="00A0104F">
        <w:rPr>
          <w:rFonts w:cstheme="minorHAnsi"/>
          <w:lang w:eastAsia="en-US"/>
        </w:rPr>
        <w:t xml:space="preserve"> the disaster</w:t>
      </w:r>
      <w:r w:rsidR="005D518C" w:rsidRPr="00A0104F">
        <w:rPr>
          <w:rFonts w:cstheme="minorHAnsi"/>
          <w:lang w:eastAsia="en-US"/>
        </w:rPr>
        <w:t xml:space="preserve"> has occurred but </w:t>
      </w:r>
      <w:r w:rsidR="005D518C" w:rsidRPr="00A0104F">
        <w:rPr>
          <w:rFonts w:cstheme="minorHAnsi"/>
          <w:i/>
          <w:u w:val="single"/>
          <w:lang w:eastAsia="en-US"/>
        </w:rPr>
        <w:t>before</w:t>
      </w:r>
      <w:r w:rsidR="005D518C" w:rsidRPr="00A0104F">
        <w:rPr>
          <w:rFonts w:cstheme="minorHAnsi"/>
          <w:lang w:eastAsia="en-US"/>
        </w:rPr>
        <w:t xml:space="preserve"> the restoration works </w:t>
      </w:r>
      <w:r w:rsidR="00E01E21" w:rsidRPr="00A0104F">
        <w:rPr>
          <w:rFonts w:cstheme="minorHAnsi"/>
          <w:lang w:eastAsia="en-US"/>
        </w:rPr>
        <w:t>are undertaken, demonstrating that the damage to the asset was caused as a direct result of the disaster.</w:t>
      </w:r>
      <w:r w:rsidR="009D223A">
        <w:rPr>
          <w:rFonts w:cstheme="minorHAnsi"/>
          <w:lang w:eastAsia="en-US"/>
        </w:rPr>
        <w:t xml:space="preserve"> </w:t>
      </w:r>
      <w:r w:rsidR="00E01E21" w:rsidRPr="00A0104F">
        <w:rPr>
          <w:rFonts w:cstheme="minorHAnsi"/>
          <w:lang w:eastAsia="en-US"/>
        </w:rPr>
        <w:t xml:space="preserve">Evidence demonstrating the post-disaster condition includes </w:t>
      </w:r>
      <w:r w:rsidR="00C17FC1" w:rsidRPr="009D223A">
        <w:rPr>
          <w:rFonts w:cstheme="minorHAnsi"/>
          <w:color w:val="000000"/>
        </w:rPr>
        <w:t xml:space="preserve">include </w:t>
      </w:r>
      <w:r w:rsidR="00C17FC1" w:rsidRPr="009D223A">
        <w:rPr>
          <w:rFonts w:cstheme="minorHAnsi"/>
          <w:lang w:eastAsia="en-US"/>
        </w:rPr>
        <w:t xml:space="preserve">visual and geospatial data and information which may include (but is not limited to) satellite images, Google earth images, photographs, video footage </w:t>
      </w:r>
      <w:r w:rsidR="00E01E21" w:rsidRPr="00A0104F">
        <w:rPr>
          <w:rFonts w:cstheme="minorHAnsi"/>
          <w:lang w:eastAsia="en-US"/>
        </w:rPr>
        <w:t xml:space="preserve">of the damage sustained to the asset </w:t>
      </w:r>
      <w:r w:rsidR="00E01E21" w:rsidRPr="00A0104F">
        <w:rPr>
          <w:rFonts w:cstheme="minorHAnsi"/>
          <w:i/>
          <w:u w:val="single"/>
          <w:lang w:eastAsia="en-US"/>
        </w:rPr>
        <w:t>before</w:t>
      </w:r>
      <w:r w:rsidR="00E01E21" w:rsidRPr="00A0104F">
        <w:rPr>
          <w:rFonts w:cstheme="minorHAnsi"/>
          <w:i/>
          <w:lang w:eastAsia="en-US"/>
        </w:rPr>
        <w:t xml:space="preserve"> </w:t>
      </w:r>
      <w:r w:rsidR="00E01E21" w:rsidRPr="00A0104F">
        <w:rPr>
          <w:rFonts w:cstheme="minorHAnsi"/>
          <w:lang w:eastAsia="en-US"/>
        </w:rPr>
        <w:t>the restoration works on the asset are undertaken.</w:t>
      </w:r>
    </w:p>
    <w:p w:rsidR="0009569D" w:rsidRPr="00A0104F" w:rsidRDefault="00065193" w:rsidP="00A0104F">
      <w:pPr>
        <w:spacing w:before="100"/>
        <w:rPr>
          <w:rFonts w:eastAsia="Times New Roman" w:cstheme="minorHAnsi"/>
          <w:spacing w:val="0"/>
          <w:sz w:val="22"/>
          <w:szCs w:val="22"/>
        </w:rPr>
      </w:pPr>
      <w:r w:rsidRPr="00497FD1">
        <w:rPr>
          <w:rFonts w:eastAsia="Times New Roman" w:cstheme="minorHAnsi"/>
          <w:b/>
          <w:spacing w:val="0"/>
          <w:sz w:val="22"/>
          <w:szCs w:val="22"/>
        </w:rPr>
        <w:t xml:space="preserve">3. </w:t>
      </w:r>
      <w:r w:rsidR="0009569D" w:rsidRPr="00A0104F">
        <w:rPr>
          <w:rFonts w:eastAsia="Times New Roman" w:cstheme="minorHAnsi"/>
          <w:b/>
          <w:spacing w:val="0"/>
          <w:sz w:val="22"/>
          <w:szCs w:val="22"/>
        </w:rPr>
        <w:t>Post</w:t>
      </w:r>
      <w:r w:rsidR="00313A1F" w:rsidRPr="00A0104F">
        <w:rPr>
          <w:rFonts w:eastAsia="Times New Roman" w:cstheme="minorHAnsi"/>
          <w:b/>
          <w:spacing w:val="0"/>
          <w:sz w:val="22"/>
          <w:szCs w:val="22"/>
        </w:rPr>
        <w:t>-</w:t>
      </w:r>
      <w:r w:rsidR="0009569D" w:rsidRPr="00A0104F">
        <w:rPr>
          <w:rFonts w:eastAsia="Times New Roman" w:cstheme="minorHAnsi"/>
          <w:b/>
          <w:spacing w:val="0"/>
          <w:sz w:val="22"/>
          <w:szCs w:val="22"/>
        </w:rPr>
        <w:t>restoration condition</w:t>
      </w:r>
      <w:r w:rsidR="0009569D" w:rsidRPr="00A0104F">
        <w:rPr>
          <w:rFonts w:eastAsia="Times New Roman" w:cstheme="minorHAnsi"/>
          <w:spacing w:val="0"/>
          <w:sz w:val="22"/>
          <w:szCs w:val="22"/>
        </w:rPr>
        <w:t xml:space="preserve"> </w:t>
      </w:r>
    </w:p>
    <w:p w:rsidR="00C17FC1" w:rsidRPr="00A0104F" w:rsidRDefault="0009569D" w:rsidP="009D223A">
      <w:pPr>
        <w:jc w:val="both"/>
        <w:rPr>
          <w:rFonts w:cstheme="minorHAnsi"/>
          <w:lang w:eastAsia="en-US"/>
        </w:rPr>
      </w:pPr>
      <w:r w:rsidRPr="00A0104F">
        <w:rPr>
          <w:rFonts w:eastAsia="Times New Roman" w:cstheme="minorHAnsi"/>
          <w:spacing w:val="0"/>
        </w:rPr>
        <w:t>The post-restoration condition i</w:t>
      </w:r>
      <w:r w:rsidR="00313A1F" w:rsidRPr="00A0104F">
        <w:rPr>
          <w:rFonts w:eastAsia="Times New Roman" w:cstheme="minorHAnsi"/>
          <w:spacing w:val="0"/>
        </w:rPr>
        <w:t>s</w:t>
      </w:r>
      <w:r w:rsidRPr="00A0104F">
        <w:rPr>
          <w:rFonts w:eastAsia="Times New Roman" w:cstheme="minorHAnsi"/>
          <w:spacing w:val="0"/>
        </w:rPr>
        <w:t xml:space="preserve"> </w:t>
      </w:r>
      <w:r w:rsidR="00313A1F" w:rsidRPr="00A0104F">
        <w:rPr>
          <w:rFonts w:eastAsia="Times New Roman" w:cstheme="minorHAnsi"/>
          <w:spacing w:val="0"/>
        </w:rPr>
        <w:t xml:space="preserve">the </w:t>
      </w:r>
      <w:r w:rsidRPr="00A0104F">
        <w:rPr>
          <w:rFonts w:eastAsia="Times New Roman" w:cstheme="minorHAnsi"/>
          <w:spacing w:val="0"/>
        </w:rPr>
        <w:t xml:space="preserve">condition of the asset </w:t>
      </w:r>
      <w:r w:rsidR="00313A1F" w:rsidRPr="00A0104F">
        <w:rPr>
          <w:rFonts w:eastAsia="Times New Roman" w:cstheme="minorHAnsi"/>
          <w:i/>
          <w:spacing w:val="0"/>
          <w:u w:val="single"/>
        </w:rPr>
        <w:t>after</w:t>
      </w:r>
      <w:r w:rsidRPr="00A0104F">
        <w:rPr>
          <w:rFonts w:eastAsia="Times New Roman" w:cstheme="minorHAnsi"/>
          <w:spacing w:val="0"/>
        </w:rPr>
        <w:t xml:space="preserve"> the restoration work</w:t>
      </w:r>
      <w:r w:rsidR="00313A1F" w:rsidRPr="00A0104F">
        <w:rPr>
          <w:rFonts w:eastAsia="Times New Roman" w:cstheme="minorHAnsi"/>
          <w:spacing w:val="0"/>
        </w:rPr>
        <w:t xml:space="preserve">s </w:t>
      </w:r>
      <w:r w:rsidR="009C453F" w:rsidRPr="00A0104F">
        <w:rPr>
          <w:rFonts w:eastAsia="Times New Roman" w:cstheme="minorHAnsi"/>
          <w:spacing w:val="0"/>
        </w:rPr>
        <w:t>are undertaken</w:t>
      </w:r>
      <w:r w:rsidR="00313A1F" w:rsidRPr="00A0104F">
        <w:rPr>
          <w:rFonts w:eastAsia="Times New Roman" w:cstheme="minorHAnsi"/>
          <w:spacing w:val="0"/>
        </w:rPr>
        <w:t>.</w:t>
      </w:r>
      <w:r w:rsidR="009D223A" w:rsidRPr="00A0104F">
        <w:rPr>
          <w:rFonts w:eastAsia="Times New Roman" w:cstheme="minorHAnsi"/>
          <w:spacing w:val="0"/>
        </w:rPr>
        <w:t xml:space="preserve"> </w:t>
      </w:r>
      <w:r w:rsidR="00C17FC1" w:rsidRPr="00A0104F">
        <w:rPr>
          <w:rFonts w:cstheme="minorHAnsi"/>
          <w:lang w:eastAsia="en-US"/>
        </w:rPr>
        <w:t>Evidence demonstrating the post-restoration condition</w:t>
      </w:r>
      <w:r w:rsidR="00293A0A" w:rsidRPr="00A0104F">
        <w:rPr>
          <w:rFonts w:cstheme="minorHAnsi"/>
          <w:lang w:eastAsia="en-US"/>
        </w:rPr>
        <w:t xml:space="preserve"> of the asset</w:t>
      </w:r>
      <w:r w:rsidR="00C17FC1" w:rsidRPr="00A0104F">
        <w:rPr>
          <w:rFonts w:cstheme="minorHAnsi"/>
          <w:lang w:eastAsia="en-US"/>
        </w:rPr>
        <w:t xml:space="preserve"> includes </w:t>
      </w:r>
      <w:r w:rsidR="00C17FC1" w:rsidRPr="00A0104F">
        <w:rPr>
          <w:rFonts w:cstheme="minorHAnsi"/>
          <w:color w:val="000000"/>
        </w:rPr>
        <w:t xml:space="preserve">include </w:t>
      </w:r>
      <w:r w:rsidR="00C17FC1" w:rsidRPr="00A0104F">
        <w:rPr>
          <w:rFonts w:cstheme="minorHAnsi"/>
          <w:lang w:eastAsia="en-US"/>
        </w:rPr>
        <w:t xml:space="preserve">visual and geospatial data and information which may include (but is not limited to) satellite images, Google earth images, photographs, video footage of the asset </w:t>
      </w:r>
      <w:r w:rsidR="00C17FC1" w:rsidRPr="00A0104F">
        <w:rPr>
          <w:rFonts w:cstheme="minorHAnsi"/>
          <w:i/>
          <w:u w:val="single"/>
          <w:lang w:eastAsia="en-US"/>
        </w:rPr>
        <w:t>after</w:t>
      </w:r>
      <w:r w:rsidR="00C17FC1" w:rsidRPr="00A0104F">
        <w:rPr>
          <w:rFonts w:cstheme="minorHAnsi"/>
          <w:i/>
          <w:lang w:eastAsia="en-US"/>
        </w:rPr>
        <w:t xml:space="preserve"> </w:t>
      </w:r>
      <w:r w:rsidR="00C17FC1" w:rsidRPr="00A0104F">
        <w:rPr>
          <w:rFonts w:cstheme="minorHAnsi"/>
          <w:lang w:eastAsia="en-US"/>
        </w:rPr>
        <w:t>the restoration works on the asset are undertaken.</w:t>
      </w:r>
    </w:p>
    <w:p w:rsidR="00DF3FC8" w:rsidRPr="00DF3FC8" w:rsidRDefault="00013008" w:rsidP="00A0104F">
      <w:pPr>
        <w:pStyle w:val="Heading2"/>
      </w:pPr>
      <w:r>
        <w:t>C</w:t>
      </w:r>
      <w:r w:rsidR="00DF3FC8" w:rsidRPr="00A0104F">
        <w:t>urrent building and engineering standards</w:t>
      </w:r>
    </w:p>
    <w:p w:rsidR="00DF3FC8" w:rsidRPr="0057686D" w:rsidRDefault="00DF3FC8" w:rsidP="00A0104F">
      <w:pPr>
        <w:spacing w:before="100" w:line="260" w:lineRule="atLeast"/>
        <w:jc w:val="both"/>
        <w:rPr>
          <w:rFonts w:eastAsia="Times New Roman" w:cstheme="minorHAnsi"/>
          <w:spacing w:val="0"/>
          <w:lang w:eastAsia="en-US"/>
        </w:rPr>
      </w:pPr>
      <w:r w:rsidRPr="0057686D">
        <w:rPr>
          <w:rFonts w:eastAsia="Times New Roman" w:cstheme="minorHAnsi"/>
          <w:spacing w:val="0"/>
          <w:lang w:eastAsia="en-US"/>
        </w:rPr>
        <w:t xml:space="preserve">The allowance for ‘current engineering and building standards’ under the </w:t>
      </w:r>
      <w:r w:rsidR="00FA7725" w:rsidRPr="00A0104F">
        <w:rPr>
          <w:rFonts w:eastAsia="Times New Roman" w:cstheme="minorHAnsi"/>
          <w:spacing w:val="0"/>
          <w:lang w:eastAsia="en-US"/>
        </w:rPr>
        <w:t>NDFA/</w:t>
      </w:r>
      <w:r w:rsidRPr="0057686D">
        <w:rPr>
          <w:rFonts w:eastAsia="Times New Roman" w:cstheme="minorHAnsi"/>
          <w:spacing w:val="0"/>
          <w:lang w:eastAsia="en-US"/>
        </w:rPr>
        <w:t>NDRRA is intended to provide a modest level of flexibility to utilise ‘contemporary (rather than the use of obsolete or out-dated) construction methodologies and building materials’. For example, in the case of restoring or replacing a timber bridge asset, this may include using concrete or steel instead of timber.</w:t>
      </w:r>
    </w:p>
    <w:p w:rsidR="00DF3FC8" w:rsidRPr="0057686D" w:rsidRDefault="00DF3FC8" w:rsidP="00A0104F">
      <w:pPr>
        <w:spacing w:before="100" w:line="260" w:lineRule="atLeast"/>
        <w:jc w:val="both"/>
        <w:rPr>
          <w:rFonts w:eastAsia="Times New Roman" w:cstheme="minorHAnsi"/>
          <w:spacing w:val="0"/>
          <w:lang w:eastAsia="en-US"/>
        </w:rPr>
      </w:pPr>
      <w:r w:rsidRPr="0057686D">
        <w:rPr>
          <w:rFonts w:eastAsia="Times New Roman" w:cstheme="minorHAnsi"/>
          <w:spacing w:val="0"/>
          <w:lang w:eastAsia="en-US"/>
        </w:rPr>
        <w:t>In the situation where a damaged essential public asset cannot be reinstated in the same way, for example, due to site constraints, consideration may be given to a reasonable alternative, if agreement can be negotiated</w:t>
      </w:r>
      <w:r w:rsidR="00F5705C">
        <w:rPr>
          <w:rFonts w:eastAsia="Times New Roman" w:cstheme="minorHAnsi"/>
          <w:spacing w:val="0"/>
          <w:lang w:eastAsia="en-US"/>
        </w:rPr>
        <w:t xml:space="preserve"> with the Commonwealth. </w:t>
      </w:r>
      <w:r w:rsidR="002A5665">
        <w:rPr>
          <w:rFonts w:eastAsia="Times New Roman" w:cstheme="minorHAnsi"/>
          <w:spacing w:val="0"/>
          <w:lang w:eastAsia="en-US"/>
        </w:rPr>
        <w:t>CMAs</w:t>
      </w:r>
      <w:r w:rsidRPr="0057686D">
        <w:rPr>
          <w:rFonts w:eastAsia="Times New Roman" w:cstheme="minorHAnsi"/>
          <w:spacing w:val="0"/>
          <w:lang w:eastAsia="en-US"/>
        </w:rPr>
        <w:t xml:space="preserve"> should contact DTF</w:t>
      </w:r>
      <w:r w:rsidR="00F5705C">
        <w:rPr>
          <w:rFonts w:eastAsia="Times New Roman" w:cstheme="minorHAnsi"/>
          <w:spacing w:val="0"/>
          <w:lang w:eastAsia="en-US"/>
        </w:rPr>
        <w:t xml:space="preserve"> and VicRoads</w:t>
      </w:r>
      <w:r w:rsidRPr="0057686D">
        <w:rPr>
          <w:rFonts w:eastAsia="Times New Roman" w:cstheme="minorHAnsi"/>
          <w:spacing w:val="0"/>
          <w:lang w:eastAsia="en-US"/>
        </w:rPr>
        <w:t xml:space="preserve"> in this instance.</w:t>
      </w:r>
    </w:p>
    <w:p w:rsidR="00DF3FC8" w:rsidRPr="0057686D" w:rsidRDefault="00DF3FC8" w:rsidP="00A0104F">
      <w:pPr>
        <w:spacing w:before="100" w:line="260" w:lineRule="atLeast"/>
        <w:jc w:val="both"/>
        <w:rPr>
          <w:rFonts w:eastAsia="Times New Roman" w:cstheme="minorHAnsi"/>
          <w:spacing w:val="0"/>
          <w:lang w:eastAsia="en-US"/>
        </w:rPr>
      </w:pPr>
      <w:r w:rsidRPr="0057686D">
        <w:rPr>
          <w:rFonts w:eastAsia="Times New Roman" w:cstheme="minorHAnsi"/>
          <w:spacing w:val="0"/>
          <w:lang w:eastAsia="en-US"/>
        </w:rPr>
        <w:t xml:space="preserve">In addition, costs incurred in restoring or replacing an asset to a </w:t>
      </w:r>
      <w:r w:rsidRPr="0057686D">
        <w:rPr>
          <w:rFonts w:eastAsia="Times New Roman" w:cstheme="minorHAnsi"/>
          <w:b/>
          <w:spacing w:val="0"/>
          <w:u w:val="single"/>
          <w:lang w:eastAsia="en-US"/>
        </w:rPr>
        <w:t>more disaster resilient level</w:t>
      </w:r>
      <w:r w:rsidRPr="0057686D">
        <w:rPr>
          <w:rFonts w:eastAsia="Times New Roman" w:cstheme="minorHAnsi"/>
          <w:spacing w:val="0"/>
          <w:lang w:eastAsia="en-US"/>
        </w:rPr>
        <w:t xml:space="preserve"> (betterment) or </w:t>
      </w:r>
      <w:r w:rsidRPr="0057686D">
        <w:rPr>
          <w:rFonts w:eastAsia="Times New Roman" w:cstheme="minorHAnsi"/>
          <w:b/>
          <w:spacing w:val="0"/>
          <w:u w:val="single"/>
          <w:lang w:eastAsia="en-US"/>
        </w:rPr>
        <w:t>higher level of service</w:t>
      </w:r>
      <w:r w:rsidRPr="0057686D">
        <w:rPr>
          <w:rFonts w:eastAsia="Times New Roman" w:cstheme="minorHAnsi"/>
          <w:spacing w:val="0"/>
          <w:lang w:eastAsia="en-US"/>
        </w:rPr>
        <w:t xml:space="preserve"> (enhancement), unless otherwise agreed by the Victorian and Commonwealth Governments</w:t>
      </w:r>
      <w:r w:rsidRPr="0057686D">
        <w:rPr>
          <w:rFonts w:eastAsia="Times New Roman" w:cstheme="minorHAnsi"/>
          <w:spacing w:val="0"/>
          <w:vertAlign w:val="superscript"/>
          <w:lang w:eastAsia="en-US"/>
        </w:rPr>
        <w:footnoteReference w:id="1"/>
      </w:r>
      <w:r w:rsidRPr="0057686D">
        <w:rPr>
          <w:rFonts w:eastAsia="Times New Roman" w:cstheme="minorHAnsi"/>
          <w:spacing w:val="0"/>
          <w:lang w:eastAsia="en-US"/>
        </w:rPr>
        <w:t xml:space="preserve"> are </w:t>
      </w:r>
      <w:r w:rsidRPr="0057686D">
        <w:rPr>
          <w:rFonts w:eastAsia="Times New Roman" w:cstheme="minorHAnsi"/>
          <w:b/>
          <w:spacing w:val="0"/>
          <w:u w:val="single"/>
          <w:lang w:eastAsia="en-US"/>
        </w:rPr>
        <w:t>ineligible</w:t>
      </w:r>
      <w:r w:rsidR="00FA7725" w:rsidRPr="00A0104F">
        <w:rPr>
          <w:rFonts w:eastAsia="Times New Roman" w:cstheme="minorHAnsi"/>
          <w:b/>
          <w:spacing w:val="0"/>
          <w:lang w:eastAsia="en-US"/>
        </w:rPr>
        <w:t xml:space="preserve"> </w:t>
      </w:r>
      <w:r w:rsidR="00FA7725" w:rsidRPr="00A0104F">
        <w:rPr>
          <w:rFonts w:eastAsia="Times New Roman" w:cstheme="minorHAnsi"/>
          <w:spacing w:val="0"/>
          <w:lang w:eastAsia="en-US"/>
        </w:rPr>
        <w:t>for reimbursement</w:t>
      </w:r>
      <w:r w:rsidRPr="00A0104F">
        <w:rPr>
          <w:rFonts w:eastAsia="Times New Roman" w:cstheme="minorHAnsi"/>
          <w:b/>
          <w:spacing w:val="0"/>
          <w:lang w:eastAsia="en-US"/>
        </w:rPr>
        <w:t>.</w:t>
      </w:r>
    </w:p>
    <w:p w:rsidR="002E641F" w:rsidRPr="00A0104F" w:rsidRDefault="002E641F" w:rsidP="00A0104F">
      <w:pPr>
        <w:pStyle w:val="Heading2"/>
        <w:rPr>
          <w:rStyle w:val="Strong"/>
          <w:rFonts w:asciiTheme="minorHAnsi" w:eastAsiaTheme="minorEastAsia" w:hAnsiTheme="minorHAnsi" w:cstheme="minorHAnsi"/>
          <w:color w:val="00559A" w:themeColor="accent4" w:themeShade="BF"/>
          <w:szCs w:val="22"/>
          <w:lang w:val="en"/>
        </w:rPr>
      </w:pPr>
      <w:r w:rsidRPr="00A0104F">
        <w:rPr>
          <w:rStyle w:val="Strong"/>
          <w:rFonts w:asciiTheme="minorHAnsi" w:hAnsiTheme="minorHAnsi" w:cstheme="minorHAnsi"/>
          <w:b/>
          <w:color w:val="00559A" w:themeColor="accent4" w:themeShade="BF"/>
          <w:szCs w:val="22"/>
          <w:lang w:val="en"/>
        </w:rPr>
        <w:t xml:space="preserve">Position </w:t>
      </w:r>
      <w:r w:rsidR="00306273" w:rsidRPr="00A0104F">
        <w:rPr>
          <w:rStyle w:val="Strong"/>
          <w:rFonts w:asciiTheme="minorHAnsi" w:hAnsiTheme="minorHAnsi" w:cstheme="minorHAnsi"/>
          <w:b/>
          <w:color w:val="00559A" w:themeColor="accent4" w:themeShade="BF"/>
          <w:szCs w:val="22"/>
          <w:lang w:val="en"/>
        </w:rPr>
        <w:t>d</w:t>
      </w:r>
      <w:r w:rsidRPr="00A0104F">
        <w:rPr>
          <w:rStyle w:val="Strong"/>
          <w:rFonts w:asciiTheme="minorHAnsi" w:hAnsiTheme="minorHAnsi" w:cstheme="minorHAnsi"/>
          <w:b/>
          <w:color w:val="00559A" w:themeColor="accent4" w:themeShade="BF"/>
          <w:szCs w:val="22"/>
          <w:lang w:val="en"/>
        </w:rPr>
        <w:t>escriptions</w:t>
      </w:r>
      <w:r w:rsidR="00306273" w:rsidRPr="00A0104F">
        <w:rPr>
          <w:rStyle w:val="Strong"/>
          <w:rFonts w:asciiTheme="minorHAnsi" w:hAnsiTheme="minorHAnsi" w:cstheme="minorHAnsi"/>
          <w:b/>
          <w:color w:val="00559A" w:themeColor="accent4" w:themeShade="BF"/>
          <w:szCs w:val="22"/>
          <w:lang w:val="en"/>
        </w:rPr>
        <w:t xml:space="preserve"> and details of s</w:t>
      </w:r>
      <w:r w:rsidRPr="00A0104F">
        <w:rPr>
          <w:rStyle w:val="Strong"/>
          <w:rFonts w:asciiTheme="minorHAnsi" w:hAnsiTheme="minorHAnsi" w:cstheme="minorHAnsi"/>
          <w:b/>
          <w:color w:val="00559A" w:themeColor="accent4" w:themeShade="BF"/>
          <w:szCs w:val="22"/>
          <w:lang w:val="en"/>
        </w:rPr>
        <w:t xml:space="preserve">alary </w:t>
      </w:r>
      <w:r w:rsidR="00306273" w:rsidRPr="00A0104F">
        <w:rPr>
          <w:rStyle w:val="Strong"/>
          <w:rFonts w:asciiTheme="minorHAnsi" w:hAnsiTheme="minorHAnsi" w:cstheme="minorHAnsi"/>
          <w:b/>
          <w:color w:val="00559A" w:themeColor="accent4" w:themeShade="BF"/>
          <w:szCs w:val="22"/>
          <w:lang w:val="en"/>
        </w:rPr>
        <w:t>and o</w:t>
      </w:r>
      <w:r w:rsidRPr="00A0104F">
        <w:rPr>
          <w:rStyle w:val="Strong"/>
          <w:rFonts w:asciiTheme="minorHAnsi" w:hAnsiTheme="minorHAnsi" w:cstheme="minorHAnsi"/>
          <w:b/>
          <w:color w:val="00559A" w:themeColor="accent4" w:themeShade="BF"/>
          <w:szCs w:val="22"/>
          <w:lang w:val="en"/>
        </w:rPr>
        <w:t>vertime</w:t>
      </w:r>
      <w:r w:rsidR="00306273" w:rsidRPr="00A0104F">
        <w:rPr>
          <w:rStyle w:val="Strong"/>
          <w:rFonts w:asciiTheme="minorHAnsi" w:hAnsiTheme="minorHAnsi" w:cstheme="minorHAnsi"/>
          <w:b/>
          <w:color w:val="00559A" w:themeColor="accent4" w:themeShade="BF"/>
          <w:szCs w:val="22"/>
          <w:lang w:val="en"/>
        </w:rPr>
        <w:t xml:space="preserve"> costs</w:t>
      </w:r>
    </w:p>
    <w:p w:rsidR="00AD26AC" w:rsidRDefault="00C600BB" w:rsidP="00A0104F">
      <w:pPr>
        <w:pStyle w:val="NormalWeb"/>
        <w:spacing w:beforeAutospacing="0" w:afterAutospacing="0" w:line="276" w:lineRule="auto"/>
        <w:jc w:val="both"/>
        <w:rPr>
          <w:rStyle w:val="Strong"/>
          <w:rFonts w:asciiTheme="minorHAnsi" w:eastAsiaTheme="majorEastAsia" w:hAnsiTheme="minorHAnsi" w:cstheme="minorHAnsi"/>
          <w:b w:val="0"/>
          <w:bCs w:val="0"/>
          <w:color w:val="000000"/>
          <w:spacing w:val="2"/>
          <w:sz w:val="20"/>
          <w:szCs w:val="20"/>
          <w:lang w:val="en"/>
        </w:rPr>
      </w:pPr>
      <w:r w:rsidRPr="00A0104F">
        <w:rPr>
          <w:rStyle w:val="Strong"/>
          <w:rFonts w:asciiTheme="minorHAnsi" w:hAnsiTheme="minorHAnsi" w:cstheme="minorHAnsi"/>
          <w:b w:val="0"/>
          <w:color w:val="2F2F2F"/>
          <w:sz w:val="20"/>
          <w:szCs w:val="20"/>
          <w:lang w:val="en"/>
        </w:rPr>
        <w:t xml:space="preserve">Should your </w:t>
      </w:r>
      <w:r w:rsidR="002A5665">
        <w:rPr>
          <w:rStyle w:val="Strong"/>
          <w:rFonts w:asciiTheme="minorHAnsi" w:hAnsiTheme="minorHAnsi" w:cstheme="minorHAnsi"/>
          <w:b w:val="0"/>
          <w:color w:val="2F2F2F"/>
          <w:sz w:val="20"/>
          <w:szCs w:val="20"/>
          <w:lang w:val="en"/>
        </w:rPr>
        <w:t>CMA</w:t>
      </w:r>
      <w:r w:rsidR="0015441E" w:rsidRPr="00A0104F">
        <w:rPr>
          <w:rStyle w:val="Strong"/>
          <w:rFonts w:asciiTheme="minorHAnsi" w:hAnsiTheme="minorHAnsi" w:cstheme="minorHAnsi"/>
          <w:b w:val="0"/>
          <w:color w:val="2F2F2F"/>
          <w:sz w:val="20"/>
          <w:szCs w:val="20"/>
          <w:lang w:val="en"/>
        </w:rPr>
        <w:t xml:space="preserve"> </w:t>
      </w:r>
      <w:r w:rsidR="002E641F" w:rsidRPr="00A0104F">
        <w:rPr>
          <w:rStyle w:val="Strong"/>
          <w:rFonts w:asciiTheme="minorHAnsi" w:hAnsiTheme="minorHAnsi" w:cstheme="minorHAnsi"/>
          <w:b w:val="0"/>
          <w:color w:val="2F2F2F"/>
          <w:sz w:val="20"/>
          <w:szCs w:val="20"/>
          <w:lang w:val="en"/>
        </w:rPr>
        <w:t xml:space="preserve">need </w:t>
      </w:r>
      <w:r w:rsidR="002E641F" w:rsidRPr="00A0104F">
        <w:rPr>
          <w:rStyle w:val="Strong"/>
          <w:rFonts w:asciiTheme="minorHAnsi" w:hAnsiTheme="minorHAnsi" w:cstheme="minorHAnsi"/>
          <w:b w:val="0"/>
          <w:color w:val="000000"/>
          <w:sz w:val="20"/>
          <w:szCs w:val="20"/>
          <w:lang w:val="en"/>
        </w:rPr>
        <w:t>to create a position for the coordination of the clean</w:t>
      </w:r>
      <w:r w:rsidR="0015441E" w:rsidRPr="00A0104F">
        <w:rPr>
          <w:rStyle w:val="Strong"/>
          <w:rFonts w:asciiTheme="minorHAnsi" w:hAnsiTheme="minorHAnsi" w:cstheme="minorHAnsi"/>
          <w:b w:val="0"/>
          <w:color w:val="000000"/>
          <w:sz w:val="20"/>
          <w:szCs w:val="20"/>
          <w:lang w:val="en"/>
        </w:rPr>
        <w:t>-</w:t>
      </w:r>
      <w:r w:rsidR="002E641F" w:rsidRPr="00A0104F">
        <w:rPr>
          <w:rStyle w:val="Strong"/>
          <w:rFonts w:asciiTheme="minorHAnsi" w:hAnsiTheme="minorHAnsi" w:cstheme="minorHAnsi"/>
          <w:b w:val="0"/>
          <w:color w:val="000000"/>
          <w:sz w:val="20"/>
          <w:szCs w:val="20"/>
          <w:lang w:val="en"/>
        </w:rPr>
        <w:t xml:space="preserve">up and restoration of essential public assets as part of the </w:t>
      </w:r>
      <w:r w:rsidRPr="00A0104F">
        <w:rPr>
          <w:rStyle w:val="Strong"/>
          <w:rFonts w:asciiTheme="minorHAnsi" w:hAnsiTheme="minorHAnsi" w:cstheme="minorHAnsi"/>
          <w:b w:val="0"/>
          <w:color w:val="000000"/>
          <w:sz w:val="20"/>
          <w:szCs w:val="20"/>
          <w:lang w:val="en"/>
        </w:rPr>
        <w:t>natural disaster</w:t>
      </w:r>
      <w:r w:rsidR="002E641F" w:rsidRPr="00A0104F">
        <w:rPr>
          <w:rStyle w:val="Strong"/>
          <w:rFonts w:asciiTheme="minorHAnsi" w:hAnsiTheme="minorHAnsi" w:cstheme="minorHAnsi"/>
          <w:b w:val="0"/>
          <w:color w:val="000000"/>
          <w:sz w:val="20"/>
          <w:szCs w:val="20"/>
          <w:lang w:val="en"/>
        </w:rPr>
        <w:t xml:space="preserve"> recovery process, please ensure that a copy of the Position Description (PD) is forwarded to </w:t>
      </w:r>
      <w:r w:rsidR="005C27C9" w:rsidRPr="00A0104F">
        <w:rPr>
          <w:rStyle w:val="Strong"/>
          <w:rFonts w:asciiTheme="minorHAnsi" w:hAnsiTheme="minorHAnsi" w:cstheme="minorHAnsi"/>
          <w:b w:val="0"/>
          <w:color w:val="000000"/>
          <w:sz w:val="20"/>
          <w:szCs w:val="20"/>
          <w:lang w:val="en"/>
        </w:rPr>
        <w:t>the Department of Treasury and Finance (</w:t>
      </w:r>
      <w:r w:rsidR="002E641F" w:rsidRPr="00A0104F">
        <w:rPr>
          <w:rStyle w:val="Strong"/>
          <w:rFonts w:asciiTheme="minorHAnsi" w:hAnsiTheme="minorHAnsi" w:cstheme="minorHAnsi"/>
          <w:b w:val="0"/>
          <w:color w:val="000000"/>
          <w:sz w:val="20"/>
          <w:szCs w:val="20"/>
          <w:lang w:val="en"/>
        </w:rPr>
        <w:t>DTF</w:t>
      </w:r>
      <w:r w:rsidR="005C27C9" w:rsidRPr="00A0104F">
        <w:rPr>
          <w:rStyle w:val="Strong"/>
          <w:rFonts w:asciiTheme="minorHAnsi" w:hAnsiTheme="minorHAnsi" w:cstheme="minorHAnsi"/>
          <w:b w:val="0"/>
          <w:color w:val="000000"/>
          <w:sz w:val="20"/>
          <w:szCs w:val="20"/>
          <w:lang w:val="en"/>
        </w:rPr>
        <w:t>)</w:t>
      </w:r>
      <w:r w:rsidR="002E641F" w:rsidRPr="00A0104F">
        <w:rPr>
          <w:rStyle w:val="Strong"/>
          <w:rFonts w:asciiTheme="minorHAnsi" w:hAnsiTheme="minorHAnsi" w:cstheme="minorHAnsi"/>
          <w:b w:val="0"/>
          <w:color w:val="000000"/>
          <w:sz w:val="20"/>
          <w:szCs w:val="20"/>
          <w:lang w:val="en"/>
        </w:rPr>
        <w:t xml:space="preserve"> </w:t>
      </w:r>
      <w:r w:rsidR="002E641F" w:rsidRPr="00A0104F">
        <w:rPr>
          <w:rStyle w:val="Strong"/>
          <w:rFonts w:asciiTheme="minorHAnsi" w:hAnsiTheme="minorHAnsi" w:cstheme="minorHAnsi"/>
          <w:b w:val="0"/>
          <w:i/>
          <w:color w:val="000000"/>
          <w:sz w:val="20"/>
          <w:szCs w:val="20"/>
          <w:lang w:val="en"/>
        </w:rPr>
        <w:t xml:space="preserve">prior to </w:t>
      </w:r>
      <w:r w:rsidR="00013008">
        <w:rPr>
          <w:rStyle w:val="Strong"/>
          <w:rFonts w:asciiTheme="minorHAnsi" w:hAnsiTheme="minorHAnsi" w:cstheme="minorHAnsi"/>
          <w:b w:val="0"/>
          <w:i/>
          <w:color w:val="000000"/>
          <w:sz w:val="20"/>
          <w:szCs w:val="20"/>
          <w:lang w:val="en"/>
        </w:rPr>
        <w:t>the role commencing</w:t>
      </w:r>
      <w:r w:rsidR="002E641F" w:rsidRPr="00A0104F">
        <w:rPr>
          <w:rStyle w:val="Strong"/>
          <w:rFonts w:asciiTheme="minorHAnsi" w:hAnsiTheme="minorHAnsi" w:cstheme="minorHAnsi"/>
          <w:b w:val="0"/>
          <w:color w:val="000000"/>
          <w:sz w:val="20"/>
          <w:szCs w:val="20"/>
          <w:lang w:val="en"/>
        </w:rPr>
        <w:t>. </w:t>
      </w:r>
    </w:p>
    <w:p w:rsidR="00013008" w:rsidRDefault="002E641F" w:rsidP="00A0104F">
      <w:pPr>
        <w:pStyle w:val="NormalWeb"/>
        <w:spacing w:beforeAutospacing="0" w:afterAutospacing="0" w:line="276" w:lineRule="auto"/>
        <w:jc w:val="both"/>
        <w:rPr>
          <w:rStyle w:val="Strong"/>
          <w:rFonts w:asciiTheme="minorHAnsi" w:hAnsiTheme="minorHAnsi" w:cstheme="minorHAnsi"/>
          <w:b w:val="0"/>
          <w:color w:val="000000"/>
          <w:sz w:val="20"/>
          <w:szCs w:val="20"/>
          <w:lang w:val="en"/>
        </w:rPr>
      </w:pPr>
      <w:r w:rsidRPr="00A0104F">
        <w:rPr>
          <w:rStyle w:val="Strong"/>
          <w:rFonts w:asciiTheme="minorHAnsi" w:hAnsiTheme="minorHAnsi" w:cstheme="minorHAnsi"/>
          <w:b w:val="0"/>
          <w:color w:val="000000"/>
          <w:sz w:val="20"/>
          <w:szCs w:val="20"/>
          <w:lang w:val="en"/>
        </w:rPr>
        <w:t>Once approved, the PD</w:t>
      </w:r>
      <w:r w:rsidR="00C600BB" w:rsidRPr="00A0104F">
        <w:rPr>
          <w:rStyle w:val="Strong"/>
          <w:rFonts w:asciiTheme="minorHAnsi" w:hAnsiTheme="minorHAnsi" w:cstheme="minorHAnsi"/>
          <w:b w:val="0"/>
          <w:color w:val="000000"/>
          <w:sz w:val="20"/>
          <w:szCs w:val="20"/>
          <w:lang w:val="en"/>
        </w:rPr>
        <w:t>s</w:t>
      </w:r>
      <w:r w:rsidRPr="00A0104F">
        <w:rPr>
          <w:rStyle w:val="Strong"/>
          <w:rFonts w:asciiTheme="minorHAnsi" w:hAnsiTheme="minorHAnsi" w:cstheme="minorHAnsi"/>
          <w:b w:val="0"/>
          <w:color w:val="000000"/>
          <w:sz w:val="20"/>
          <w:szCs w:val="20"/>
          <w:lang w:val="en"/>
        </w:rPr>
        <w:t xml:space="preserve"> </w:t>
      </w:r>
      <w:r w:rsidR="004C52A1" w:rsidRPr="00A0104F">
        <w:rPr>
          <w:rStyle w:val="Strong"/>
          <w:rFonts w:asciiTheme="minorHAnsi" w:hAnsiTheme="minorHAnsi" w:cstheme="minorHAnsi"/>
          <w:b w:val="0"/>
          <w:color w:val="000000"/>
          <w:sz w:val="20"/>
          <w:szCs w:val="20"/>
          <w:lang w:val="en"/>
        </w:rPr>
        <w:t xml:space="preserve">can be saved to FileShare </w:t>
      </w:r>
      <w:r w:rsidR="00623ADB">
        <w:rPr>
          <w:rStyle w:val="Strong"/>
          <w:rFonts w:asciiTheme="minorHAnsi" w:hAnsiTheme="minorHAnsi" w:cstheme="minorHAnsi"/>
          <w:b w:val="0"/>
          <w:color w:val="000000"/>
          <w:sz w:val="20"/>
          <w:szCs w:val="20"/>
          <w:lang w:val="en"/>
        </w:rPr>
        <w:t>in</w:t>
      </w:r>
      <w:r w:rsidR="004C52A1" w:rsidRPr="00A0104F">
        <w:rPr>
          <w:rStyle w:val="Strong"/>
          <w:rFonts w:asciiTheme="minorHAnsi" w:hAnsiTheme="minorHAnsi" w:cstheme="minorHAnsi"/>
          <w:b w:val="0"/>
          <w:color w:val="000000"/>
          <w:sz w:val="20"/>
          <w:szCs w:val="20"/>
          <w:lang w:val="en"/>
        </w:rPr>
        <w:t xml:space="preserve"> your entities folder</w:t>
      </w:r>
      <w:r w:rsidRPr="00A0104F">
        <w:rPr>
          <w:rStyle w:val="Strong"/>
          <w:rFonts w:asciiTheme="minorHAnsi" w:hAnsiTheme="minorHAnsi" w:cstheme="minorHAnsi"/>
          <w:b w:val="0"/>
          <w:color w:val="000000"/>
          <w:sz w:val="20"/>
          <w:szCs w:val="20"/>
          <w:lang w:val="en"/>
        </w:rPr>
        <w:t>.</w:t>
      </w:r>
      <w:r w:rsidR="00013008">
        <w:rPr>
          <w:rStyle w:val="Strong"/>
          <w:rFonts w:asciiTheme="minorHAnsi" w:hAnsiTheme="minorHAnsi" w:cstheme="minorHAnsi"/>
          <w:b w:val="0"/>
          <w:color w:val="000000"/>
          <w:sz w:val="20"/>
          <w:szCs w:val="20"/>
          <w:lang w:val="en"/>
        </w:rPr>
        <w:t xml:space="preserve"> Further information regarding what should </w:t>
      </w:r>
      <w:r w:rsidR="00A0104F">
        <w:rPr>
          <w:rStyle w:val="Strong"/>
          <w:rFonts w:asciiTheme="minorHAnsi" w:hAnsiTheme="minorHAnsi" w:cstheme="minorHAnsi"/>
          <w:b w:val="0"/>
          <w:color w:val="000000"/>
          <w:sz w:val="20"/>
          <w:szCs w:val="20"/>
          <w:lang w:val="en"/>
        </w:rPr>
        <w:t xml:space="preserve">be </w:t>
      </w:r>
      <w:bookmarkStart w:id="1" w:name="_GoBack"/>
      <w:bookmarkEnd w:id="1"/>
      <w:r w:rsidR="00013008">
        <w:rPr>
          <w:rStyle w:val="Strong"/>
          <w:rFonts w:asciiTheme="minorHAnsi" w:hAnsiTheme="minorHAnsi" w:cstheme="minorHAnsi"/>
          <w:b w:val="0"/>
          <w:color w:val="000000"/>
          <w:sz w:val="20"/>
          <w:szCs w:val="20"/>
          <w:lang w:val="en"/>
        </w:rPr>
        <w:t>included in the PD is outlined in the guidance “Salaries and wages”.</w:t>
      </w:r>
    </w:p>
    <w:p w:rsidR="00306273" w:rsidRPr="00A0104F" w:rsidRDefault="0015441E" w:rsidP="00A0104F">
      <w:pPr>
        <w:pStyle w:val="NormalWeb"/>
        <w:spacing w:before="0" w:beforeAutospacing="0" w:after="0" w:afterAutospacing="0" w:line="276" w:lineRule="auto"/>
        <w:jc w:val="both"/>
        <w:rPr>
          <w:rStyle w:val="Strong"/>
          <w:rFonts w:asciiTheme="minorHAnsi" w:hAnsiTheme="minorHAnsi" w:cstheme="minorHAnsi"/>
          <w:b w:val="0"/>
          <w:sz w:val="20"/>
          <w:szCs w:val="20"/>
          <w:lang w:val="en"/>
        </w:rPr>
      </w:pPr>
      <w:r w:rsidRPr="00A0104F">
        <w:rPr>
          <w:rStyle w:val="Strong"/>
          <w:rFonts w:asciiTheme="minorHAnsi" w:hAnsiTheme="minorHAnsi" w:cstheme="minorHAnsi"/>
          <w:b w:val="0"/>
          <w:sz w:val="20"/>
          <w:szCs w:val="20"/>
          <w:lang w:val="en"/>
        </w:rPr>
        <w:t>Please</w:t>
      </w:r>
      <w:r w:rsidR="00FE21EC" w:rsidRPr="00A0104F">
        <w:rPr>
          <w:rStyle w:val="Strong"/>
          <w:rFonts w:asciiTheme="minorHAnsi" w:hAnsiTheme="minorHAnsi" w:cstheme="minorHAnsi"/>
          <w:b w:val="0"/>
          <w:sz w:val="20"/>
          <w:szCs w:val="20"/>
          <w:lang w:val="en"/>
        </w:rPr>
        <w:t xml:space="preserve"> ensure the </w:t>
      </w:r>
      <w:r w:rsidRPr="00A0104F">
        <w:rPr>
          <w:rStyle w:val="Strong"/>
          <w:rFonts w:asciiTheme="minorHAnsi" w:hAnsiTheme="minorHAnsi" w:cstheme="minorHAnsi"/>
          <w:b w:val="0"/>
          <w:sz w:val="20"/>
          <w:szCs w:val="20"/>
          <w:lang w:val="en"/>
        </w:rPr>
        <w:t>e</w:t>
      </w:r>
      <w:r w:rsidR="00FE21EC" w:rsidRPr="00A0104F">
        <w:rPr>
          <w:rStyle w:val="Strong"/>
          <w:rFonts w:asciiTheme="minorHAnsi" w:hAnsiTheme="minorHAnsi" w:cstheme="minorHAnsi"/>
          <w:b w:val="0"/>
          <w:sz w:val="20"/>
          <w:szCs w:val="20"/>
          <w:lang w:val="en"/>
        </w:rPr>
        <w:t xml:space="preserve">mployee </w:t>
      </w:r>
      <w:r w:rsidRPr="00A0104F">
        <w:rPr>
          <w:rStyle w:val="Strong"/>
          <w:rFonts w:asciiTheme="minorHAnsi" w:hAnsiTheme="minorHAnsi" w:cstheme="minorHAnsi"/>
          <w:b w:val="0"/>
          <w:sz w:val="20"/>
          <w:szCs w:val="20"/>
          <w:lang w:val="en"/>
        </w:rPr>
        <w:t>n</w:t>
      </w:r>
      <w:r w:rsidR="00FE21EC" w:rsidRPr="00A0104F">
        <w:rPr>
          <w:rStyle w:val="Strong"/>
          <w:rFonts w:asciiTheme="minorHAnsi" w:hAnsiTheme="minorHAnsi" w:cstheme="minorHAnsi"/>
          <w:b w:val="0"/>
          <w:sz w:val="20"/>
          <w:szCs w:val="20"/>
          <w:lang w:val="en"/>
        </w:rPr>
        <w:t>ame, date, amount, and the activity undertaken whilst on overtime are included</w:t>
      </w:r>
      <w:r w:rsidR="00991E06" w:rsidRPr="00A0104F">
        <w:rPr>
          <w:rStyle w:val="Strong"/>
          <w:rFonts w:asciiTheme="minorHAnsi" w:hAnsiTheme="minorHAnsi" w:cstheme="minorHAnsi"/>
          <w:b w:val="0"/>
          <w:sz w:val="20"/>
          <w:szCs w:val="20"/>
          <w:lang w:val="en"/>
        </w:rPr>
        <w:t xml:space="preserve"> in each claim for salary or overtime cost reimbursement</w:t>
      </w:r>
      <w:r w:rsidR="00FE21EC" w:rsidRPr="00A0104F">
        <w:rPr>
          <w:rStyle w:val="Strong"/>
          <w:rFonts w:asciiTheme="minorHAnsi" w:hAnsiTheme="minorHAnsi" w:cstheme="minorHAnsi"/>
          <w:b w:val="0"/>
          <w:sz w:val="20"/>
          <w:szCs w:val="20"/>
          <w:lang w:val="en"/>
        </w:rPr>
        <w:t xml:space="preserve">.  Alternatively, timesheets can be attached, </w:t>
      </w:r>
      <w:r w:rsidR="002E641F" w:rsidRPr="00A0104F">
        <w:rPr>
          <w:rStyle w:val="Strong"/>
          <w:rFonts w:asciiTheme="minorHAnsi" w:hAnsiTheme="minorHAnsi" w:cstheme="minorHAnsi"/>
          <w:b w:val="0"/>
          <w:sz w:val="20"/>
          <w:szCs w:val="20"/>
          <w:lang w:val="en"/>
        </w:rPr>
        <w:t xml:space="preserve">provided </w:t>
      </w:r>
      <w:r w:rsidRPr="00A0104F">
        <w:rPr>
          <w:rStyle w:val="Strong"/>
          <w:rFonts w:asciiTheme="minorHAnsi" w:hAnsiTheme="minorHAnsi" w:cstheme="minorHAnsi"/>
          <w:b w:val="0"/>
          <w:sz w:val="20"/>
          <w:szCs w:val="20"/>
          <w:lang w:val="en"/>
        </w:rPr>
        <w:t>they</w:t>
      </w:r>
      <w:r w:rsidR="00FE21EC" w:rsidRPr="00A0104F">
        <w:rPr>
          <w:rStyle w:val="Strong"/>
          <w:rFonts w:asciiTheme="minorHAnsi" w:hAnsiTheme="minorHAnsi" w:cstheme="minorHAnsi"/>
          <w:b w:val="0"/>
          <w:sz w:val="20"/>
          <w:szCs w:val="20"/>
          <w:lang w:val="en"/>
        </w:rPr>
        <w:t xml:space="preserve"> include the required </w:t>
      </w:r>
      <w:r w:rsidR="002E641F" w:rsidRPr="00A0104F">
        <w:rPr>
          <w:rStyle w:val="Strong"/>
          <w:rFonts w:asciiTheme="minorHAnsi" w:hAnsiTheme="minorHAnsi" w:cstheme="minorHAnsi"/>
          <w:b w:val="0"/>
          <w:sz w:val="20"/>
          <w:szCs w:val="20"/>
          <w:lang w:val="en"/>
        </w:rPr>
        <w:t>information (i</w:t>
      </w:r>
      <w:r w:rsidRPr="00A0104F">
        <w:rPr>
          <w:rStyle w:val="Strong"/>
          <w:rFonts w:asciiTheme="minorHAnsi" w:hAnsiTheme="minorHAnsi" w:cstheme="minorHAnsi"/>
          <w:b w:val="0"/>
          <w:sz w:val="20"/>
          <w:szCs w:val="20"/>
          <w:lang w:val="en"/>
        </w:rPr>
        <w:t>.</w:t>
      </w:r>
      <w:r w:rsidR="002E641F" w:rsidRPr="00A0104F">
        <w:rPr>
          <w:rStyle w:val="Strong"/>
          <w:rFonts w:asciiTheme="minorHAnsi" w:hAnsiTheme="minorHAnsi" w:cstheme="minorHAnsi"/>
          <w:b w:val="0"/>
          <w:sz w:val="20"/>
          <w:szCs w:val="20"/>
          <w:lang w:val="en"/>
        </w:rPr>
        <w:t xml:space="preserve">e. </w:t>
      </w:r>
      <w:r w:rsidRPr="00A0104F">
        <w:rPr>
          <w:rStyle w:val="Strong"/>
          <w:rFonts w:asciiTheme="minorHAnsi" w:hAnsiTheme="minorHAnsi" w:cstheme="minorHAnsi"/>
          <w:b w:val="0"/>
          <w:sz w:val="20"/>
          <w:szCs w:val="20"/>
          <w:lang w:val="en"/>
        </w:rPr>
        <w:t>employee</w:t>
      </w:r>
      <w:r w:rsidR="002E641F" w:rsidRPr="00A0104F">
        <w:rPr>
          <w:rStyle w:val="Strong"/>
          <w:rFonts w:asciiTheme="minorHAnsi" w:hAnsiTheme="minorHAnsi" w:cstheme="minorHAnsi"/>
          <w:b w:val="0"/>
          <w:sz w:val="20"/>
          <w:szCs w:val="20"/>
          <w:lang w:val="en"/>
        </w:rPr>
        <w:t xml:space="preserve"> </w:t>
      </w:r>
      <w:r w:rsidRPr="00A0104F">
        <w:rPr>
          <w:rStyle w:val="Strong"/>
          <w:rFonts w:asciiTheme="minorHAnsi" w:hAnsiTheme="minorHAnsi" w:cstheme="minorHAnsi"/>
          <w:b w:val="0"/>
          <w:sz w:val="20"/>
          <w:szCs w:val="20"/>
          <w:lang w:val="en"/>
        </w:rPr>
        <w:t xml:space="preserve">name </w:t>
      </w:r>
      <w:r w:rsidR="00FE21EC" w:rsidRPr="00A0104F">
        <w:rPr>
          <w:rStyle w:val="Strong"/>
          <w:rFonts w:asciiTheme="minorHAnsi" w:hAnsiTheme="minorHAnsi" w:cstheme="minorHAnsi"/>
          <w:b w:val="0"/>
          <w:sz w:val="20"/>
          <w:szCs w:val="20"/>
          <w:lang w:val="en"/>
        </w:rPr>
        <w:t>which can be easily ma</w:t>
      </w:r>
      <w:r w:rsidR="002E641F" w:rsidRPr="00A0104F">
        <w:rPr>
          <w:rStyle w:val="Strong"/>
          <w:rFonts w:asciiTheme="minorHAnsi" w:hAnsiTheme="minorHAnsi" w:cstheme="minorHAnsi"/>
          <w:b w:val="0"/>
          <w:sz w:val="20"/>
          <w:szCs w:val="20"/>
          <w:lang w:val="en"/>
        </w:rPr>
        <w:t xml:space="preserve">tched to </w:t>
      </w:r>
      <w:r w:rsidRPr="00A0104F">
        <w:rPr>
          <w:rStyle w:val="Strong"/>
          <w:rFonts w:asciiTheme="minorHAnsi" w:hAnsiTheme="minorHAnsi" w:cstheme="minorHAnsi"/>
          <w:b w:val="0"/>
          <w:sz w:val="20"/>
          <w:szCs w:val="20"/>
          <w:lang w:val="en"/>
        </w:rPr>
        <w:t>the</w:t>
      </w:r>
      <w:r w:rsidR="002E641F" w:rsidRPr="00A0104F">
        <w:rPr>
          <w:rStyle w:val="Strong"/>
          <w:rFonts w:asciiTheme="minorHAnsi" w:hAnsiTheme="minorHAnsi" w:cstheme="minorHAnsi"/>
          <w:b w:val="0"/>
          <w:sz w:val="20"/>
          <w:szCs w:val="20"/>
          <w:lang w:val="en"/>
        </w:rPr>
        <w:t xml:space="preserve"> ledger).</w:t>
      </w:r>
    </w:p>
    <w:p w:rsidR="002E641F" w:rsidRPr="00A0104F" w:rsidRDefault="002E641F" w:rsidP="00A0104F">
      <w:pPr>
        <w:pStyle w:val="NormalWeb"/>
        <w:spacing w:before="0" w:beforeAutospacing="0" w:after="0" w:afterAutospacing="0" w:line="276" w:lineRule="auto"/>
        <w:ind w:left="360"/>
        <w:jc w:val="both"/>
        <w:rPr>
          <w:rFonts w:asciiTheme="minorHAnsi" w:hAnsiTheme="minorHAnsi" w:cstheme="minorHAnsi"/>
          <w:color w:val="222222"/>
          <w:sz w:val="22"/>
          <w:szCs w:val="22"/>
          <w:lang w:val="en"/>
        </w:rPr>
      </w:pPr>
    </w:p>
    <w:p w:rsidR="009D223A" w:rsidRDefault="00FE21EC">
      <w:pPr>
        <w:spacing w:before="0" w:after="200"/>
        <w:rPr>
          <w:rStyle w:val="Strong"/>
          <w:rFonts w:ascii="Times New Roman" w:eastAsia="Times New Roman" w:hAnsi="Times New Roman" w:cstheme="minorHAnsi"/>
          <w:b w:val="0"/>
          <w:color w:val="2F2F2F"/>
          <w:spacing w:val="0"/>
          <w:sz w:val="22"/>
          <w:szCs w:val="22"/>
          <w:lang w:val="en"/>
        </w:rPr>
      </w:pPr>
      <w:r w:rsidRPr="00A0104F">
        <w:rPr>
          <w:rStyle w:val="Strong"/>
          <w:rFonts w:eastAsia="Times New Roman" w:cstheme="minorHAnsi"/>
          <w:color w:val="2F2F2F"/>
          <w:spacing w:val="0"/>
          <w:sz w:val="22"/>
          <w:szCs w:val="22"/>
          <w:lang w:val="en"/>
        </w:rPr>
        <w:t xml:space="preserve">Please contact </w:t>
      </w:r>
      <w:r w:rsidR="00C600BB" w:rsidRPr="00A0104F">
        <w:rPr>
          <w:rStyle w:val="Strong"/>
          <w:rFonts w:eastAsia="Times New Roman" w:cstheme="minorHAnsi"/>
          <w:color w:val="2F2F2F"/>
          <w:spacing w:val="0"/>
          <w:sz w:val="22"/>
          <w:szCs w:val="22"/>
          <w:lang w:val="en"/>
        </w:rPr>
        <w:t xml:space="preserve">the </w:t>
      </w:r>
      <w:r w:rsidRPr="00A0104F">
        <w:rPr>
          <w:rStyle w:val="Strong"/>
          <w:rFonts w:eastAsia="Times New Roman" w:cstheme="minorHAnsi"/>
          <w:color w:val="2F2F2F"/>
          <w:spacing w:val="0"/>
          <w:sz w:val="22"/>
          <w:szCs w:val="22"/>
          <w:lang w:val="en"/>
        </w:rPr>
        <w:t>NDFA Team if you have any queries relating to the NDFA process on</w:t>
      </w:r>
      <w:r w:rsidR="002E641F" w:rsidRPr="00A0104F">
        <w:rPr>
          <w:rStyle w:val="Strong"/>
          <w:rFonts w:eastAsia="Times New Roman" w:cstheme="minorHAnsi"/>
          <w:color w:val="2F2F2F"/>
          <w:spacing w:val="0"/>
          <w:sz w:val="22"/>
          <w:szCs w:val="22"/>
          <w:lang w:val="en"/>
        </w:rPr>
        <w:t xml:space="preserve"> </w:t>
      </w:r>
      <w:r w:rsidR="00013008">
        <w:rPr>
          <w:rStyle w:val="Strong"/>
          <w:rFonts w:cstheme="minorHAnsi"/>
          <w:color w:val="2F2F2F"/>
          <w:sz w:val="22"/>
          <w:szCs w:val="22"/>
          <w:lang w:val="en"/>
        </w:rPr>
        <w:t>(</w:t>
      </w:r>
      <w:r w:rsidRPr="00A0104F">
        <w:rPr>
          <w:rStyle w:val="Strong"/>
          <w:rFonts w:eastAsia="Times New Roman" w:cstheme="minorHAnsi"/>
          <w:color w:val="2F2F2F"/>
          <w:spacing w:val="0"/>
          <w:sz w:val="22"/>
          <w:szCs w:val="22"/>
          <w:lang w:val="en"/>
        </w:rPr>
        <w:t>03</w:t>
      </w:r>
      <w:r w:rsidR="00013008">
        <w:rPr>
          <w:rStyle w:val="Strong"/>
          <w:rFonts w:cstheme="minorHAnsi"/>
          <w:color w:val="2F2F2F"/>
          <w:sz w:val="22"/>
          <w:szCs w:val="22"/>
          <w:lang w:val="en"/>
        </w:rPr>
        <w:t>)</w:t>
      </w:r>
      <w:r w:rsidRPr="00A0104F">
        <w:rPr>
          <w:rStyle w:val="Strong"/>
          <w:rFonts w:eastAsia="Times New Roman" w:cstheme="minorHAnsi"/>
          <w:color w:val="2F2F2F"/>
          <w:spacing w:val="0"/>
          <w:sz w:val="22"/>
          <w:szCs w:val="22"/>
          <w:lang w:val="en"/>
        </w:rPr>
        <w:t xml:space="preserve"> </w:t>
      </w:r>
      <w:r w:rsidRPr="00A0104F">
        <w:rPr>
          <w:rStyle w:val="Strong"/>
          <w:rFonts w:eastAsia="Times New Roman" w:cstheme="minorHAnsi"/>
          <w:color w:val="000000" w:themeColor="text1"/>
          <w:spacing w:val="0"/>
          <w:sz w:val="22"/>
          <w:szCs w:val="22"/>
          <w:lang w:val="en"/>
        </w:rPr>
        <w:t xml:space="preserve">9651 2327 or at </w:t>
      </w:r>
      <w:hyperlink r:id="rId8" w:history="1">
        <w:r w:rsidRPr="00A0104F">
          <w:rPr>
            <w:rStyle w:val="Hyperlink"/>
            <w:rFonts w:eastAsia="Times New Roman" w:cstheme="minorHAnsi"/>
            <w:b/>
            <w:bCs/>
            <w:color w:val="000000" w:themeColor="text1"/>
            <w:spacing w:val="0"/>
            <w:sz w:val="22"/>
            <w:szCs w:val="22"/>
            <w:lang w:val="en"/>
          </w:rPr>
          <w:t>ndfa@dtf.vic.gov.au</w:t>
        </w:r>
      </w:hyperlink>
      <w:r w:rsidRPr="00A0104F">
        <w:rPr>
          <w:rStyle w:val="Strong"/>
          <w:rFonts w:eastAsia="Times New Roman" w:cstheme="minorHAnsi"/>
          <w:color w:val="000000" w:themeColor="text1"/>
          <w:spacing w:val="0"/>
          <w:sz w:val="22"/>
          <w:szCs w:val="22"/>
          <w:lang w:val="en"/>
        </w:rPr>
        <w:t>.</w:t>
      </w:r>
      <w:r w:rsidRPr="00A0104F">
        <w:rPr>
          <w:rFonts w:eastAsia="Times New Roman" w:cstheme="minorHAnsi"/>
          <w:b/>
          <w:bCs/>
          <w:color w:val="000000" w:themeColor="text1"/>
          <w:spacing w:val="0"/>
          <w:sz w:val="22"/>
          <w:szCs w:val="22"/>
          <w:lang w:val="en"/>
        </w:rPr>
        <w:br/>
      </w:r>
      <w:r w:rsidR="009D223A">
        <w:rPr>
          <w:rStyle w:val="Strong"/>
          <w:rFonts w:ascii="Times New Roman" w:eastAsia="Times New Roman" w:hAnsi="Times New Roman" w:cstheme="minorHAnsi"/>
          <w:b w:val="0"/>
          <w:color w:val="2F2F2F"/>
          <w:spacing w:val="0"/>
          <w:sz w:val="22"/>
          <w:szCs w:val="22"/>
          <w:lang w:val="en"/>
        </w:rPr>
        <w:br w:type="page"/>
      </w:r>
    </w:p>
    <w:p w:rsidR="009D223A" w:rsidRDefault="009D223A" w:rsidP="00A0104F">
      <w:pPr>
        <w:spacing w:before="0" w:after="200"/>
        <w:jc w:val="both"/>
        <w:rPr>
          <w:rStyle w:val="Strong"/>
          <w:rFonts w:ascii="Times New Roman" w:eastAsia="Times New Roman" w:hAnsi="Times New Roman" w:cstheme="minorHAnsi"/>
          <w:b w:val="0"/>
          <w:color w:val="2F2F2F"/>
          <w:spacing w:val="0"/>
          <w:sz w:val="22"/>
          <w:szCs w:val="22"/>
          <w:lang w:val="en"/>
        </w:rPr>
      </w:pPr>
    </w:p>
    <w:bookmarkEnd w:id="0"/>
    <w:p w:rsidR="00D45375" w:rsidRPr="00A0104F" w:rsidRDefault="00D45375" w:rsidP="00A0104F">
      <w:pPr>
        <w:spacing w:before="0" w:after="200"/>
        <w:jc w:val="both"/>
        <w:rPr>
          <w:rStyle w:val="Hyperlink"/>
          <w:rFonts w:eastAsia="Times New Roman" w:cstheme="minorHAnsi"/>
          <w:b/>
          <w:bCs/>
          <w:spacing w:val="0"/>
          <w:sz w:val="22"/>
          <w:szCs w:val="22"/>
          <w:lang w:val="en"/>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0"/>
        <w:gridCol w:w="645"/>
        <w:gridCol w:w="774"/>
      </w:tblGrid>
      <w:tr w:rsidR="0015441E" w:rsidRPr="00B33AF4" w:rsidTr="00A0104F">
        <w:trPr>
          <w:trHeight w:val="423"/>
        </w:trPr>
        <w:tc>
          <w:tcPr>
            <w:tcW w:w="7529" w:type="dxa"/>
            <w:gridSpan w:val="3"/>
          </w:tcPr>
          <w:p w:rsidR="0015441E" w:rsidRDefault="00623ADB" w:rsidP="00A0104F">
            <w:pPr>
              <w:pStyle w:val="NormalWeb"/>
              <w:spacing w:before="0" w:beforeAutospacing="0" w:after="0" w:afterAutospacing="0" w:line="276" w:lineRule="auto"/>
              <w:jc w:val="center"/>
              <w:rPr>
                <w:rStyle w:val="Strong"/>
                <w:rFonts w:asciiTheme="minorHAnsi" w:eastAsiaTheme="minorEastAsia" w:hAnsiTheme="minorHAnsi" w:cstheme="minorHAnsi"/>
                <w:color w:val="00559A" w:themeColor="accent4" w:themeShade="BF"/>
                <w:spacing w:val="2"/>
                <w:sz w:val="20"/>
                <w:szCs w:val="20"/>
                <w:lang w:val="en"/>
              </w:rPr>
            </w:pPr>
            <w:r>
              <w:rPr>
                <w:rStyle w:val="Strong"/>
                <w:rFonts w:asciiTheme="minorHAnsi" w:hAnsiTheme="minorHAnsi" w:cstheme="minorHAnsi"/>
                <w:color w:val="00559A" w:themeColor="accent4" w:themeShade="BF"/>
                <w:lang w:val="en"/>
              </w:rPr>
              <w:t>C</w:t>
            </w:r>
            <w:r w:rsidRPr="000E47B3">
              <w:rPr>
                <w:rStyle w:val="Strong"/>
                <w:rFonts w:asciiTheme="minorHAnsi" w:hAnsiTheme="minorHAnsi" w:cstheme="minorHAnsi"/>
                <w:color w:val="00559A" w:themeColor="accent4" w:themeShade="BF"/>
                <w:lang w:val="en"/>
              </w:rPr>
              <w:t xml:space="preserve">hecklist for </w:t>
            </w:r>
            <w:r w:rsidR="002A5665">
              <w:rPr>
                <w:rStyle w:val="Strong"/>
                <w:rFonts w:asciiTheme="minorHAnsi" w:hAnsiTheme="minorHAnsi" w:cstheme="minorHAnsi"/>
                <w:color w:val="00559A" w:themeColor="accent4" w:themeShade="BF"/>
                <w:lang w:val="en"/>
              </w:rPr>
              <w:t>CMAs</w:t>
            </w:r>
            <w:r>
              <w:rPr>
                <w:rStyle w:val="Strong"/>
                <w:rFonts w:asciiTheme="minorHAnsi" w:hAnsiTheme="minorHAnsi" w:cstheme="minorHAnsi"/>
                <w:color w:val="00559A" w:themeColor="accent4" w:themeShade="BF"/>
                <w:lang w:val="en"/>
              </w:rPr>
              <w:t>:</w:t>
            </w:r>
            <w:r>
              <w:rPr>
                <w:rStyle w:val="Strong"/>
                <w:rFonts w:asciiTheme="minorHAnsi" w:hAnsiTheme="minorHAnsi" w:cstheme="minorHAnsi"/>
                <w:color w:val="00559A" w:themeColor="accent4" w:themeShade="BF"/>
                <w:lang w:val="en"/>
              </w:rPr>
              <w:br/>
            </w:r>
            <w:r w:rsidRPr="00B33AF4">
              <w:rPr>
                <w:rStyle w:val="Strong"/>
                <w:rFonts w:asciiTheme="minorHAnsi" w:hAnsiTheme="minorHAnsi" w:cstheme="minorHAnsi"/>
                <w:color w:val="00559A" w:themeColor="accent4" w:themeShade="BF"/>
                <w:lang w:val="en"/>
              </w:rPr>
              <w:t xml:space="preserve"> </w:t>
            </w:r>
            <w:r w:rsidR="0015441E" w:rsidRPr="00A0104F">
              <w:rPr>
                <w:rStyle w:val="Strong"/>
                <w:rFonts w:asciiTheme="minorHAnsi" w:hAnsiTheme="minorHAnsi" w:cstheme="minorHAnsi"/>
                <w:color w:val="00559A" w:themeColor="accent4" w:themeShade="BF"/>
                <w:lang w:val="en"/>
              </w:rPr>
              <w:t xml:space="preserve">Supporting documentation </w:t>
            </w:r>
            <w:r>
              <w:rPr>
                <w:rStyle w:val="Strong"/>
                <w:rFonts w:asciiTheme="minorHAnsi" w:hAnsiTheme="minorHAnsi" w:cstheme="minorHAnsi"/>
                <w:color w:val="00559A" w:themeColor="accent4" w:themeShade="BF"/>
                <w:lang w:val="en"/>
              </w:rPr>
              <w:t>for NDFA claims</w:t>
            </w:r>
          </w:p>
          <w:p w:rsidR="00623ADB" w:rsidRPr="00A0104F" w:rsidRDefault="00623ADB" w:rsidP="00A0104F">
            <w:pPr>
              <w:pStyle w:val="NormalWeb"/>
              <w:spacing w:before="0" w:beforeAutospacing="0" w:after="0" w:afterAutospacing="0" w:line="276" w:lineRule="auto"/>
              <w:jc w:val="center"/>
              <w:rPr>
                <w:rStyle w:val="Strong"/>
                <w:rFonts w:asciiTheme="minorHAnsi" w:eastAsiaTheme="minorEastAsia" w:hAnsiTheme="minorHAnsi" w:cstheme="minorHAnsi"/>
                <w:b w:val="0"/>
                <w:color w:val="00559A" w:themeColor="accent4" w:themeShade="BF"/>
                <w:spacing w:val="2"/>
                <w:sz w:val="18"/>
                <w:szCs w:val="18"/>
                <w:lang w:val="en"/>
              </w:rPr>
            </w:pPr>
            <w:r w:rsidRPr="00A0104F">
              <w:rPr>
                <w:rStyle w:val="Strong"/>
                <w:rFonts w:asciiTheme="minorHAnsi" w:hAnsiTheme="minorHAnsi" w:cstheme="minorHAnsi"/>
                <w:b w:val="0"/>
                <w:color w:val="00559A" w:themeColor="accent4" w:themeShade="BF"/>
                <w:sz w:val="18"/>
                <w:szCs w:val="18"/>
                <w:lang w:val="en"/>
              </w:rPr>
              <w:t xml:space="preserve">(all documentation required to be </w:t>
            </w:r>
            <w:r w:rsidR="00B03B65">
              <w:rPr>
                <w:rStyle w:val="Strong"/>
                <w:rFonts w:asciiTheme="minorHAnsi" w:hAnsiTheme="minorHAnsi" w:cstheme="minorHAnsi"/>
                <w:b w:val="0"/>
                <w:color w:val="00559A" w:themeColor="accent4" w:themeShade="BF"/>
                <w:sz w:val="18"/>
                <w:szCs w:val="18"/>
                <w:lang w:val="en"/>
              </w:rPr>
              <w:t>included</w:t>
            </w:r>
            <w:r w:rsidRPr="00A0104F">
              <w:rPr>
                <w:rStyle w:val="Strong"/>
                <w:rFonts w:asciiTheme="minorHAnsi" w:hAnsiTheme="minorHAnsi" w:cstheme="minorHAnsi"/>
                <w:b w:val="0"/>
                <w:color w:val="00559A" w:themeColor="accent4" w:themeShade="BF"/>
                <w:sz w:val="18"/>
                <w:szCs w:val="18"/>
                <w:lang w:val="en"/>
              </w:rPr>
              <w:t xml:space="preserve"> with each claim </w:t>
            </w:r>
            <w:r w:rsidR="00B03B65">
              <w:rPr>
                <w:rStyle w:val="Strong"/>
                <w:rFonts w:asciiTheme="minorHAnsi" w:hAnsiTheme="minorHAnsi" w:cstheme="minorHAnsi"/>
                <w:b w:val="0"/>
                <w:color w:val="00559A" w:themeColor="accent4" w:themeShade="BF"/>
                <w:sz w:val="18"/>
                <w:szCs w:val="18"/>
                <w:lang w:val="en"/>
              </w:rPr>
              <w:t>lodged in</w:t>
            </w:r>
            <w:r w:rsidRPr="00A0104F">
              <w:rPr>
                <w:rStyle w:val="Strong"/>
                <w:rFonts w:asciiTheme="minorHAnsi" w:hAnsiTheme="minorHAnsi" w:cstheme="minorHAnsi"/>
                <w:b w:val="0"/>
                <w:color w:val="00559A" w:themeColor="accent4" w:themeShade="BF"/>
                <w:sz w:val="18"/>
                <w:szCs w:val="18"/>
                <w:lang w:val="en"/>
              </w:rPr>
              <w:t xml:space="preserve"> the ACMS)</w:t>
            </w:r>
          </w:p>
        </w:tc>
      </w:tr>
      <w:tr w:rsidR="00991E06" w:rsidRPr="00B33AF4" w:rsidTr="00A0104F">
        <w:trPr>
          <w:trHeight w:val="3249"/>
        </w:trPr>
        <w:tc>
          <w:tcPr>
            <w:tcW w:w="6110" w:type="dxa"/>
            <w:tcBorders>
              <w:right w:val="dashed" w:sz="4" w:space="0" w:color="auto"/>
            </w:tcBorders>
          </w:tcPr>
          <w:p w:rsidR="00165623" w:rsidRPr="00A0104F" w:rsidRDefault="00165623" w:rsidP="00A0104F">
            <w:pPr>
              <w:pStyle w:val="NormalWeb"/>
              <w:spacing w:line="276" w:lineRule="auto"/>
              <w:jc w:val="both"/>
              <w:rPr>
                <w:rStyle w:val="Strong"/>
                <w:rFonts w:ascii="Arial" w:hAnsi="Arial" w:cs="Arial"/>
                <w:b w:val="0"/>
                <w:color w:val="000000" w:themeColor="text1"/>
                <w:sz w:val="20"/>
                <w:szCs w:val="20"/>
                <w:lang w:val="en"/>
              </w:rPr>
            </w:pPr>
          </w:p>
          <w:p w:rsidR="00165623" w:rsidRPr="00A0104F" w:rsidRDefault="00165623" w:rsidP="00165623">
            <w:pPr>
              <w:pStyle w:val="ListParagraph"/>
              <w:numPr>
                <w:ilvl w:val="0"/>
                <w:numId w:val="62"/>
              </w:numPr>
              <w:rPr>
                <w:rStyle w:val="Strong"/>
                <w:rFonts w:ascii="Arial" w:hAnsi="Arial" w:cs="Arial"/>
                <w:b w:val="0"/>
                <w:lang w:val="en"/>
              </w:rPr>
            </w:pPr>
            <w:r w:rsidRPr="00A0104F">
              <w:rPr>
                <w:rStyle w:val="Strong"/>
                <w:rFonts w:ascii="Arial" w:hAnsi="Arial" w:cs="Arial"/>
                <w:b w:val="0"/>
                <w:lang w:val="en"/>
              </w:rPr>
              <w:t>Evidence of the event and impact on the local government area:</w:t>
            </w:r>
          </w:p>
          <w:p w:rsidR="00165623" w:rsidRPr="00A0104F" w:rsidRDefault="00165623" w:rsidP="00165623">
            <w:pPr>
              <w:pStyle w:val="ListParagraph"/>
              <w:numPr>
                <w:ilvl w:val="0"/>
                <w:numId w:val="63"/>
              </w:numPr>
              <w:ind w:left="1178" w:hanging="458"/>
              <w:rPr>
                <w:rStyle w:val="Strong"/>
                <w:rFonts w:ascii="Arial" w:hAnsi="Arial" w:cs="Arial"/>
                <w:b w:val="0"/>
                <w:spacing w:val="0"/>
                <w:lang w:val="en"/>
              </w:rPr>
            </w:pPr>
            <w:r w:rsidRPr="00A0104F">
              <w:rPr>
                <w:rStyle w:val="Strong"/>
                <w:rFonts w:ascii="Arial" w:hAnsi="Arial" w:cs="Arial"/>
                <w:b w:val="0"/>
                <w:lang w:val="en"/>
              </w:rPr>
              <w:t>local media articles</w:t>
            </w:r>
          </w:p>
          <w:p w:rsidR="00165623" w:rsidRPr="00A0104F" w:rsidRDefault="00165623" w:rsidP="00165623">
            <w:pPr>
              <w:pStyle w:val="ListParagraph"/>
              <w:numPr>
                <w:ilvl w:val="0"/>
                <w:numId w:val="63"/>
              </w:numPr>
              <w:ind w:left="1178" w:hanging="458"/>
              <w:rPr>
                <w:rStyle w:val="Strong"/>
                <w:rFonts w:ascii="Arial" w:hAnsi="Arial" w:cs="Arial"/>
                <w:b w:val="0"/>
                <w:spacing w:val="0"/>
                <w:lang w:val="en"/>
              </w:rPr>
            </w:pPr>
            <w:r w:rsidRPr="00A0104F">
              <w:rPr>
                <w:rStyle w:val="Strong"/>
                <w:rFonts w:ascii="Arial" w:hAnsi="Arial" w:cs="Arial"/>
                <w:b w:val="0"/>
                <w:lang w:val="en"/>
              </w:rPr>
              <w:t>State Emergency Service</w:t>
            </w:r>
          </w:p>
          <w:p w:rsidR="00165623" w:rsidRPr="00A0104F" w:rsidRDefault="00165623" w:rsidP="00165623">
            <w:pPr>
              <w:pStyle w:val="ListParagraph"/>
              <w:numPr>
                <w:ilvl w:val="0"/>
                <w:numId w:val="63"/>
              </w:numPr>
              <w:ind w:left="1178" w:hanging="458"/>
              <w:rPr>
                <w:rStyle w:val="Strong"/>
                <w:rFonts w:ascii="Arial" w:hAnsi="Arial" w:cs="Arial"/>
                <w:b w:val="0"/>
                <w:spacing w:val="0"/>
                <w:lang w:val="en"/>
              </w:rPr>
            </w:pPr>
            <w:r w:rsidRPr="00A0104F">
              <w:rPr>
                <w:rStyle w:val="Strong"/>
                <w:rFonts w:ascii="Arial" w:hAnsi="Arial" w:cs="Arial"/>
                <w:b w:val="0"/>
                <w:lang w:val="en"/>
              </w:rPr>
              <w:t xml:space="preserve">Bureau of Meteorology </w:t>
            </w:r>
          </w:p>
          <w:p w:rsidR="00165623" w:rsidRPr="00A0104F" w:rsidRDefault="00165623" w:rsidP="00A0104F">
            <w:pPr>
              <w:pStyle w:val="ListParagraph"/>
              <w:rPr>
                <w:rStyle w:val="Strong"/>
                <w:rFonts w:ascii="Arial" w:hAnsi="Arial" w:cs="Arial"/>
                <w:b w:val="0"/>
                <w:spacing w:val="0"/>
                <w:lang w:val="en"/>
              </w:rPr>
            </w:pPr>
          </w:p>
          <w:p w:rsidR="00165623" w:rsidRPr="00A0104F" w:rsidRDefault="00165623" w:rsidP="00165623">
            <w:pPr>
              <w:pStyle w:val="ListParagraph"/>
              <w:numPr>
                <w:ilvl w:val="0"/>
                <w:numId w:val="62"/>
              </w:numPr>
              <w:rPr>
                <w:rStyle w:val="Strong"/>
                <w:rFonts w:ascii="Arial" w:hAnsi="Arial" w:cs="Arial"/>
                <w:b w:val="0"/>
                <w:spacing w:val="0"/>
                <w:lang w:val="en"/>
              </w:rPr>
            </w:pPr>
            <w:r w:rsidRPr="00A0104F">
              <w:rPr>
                <w:rStyle w:val="Strong"/>
                <w:rFonts w:ascii="Arial" w:hAnsi="Arial" w:cs="Arial"/>
                <w:b w:val="0"/>
                <w:lang w:val="en"/>
              </w:rPr>
              <w:t>Details of expenditure incurred, which provides a direct link to the eligible activities undertaken:</w:t>
            </w:r>
          </w:p>
          <w:p w:rsidR="00165623" w:rsidRPr="00A0104F" w:rsidRDefault="00165623" w:rsidP="00165623">
            <w:pPr>
              <w:ind w:left="360"/>
              <w:rPr>
                <w:rStyle w:val="Strong"/>
                <w:rFonts w:ascii="Arial" w:hAnsi="Arial" w:cs="Arial"/>
                <w:lang w:val="en"/>
              </w:rPr>
            </w:pPr>
            <w:r w:rsidRPr="00A0104F">
              <w:rPr>
                <w:rStyle w:val="Strong"/>
                <w:rFonts w:ascii="Arial" w:hAnsi="Arial" w:cs="Arial"/>
                <w:lang w:val="en"/>
              </w:rPr>
              <w:t>For all relief and recovery activities</w:t>
            </w:r>
          </w:p>
          <w:p w:rsidR="00165623" w:rsidRPr="00A0104F" w:rsidRDefault="00165623" w:rsidP="00165623">
            <w:pPr>
              <w:pStyle w:val="ListParagraph"/>
              <w:numPr>
                <w:ilvl w:val="0"/>
                <w:numId w:val="61"/>
              </w:numPr>
              <w:ind w:left="1178" w:hanging="458"/>
              <w:rPr>
                <w:rStyle w:val="Strong"/>
                <w:rFonts w:ascii="Arial" w:hAnsi="Arial" w:cs="Arial"/>
                <w:b w:val="0"/>
                <w:spacing w:val="0"/>
                <w:lang w:val="en"/>
              </w:rPr>
            </w:pPr>
            <w:r w:rsidRPr="00A0104F">
              <w:rPr>
                <w:rStyle w:val="Strong"/>
                <w:rFonts w:ascii="Arial" w:hAnsi="Arial" w:cs="Arial"/>
                <w:b w:val="0"/>
                <w:lang w:val="en"/>
              </w:rPr>
              <w:t>Detailed general ledger reports and/or a transaction listing (in excel format.</w:t>
            </w:r>
          </w:p>
          <w:p w:rsidR="00165623" w:rsidRPr="00A0104F" w:rsidRDefault="00165623" w:rsidP="00165623">
            <w:pPr>
              <w:pStyle w:val="ListParagraph"/>
              <w:numPr>
                <w:ilvl w:val="0"/>
                <w:numId w:val="61"/>
              </w:numPr>
              <w:ind w:left="1178" w:hanging="458"/>
              <w:rPr>
                <w:rStyle w:val="Strong"/>
                <w:rFonts w:ascii="Arial" w:hAnsi="Arial" w:cs="Arial"/>
                <w:b w:val="0"/>
                <w:spacing w:val="0"/>
                <w:lang w:val="en"/>
              </w:rPr>
            </w:pPr>
            <w:r w:rsidRPr="00A0104F">
              <w:rPr>
                <w:rStyle w:val="Strong"/>
                <w:rFonts w:ascii="Arial" w:hAnsi="Arial" w:cs="Arial"/>
                <w:b w:val="0"/>
                <w:lang w:val="en"/>
              </w:rPr>
              <w:t>All external invoices associated with relief and recovery activities.</w:t>
            </w:r>
          </w:p>
          <w:p w:rsidR="00165623" w:rsidRPr="00A0104F" w:rsidRDefault="00165623" w:rsidP="00165623">
            <w:pPr>
              <w:pStyle w:val="ListParagraph"/>
              <w:numPr>
                <w:ilvl w:val="0"/>
                <w:numId w:val="61"/>
              </w:numPr>
              <w:ind w:left="1178" w:hanging="458"/>
              <w:rPr>
                <w:rStyle w:val="Strong"/>
                <w:rFonts w:ascii="Arial" w:hAnsi="Arial" w:cs="Arial"/>
                <w:b w:val="0"/>
                <w:spacing w:val="0"/>
                <w:lang w:val="en"/>
              </w:rPr>
            </w:pPr>
            <w:r w:rsidRPr="00A0104F">
              <w:rPr>
                <w:rStyle w:val="Strong"/>
                <w:rFonts w:ascii="Arial" w:hAnsi="Arial" w:cs="Arial"/>
                <w:b w:val="0"/>
                <w:lang w:val="en"/>
              </w:rPr>
              <w:t>All timesheets relating to the general ledger as well as position descriptions associated with undertaking relief and recovery activities.</w:t>
            </w:r>
          </w:p>
          <w:p w:rsidR="00165623" w:rsidRPr="00A0104F" w:rsidRDefault="00165623" w:rsidP="00165623">
            <w:pPr>
              <w:pStyle w:val="ListParagraph"/>
              <w:numPr>
                <w:ilvl w:val="0"/>
                <w:numId w:val="61"/>
              </w:numPr>
              <w:ind w:left="1178" w:hanging="458"/>
              <w:rPr>
                <w:rStyle w:val="Strong"/>
                <w:rFonts w:ascii="Arial" w:eastAsiaTheme="majorEastAsia" w:hAnsi="Arial" w:cs="Arial"/>
                <w:b w:val="0"/>
                <w:bCs w:val="0"/>
                <w:lang w:val="en"/>
              </w:rPr>
            </w:pPr>
            <w:r w:rsidRPr="00A0104F">
              <w:rPr>
                <w:rStyle w:val="Strong"/>
                <w:rFonts w:ascii="Arial" w:hAnsi="Arial" w:cs="Arial"/>
                <w:b w:val="0"/>
                <w:lang w:val="en"/>
              </w:rPr>
              <w:t>all administrative data that supports the transactions including contract/work orders, timesheets and minutes of meetings.</w:t>
            </w:r>
          </w:p>
          <w:p w:rsidR="00165623" w:rsidRPr="00A0104F" w:rsidRDefault="00165623" w:rsidP="00165623">
            <w:pPr>
              <w:ind w:left="360"/>
              <w:rPr>
                <w:rStyle w:val="Strong"/>
                <w:rFonts w:ascii="Arial" w:hAnsi="Arial" w:cs="Arial"/>
                <w:lang w:val="en"/>
              </w:rPr>
            </w:pPr>
            <w:r w:rsidRPr="00A0104F">
              <w:rPr>
                <w:rStyle w:val="Strong"/>
                <w:rFonts w:ascii="Arial" w:hAnsi="Arial" w:cs="Arial"/>
                <w:lang w:val="en"/>
              </w:rPr>
              <w:t xml:space="preserve">For Restoration of Essential Public Assets </w:t>
            </w:r>
            <w:r w:rsidRPr="00A0104F">
              <w:rPr>
                <w:rStyle w:val="Strong"/>
                <w:rFonts w:ascii="Arial" w:hAnsi="Arial" w:cs="Arial"/>
                <w:u w:val="single"/>
                <w:lang w:val="en"/>
              </w:rPr>
              <w:t>in addition to the above documentation</w:t>
            </w:r>
          </w:p>
          <w:p w:rsidR="00165623" w:rsidRPr="00A0104F" w:rsidRDefault="00165623" w:rsidP="00165623">
            <w:pPr>
              <w:pStyle w:val="ListParagraph"/>
              <w:numPr>
                <w:ilvl w:val="0"/>
                <w:numId w:val="61"/>
              </w:numPr>
              <w:ind w:left="1178" w:hanging="458"/>
              <w:rPr>
                <w:rStyle w:val="Strong"/>
                <w:rFonts w:ascii="Arial" w:hAnsi="Arial" w:cs="Arial"/>
                <w:b w:val="0"/>
                <w:spacing w:val="0"/>
                <w:lang w:val="en"/>
              </w:rPr>
            </w:pPr>
            <w:r w:rsidRPr="00A0104F">
              <w:rPr>
                <w:rStyle w:val="Strong"/>
                <w:rFonts w:ascii="Arial" w:hAnsi="Arial" w:cs="Arial"/>
                <w:b w:val="0"/>
                <w:lang w:val="en"/>
              </w:rPr>
              <w:t>Detailed general ledger reports and/or a transaction listing (in excel format.</w:t>
            </w:r>
          </w:p>
          <w:p w:rsidR="00165623" w:rsidRPr="00A0104F" w:rsidRDefault="00165623" w:rsidP="00165623">
            <w:pPr>
              <w:pStyle w:val="ListParagraph"/>
              <w:numPr>
                <w:ilvl w:val="0"/>
                <w:numId w:val="61"/>
              </w:numPr>
              <w:ind w:left="1178" w:hanging="458"/>
              <w:rPr>
                <w:rStyle w:val="Strong"/>
                <w:rFonts w:ascii="Arial" w:hAnsi="Arial" w:cs="Arial"/>
                <w:b w:val="0"/>
                <w:spacing w:val="0"/>
                <w:lang w:val="en"/>
              </w:rPr>
            </w:pPr>
            <w:r w:rsidRPr="00A0104F">
              <w:rPr>
                <w:rStyle w:val="Strong"/>
                <w:rFonts w:ascii="Arial" w:hAnsi="Arial" w:cs="Arial"/>
                <w:b w:val="0"/>
                <w:lang w:val="en"/>
              </w:rPr>
              <w:t>All external invoices associated with relief and recovery activities.</w:t>
            </w:r>
          </w:p>
          <w:p w:rsidR="00165623" w:rsidRPr="00A0104F" w:rsidRDefault="00165623" w:rsidP="00165623">
            <w:pPr>
              <w:pStyle w:val="ListParagraph"/>
              <w:numPr>
                <w:ilvl w:val="0"/>
                <w:numId w:val="61"/>
              </w:numPr>
              <w:ind w:left="1178" w:hanging="458"/>
              <w:rPr>
                <w:rStyle w:val="Strong"/>
                <w:rFonts w:ascii="Arial" w:hAnsi="Arial" w:cs="Arial"/>
                <w:b w:val="0"/>
                <w:spacing w:val="0"/>
                <w:lang w:val="en"/>
              </w:rPr>
            </w:pPr>
            <w:r w:rsidRPr="00A0104F">
              <w:rPr>
                <w:rStyle w:val="Strong"/>
                <w:rFonts w:ascii="Arial" w:hAnsi="Arial" w:cs="Arial"/>
                <w:b w:val="0"/>
                <w:lang w:val="en"/>
              </w:rPr>
              <w:t>Pre-disaster condition, the post-disaster condition, and post-restoration condition of the asset.</w:t>
            </w:r>
          </w:p>
          <w:p w:rsidR="00165623" w:rsidRPr="00A0104F" w:rsidRDefault="00165623" w:rsidP="00165623">
            <w:pPr>
              <w:pStyle w:val="ListParagraph"/>
              <w:numPr>
                <w:ilvl w:val="0"/>
                <w:numId w:val="61"/>
              </w:numPr>
              <w:ind w:left="1178" w:hanging="458"/>
              <w:rPr>
                <w:rStyle w:val="Strong"/>
                <w:rFonts w:ascii="Arial" w:hAnsi="Arial" w:cs="Arial"/>
                <w:b w:val="0"/>
                <w:spacing w:val="0"/>
                <w:lang w:val="en"/>
              </w:rPr>
            </w:pPr>
            <w:r w:rsidRPr="00A0104F">
              <w:rPr>
                <w:rStyle w:val="Strong"/>
                <w:rFonts w:ascii="Arial" w:hAnsi="Arial" w:cs="Arial"/>
                <w:b w:val="0"/>
                <w:lang w:val="en"/>
              </w:rPr>
              <w:t>Evidence that restoration has been undertaken using current engineering and design standards and not betterment.</w:t>
            </w:r>
          </w:p>
          <w:p w:rsidR="00165623" w:rsidRPr="00A0104F" w:rsidRDefault="00165623" w:rsidP="00165623">
            <w:pPr>
              <w:pStyle w:val="ListParagraph"/>
              <w:rPr>
                <w:rStyle w:val="Strong"/>
                <w:rFonts w:ascii="Arial" w:hAnsi="Arial" w:cs="Arial"/>
                <w:b w:val="0"/>
                <w:lang w:val="en"/>
              </w:rPr>
            </w:pPr>
          </w:p>
          <w:p w:rsidR="00165623" w:rsidRPr="00A0104F" w:rsidRDefault="00165623" w:rsidP="00165623">
            <w:pPr>
              <w:pStyle w:val="ListParagraph"/>
              <w:numPr>
                <w:ilvl w:val="0"/>
                <w:numId w:val="62"/>
              </w:numPr>
              <w:rPr>
                <w:rStyle w:val="Strong"/>
                <w:rFonts w:ascii="Arial" w:hAnsi="Arial" w:cs="Arial"/>
                <w:b w:val="0"/>
                <w:lang w:val="en"/>
              </w:rPr>
            </w:pPr>
            <w:r w:rsidRPr="00A0104F">
              <w:rPr>
                <w:rStyle w:val="Strong"/>
                <w:rFonts w:ascii="Arial" w:hAnsi="Arial" w:cs="Arial"/>
                <w:b w:val="0"/>
                <w:lang w:val="en"/>
              </w:rPr>
              <w:t>Mitigation strategies i.e. disaster resilience plans, risk profiles and hazard mapping.</w:t>
            </w:r>
          </w:p>
          <w:p w:rsidR="00991E06" w:rsidRPr="00A0104F" w:rsidRDefault="00991E06" w:rsidP="00A0104F">
            <w:pPr>
              <w:pStyle w:val="NormalWeb"/>
              <w:spacing w:line="276" w:lineRule="auto"/>
              <w:jc w:val="both"/>
              <w:rPr>
                <w:rStyle w:val="Strong"/>
                <w:rFonts w:ascii="Arial" w:hAnsi="Arial" w:cs="Arial"/>
                <w:b w:val="0"/>
                <w:color w:val="00559A" w:themeColor="accent4" w:themeShade="BF"/>
                <w:sz w:val="20"/>
                <w:szCs w:val="20"/>
                <w:lang w:val="en"/>
              </w:rPr>
            </w:pPr>
          </w:p>
        </w:tc>
        <w:tc>
          <w:tcPr>
            <w:tcW w:w="645" w:type="dxa"/>
            <w:tcBorders>
              <w:left w:val="dashed" w:sz="4" w:space="0" w:color="auto"/>
              <w:right w:val="dashed" w:sz="4" w:space="0" w:color="auto"/>
            </w:tcBorders>
          </w:tcPr>
          <w:p w:rsidR="00991E06" w:rsidRPr="00A0104F" w:rsidRDefault="00991E06" w:rsidP="00A0104F">
            <w:pPr>
              <w:pStyle w:val="NormalWeb"/>
              <w:spacing w:line="276" w:lineRule="auto"/>
              <w:jc w:val="center"/>
              <w:rPr>
                <w:rStyle w:val="Strong"/>
                <w:rFonts w:asciiTheme="minorHAnsi" w:hAnsiTheme="minorHAnsi" w:cstheme="minorHAnsi"/>
                <w:b w:val="0"/>
                <w:color w:val="000000" w:themeColor="text1"/>
                <w:sz w:val="20"/>
                <w:szCs w:val="20"/>
                <w:lang w:val="en"/>
              </w:rPr>
            </w:pPr>
            <w:r w:rsidRPr="00A0104F">
              <w:rPr>
                <w:rStyle w:val="Strong"/>
                <w:rFonts w:asciiTheme="minorHAnsi" w:hAnsiTheme="minorHAnsi" w:cstheme="minorHAnsi"/>
                <w:b w:val="0"/>
                <w:color w:val="000000" w:themeColor="text1"/>
                <w:sz w:val="20"/>
                <w:szCs w:val="20"/>
                <w:lang w:val="en"/>
              </w:rPr>
              <w:t>Yes</w:t>
            </w:r>
          </w:p>
          <w:p w:rsidR="00991E06" w:rsidRPr="00A0104F" w:rsidRDefault="00991E06" w:rsidP="00A0104F">
            <w:pPr>
              <w:pStyle w:val="NormalWeb"/>
              <w:spacing w:line="276" w:lineRule="auto"/>
              <w:jc w:val="center"/>
              <w:rPr>
                <w:rStyle w:val="Strong"/>
                <w:rFonts w:asciiTheme="minorHAnsi" w:hAnsiTheme="minorHAnsi" w:cstheme="minorHAnsi"/>
                <w:b w:val="0"/>
                <w:color w:val="00559A" w:themeColor="accent4" w:themeShade="BF"/>
                <w:sz w:val="20"/>
                <w:szCs w:val="20"/>
                <w:lang w:val="en"/>
              </w:rPr>
            </w:pPr>
          </w:p>
        </w:tc>
        <w:tc>
          <w:tcPr>
            <w:tcW w:w="774" w:type="dxa"/>
            <w:tcBorders>
              <w:left w:val="dashed" w:sz="4" w:space="0" w:color="auto"/>
            </w:tcBorders>
          </w:tcPr>
          <w:p w:rsidR="00991E06" w:rsidRPr="00A0104F" w:rsidRDefault="00991E06" w:rsidP="00A0104F">
            <w:pPr>
              <w:pStyle w:val="NormalWeb"/>
              <w:spacing w:line="276" w:lineRule="auto"/>
              <w:jc w:val="center"/>
              <w:rPr>
                <w:rStyle w:val="Strong"/>
                <w:rFonts w:asciiTheme="minorHAnsi" w:hAnsiTheme="minorHAnsi" w:cstheme="minorHAnsi"/>
                <w:b w:val="0"/>
                <w:color w:val="00559A" w:themeColor="accent4" w:themeShade="BF"/>
                <w:sz w:val="20"/>
                <w:szCs w:val="20"/>
                <w:lang w:val="en"/>
              </w:rPr>
            </w:pPr>
            <w:r w:rsidRPr="00A0104F">
              <w:rPr>
                <w:rStyle w:val="Strong"/>
                <w:rFonts w:asciiTheme="minorHAnsi" w:hAnsiTheme="minorHAnsi" w:cstheme="minorHAnsi"/>
                <w:b w:val="0"/>
                <w:color w:val="000000" w:themeColor="text1"/>
                <w:sz w:val="20"/>
                <w:szCs w:val="20"/>
                <w:lang w:val="en"/>
              </w:rPr>
              <w:t>No</w:t>
            </w:r>
          </w:p>
        </w:tc>
      </w:tr>
    </w:tbl>
    <w:p w:rsidR="00D45375" w:rsidRPr="00A0104F" w:rsidRDefault="00D45375" w:rsidP="00A0104F">
      <w:pPr>
        <w:pStyle w:val="NormalWeb"/>
        <w:spacing w:line="276" w:lineRule="auto"/>
        <w:jc w:val="both"/>
        <w:rPr>
          <w:rFonts w:asciiTheme="minorHAnsi" w:hAnsiTheme="minorHAnsi" w:cstheme="minorHAnsi"/>
          <w:color w:val="222222"/>
          <w:sz w:val="22"/>
          <w:szCs w:val="22"/>
          <w:lang w:val="en"/>
        </w:rPr>
      </w:pPr>
    </w:p>
    <w:sectPr w:rsidR="00D45375" w:rsidRPr="00A0104F" w:rsidSect="00DA54E3">
      <w:headerReference w:type="default" r:id="rId9"/>
      <w:footerReference w:type="default" r:id="rId10"/>
      <w:pgSz w:w="11906" w:h="16838" w:code="9"/>
      <w:pgMar w:top="2160" w:right="1440" w:bottom="1134" w:left="144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53" w:rsidRDefault="008B3953" w:rsidP="002D711A">
      <w:pPr>
        <w:spacing w:after="0" w:line="240" w:lineRule="auto"/>
      </w:pPr>
      <w:r>
        <w:separator/>
      </w:r>
    </w:p>
  </w:endnote>
  <w:endnote w:type="continuationSeparator" w:id="0">
    <w:p w:rsidR="008B3953" w:rsidRDefault="008B395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Default="00F417C3" w:rsidP="004669E3">
    <w:pPr>
      <w:pStyle w:val="Spacer"/>
    </w:pPr>
  </w:p>
  <w:p w:rsidR="00F1369D" w:rsidRDefault="00F1369D" w:rsidP="0041689E">
    <w:pPr>
      <w:pStyle w:val="Footer"/>
      <w:rPr>
        <w:b/>
        <w:color w:val="0063A6" w:themeColor="accent1"/>
      </w:rPr>
    </w:pPr>
  </w:p>
  <w:p w:rsidR="00F417C3" w:rsidRPr="00C022F9" w:rsidRDefault="00F1369D" w:rsidP="0041689E">
    <w:pPr>
      <w:pStyle w:val="Footer"/>
    </w:pPr>
    <w:r>
      <w:rPr>
        <w:b/>
        <w:color w:val="0063A6" w:themeColor="accent1"/>
      </w:rPr>
      <w:t xml:space="preserve">Natural Disaster Financial Assistance for </w:t>
    </w:r>
    <w:r w:rsidR="002A5665">
      <w:rPr>
        <w:b/>
        <w:color w:val="0063A6" w:themeColor="accent1"/>
      </w:rPr>
      <w:t>CMAs</w:t>
    </w:r>
    <w:r>
      <w:rPr>
        <w:b/>
        <w:color w:val="0063A6" w:themeColor="accent1"/>
      </w:rPr>
      <w:br/>
    </w:r>
    <w:r w:rsidR="00001FA9">
      <w:rPr>
        <w:b/>
        <w:color w:val="0063A6" w:themeColor="accent1"/>
      </w:rPr>
      <w:t xml:space="preserve">Supporting </w:t>
    </w:r>
    <w:r>
      <w:rPr>
        <w:b/>
        <w:color w:val="0063A6" w:themeColor="accent1"/>
      </w:rPr>
      <w:t>d</w:t>
    </w:r>
    <w:r w:rsidR="00001FA9">
      <w:rPr>
        <w:b/>
        <w:color w:val="0063A6" w:themeColor="accent1"/>
      </w:rPr>
      <w:t xml:space="preserve">ocumentation required with </w:t>
    </w:r>
    <w:r>
      <w:rPr>
        <w:b/>
        <w:color w:val="0063A6" w:themeColor="accent1"/>
      </w:rPr>
      <w:t>NDFA claims</w:t>
    </w:r>
    <w:r w:rsidR="00001FA9">
      <w:rPr>
        <w:b/>
        <w:color w:val="0063A6" w:themeColor="accent1"/>
      </w:rPr>
      <w:t xml:space="preserve"> </w:t>
    </w:r>
    <w:r>
      <w:rPr>
        <w:b/>
        <w:color w:val="0063A6" w:themeColor="accent1"/>
      </w:rPr>
      <w:t>(</w:t>
    </w:r>
    <w:r w:rsidR="005F60AA">
      <w:rPr>
        <w:b/>
        <w:color w:val="0063A6" w:themeColor="accent1"/>
      </w:rPr>
      <w:t>updated</w:t>
    </w:r>
    <w:r w:rsidR="00001FA9">
      <w:rPr>
        <w:b/>
        <w:color w:val="0063A6" w:themeColor="accent1"/>
      </w:rPr>
      <w:t xml:space="preserve"> </w:t>
    </w:r>
    <w:r w:rsidR="00ED13C3">
      <w:rPr>
        <w:b/>
        <w:color w:val="0063A6" w:themeColor="accent1"/>
      </w:rPr>
      <w:t>June</w:t>
    </w:r>
    <w:r w:rsidR="005F60AA">
      <w:rPr>
        <w:b/>
        <w:color w:val="0063A6" w:themeColor="accent1"/>
      </w:rPr>
      <w:t xml:space="preserve"> 2018</w:t>
    </w:r>
    <w:r>
      <w:rPr>
        <w:b/>
        <w:color w:val="0063A6" w:themeColor="accent1"/>
      </w:rPr>
      <w:t>)</w:t>
    </w:r>
    <w:r w:rsidR="006738C4">
      <w:tab/>
    </w:r>
    <w:r w:rsidR="00F417C3" w:rsidRPr="00C022F9">
      <w:t xml:space="preserve">Page </w:t>
    </w:r>
    <w:r w:rsidR="00F417C3" w:rsidRPr="00DE60CC">
      <w:rPr>
        <w:rStyle w:val="PageNumber"/>
      </w:rPr>
      <w:fldChar w:fldCharType="begin"/>
    </w:r>
    <w:r w:rsidR="00F417C3" w:rsidRPr="00DE60CC">
      <w:rPr>
        <w:rStyle w:val="PageNumber"/>
      </w:rPr>
      <w:instrText xml:space="preserve"> Page </w:instrText>
    </w:r>
    <w:r w:rsidR="00F417C3" w:rsidRPr="00DE60CC">
      <w:rPr>
        <w:rStyle w:val="PageNumber"/>
      </w:rPr>
      <w:fldChar w:fldCharType="separate"/>
    </w:r>
    <w:r w:rsidR="005B0C35">
      <w:rPr>
        <w:rStyle w:val="PageNumber"/>
      </w:rPr>
      <w:t>1</w:t>
    </w:r>
    <w:r w:rsidR="00F417C3"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53" w:rsidRDefault="008B3953" w:rsidP="002D711A">
      <w:pPr>
        <w:spacing w:after="0" w:line="240" w:lineRule="auto"/>
      </w:pPr>
      <w:r>
        <w:separator/>
      </w:r>
    </w:p>
  </w:footnote>
  <w:footnote w:type="continuationSeparator" w:id="0">
    <w:p w:rsidR="008B3953" w:rsidRDefault="008B3953" w:rsidP="002D711A">
      <w:pPr>
        <w:spacing w:after="0" w:line="240" w:lineRule="auto"/>
      </w:pPr>
      <w:r>
        <w:continuationSeparator/>
      </w:r>
    </w:p>
  </w:footnote>
  <w:footnote w:id="1">
    <w:p w:rsidR="00DF3FC8" w:rsidRPr="00173525" w:rsidRDefault="00DF3FC8" w:rsidP="00DF3FC8">
      <w:pPr>
        <w:pStyle w:val="FootnoteText"/>
        <w:tabs>
          <w:tab w:val="left" w:pos="426"/>
        </w:tabs>
        <w:ind w:left="426" w:hanging="426"/>
        <w:rPr>
          <w:sz w:val="18"/>
          <w:szCs w:val="18"/>
        </w:rPr>
      </w:pPr>
      <w:r>
        <w:rPr>
          <w:rStyle w:val="FootnoteReference"/>
        </w:rPr>
        <w:footnoteRef/>
      </w:r>
      <w:r>
        <w:tab/>
      </w:r>
      <w:r>
        <w:rPr>
          <w:sz w:val="18"/>
          <w:szCs w:val="18"/>
        </w:rPr>
        <w:t>For example,</w:t>
      </w:r>
      <w:r w:rsidRPr="00173525">
        <w:rPr>
          <w:rFonts w:cstheme="minorHAnsi"/>
          <w:sz w:val="18"/>
          <w:szCs w:val="18"/>
          <w:lang w:eastAsia="en-US"/>
        </w:rPr>
        <w:t xml:space="preserve"> replacing undamaged guardrails with new standard guardrails, including new traffic calming devices, widening the carriageway of a narrow single lane road, adding kerbing, or including storm water drainage where none previously existed</w:t>
      </w:r>
      <w:r>
        <w:rPr>
          <w:rFonts w:cstheme="minorHAnsi"/>
          <w:sz w:val="18"/>
          <w:szCs w:val="18"/>
          <w:lang w:eastAsia="en-US"/>
        </w:rPr>
        <w:t xml:space="preserve">. To claim these or similar costs the relevant </w:t>
      </w:r>
      <w:r w:rsidR="002A5665">
        <w:rPr>
          <w:rFonts w:cstheme="minorHAnsi"/>
          <w:sz w:val="18"/>
          <w:szCs w:val="18"/>
          <w:lang w:eastAsia="en-US"/>
        </w:rPr>
        <w:t xml:space="preserve">CMA </w:t>
      </w:r>
      <w:r>
        <w:rPr>
          <w:rFonts w:cstheme="minorHAnsi"/>
          <w:sz w:val="18"/>
          <w:szCs w:val="18"/>
          <w:lang w:eastAsia="en-US"/>
        </w:rPr>
        <w:t>needs to obtain the approval for the proposed work by DTF which, if in agreement, will seek Emergency Management Aus</w:t>
      </w:r>
      <w:r w:rsidR="00141CC8">
        <w:rPr>
          <w:rFonts w:cstheme="minorHAnsi"/>
          <w:sz w:val="18"/>
          <w:szCs w:val="18"/>
          <w:lang w:eastAsia="en-US"/>
        </w:rPr>
        <w:t xml:space="preserve">tralia’s agreement to enable a </w:t>
      </w:r>
      <w:r w:rsidR="002A5665">
        <w:rPr>
          <w:rFonts w:cstheme="minorHAnsi"/>
          <w:sz w:val="18"/>
          <w:szCs w:val="18"/>
          <w:lang w:eastAsia="en-US"/>
        </w:rPr>
        <w:t>CMA</w:t>
      </w:r>
      <w:r>
        <w:rPr>
          <w:rFonts w:cstheme="minorHAnsi"/>
          <w:sz w:val="18"/>
          <w:szCs w:val="18"/>
          <w:lang w:eastAsia="en-US"/>
        </w:rPr>
        <w:t xml:space="preserve"> to include these costs in a subsequent claim.  Please note</w:t>
      </w:r>
      <w:r w:rsidR="00600498">
        <w:rPr>
          <w:rFonts w:cstheme="minorHAnsi"/>
          <w:sz w:val="18"/>
          <w:szCs w:val="18"/>
          <w:lang w:eastAsia="en-US"/>
        </w:rPr>
        <w:t xml:space="preserve"> that </w:t>
      </w:r>
      <w:r>
        <w:rPr>
          <w:rFonts w:cstheme="minorHAnsi"/>
          <w:sz w:val="18"/>
          <w:szCs w:val="18"/>
          <w:lang w:eastAsia="en-US"/>
        </w:rPr>
        <w:t xml:space="preserve">this prior approval does not prevent the work being undertaken should a </w:t>
      </w:r>
      <w:r w:rsidR="002A5665">
        <w:rPr>
          <w:rFonts w:cstheme="minorHAnsi"/>
          <w:sz w:val="18"/>
          <w:szCs w:val="18"/>
          <w:lang w:eastAsia="en-US"/>
        </w:rPr>
        <w:t xml:space="preserve">CMA </w:t>
      </w:r>
      <w:r>
        <w:rPr>
          <w:rFonts w:cstheme="minorHAnsi"/>
          <w:sz w:val="18"/>
          <w:szCs w:val="18"/>
          <w:lang w:eastAsia="en-US"/>
        </w:rPr>
        <w:t>choose to do so, it only prevents the costs being eligible for reimbursement.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41689E" w:rsidRDefault="00F417C3">
    <w:pPr>
      <w:pStyle w:val="Header"/>
    </w:pPr>
    <w:r>
      <w:rPr>
        <w:noProof/>
      </w:rPr>
      <w:drawing>
        <wp:anchor distT="0" distB="0" distL="114300" distR="114300" simplePos="0" relativeHeight="251673600" behindDoc="0" locked="0" layoutInCell="1" allowOverlap="1" wp14:anchorId="42349A40" wp14:editId="770E5081">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B335B19" wp14:editId="7C3AC032">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203"/>
    <w:multiLevelType w:val="hybridMultilevel"/>
    <w:tmpl w:val="B5BC8D02"/>
    <w:lvl w:ilvl="0" w:tplc="D25456FE">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016E1"/>
    <w:multiLevelType w:val="hybridMultilevel"/>
    <w:tmpl w:val="CD04AE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F67C0A"/>
    <w:multiLevelType w:val="hybridMultilevel"/>
    <w:tmpl w:val="D480F1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6B3FCF"/>
    <w:multiLevelType w:val="hybridMultilevel"/>
    <w:tmpl w:val="BD585CC6"/>
    <w:lvl w:ilvl="0" w:tplc="CEBEEC70">
      <w:start w:val="1"/>
      <w:numFmt w:val="lowerLetter"/>
      <w:lvlText w:val="(%1)"/>
      <w:lvlJc w:val="left"/>
      <w:pPr>
        <w:ind w:left="1080" w:hanging="72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3A7927"/>
    <w:multiLevelType w:val="hybridMultilevel"/>
    <w:tmpl w:val="BB44B06C"/>
    <w:lvl w:ilvl="0" w:tplc="0C09000F">
      <w:start w:val="1"/>
      <w:numFmt w:val="decimal"/>
      <w:lvlText w:val="%1."/>
      <w:lvlJc w:val="left"/>
      <w:pPr>
        <w:ind w:left="720" w:hanging="360"/>
      </w:pPr>
      <w:rPr>
        <w:rFonts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B4148"/>
    <w:multiLevelType w:val="hybridMultilevel"/>
    <w:tmpl w:val="70168440"/>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11565207"/>
    <w:multiLevelType w:val="hybridMultilevel"/>
    <w:tmpl w:val="4B488FEE"/>
    <w:lvl w:ilvl="0" w:tplc="0C09000F">
      <w:start w:val="1"/>
      <w:numFmt w:val="decimal"/>
      <w:lvlText w:val="%1."/>
      <w:lvlJc w:val="left"/>
      <w:pPr>
        <w:ind w:left="72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B4630"/>
    <w:multiLevelType w:val="hybridMultilevel"/>
    <w:tmpl w:val="7F985B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3622FB"/>
    <w:multiLevelType w:val="hybridMultilevel"/>
    <w:tmpl w:val="626C5A8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1BD740EB"/>
    <w:multiLevelType w:val="multilevel"/>
    <w:tmpl w:val="4F420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C6E25"/>
    <w:multiLevelType w:val="hybridMultilevel"/>
    <w:tmpl w:val="66FE7814"/>
    <w:lvl w:ilvl="0" w:tplc="9C46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11B4F99"/>
    <w:multiLevelType w:val="hybridMultilevel"/>
    <w:tmpl w:val="FA16DF4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0D4BA2"/>
    <w:multiLevelType w:val="hybridMultilevel"/>
    <w:tmpl w:val="464E9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B2415"/>
    <w:multiLevelType w:val="hybridMultilevel"/>
    <w:tmpl w:val="CED43A9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CAB573C"/>
    <w:multiLevelType w:val="hybridMultilevel"/>
    <w:tmpl w:val="9B0CAFE4"/>
    <w:lvl w:ilvl="0" w:tplc="2A6003AE">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7" w15:restartNumberingAfterBreak="0">
    <w:nsid w:val="3046230B"/>
    <w:multiLevelType w:val="hybridMultilevel"/>
    <w:tmpl w:val="2DC8D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A80260"/>
    <w:multiLevelType w:val="hybridMultilevel"/>
    <w:tmpl w:val="ACB29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D36188"/>
    <w:multiLevelType w:val="hybridMultilevel"/>
    <w:tmpl w:val="C5A4D6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771ACE"/>
    <w:multiLevelType w:val="hybridMultilevel"/>
    <w:tmpl w:val="E91EA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682206"/>
    <w:multiLevelType w:val="hybridMultilevel"/>
    <w:tmpl w:val="EBFCABAE"/>
    <w:lvl w:ilvl="0" w:tplc="2A6003AE">
      <w:start w:val="1"/>
      <w:numFmt w:val="lowerLetter"/>
      <w:lvlText w:val="%1)"/>
      <w:lvlJc w:val="left"/>
      <w:pPr>
        <w:ind w:left="75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A5440D"/>
    <w:multiLevelType w:val="hybridMultilevel"/>
    <w:tmpl w:val="B1E057FE"/>
    <w:lvl w:ilvl="0" w:tplc="0C090001">
      <w:start w:val="1"/>
      <w:numFmt w:val="bullet"/>
      <w:lvlText w:val=""/>
      <w:lvlJc w:val="left"/>
      <w:pPr>
        <w:ind w:left="1440" w:hanging="72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1D70DB0"/>
    <w:multiLevelType w:val="hybridMultilevel"/>
    <w:tmpl w:val="0F1872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5" w15:restartNumberingAfterBreak="0">
    <w:nsid w:val="45743E45"/>
    <w:multiLevelType w:val="hybridMultilevel"/>
    <w:tmpl w:val="458E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DC5A5E"/>
    <w:multiLevelType w:val="hybridMultilevel"/>
    <w:tmpl w:val="0ECAB0F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EC4E8C"/>
    <w:multiLevelType w:val="multilevel"/>
    <w:tmpl w:val="4F420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E3506C"/>
    <w:multiLevelType w:val="hybridMultilevel"/>
    <w:tmpl w:val="E6B6626E"/>
    <w:lvl w:ilvl="0" w:tplc="CEBEEC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4113C7"/>
    <w:multiLevelType w:val="hybridMultilevel"/>
    <w:tmpl w:val="BB44B06C"/>
    <w:lvl w:ilvl="0" w:tplc="0C09000F">
      <w:start w:val="1"/>
      <w:numFmt w:val="decimal"/>
      <w:lvlText w:val="%1."/>
      <w:lvlJc w:val="left"/>
      <w:pPr>
        <w:ind w:left="720" w:hanging="360"/>
      </w:pPr>
      <w:rPr>
        <w:rFonts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485921"/>
    <w:multiLevelType w:val="hybridMultilevel"/>
    <w:tmpl w:val="D9F880D4"/>
    <w:lvl w:ilvl="0" w:tplc="D25456FE">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774E02"/>
    <w:multiLevelType w:val="hybridMultilevel"/>
    <w:tmpl w:val="DD4A1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576AF5"/>
    <w:multiLevelType w:val="hybridMultilevel"/>
    <w:tmpl w:val="711A62A8"/>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5CFF6661"/>
    <w:multiLevelType w:val="hybridMultilevel"/>
    <w:tmpl w:val="5B38D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802524"/>
    <w:multiLevelType w:val="hybridMultilevel"/>
    <w:tmpl w:val="1ED8A8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FBD6E50"/>
    <w:multiLevelType w:val="hybridMultilevel"/>
    <w:tmpl w:val="95AEAC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36" w15:restartNumberingAfterBreak="0">
    <w:nsid w:val="73F13AF6"/>
    <w:multiLevelType w:val="hybridMultilevel"/>
    <w:tmpl w:val="A2F6423C"/>
    <w:lvl w:ilvl="0" w:tplc="0C09000F">
      <w:start w:val="1"/>
      <w:numFmt w:val="decimal"/>
      <w:lvlText w:val="%1."/>
      <w:lvlJc w:val="left"/>
      <w:pPr>
        <w:ind w:left="720" w:hanging="720"/>
      </w:p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082AFA"/>
    <w:multiLevelType w:val="hybridMultilevel"/>
    <w:tmpl w:val="7046D1C4"/>
    <w:lvl w:ilvl="0" w:tplc="DFBCB92E">
      <w:start w:val="1"/>
      <w:numFmt w:val="decimal"/>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15:restartNumberingAfterBreak="0">
    <w:nsid w:val="7BB75F68"/>
    <w:multiLevelType w:val="hybridMultilevel"/>
    <w:tmpl w:val="0FEAD0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4"/>
  </w:num>
  <w:num w:numId="2">
    <w:abstractNumId w:val="24"/>
  </w:num>
  <w:num w:numId="3">
    <w:abstractNumId w:val="24"/>
  </w:num>
  <w:num w:numId="4">
    <w:abstractNumId w:val="41"/>
  </w:num>
  <w:num w:numId="5">
    <w:abstractNumId w:val="24"/>
  </w:num>
  <w:num w:numId="6">
    <w:abstractNumId w:val="24"/>
  </w:num>
  <w:num w:numId="7">
    <w:abstractNumId w:val="24"/>
  </w:num>
  <w:num w:numId="8">
    <w:abstractNumId w:val="24"/>
  </w:num>
  <w:num w:numId="9">
    <w:abstractNumId w:val="41"/>
  </w:num>
  <w:num w:numId="10">
    <w:abstractNumId w:val="41"/>
  </w:num>
  <w:num w:numId="11">
    <w:abstractNumId w:val="41"/>
  </w:num>
  <w:num w:numId="12">
    <w:abstractNumId w:val="41"/>
  </w:num>
  <w:num w:numId="13">
    <w:abstractNumId w:val="41"/>
  </w:num>
  <w:num w:numId="14">
    <w:abstractNumId w:val="41"/>
  </w:num>
  <w:num w:numId="15">
    <w:abstractNumId w:val="41"/>
  </w:num>
  <w:num w:numId="16">
    <w:abstractNumId w:val="41"/>
  </w:num>
  <w:num w:numId="17">
    <w:abstractNumId w:val="14"/>
  </w:num>
  <w:num w:numId="18">
    <w:abstractNumId w:val="14"/>
  </w:num>
  <w:num w:numId="19">
    <w:abstractNumId w:val="38"/>
  </w:num>
  <w:num w:numId="20">
    <w:abstractNumId w:val="37"/>
  </w:num>
  <w:num w:numId="21">
    <w:abstractNumId w:val="4"/>
  </w:num>
  <w:num w:numId="22">
    <w:abstractNumId w:val="4"/>
  </w:num>
  <w:num w:numId="23">
    <w:abstractNumId w:val="4"/>
  </w:num>
  <w:num w:numId="24">
    <w:abstractNumId w:val="38"/>
  </w:num>
  <w:num w:numId="25">
    <w:abstractNumId w:val="41"/>
  </w:num>
  <w:num w:numId="26">
    <w:abstractNumId w:val="14"/>
  </w:num>
  <w:num w:numId="27">
    <w:abstractNumId w:val="14"/>
  </w:num>
  <w:num w:numId="28">
    <w:abstractNumId w:val="35"/>
  </w:num>
  <w:num w:numId="29">
    <w:abstractNumId w:val="20"/>
  </w:num>
  <w:num w:numId="30">
    <w:abstractNumId w:val="13"/>
  </w:num>
  <w:num w:numId="31">
    <w:abstractNumId w:val="16"/>
  </w:num>
  <w:num w:numId="32">
    <w:abstractNumId w:val="21"/>
  </w:num>
  <w:num w:numId="33">
    <w:abstractNumId w:val="10"/>
  </w:num>
  <w:num w:numId="34">
    <w:abstractNumId w:val="27"/>
  </w:num>
  <w:num w:numId="35">
    <w:abstractNumId w:val="11"/>
  </w:num>
  <w:num w:numId="36">
    <w:abstractNumId w:val="18"/>
  </w:num>
  <w:num w:numId="37">
    <w:abstractNumId w:val="15"/>
  </w:num>
  <w:num w:numId="38">
    <w:abstractNumId w:val="33"/>
  </w:num>
  <w:num w:numId="39">
    <w:abstractNumId w:val="9"/>
  </w:num>
  <w:num w:numId="40">
    <w:abstractNumId w:val="5"/>
  </w:num>
  <w:num w:numId="41">
    <w:abstractNumId w:val="39"/>
  </w:num>
  <w:num w:numId="42">
    <w:abstractNumId w:val="32"/>
  </w:num>
  <w:num w:numId="43">
    <w:abstractNumId w:val="6"/>
  </w:num>
  <w:num w:numId="44">
    <w:abstractNumId w:val="26"/>
  </w:num>
  <w:num w:numId="45">
    <w:abstractNumId w:val="23"/>
  </w:num>
  <w:num w:numId="46">
    <w:abstractNumId w:val="29"/>
  </w:num>
  <w:num w:numId="47">
    <w:abstractNumId w:val="19"/>
  </w:num>
  <w:num w:numId="48">
    <w:abstractNumId w:val="25"/>
  </w:num>
  <w:num w:numId="49">
    <w:abstractNumId w:val="30"/>
  </w:num>
  <w:num w:numId="50">
    <w:abstractNumId w:val="0"/>
  </w:num>
  <w:num w:numId="51">
    <w:abstractNumId w:val="12"/>
  </w:num>
  <w:num w:numId="52">
    <w:abstractNumId w:val="7"/>
  </w:num>
  <w:num w:numId="53">
    <w:abstractNumId w:val="40"/>
  </w:num>
  <w:num w:numId="54">
    <w:abstractNumId w:val="2"/>
  </w:num>
  <w:num w:numId="55">
    <w:abstractNumId w:val="31"/>
  </w:num>
  <w:num w:numId="56">
    <w:abstractNumId w:val="28"/>
  </w:num>
  <w:num w:numId="57">
    <w:abstractNumId w:val="34"/>
  </w:num>
  <w:num w:numId="58">
    <w:abstractNumId w:val="1"/>
  </w:num>
  <w:num w:numId="59">
    <w:abstractNumId w:val="17"/>
  </w:num>
  <w:num w:numId="60">
    <w:abstractNumId w:val="8"/>
  </w:num>
  <w:num w:numId="61">
    <w:abstractNumId w:val="3"/>
  </w:num>
  <w:num w:numId="62">
    <w:abstractNumId w:val="36"/>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1EC"/>
    <w:rsid w:val="00001FA9"/>
    <w:rsid w:val="000073F5"/>
    <w:rsid w:val="00012F6F"/>
    <w:rsid w:val="00013008"/>
    <w:rsid w:val="00014213"/>
    <w:rsid w:val="00014B55"/>
    <w:rsid w:val="00020E3E"/>
    <w:rsid w:val="00023BF3"/>
    <w:rsid w:val="00026811"/>
    <w:rsid w:val="0003110D"/>
    <w:rsid w:val="00043296"/>
    <w:rsid w:val="0004356D"/>
    <w:rsid w:val="00045296"/>
    <w:rsid w:val="00060A29"/>
    <w:rsid w:val="00065193"/>
    <w:rsid w:val="00075E6C"/>
    <w:rsid w:val="00082C45"/>
    <w:rsid w:val="0009569D"/>
    <w:rsid w:val="000B29AD"/>
    <w:rsid w:val="000B6ACE"/>
    <w:rsid w:val="000C3856"/>
    <w:rsid w:val="000C6372"/>
    <w:rsid w:val="000D593F"/>
    <w:rsid w:val="000E392D"/>
    <w:rsid w:val="000F4288"/>
    <w:rsid w:val="000F7165"/>
    <w:rsid w:val="00102379"/>
    <w:rsid w:val="001065D6"/>
    <w:rsid w:val="00111991"/>
    <w:rsid w:val="001168A9"/>
    <w:rsid w:val="00121252"/>
    <w:rsid w:val="00124609"/>
    <w:rsid w:val="001254CE"/>
    <w:rsid w:val="00126AF9"/>
    <w:rsid w:val="00134CEA"/>
    <w:rsid w:val="00141CC8"/>
    <w:rsid w:val="001422CC"/>
    <w:rsid w:val="00142C97"/>
    <w:rsid w:val="0015441E"/>
    <w:rsid w:val="00157973"/>
    <w:rsid w:val="001617B6"/>
    <w:rsid w:val="00162816"/>
    <w:rsid w:val="00165623"/>
    <w:rsid w:val="00165E66"/>
    <w:rsid w:val="00197D10"/>
    <w:rsid w:val="001A3A11"/>
    <w:rsid w:val="001A3DD1"/>
    <w:rsid w:val="001A59AF"/>
    <w:rsid w:val="001C7BAE"/>
    <w:rsid w:val="001D717E"/>
    <w:rsid w:val="001E31FA"/>
    <w:rsid w:val="001E64F6"/>
    <w:rsid w:val="001F337A"/>
    <w:rsid w:val="001F66B1"/>
    <w:rsid w:val="001F7C82"/>
    <w:rsid w:val="00200BB3"/>
    <w:rsid w:val="00201703"/>
    <w:rsid w:val="00202C0F"/>
    <w:rsid w:val="00222BEB"/>
    <w:rsid w:val="00225E60"/>
    <w:rsid w:val="00227C39"/>
    <w:rsid w:val="0023202C"/>
    <w:rsid w:val="00235473"/>
    <w:rsid w:val="00236203"/>
    <w:rsid w:val="00241C75"/>
    <w:rsid w:val="00245043"/>
    <w:rsid w:val="00257760"/>
    <w:rsid w:val="00266778"/>
    <w:rsid w:val="002764AA"/>
    <w:rsid w:val="00292D36"/>
    <w:rsid w:val="00293A0A"/>
    <w:rsid w:val="00297281"/>
    <w:rsid w:val="002A131A"/>
    <w:rsid w:val="002A5665"/>
    <w:rsid w:val="002C54E0"/>
    <w:rsid w:val="002C5BE8"/>
    <w:rsid w:val="002D711A"/>
    <w:rsid w:val="002D7336"/>
    <w:rsid w:val="002E3396"/>
    <w:rsid w:val="002E641F"/>
    <w:rsid w:val="002E7797"/>
    <w:rsid w:val="002F7120"/>
    <w:rsid w:val="002F7F13"/>
    <w:rsid w:val="003052A5"/>
    <w:rsid w:val="00306273"/>
    <w:rsid w:val="0031149C"/>
    <w:rsid w:val="00313A1F"/>
    <w:rsid w:val="003303EC"/>
    <w:rsid w:val="0038771C"/>
    <w:rsid w:val="0039283F"/>
    <w:rsid w:val="00392A8F"/>
    <w:rsid w:val="0039405B"/>
    <w:rsid w:val="003A1C92"/>
    <w:rsid w:val="003A541A"/>
    <w:rsid w:val="003A6923"/>
    <w:rsid w:val="003C2C67"/>
    <w:rsid w:val="003C2EA2"/>
    <w:rsid w:val="003C5BA4"/>
    <w:rsid w:val="003C6748"/>
    <w:rsid w:val="003E3E26"/>
    <w:rsid w:val="003F1295"/>
    <w:rsid w:val="003F1B4A"/>
    <w:rsid w:val="003F76FC"/>
    <w:rsid w:val="004002EB"/>
    <w:rsid w:val="00400DD8"/>
    <w:rsid w:val="00405C57"/>
    <w:rsid w:val="0041689E"/>
    <w:rsid w:val="004236C8"/>
    <w:rsid w:val="00427681"/>
    <w:rsid w:val="00433DB7"/>
    <w:rsid w:val="00453750"/>
    <w:rsid w:val="00456941"/>
    <w:rsid w:val="004669E3"/>
    <w:rsid w:val="004702EA"/>
    <w:rsid w:val="00482D02"/>
    <w:rsid w:val="004837E0"/>
    <w:rsid w:val="00487D5D"/>
    <w:rsid w:val="00497FD1"/>
    <w:rsid w:val="004A7519"/>
    <w:rsid w:val="004B41CA"/>
    <w:rsid w:val="004B46C0"/>
    <w:rsid w:val="004C52A1"/>
    <w:rsid w:val="004D3518"/>
    <w:rsid w:val="004D62D6"/>
    <w:rsid w:val="004E0780"/>
    <w:rsid w:val="00501D8A"/>
    <w:rsid w:val="00502D47"/>
    <w:rsid w:val="0051466B"/>
    <w:rsid w:val="005160C0"/>
    <w:rsid w:val="0053416C"/>
    <w:rsid w:val="00541C2F"/>
    <w:rsid w:val="00545C65"/>
    <w:rsid w:val="005622DB"/>
    <w:rsid w:val="00563527"/>
    <w:rsid w:val="0057686D"/>
    <w:rsid w:val="0058124E"/>
    <w:rsid w:val="00581C3E"/>
    <w:rsid w:val="00584301"/>
    <w:rsid w:val="005875A3"/>
    <w:rsid w:val="005A04CE"/>
    <w:rsid w:val="005A3416"/>
    <w:rsid w:val="005B0C35"/>
    <w:rsid w:val="005B27FE"/>
    <w:rsid w:val="005C27C9"/>
    <w:rsid w:val="005C3E6D"/>
    <w:rsid w:val="005D518C"/>
    <w:rsid w:val="005E02E7"/>
    <w:rsid w:val="005E1DAA"/>
    <w:rsid w:val="005F0CAD"/>
    <w:rsid w:val="005F331D"/>
    <w:rsid w:val="005F60AA"/>
    <w:rsid w:val="005F61DF"/>
    <w:rsid w:val="00600498"/>
    <w:rsid w:val="006023F9"/>
    <w:rsid w:val="00605D56"/>
    <w:rsid w:val="00607673"/>
    <w:rsid w:val="00610559"/>
    <w:rsid w:val="00620273"/>
    <w:rsid w:val="00623ADB"/>
    <w:rsid w:val="006332F6"/>
    <w:rsid w:val="00635F87"/>
    <w:rsid w:val="006361E7"/>
    <w:rsid w:val="006430BC"/>
    <w:rsid w:val="00652625"/>
    <w:rsid w:val="006534B2"/>
    <w:rsid w:val="0065615D"/>
    <w:rsid w:val="00657011"/>
    <w:rsid w:val="006650B5"/>
    <w:rsid w:val="006651B1"/>
    <w:rsid w:val="00665778"/>
    <w:rsid w:val="00672E29"/>
    <w:rsid w:val="006738C4"/>
    <w:rsid w:val="00691C09"/>
    <w:rsid w:val="006A5B34"/>
    <w:rsid w:val="006A5F5B"/>
    <w:rsid w:val="006C135B"/>
    <w:rsid w:val="006C77A9"/>
    <w:rsid w:val="006E1B8C"/>
    <w:rsid w:val="006F6693"/>
    <w:rsid w:val="00700E96"/>
    <w:rsid w:val="00707FE8"/>
    <w:rsid w:val="00724962"/>
    <w:rsid w:val="00724A0F"/>
    <w:rsid w:val="0073072C"/>
    <w:rsid w:val="007320B4"/>
    <w:rsid w:val="00732162"/>
    <w:rsid w:val="00736732"/>
    <w:rsid w:val="00741CB7"/>
    <w:rsid w:val="00747959"/>
    <w:rsid w:val="00750CBE"/>
    <w:rsid w:val="00766B5A"/>
    <w:rsid w:val="007834F2"/>
    <w:rsid w:val="00791020"/>
    <w:rsid w:val="007A5F82"/>
    <w:rsid w:val="007A76B5"/>
    <w:rsid w:val="007B1E55"/>
    <w:rsid w:val="007B75A4"/>
    <w:rsid w:val="007C2C15"/>
    <w:rsid w:val="007D7F1A"/>
    <w:rsid w:val="007F1A4C"/>
    <w:rsid w:val="008022C3"/>
    <w:rsid w:val="008041E6"/>
    <w:rsid w:val="008065D2"/>
    <w:rsid w:val="0082194C"/>
    <w:rsid w:val="008220C4"/>
    <w:rsid w:val="008222FF"/>
    <w:rsid w:val="008241FF"/>
    <w:rsid w:val="008360CA"/>
    <w:rsid w:val="008366CF"/>
    <w:rsid w:val="008411E9"/>
    <w:rsid w:val="00841F85"/>
    <w:rsid w:val="0084200F"/>
    <w:rsid w:val="00842EEF"/>
    <w:rsid w:val="00843B2C"/>
    <w:rsid w:val="008471C4"/>
    <w:rsid w:val="00853080"/>
    <w:rsid w:val="008629EE"/>
    <w:rsid w:val="008649C3"/>
    <w:rsid w:val="00882232"/>
    <w:rsid w:val="008925EC"/>
    <w:rsid w:val="008A183D"/>
    <w:rsid w:val="008A4900"/>
    <w:rsid w:val="008B2DD1"/>
    <w:rsid w:val="008B3953"/>
    <w:rsid w:val="008D0281"/>
    <w:rsid w:val="008E1D5E"/>
    <w:rsid w:val="008E3C4E"/>
    <w:rsid w:val="008F6D45"/>
    <w:rsid w:val="00935A59"/>
    <w:rsid w:val="00947004"/>
    <w:rsid w:val="009566F7"/>
    <w:rsid w:val="009834C0"/>
    <w:rsid w:val="00984C95"/>
    <w:rsid w:val="00986AAC"/>
    <w:rsid w:val="00991E06"/>
    <w:rsid w:val="00993C1D"/>
    <w:rsid w:val="00996B88"/>
    <w:rsid w:val="009A1DA2"/>
    <w:rsid w:val="009A3704"/>
    <w:rsid w:val="009A4739"/>
    <w:rsid w:val="009A674F"/>
    <w:rsid w:val="009B199C"/>
    <w:rsid w:val="009B54C8"/>
    <w:rsid w:val="009B61F1"/>
    <w:rsid w:val="009B62E0"/>
    <w:rsid w:val="009C3D88"/>
    <w:rsid w:val="009C453F"/>
    <w:rsid w:val="009C6277"/>
    <w:rsid w:val="009D223A"/>
    <w:rsid w:val="009D2538"/>
    <w:rsid w:val="009D4B0A"/>
    <w:rsid w:val="009D4F74"/>
    <w:rsid w:val="009E3858"/>
    <w:rsid w:val="009E70DD"/>
    <w:rsid w:val="009F2ED9"/>
    <w:rsid w:val="009F3231"/>
    <w:rsid w:val="009F5C58"/>
    <w:rsid w:val="00A0104F"/>
    <w:rsid w:val="00A012EC"/>
    <w:rsid w:val="00A023A0"/>
    <w:rsid w:val="00A02C95"/>
    <w:rsid w:val="00A1562B"/>
    <w:rsid w:val="00A170F4"/>
    <w:rsid w:val="00A2559E"/>
    <w:rsid w:val="00A25FD9"/>
    <w:rsid w:val="00A46BA8"/>
    <w:rsid w:val="00A47634"/>
    <w:rsid w:val="00A612FE"/>
    <w:rsid w:val="00AA26B8"/>
    <w:rsid w:val="00AA4508"/>
    <w:rsid w:val="00AA6FB5"/>
    <w:rsid w:val="00AB3FE2"/>
    <w:rsid w:val="00AC0A9C"/>
    <w:rsid w:val="00AC3F48"/>
    <w:rsid w:val="00AD1788"/>
    <w:rsid w:val="00AD1A4A"/>
    <w:rsid w:val="00AD26AC"/>
    <w:rsid w:val="00AD3322"/>
    <w:rsid w:val="00AD5FF9"/>
    <w:rsid w:val="00AD7E4E"/>
    <w:rsid w:val="00AE02B5"/>
    <w:rsid w:val="00AF34DE"/>
    <w:rsid w:val="00AF45E4"/>
    <w:rsid w:val="00AF4D58"/>
    <w:rsid w:val="00AF6666"/>
    <w:rsid w:val="00B03B65"/>
    <w:rsid w:val="00B04AE0"/>
    <w:rsid w:val="00B06FC1"/>
    <w:rsid w:val="00B10154"/>
    <w:rsid w:val="00B11D39"/>
    <w:rsid w:val="00B2622B"/>
    <w:rsid w:val="00B33AF4"/>
    <w:rsid w:val="00B61656"/>
    <w:rsid w:val="00B81B44"/>
    <w:rsid w:val="00B9053B"/>
    <w:rsid w:val="00B97A47"/>
    <w:rsid w:val="00BC3422"/>
    <w:rsid w:val="00BD1F86"/>
    <w:rsid w:val="00C015B9"/>
    <w:rsid w:val="00C022F9"/>
    <w:rsid w:val="00C032EA"/>
    <w:rsid w:val="00C05753"/>
    <w:rsid w:val="00C06EB5"/>
    <w:rsid w:val="00C10591"/>
    <w:rsid w:val="00C11371"/>
    <w:rsid w:val="00C1145F"/>
    <w:rsid w:val="00C17FC1"/>
    <w:rsid w:val="00C600BB"/>
    <w:rsid w:val="00C637E1"/>
    <w:rsid w:val="00C66C60"/>
    <w:rsid w:val="00C70D50"/>
    <w:rsid w:val="00C72614"/>
    <w:rsid w:val="00C72A54"/>
    <w:rsid w:val="00C8243E"/>
    <w:rsid w:val="00C907D7"/>
    <w:rsid w:val="00C92338"/>
    <w:rsid w:val="00CA4E73"/>
    <w:rsid w:val="00CA7C3A"/>
    <w:rsid w:val="00CC1DC7"/>
    <w:rsid w:val="00CC2DB2"/>
    <w:rsid w:val="00CD0307"/>
    <w:rsid w:val="00CD217F"/>
    <w:rsid w:val="00CD3766"/>
    <w:rsid w:val="00CD3D1B"/>
    <w:rsid w:val="00CE62B3"/>
    <w:rsid w:val="00CF7DCA"/>
    <w:rsid w:val="00D01757"/>
    <w:rsid w:val="00D211E9"/>
    <w:rsid w:val="00D2312F"/>
    <w:rsid w:val="00D269C1"/>
    <w:rsid w:val="00D32C3D"/>
    <w:rsid w:val="00D44953"/>
    <w:rsid w:val="00D45375"/>
    <w:rsid w:val="00D542F3"/>
    <w:rsid w:val="00D543E5"/>
    <w:rsid w:val="00D5644B"/>
    <w:rsid w:val="00D56E25"/>
    <w:rsid w:val="00D71896"/>
    <w:rsid w:val="00D718D7"/>
    <w:rsid w:val="00D73212"/>
    <w:rsid w:val="00D814B7"/>
    <w:rsid w:val="00D90688"/>
    <w:rsid w:val="00D974BC"/>
    <w:rsid w:val="00DA3AAD"/>
    <w:rsid w:val="00DA54E3"/>
    <w:rsid w:val="00DA5E15"/>
    <w:rsid w:val="00DB312B"/>
    <w:rsid w:val="00DC5654"/>
    <w:rsid w:val="00DC658F"/>
    <w:rsid w:val="00DE60CC"/>
    <w:rsid w:val="00DF3B39"/>
    <w:rsid w:val="00DF3FC8"/>
    <w:rsid w:val="00E01E21"/>
    <w:rsid w:val="00E26B32"/>
    <w:rsid w:val="00E31444"/>
    <w:rsid w:val="00E36F7C"/>
    <w:rsid w:val="00E407B6"/>
    <w:rsid w:val="00E41EF1"/>
    <w:rsid w:val="00E42942"/>
    <w:rsid w:val="00E468A6"/>
    <w:rsid w:val="00E50E6D"/>
    <w:rsid w:val="00E71BDF"/>
    <w:rsid w:val="00E75CDD"/>
    <w:rsid w:val="00E77776"/>
    <w:rsid w:val="00E83CA7"/>
    <w:rsid w:val="00EB2669"/>
    <w:rsid w:val="00EC171D"/>
    <w:rsid w:val="00ED13C3"/>
    <w:rsid w:val="00ED487E"/>
    <w:rsid w:val="00EE7A0D"/>
    <w:rsid w:val="00EF0D21"/>
    <w:rsid w:val="00F11D46"/>
    <w:rsid w:val="00F1369D"/>
    <w:rsid w:val="00F17CE1"/>
    <w:rsid w:val="00F2115C"/>
    <w:rsid w:val="00F22ABA"/>
    <w:rsid w:val="00F2715F"/>
    <w:rsid w:val="00F36B12"/>
    <w:rsid w:val="00F417C3"/>
    <w:rsid w:val="00F42E7D"/>
    <w:rsid w:val="00F47955"/>
    <w:rsid w:val="00F5705C"/>
    <w:rsid w:val="00F60F9F"/>
    <w:rsid w:val="00F643AA"/>
    <w:rsid w:val="00F64F08"/>
    <w:rsid w:val="00F734F5"/>
    <w:rsid w:val="00F81A10"/>
    <w:rsid w:val="00F966B1"/>
    <w:rsid w:val="00F97D48"/>
    <w:rsid w:val="00FA0311"/>
    <w:rsid w:val="00FA1222"/>
    <w:rsid w:val="00FA39DD"/>
    <w:rsid w:val="00FA7725"/>
    <w:rsid w:val="00FC42E5"/>
    <w:rsid w:val="00FC5A4C"/>
    <w:rsid w:val="00FC7835"/>
    <w:rsid w:val="00FD4D21"/>
    <w:rsid w:val="00FD640F"/>
    <w:rsid w:val="00FD6B4C"/>
    <w:rsid w:val="00FD6BE9"/>
    <w:rsid w:val="00FE21EC"/>
    <w:rsid w:val="00FE63A1"/>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FFE6E5"/>
  <w15:docId w15:val="{9FE48424-0709-4BA5-A0FA-8B2352B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rmalWeb">
    <w:name w:val="Normal (Web)"/>
    <w:basedOn w:val="Normal"/>
    <w:uiPriority w:val="99"/>
    <w:unhideWhenUsed/>
    <w:rsid w:val="00FE21EC"/>
    <w:pPr>
      <w:spacing w:before="100" w:beforeAutospacing="1" w:afterAutospacing="1" w:line="240" w:lineRule="auto"/>
    </w:pPr>
    <w:rPr>
      <w:rFonts w:ascii="Times New Roman" w:eastAsia="Times New Roman" w:hAnsi="Times New Roman" w:cs="Times New Roman"/>
      <w:spacing w:val="0"/>
      <w:sz w:val="24"/>
      <w:szCs w:val="24"/>
    </w:rPr>
  </w:style>
  <w:style w:type="character" w:styleId="Strong">
    <w:name w:val="Strong"/>
    <w:basedOn w:val="DefaultParagraphFont"/>
    <w:uiPriority w:val="22"/>
    <w:qFormat/>
    <w:rsid w:val="00FE21EC"/>
    <w:rPr>
      <w:b/>
      <w:bCs/>
    </w:rPr>
  </w:style>
  <w:style w:type="character" w:styleId="Emphasis">
    <w:name w:val="Emphasis"/>
    <w:basedOn w:val="DefaultParagraphFont"/>
    <w:uiPriority w:val="20"/>
    <w:qFormat/>
    <w:rsid w:val="00FE21EC"/>
    <w:rPr>
      <w:i/>
      <w:iCs/>
    </w:rPr>
  </w:style>
  <w:style w:type="character" w:styleId="PlaceholderText">
    <w:name w:val="Placeholder Text"/>
    <w:basedOn w:val="DefaultParagraphFont"/>
    <w:uiPriority w:val="99"/>
    <w:semiHidden/>
    <w:rsid w:val="00001FA9"/>
    <w:rPr>
      <w:color w:val="808080"/>
    </w:rPr>
  </w:style>
  <w:style w:type="character" w:styleId="CommentReference">
    <w:name w:val="annotation reference"/>
    <w:basedOn w:val="DefaultParagraphFont"/>
    <w:uiPriority w:val="99"/>
    <w:semiHidden/>
    <w:rsid w:val="00CD3766"/>
    <w:rPr>
      <w:sz w:val="16"/>
      <w:szCs w:val="16"/>
    </w:rPr>
  </w:style>
  <w:style w:type="paragraph" w:styleId="CommentText">
    <w:name w:val="annotation text"/>
    <w:basedOn w:val="Normal"/>
    <w:link w:val="CommentTextChar"/>
    <w:uiPriority w:val="99"/>
    <w:semiHidden/>
    <w:rsid w:val="00CD3766"/>
    <w:pPr>
      <w:spacing w:line="240" w:lineRule="auto"/>
    </w:pPr>
  </w:style>
  <w:style w:type="character" w:customStyle="1" w:styleId="CommentTextChar">
    <w:name w:val="Comment Text Char"/>
    <w:basedOn w:val="DefaultParagraphFont"/>
    <w:link w:val="CommentText"/>
    <w:uiPriority w:val="99"/>
    <w:semiHidden/>
    <w:rsid w:val="00CD3766"/>
    <w:rPr>
      <w:spacing w:val="2"/>
    </w:rPr>
  </w:style>
  <w:style w:type="paragraph" w:styleId="CommentSubject">
    <w:name w:val="annotation subject"/>
    <w:basedOn w:val="CommentText"/>
    <w:next w:val="CommentText"/>
    <w:link w:val="CommentSubjectChar"/>
    <w:uiPriority w:val="99"/>
    <w:semiHidden/>
    <w:rsid w:val="00CD3766"/>
    <w:rPr>
      <w:b/>
      <w:bCs/>
    </w:rPr>
  </w:style>
  <w:style w:type="character" w:customStyle="1" w:styleId="CommentSubjectChar">
    <w:name w:val="Comment Subject Char"/>
    <w:basedOn w:val="CommentTextChar"/>
    <w:link w:val="CommentSubject"/>
    <w:uiPriority w:val="99"/>
    <w:semiHidden/>
    <w:rsid w:val="00CD3766"/>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fa@dtf.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45D7-9E77-4C26-B936-21D6F04F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1001</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127</cp:revision>
  <cp:lastPrinted>2018-10-07T21:14:00Z</cp:lastPrinted>
  <dcterms:created xsi:type="dcterms:W3CDTF">2017-05-08T00:15:00Z</dcterms:created>
  <dcterms:modified xsi:type="dcterms:W3CDTF">2018-10-23T21:06:00Z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6638795d-14c1-4c6e-bb62-b46c382b467c</vt:lpwstr>
  </property>
  <property fmtid="{D5CDD505-2E9C-101B-9397-08002B2CF9AE}" pid="3" name="PSPFClassification">
    <vt:lpwstr>Do Not Mark</vt:lpwstr>
  </property>
  <property fmtid="{D5CDD505-2E9C-101B-9397-08002B2CF9AE}" pid="4" name="Classification">
    <vt:lpwstr>Do Not Mark</vt:lpwstr>
  </property>
</Properties>
</file>