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Default="00E7443D" w:rsidP="00E7443D">
      <w:pPr>
        <w:pStyle w:val="Title"/>
        <w:ind w:right="1826"/>
      </w:pPr>
      <w:r w:rsidRPr="00E501AF">
        <w:t>Guidelines for managing requests from a political party for costing of its own policies*</w:t>
      </w:r>
    </w:p>
    <w:p w:rsidR="00750CBE" w:rsidRDefault="00E7443D" w:rsidP="00F12312">
      <w:pPr>
        <w:pStyle w:val="Subtitle"/>
      </w:pPr>
      <w:r w:rsidRPr="0074762A">
        <w:t>September</w:t>
      </w:r>
      <w:r>
        <w:t xml:space="preserve"> 2018</w:t>
      </w:r>
    </w:p>
    <w:p w:rsidR="00966115" w:rsidRPr="00E7443D" w:rsidRDefault="00E7443D" w:rsidP="00E7443D">
      <w:pPr>
        <w:pStyle w:val="TertiaryTitle"/>
      </w:pPr>
      <w:r>
        <w:t xml:space="preserve">* In accordance with section 2.70 of the </w:t>
      </w:r>
      <w:r>
        <w:br/>
        <w:t xml:space="preserve">2018 </w:t>
      </w:r>
      <w:r>
        <w:rPr>
          <w:i/>
        </w:rPr>
        <w:t>Guidelines on the Caretaker Conventions</w:t>
      </w:r>
    </w:p>
    <w:p w:rsidR="00750CBE" w:rsidRDefault="00750CBE">
      <w:r>
        <w:br w:type="page"/>
      </w:r>
    </w:p>
    <w:p w:rsidR="00750CBE" w:rsidRDefault="00750CBE" w:rsidP="008D0281">
      <w:pPr>
        <w:pStyle w:val="NormalTight"/>
      </w:pPr>
    </w:p>
    <w:p w:rsidR="00750CBE" w:rsidRPr="00C92338" w:rsidRDefault="00750CBE" w:rsidP="00E7443D">
      <w:pPr>
        <w:pStyle w:val="Insidecoverspacer"/>
        <w:spacing w:before="4600"/>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143DCA">
        <w:rPr>
          <w:rFonts w:cstheme="minorHAnsi"/>
          <w:spacing w:val="0"/>
          <w:sz w:val="19"/>
          <w:szCs w:val="19"/>
        </w:rPr>
        <w:t>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750CBE" w:rsidRPr="001068FB" w:rsidRDefault="001068FB" w:rsidP="008D0281">
      <w:pPr>
        <w:pStyle w:val="NormalTight"/>
      </w:pPr>
      <w:r w:rsidRPr="001068FB">
        <w:t>ISBN 978-1-925551-13-6</w:t>
      </w:r>
      <w:bookmarkStart w:id="0" w:name="_GoBack"/>
      <w:bookmarkEnd w:id="0"/>
    </w:p>
    <w:p w:rsidR="00750CBE" w:rsidRPr="00C92338" w:rsidRDefault="00AC2624" w:rsidP="008D0281">
      <w:pPr>
        <w:pStyle w:val="NormalTight"/>
      </w:pPr>
      <w:r w:rsidRPr="003163BA">
        <w:t>Published</w:t>
      </w:r>
      <w:r w:rsidR="003163BA" w:rsidRPr="003163BA">
        <w:t xml:space="preserve"> September </w:t>
      </w:r>
      <w:r w:rsidRPr="003163BA">
        <w:t>201</w:t>
      </w:r>
      <w:r w:rsidR="00143DCA" w:rsidRPr="003163BA">
        <w:t>8</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Default="00750CBE" w:rsidP="008D0281">
      <w:pPr>
        <w:pStyle w:val="NormalTight"/>
        <w:rPr>
          <w:rStyle w:val="Hyperlink"/>
        </w:rPr>
      </w:pPr>
      <w:r w:rsidRPr="00C92338">
        <w:t xml:space="preserve">This document is also available in Word and PDF format at </w:t>
      </w:r>
      <w:hyperlink r:id="rId13" w:history="1">
        <w:r w:rsidRPr="00C92338">
          <w:rPr>
            <w:rStyle w:val="Hyperlink"/>
          </w:rPr>
          <w:t>dtf.vic.gov.au</w:t>
        </w:r>
      </w:hyperlink>
    </w:p>
    <w:p w:rsidR="00750CBE" w:rsidRPr="00C92338" w:rsidRDefault="00E7443D" w:rsidP="00E7443D">
      <w:pPr>
        <w:pStyle w:val="NormalTight"/>
        <w:rPr>
          <w:sz w:val="19"/>
        </w:rPr>
      </w:pPr>
      <w:r w:rsidRPr="00E501AF">
        <w:t>The Department of Treasury and Finance acknowledges the contribution of the Commonwealth Treasury and</w:t>
      </w:r>
      <w:r>
        <w:t xml:space="preserve"> Department of</w:t>
      </w:r>
      <w:r w:rsidRPr="00E501AF">
        <w:t xml:space="preserve"> Finance in the development of these policy costing guidelines through their provision o</w:t>
      </w:r>
      <w:r>
        <w:t>f the Charter of Budget Honesty Policy Costing Guidelines (source: licensed from the Australian Government Department of the Treasury and the Department of Finance under a Creative Commons Attribution 3.0 Australia Licence)</w:t>
      </w:r>
      <w:r w:rsidRPr="00E501AF">
        <w:t>.</w:t>
      </w:r>
    </w:p>
    <w:p w:rsidR="00750CBE" w:rsidRDefault="00750CBE" w:rsidP="00D2312F">
      <w:pPr>
        <w:sectPr w:rsidR="00750CBE" w:rsidSect="00FF4E99">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A429CC" w:rsidRDefault="00E7443D">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524425734" w:history="1">
        <w:r w:rsidR="00A429CC" w:rsidRPr="002D54CF">
          <w:rPr>
            <w:rStyle w:val="Hyperlink"/>
            <w:noProof/>
          </w:rPr>
          <w:t>Foreword</w:t>
        </w:r>
        <w:r w:rsidR="00A429CC">
          <w:rPr>
            <w:noProof/>
            <w:webHidden/>
          </w:rPr>
          <w:tab/>
        </w:r>
        <w:r w:rsidR="00A429CC">
          <w:rPr>
            <w:noProof/>
            <w:webHidden/>
          </w:rPr>
          <w:fldChar w:fldCharType="begin"/>
        </w:r>
        <w:r w:rsidR="00A429CC">
          <w:rPr>
            <w:noProof/>
            <w:webHidden/>
          </w:rPr>
          <w:instrText xml:space="preserve"> PAGEREF _Toc524425734 \h </w:instrText>
        </w:r>
        <w:r w:rsidR="00A429CC">
          <w:rPr>
            <w:noProof/>
            <w:webHidden/>
          </w:rPr>
        </w:r>
        <w:r w:rsidR="00A429CC">
          <w:rPr>
            <w:noProof/>
            <w:webHidden/>
          </w:rPr>
          <w:fldChar w:fldCharType="separate"/>
        </w:r>
        <w:r w:rsidR="00FB44C1">
          <w:rPr>
            <w:noProof/>
            <w:webHidden/>
          </w:rPr>
          <w:t>1</w:t>
        </w:r>
        <w:r w:rsidR="00A429CC">
          <w:rPr>
            <w:noProof/>
            <w:webHidden/>
          </w:rPr>
          <w:fldChar w:fldCharType="end"/>
        </w:r>
      </w:hyperlink>
    </w:p>
    <w:p w:rsidR="00A429CC" w:rsidRDefault="00071219">
      <w:pPr>
        <w:pStyle w:val="TOC4"/>
        <w:rPr>
          <w:spacing w:val="0"/>
          <w:sz w:val="22"/>
          <w:szCs w:val="22"/>
          <w:lang w:eastAsia="en-AU"/>
        </w:rPr>
      </w:pPr>
      <w:hyperlink w:anchor="_Toc524425735" w:history="1">
        <w:r w:rsidR="00A429CC" w:rsidRPr="002D54CF">
          <w:rPr>
            <w:rStyle w:val="Hyperlink"/>
          </w:rPr>
          <w:t>1.</w:t>
        </w:r>
        <w:r w:rsidR="00A429CC">
          <w:rPr>
            <w:spacing w:val="0"/>
            <w:sz w:val="22"/>
            <w:szCs w:val="22"/>
            <w:lang w:eastAsia="en-AU"/>
          </w:rPr>
          <w:tab/>
        </w:r>
        <w:r w:rsidR="00A429CC" w:rsidRPr="002D54CF">
          <w:rPr>
            <w:rStyle w:val="Hyperlink"/>
          </w:rPr>
          <w:t>Process: context, timing and outcome</w:t>
        </w:r>
        <w:r w:rsidR="00A429CC">
          <w:rPr>
            <w:webHidden/>
          </w:rPr>
          <w:tab/>
        </w:r>
        <w:r w:rsidR="00A429CC">
          <w:rPr>
            <w:webHidden/>
          </w:rPr>
          <w:fldChar w:fldCharType="begin"/>
        </w:r>
        <w:r w:rsidR="00A429CC">
          <w:rPr>
            <w:webHidden/>
          </w:rPr>
          <w:instrText xml:space="preserve"> PAGEREF _Toc524425735 \h </w:instrText>
        </w:r>
        <w:r w:rsidR="00A429CC">
          <w:rPr>
            <w:webHidden/>
          </w:rPr>
        </w:r>
        <w:r w:rsidR="00A429CC">
          <w:rPr>
            <w:webHidden/>
          </w:rPr>
          <w:fldChar w:fldCharType="separate"/>
        </w:r>
        <w:r w:rsidR="00FB44C1">
          <w:rPr>
            <w:webHidden/>
          </w:rPr>
          <w:t>2</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36" w:history="1">
        <w:r w:rsidR="00A429CC" w:rsidRPr="002D54CF">
          <w:rPr>
            <w:rStyle w:val="Hyperlink"/>
          </w:rPr>
          <w:t>1.1</w:t>
        </w:r>
        <w:r w:rsidR="00A429CC">
          <w:rPr>
            <w:spacing w:val="0"/>
            <w:sz w:val="22"/>
            <w:szCs w:val="22"/>
            <w:lang w:eastAsia="en-AU"/>
          </w:rPr>
          <w:tab/>
        </w:r>
        <w:r w:rsidR="00A429CC" w:rsidRPr="002D54CF">
          <w:rPr>
            <w:rStyle w:val="Hyperlink"/>
          </w:rPr>
          <w:t>Summary of process</w:t>
        </w:r>
        <w:r w:rsidR="00A429CC">
          <w:rPr>
            <w:webHidden/>
          </w:rPr>
          <w:tab/>
        </w:r>
        <w:r w:rsidR="00A429CC">
          <w:rPr>
            <w:webHidden/>
          </w:rPr>
          <w:fldChar w:fldCharType="begin"/>
        </w:r>
        <w:r w:rsidR="00A429CC">
          <w:rPr>
            <w:webHidden/>
          </w:rPr>
          <w:instrText xml:space="preserve"> PAGEREF _Toc524425736 \h </w:instrText>
        </w:r>
        <w:r w:rsidR="00A429CC">
          <w:rPr>
            <w:webHidden/>
          </w:rPr>
        </w:r>
        <w:r w:rsidR="00A429CC">
          <w:rPr>
            <w:webHidden/>
          </w:rPr>
          <w:fldChar w:fldCharType="separate"/>
        </w:r>
        <w:r w:rsidR="00FB44C1">
          <w:rPr>
            <w:webHidden/>
          </w:rPr>
          <w:t>2</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37" w:history="1">
        <w:r w:rsidR="00A429CC" w:rsidRPr="002D54CF">
          <w:rPr>
            <w:rStyle w:val="Hyperlink"/>
          </w:rPr>
          <w:t>1.2</w:t>
        </w:r>
        <w:r w:rsidR="00A429CC">
          <w:rPr>
            <w:spacing w:val="0"/>
            <w:sz w:val="22"/>
            <w:szCs w:val="22"/>
            <w:lang w:eastAsia="en-AU"/>
          </w:rPr>
          <w:tab/>
        </w:r>
        <w:r w:rsidR="00A429CC" w:rsidRPr="002D54CF">
          <w:rPr>
            <w:rStyle w:val="Hyperlink"/>
          </w:rPr>
          <w:t>Timing flow chart</w:t>
        </w:r>
        <w:r w:rsidR="00A429CC">
          <w:rPr>
            <w:webHidden/>
          </w:rPr>
          <w:tab/>
        </w:r>
        <w:r w:rsidR="00A429CC">
          <w:rPr>
            <w:webHidden/>
          </w:rPr>
          <w:fldChar w:fldCharType="begin"/>
        </w:r>
        <w:r w:rsidR="00A429CC">
          <w:rPr>
            <w:webHidden/>
          </w:rPr>
          <w:instrText xml:space="preserve"> PAGEREF _Toc524425737 \h </w:instrText>
        </w:r>
        <w:r w:rsidR="00A429CC">
          <w:rPr>
            <w:webHidden/>
          </w:rPr>
        </w:r>
        <w:r w:rsidR="00A429CC">
          <w:rPr>
            <w:webHidden/>
          </w:rPr>
          <w:fldChar w:fldCharType="separate"/>
        </w:r>
        <w:r w:rsidR="00FB44C1">
          <w:rPr>
            <w:webHidden/>
          </w:rPr>
          <w:t>3</w:t>
        </w:r>
        <w:r w:rsidR="00A429CC">
          <w:rPr>
            <w:webHidden/>
          </w:rPr>
          <w:fldChar w:fldCharType="end"/>
        </w:r>
      </w:hyperlink>
    </w:p>
    <w:p w:rsidR="00A429CC" w:rsidRDefault="00071219">
      <w:pPr>
        <w:pStyle w:val="TOC4"/>
        <w:rPr>
          <w:spacing w:val="0"/>
          <w:sz w:val="22"/>
          <w:szCs w:val="22"/>
          <w:lang w:eastAsia="en-AU"/>
        </w:rPr>
      </w:pPr>
      <w:hyperlink w:anchor="_Toc524425738" w:history="1">
        <w:r w:rsidR="00A429CC" w:rsidRPr="002D54CF">
          <w:rPr>
            <w:rStyle w:val="Hyperlink"/>
          </w:rPr>
          <w:t>2.</w:t>
        </w:r>
        <w:r w:rsidR="00A429CC">
          <w:rPr>
            <w:spacing w:val="0"/>
            <w:sz w:val="22"/>
            <w:szCs w:val="22"/>
            <w:lang w:eastAsia="en-AU"/>
          </w:rPr>
          <w:tab/>
        </w:r>
        <w:r w:rsidR="00A429CC" w:rsidRPr="002D54CF">
          <w:rPr>
            <w:rStyle w:val="Hyperlink"/>
          </w:rPr>
          <w:t>Aims, methodology and assumptions for policy costings</w:t>
        </w:r>
        <w:r w:rsidR="00A429CC">
          <w:rPr>
            <w:webHidden/>
          </w:rPr>
          <w:tab/>
        </w:r>
        <w:r w:rsidR="00A429CC">
          <w:rPr>
            <w:webHidden/>
          </w:rPr>
          <w:fldChar w:fldCharType="begin"/>
        </w:r>
        <w:r w:rsidR="00A429CC">
          <w:rPr>
            <w:webHidden/>
          </w:rPr>
          <w:instrText xml:space="preserve"> PAGEREF _Toc524425738 \h </w:instrText>
        </w:r>
        <w:r w:rsidR="00A429CC">
          <w:rPr>
            <w:webHidden/>
          </w:rPr>
        </w:r>
        <w:r w:rsidR="00A429CC">
          <w:rPr>
            <w:webHidden/>
          </w:rPr>
          <w:fldChar w:fldCharType="separate"/>
        </w:r>
        <w:r w:rsidR="00FB44C1">
          <w:rPr>
            <w:webHidden/>
          </w:rPr>
          <w:t>4</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39" w:history="1">
        <w:r w:rsidR="00A429CC" w:rsidRPr="002D54CF">
          <w:rPr>
            <w:rStyle w:val="Hyperlink"/>
          </w:rPr>
          <w:t>2.1</w:t>
        </w:r>
        <w:r w:rsidR="00A429CC">
          <w:rPr>
            <w:spacing w:val="0"/>
            <w:sz w:val="22"/>
            <w:szCs w:val="22"/>
            <w:lang w:eastAsia="en-AU"/>
          </w:rPr>
          <w:tab/>
        </w:r>
        <w:r w:rsidR="00A429CC" w:rsidRPr="002D54CF">
          <w:rPr>
            <w:rStyle w:val="Hyperlink"/>
          </w:rPr>
          <w:t>Aims</w:t>
        </w:r>
        <w:r w:rsidR="00A429CC">
          <w:rPr>
            <w:webHidden/>
          </w:rPr>
          <w:tab/>
        </w:r>
        <w:r w:rsidR="00A429CC">
          <w:rPr>
            <w:webHidden/>
          </w:rPr>
          <w:fldChar w:fldCharType="begin"/>
        </w:r>
        <w:r w:rsidR="00A429CC">
          <w:rPr>
            <w:webHidden/>
          </w:rPr>
          <w:instrText xml:space="preserve"> PAGEREF _Toc524425739 \h </w:instrText>
        </w:r>
        <w:r w:rsidR="00A429CC">
          <w:rPr>
            <w:webHidden/>
          </w:rPr>
        </w:r>
        <w:r w:rsidR="00A429CC">
          <w:rPr>
            <w:webHidden/>
          </w:rPr>
          <w:fldChar w:fldCharType="separate"/>
        </w:r>
        <w:r w:rsidR="00FB44C1">
          <w:rPr>
            <w:webHidden/>
          </w:rPr>
          <w:t>4</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0" w:history="1">
        <w:r w:rsidR="00A429CC" w:rsidRPr="002D54CF">
          <w:rPr>
            <w:rStyle w:val="Hyperlink"/>
          </w:rPr>
          <w:t>2.2</w:t>
        </w:r>
        <w:r w:rsidR="00A429CC">
          <w:rPr>
            <w:spacing w:val="0"/>
            <w:sz w:val="22"/>
            <w:szCs w:val="22"/>
            <w:lang w:eastAsia="en-AU"/>
          </w:rPr>
          <w:tab/>
        </w:r>
        <w:r w:rsidR="00A429CC" w:rsidRPr="002D54CF">
          <w:rPr>
            <w:rStyle w:val="Hyperlink"/>
          </w:rPr>
          <w:t>Methodology</w:t>
        </w:r>
        <w:r w:rsidR="00A429CC">
          <w:rPr>
            <w:webHidden/>
          </w:rPr>
          <w:tab/>
        </w:r>
        <w:r w:rsidR="00A429CC">
          <w:rPr>
            <w:webHidden/>
          </w:rPr>
          <w:fldChar w:fldCharType="begin"/>
        </w:r>
        <w:r w:rsidR="00A429CC">
          <w:rPr>
            <w:webHidden/>
          </w:rPr>
          <w:instrText xml:space="preserve"> PAGEREF _Toc524425740 \h </w:instrText>
        </w:r>
        <w:r w:rsidR="00A429CC">
          <w:rPr>
            <w:webHidden/>
          </w:rPr>
        </w:r>
        <w:r w:rsidR="00A429CC">
          <w:rPr>
            <w:webHidden/>
          </w:rPr>
          <w:fldChar w:fldCharType="separate"/>
        </w:r>
        <w:r w:rsidR="00FB44C1">
          <w:rPr>
            <w:webHidden/>
          </w:rPr>
          <w:t>4</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1" w:history="1">
        <w:r w:rsidR="00A429CC" w:rsidRPr="002D54CF">
          <w:rPr>
            <w:rStyle w:val="Hyperlink"/>
          </w:rPr>
          <w:t>2.3</w:t>
        </w:r>
        <w:r w:rsidR="00A429CC">
          <w:rPr>
            <w:spacing w:val="0"/>
            <w:sz w:val="22"/>
            <w:szCs w:val="22"/>
            <w:lang w:eastAsia="en-AU"/>
          </w:rPr>
          <w:tab/>
        </w:r>
        <w:r w:rsidR="00A429CC" w:rsidRPr="002D54CF">
          <w:rPr>
            <w:rStyle w:val="Hyperlink"/>
          </w:rPr>
          <w:t>Assumptions</w:t>
        </w:r>
        <w:r w:rsidR="00A429CC">
          <w:rPr>
            <w:webHidden/>
          </w:rPr>
          <w:tab/>
        </w:r>
        <w:r w:rsidR="00A429CC">
          <w:rPr>
            <w:webHidden/>
          </w:rPr>
          <w:fldChar w:fldCharType="begin"/>
        </w:r>
        <w:r w:rsidR="00A429CC">
          <w:rPr>
            <w:webHidden/>
          </w:rPr>
          <w:instrText xml:space="preserve"> PAGEREF _Toc524425741 \h </w:instrText>
        </w:r>
        <w:r w:rsidR="00A429CC">
          <w:rPr>
            <w:webHidden/>
          </w:rPr>
        </w:r>
        <w:r w:rsidR="00A429CC">
          <w:rPr>
            <w:webHidden/>
          </w:rPr>
          <w:fldChar w:fldCharType="separate"/>
        </w:r>
        <w:r w:rsidR="00FB44C1">
          <w:rPr>
            <w:webHidden/>
          </w:rPr>
          <w:t>5</w:t>
        </w:r>
        <w:r w:rsidR="00A429CC">
          <w:rPr>
            <w:webHidden/>
          </w:rPr>
          <w:fldChar w:fldCharType="end"/>
        </w:r>
      </w:hyperlink>
    </w:p>
    <w:p w:rsidR="00A429CC" w:rsidRDefault="00071219">
      <w:pPr>
        <w:pStyle w:val="TOC4"/>
        <w:rPr>
          <w:spacing w:val="0"/>
          <w:sz w:val="22"/>
          <w:szCs w:val="22"/>
          <w:lang w:eastAsia="en-AU"/>
        </w:rPr>
      </w:pPr>
      <w:hyperlink w:anchor="_Toc524425742" w:history="1">
        <w:r w:rsidR="00A429CC" w:rsidRPr="002D54CF">
          <w:rPr>
            <w:rStyle w:val="Hyperlink"/>
          </w:rPr>
          <w:t>3.</w:t>
        </w:r>
        <w:r w:rsidR="00A429CC">
          <w:rPr>
            <w:spacing w:val="0"/>
            <w:sz w:val="22"/>
            <w:szCs w:val="22"/>
            <w:lang w:eastAsia="en-AU"/>
          </w:rPr>
          <w:tab/>
        </w:r>
        <w:r w:rsidR="00A429CC" w:rsidRPr="002D54CF">
          <w:rPr>
            <w:rStyle w:val="Hyperlink"/>
          </w:rPr>
          <w:t>Request process, detail and time required and security</w:t>
        </w:r>
        <w:r w:rsidR="00A429CC">
          <w:rPr>
            <w:webHidden/>
          </w:rPr>
          <w:tab/>
        </w:r>
        <w:r w:rsidR="00A429CC">
          <w:rPr>
            <w:webHidden/>
          </w:rPr>
          <w:fldChar w:fldCharType="begin"/>
        </w:r>
        <w:r w:rsidR="00A429CC">
          <w:rPr>
            <w:webHidden/>
          </w:rPr>
          <w:instrText xml:space="preserve"> PAGEREF _Toc524425742 \h </w:instrText>
        </w:r>
        <w:r w:rsidR="00A429CC">
          <w:rPr>
            <w:webHidden/>
          </w:rPr>
        </w:r>
        <w:r w:rsidR="00A429CC">
          <w:rPr>
            <w:webHidden/>
          </w:rPr>
          <w:fldChar w:fldCharType="separate"/>
        </w:r>
        <w:r w:rsidR="00FB44C1">
          <w:rPr>
            <w:webHidden/>
          </w:rPr>
          <w:t>5</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3" w:history="1">
        <w:r w:rsidR="00A429CC" w:rsidRPr="002D54CF">
          <w:rPr>
            <w:rStyle w:val="Hyperlink"/>
          </w:rPr>
          <w:t>3.1</w:t>
        </w:r>
        <w:r w:rsidR="00A429CC">
          <w:rPr>
            <w:spacing w:val="0"/>
            <w:sz w:val="22"/>
            <w:szCs w:val="22"/>
            <w:lang w:eastAsia="en-AU"/>
          </w:rPr>
          <w:tab/>
        </w:r>
        <w:r w:rsidR="00A429CC" w:rsidRPr="002D54CF">
          <w:rPr>
            <w:rStyle w:val="Hyperlink"/>
          </w:rPr>
          <w:t>Request process</w:t>
        </w:r>
        <w:r w:rsidR="00A429CC">
          <w:rPr>
            <w:webHidden/>
          </w:rPr>
          <w:tab/>
        </w:r>
        <w:r w:rsidR="00A429CC">
          <w:rPr>
            <w:webHidden/>
          </w:rPr>
          <w:fldChar w:fldCharType="begin"/>
        </w:r>
        <w:r w:rsidR="00A429CC">
          <w:rPr>
            <w:webHidden/>
          </w:rPr>
          <w:instrText xml:space="preserve"> PAGEREF _Toc524425743 \h </w:instrText>
        </w:r>
        <w:r w:rsidR="00A429CC">
          <w:rPr>
            <w:webHidden/>
          </w:rPr>
        </w:r>
        <w:r w:rsidR="00A429CC">
          <w:rPr>
            <w:webHidden/>
          </w:rPr>
          <w:fldChar w:fldCharType="separate"/>
        </w:r>
        <w:r w:rsidR="00FB44C1">
          <w:rPr>
            <w:webHidden/>
          </w:rPr>
          <w:t>5</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4" w:history="1">
        <w:r w:rsidR="00A429CC" w:rsidRPr="002D54CF">
          <w:rPr>
            <w:rStyle w:val="Hyperlink"/>
          </w:rPr>
          <w:t>3.2</w:t>
        </w:r>
        <w:r w:rsidR="00A429CC">
          <w:rPr>
            <w:spacing w:val="0"/>
            <w:sz w:val="22"/>
            <w:szCs w:val="22"/>
            <w:lang w:eastAsia="en-AU"/>
          </w:rPr>
          <w:tab/>
        </w:r>
        <w:r w:rsidR="00A429CC" w:rsidRPr="002D54CF">
          <w:rPr>
            <w:rStyle w:val="Hyperlink"/>
          </w:rPr>
          <w:t>Detail</w:t>
        </w:r>
        <w:r w:rsidR="00A429CC">
          <w:rPr>
            <w:webHidden/>
          </w:rPr>
          <w:tab/>
        </w:r>
        <w:r w:rsidR="00A429CC">
          <w:rPr>
            <w:webHidden/>
          </w:rPr>
          <w:fldChar w:fldCharType="begin"/>
        </w:r>
        <w:r w:rsidR="00A429CC">
          <w:rPr>
            <w:webHidden/>
          </w:rPr>
          <w:instrText xml:space="preserve"> PAGEREF _Toc524425744 \h </w:instrText>
        </w:r>
        <w:r w:rsidR="00A429CC">
          <w:rPr>
            <w:webHidden/>
          </w:rPr>
        </w:r>
        <w:r w:rsidR="00A429CC">
          <w:rPr>
            <w:webHidden/>
          </w:rPr>
          <w:fldChar w:fldCharType="separate"/>
        </w:r>
        <w:r w:rsidR="00FB44C1">
          <w:rPr>
            <w:webHidden/>
          </w:rPr>
          <w:t>5</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5" w:history="1">
        <w:r w:rsidR="00A429CC" w:rsidRPr="002D54CF">
          <w:rPr>
            <w:rStyle w:val="Hyperlink"/>
          </w:rPr>
          <w:t>3.3</w:t>
        </w:r>
        <w:r w:rsidR="00A429CC">
          <w:rPr>
            <w:spacing w:val="0"/>
            <w:sz w:val="22"/>
            <w:szCs w:val="22"/>
            <w:lang w:eastAsia="en-AU"/>
          </w:rPr>
          <w:tab/>
        </w:r>
        <w:r w:rsidR="00A429CC" w:rsidRPr="002D54CF">
          <w:rPr>
            <w:rStyle w:val="Hyperlink"/>
          </w:rPr>
          <w:t>Time required</w:t>
        </w:r>
        <w:r w:rsidR="00A429CC">
          <w:rPr>
            <w:webHidden/>
          </w:rPr>
          <w:tab/>
        </w:r>
        <w:r w:rsidR="00A429CC">
          <w:rPr>
            <w:webHidden/>
          </w:rPr>
          <w:fldChar w:fldCharType="begin"/>
        </w:r>
        <w:r w:rsidR="00A429CC">
          <w:rPr>
            <w:webHidden/>
          </w:rPr>
          <w:instrText xml:space="preserve"> PAGEREF _Toc524425745 \h </w:instrText>
        </w:r>
        <w:r w:rsidR="00A429CC">
          <w:rPr>
            <w:webHidden/>
          </w:rPr>
        </w:r>
        <w:r w:rsidR="00A429CC">
          <w:rPr>
            <w:webHidden/>
          </w:rPr>
          <w:fldChar w:fldCharType="separate"/>
        </w:r>
        <w:r w:rsidR="00FB44C1">
          <w:rPr>
            <w:webHidden/>
          </w:rPr>
          <w:t>6</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6" w:history="1">
        <w:r w:rsidR="00A429CC" w:rsidRPr="002D54CF">
          <w:rPr>
            <w:rStyle w:val="Hyperlink"/>
          </w:rPr>
          <w:t>3.4</w:t>
        </w:r>
        <w:r w:rsidR="00A429CC">
          <w:rPr>
            <w:spacing w:val="0"/>
            <w:sz w:val="22"/>
            <w:szCs w:val="22"/>
            <w:lang w:eastAsia="en-AU"/>
          </w:rPr>
          <w:tab/>
        </w:r>
        <w:r w:rsidR="00A429CC" w:rsidRPr="002D54CF">
          <w:rPr>
            <w:rStyle w:val="Hyperlink"/>
          </w:rPr>
          <w:t>Security</w:t>
        </w:r>
        <w:r w:rsidR="00A429CC">
          <w:rPr>
            <w:webHidden/>
          </w:rPr>
          <w:tab/>
        </w:r>
        <w:r w:rsidR="00A429CC">
          <w:rPr>
            <w:webHidden/>
          </w:rPr>
          <w:fldChar w:fldCharType="begin"/>
        </w:r>
        <w:r w:rsidR="00A429CC">
          <w:rPr>
            <w:webHidden/>
          </w:rPr>
          <w:instrText xml:space="preserve"> PAGEREF _Toc524425746 \h </w:instrText>
        </w:r>
        <w:r w:rsidR="00A429CC">
          <w:rPr>
            <w:webHidden/>
          </w:rPr>
        </w:r>
        <w:r w:rsidR="00A429CC">
          <w:rPr>
            <w:webHidden/>
          </w:rPr>
          <w:fldChar w:fldCharType="separate"/>
        </w:r>
        <w:r w:rsidR="00FB44C1">
          <w:rPr>
            <w:webHidden/>
          </w:rPr>
          <w:t>6</w:t>
        </w:r>
        <w:r w:rsidR="00A429CC">
          <w:rPr>
            <w:webHidden/>
          </w:rPr>
          <w:fldChar w:fldCharType="end"/>
        </w:r>
      </w:hyperlink>
    </w:p>
    <w:p w:rsidR="00A429CC" w:rsidRDefault="00071219">
      <w:pPr>
        <w:pStyle w:val="TOC4"/>
        <w:rPr>
          <w:spacing w:val="0"/>
          <w:sz w:val="22"/>
          <w:szCs w:val="22"/>
          <w:lang w:eastAsia="en-AU"/>
        </w:rPr>
      </w:pPr>
      <w:hyperlink w:anchor="_Toc524425747" w:history="1">
        <w:r w:rsidR="00A429CC" w:rsidRPr="002D54CF">
          <w:rPr>
            <w:rStyle w:val="Hyperlink"/>
          </w:rPr>
          <w:t>4.</w:t>
        </w:r>
        <w:r w:rsidR="00A429CC">
          <w:rPr>
            <w:spacing w:val="0"/>
            <w:sz w:val="22"/>
            <w:szCs w:val="22"/>
            <w:lang w:eastAsia="en-AU"/>
          </w:rPr>
          <w:tab/>
        </w:r>
        <w:r w:rsidR="00A429CC" w:rsidRPr="002D54CF">
          <w:rPr>
            <w:rStyle w:val="Hyperlink"/>
          </w:rPr>
          <w:t>Constraints and public release</w:t>
        </w:r>
        <w:r w:rsidR="00A429CC">
          <w:rPr>
            <w:webHidden/>
          </w:rPr>
          <w:tab/>
        </w:r>
        <w:r w:rsidR="00A429CC">
          <w:rPr>
            <w:webHidden/>
          </w:rPr>
          <w:fldChar w:fldCharType="begin"/>
        </w:r>
        <w:r w:rsidR="00A429CC">
          <w:rPr>
            <w:webHidden/>
          </w:rPr>
          <w:instrText xml:space="preserve"> PAGEREF _Toc524425747 \h </w:instrText>
        </w:r>
        <w:r w:rsidR="00A429CC">
          <w:rPr>
            <w:webHidden/>
          </w:rPr>
        </w:r>
        <w:r w:rsidR="00A429CC">
          <w:rPr>
            <w:webHidden/>
          </w:rPr>
          <w:fldChar w:fldCharType="separate"/>
        </w:r>
        <w:r w:rsidR="00FB44C1">
          <w:rPr>
            <w:webHidden/>
          </w:rPr>
          <w:t>6</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8" w:history="1">
        <w:r w:rsidR="00A429CC" w:rsidRPr="002D54CF">
          <w:rPr>
            <w:rStyle w:val="Hyperlink"/>
          </w:rPr>
          <w:t>4.1</w:t>
        </w:r>
        <w:r w:rsidR="00A429CC">
          <w:rPr>
            <w:spacing w:val="0"/>
            <w:sz w:val="22"/>
            <w:szCs w:val="22"/>
            <w:lang w:eastAsia="en-AU"/>
          </w:rPr>
          <w:tab/>
        </w:r>
        <w:r w:rsidR="00A429CC" w:rsidRPr="002D54CF">
          <w:rPr>
            <w:rStyle w:val="Hyperlink"/>
          </w:rPr>
          <w:t>Constraints</w:t>
        </w:r>
        <w:r w:rsidR="00A429CC">
          <w:rPr>
            <w:webHidden/>
          </w:rPr>
          <w:tab/>
        </w:r>
        <w:r w:rsidR="00A429CC">
          <w:rPr>
            <w:webHidden/>
          </w:rPr>
          <w:fldChar w:fldCharType="begin"/>
        </w:r>
        <w:r w:rsidR="00A429CC">
          <w:rPr>
            <w:webHidden/>
          </w:rPr>
          <w:instrText xml:space="preserve"> PAGEREF _Toc524425748 \h </w:instrText>
        </w:r>
        <w:r w:rsidR="00A429CC">
          <w:rPr>
            <w:webHidden/>
          </w:rPr>
        </w:r>
        <w:r w:rsidR="00A429CC">
          <w:rPr>
            <w:webHidden/>
          </w:rPr>
          <w:fldChar w:fldCharType="separate"/>
        </w:r>
        <w:r w:rsidR="00FB44C1">
          <w:rPr>
            <w:webHidden/>
          </w:rPr>
          <w:t>6</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49" w:history="1">
        <w:r w:rsidR="00A429CC" w:rsidRPr="002D54CF">
          <w:rPr>
            <w:rStyle w:val="Hyperlink"/>
          </w:rPr>
          <w:t>4.2</w:t>
        </w:r>
        <w:r w:rsidR="00A429CC">
          <w:rPr>
            <w:spacing w:val="0"/>
            <w:sz w:val="22"/>
            <w:szCs w:val="22"/>
            <w:lang w:eastAsia="en-AU"/>
          </w:rPr>
          <w:tab/>
        </w:r>
        <w:r w:rsidR="00A429CC" w:rsidRPr="002D54CF">
          <w:rPr>
            <w:rStyle w:val="Hyperlink"/>
          </w:rPr>
          <w:t>Public release</w:t>
        </w:r>
        <w:r w:rsidR="00A429CC">
          <w:rPr>
            <w:webHidden/>
          </w:rPr>
          <w:tab/>
        </w:r>
        <w:r w:rsidR="00A429CC">
          <w:rPr>
            <w:webHidden/>
          </w:rPr>
          <w:fldChar w:fldCharType="begin"/>
        </w:r>
        <w:r w:rsidR="00A429CC">
          <w:rPr>
            <w:webHidden/>
          </w:rPr>
          <w:instrText xml:space="preserve"> PAGEREF _Toc524425749 \h </w:instrText>
        </w:r>
        <w:r w:rsidR="00A429CC">
          <w:rPr>
            <w:webHidden/>
          </w:rPr>
        </w:r>
        <w:r w:rsidR="00A429CC">
          <w:rPr>
            <w:webHidden/>
          </w:rPr>
          <w:fldChar w:fldCharType="separate"/>
        </w:r>
        <w:r w:rsidR="00FB44C1">
          <w:rPr>
            <w:webHidden/>
          </w:rPr>
          <w:t>7</w:t>
        </w:r>
        <w:r w:rsidR="00A429CC">
          <w:rPr>
            <w:webHidden/>
          </w:rPr>
          <w:fldChar w:fldCharType="end"/>
        </w:r>
      </w:hyperlink>
    </w:p>
    <w:p w:rsidR="00A429CC" w:rsidRDefault="00071219">
      <w:pPr>
        <w:pStyle w:val="TOC4"/>
        <w:rPr>
          <w:spacing w:val="0"/>
          <w:sz w:val="22"/>
          <w:szCs w:val="22"/>
          <w:lang w:eastAsia="en-AU"/>
        </w:rPr>
      </w:pPr>
      <w:hyperlink w:anchor="_Toc524425750" w:history="1">
        <w:r w:rsidR="00A429CC" w:rsidRPr="002D54CF">
          <w:rPr>
            <w:rStyle w:val="Hyperlink"/>
          </w:rPr>
          <w:t>5.</w:t>
        </w:r>
        <w:r w:rsidR="00A429CC">
          <w:rPr>
            <w:spacing w:val="0"/>
            <w:sz w:val="22"/>
            <w:szCs w:val="22"/>
            <w:lang w:eastAsia="en-AU"/>
          </w:rPr>
          <w:tab/>
        </w:r>
        <w:r w:rsidR="00A429CC" w:rsidRPr="002D54CF">
          <w:rPr>
            <w:rStyle w:val="Hyperlink"/>
          </w:rPr>
          <w:t>Parliamentary Budget Office (PBO)</w:t>
        </w:r>
        <w:r w:rsidR="00A429CC">
          <w:rPr>
            <w:webHidden/>
          </w:rPr>
          <w:tab/>
        </w:r>
        <w:r w:rsidR="00A429CC">
          <w:rPr>
            <w:webHidden/>
          </w:rPr>
          <w:fldChar w:fldCharType="begin"/>
        </w:r>
        <w:r w:rsidR="00A429CC">
          <w:rPr>
            <w:webHidden/>
          </w:rPr>
          <w:instrText xml:space="preserve"> PAGEREF _Toc524425750 \h </w:instrText>
        </w:r>
        <w:r w:rsidR="00A429CC">
          <w:rPr>
            <w:webHidden/>
          </w:rPr>
        </w:r>
        <w:r w:rsidR="00A429CC">
          <w:rPr>
            <w:webHidden/>
          </w:rPr>
          <w:fldChar w:fldCharType="separate"/>
        </w:r>
        <w:r w:rsidR="00FB44C1">
          <w:rPr>
            <w:webHidden/>
          </w:rPr>
          <w:t>7</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51" w:history="1">
        <w:r w:rsidR="00A429CC" w:rsidRPr="002D54CF">
          <w:rPr>
            <w:rStyle w:val="Hyperlink"/>
          </w:rPr>
          <w:t>5.1</w:t>
        </w:r>
        <w:r w:rsidR="00A429CC">
          <w:rPr>
            <w:spacing w:val="0"/>
            <w:sz w:val="22"/>
            <w:szCs w:val="22"/>
            <w:lang w:eastAsia="en-AU"/>
          </w:rPr>
          <w:tab/>
        </w:r>
        <w:r w:rsidR="00A429CC" w:rsidRPr="002D54CF">
          <w:rPr>
            <w:rStyle w:val="Hyperlink"/>
          </w:rPr>
          <w:t>Establishment</w:t>
        </w:r>
        <w:r w:rsidR="00A429CC">
          <w:rPr>
            <w:webHidden/>
          </w:rPr>
          <w:tab/>
        </w:r>
        <w:r w:rsidR="00A429CC">
          <w:rPr>
            <w:webHidden/>
          </w:rPr>
          <w:fldChar w:fldCharType="begin"/>
        </w:r>
        <w:r w:rsidR="00A429CC">
          <w:rPr>
            <w:webHidden/>
          </w:rPr>
          <w:instrText xml:space="preserve"> PAGEREF _Toc524425751 \h </w:instrText>
        </w:r>
        <w:r w:rsidR="00A429CC">
          <w:rPr>
            <w:webHidden/>
          </w:rPr>
        </w:r>
        <w:r w:rsidR="00A429CC">
          <w:rPr>
            <w:webHidden/>
          </w:rPr>
          <w:fldChar w:fldCharType="separate"/>
        </w:r>
        <w:r w:rsidR="00FB44C1">
          <w:rPr>
            <w:webHidden/>
          </w:rPr>
          <w:t>7</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52" w:history="1">
        <w:r w:rsidR="00A429CC" w:rsidRPr="002D54CF">
          <w:rPr>
            <w:rStyle w:val="Hyperlink"/>
          </w:rPr>
          <w:t>5.2</w:t>
        </w:r>
        <w:r w:rsidR="00A429CC">
          <w:rPr>
            <w:spacing w:val="0"/>
            <w:sz w:val="22"/>
            <w:szCs w:val="22"/>
            <w:lang w:eastAsia="en-AU"/>
          </w:rPr>
          <w:tab/>
        </w:r>
        <w:r w:rsidR="00A429CC" w:rsidRPr="002D54CF">
          <w:rPr>
            <w:rStyle w:val="Hyperlink"/>
          </w:rPr>
          <w:t>Role</w:t>
        </w:r>
        <w:r w:rsidR="00A429CC">
          <w:rPr>
            <w:webHidden/>
          </w:rPr>
          <w:tab/>
        </w:r>
        <w:r w:rsidR="00A429CC">
          <w:rPr>
            <w:webHidden/>
          </w:rPr>
          <w:fldChar w:fldCharType="begin"/>
        </w:r>
        <w:r w:rsidR="00A429CC">
          <w:rPr>
            <w:webHidden/>
          </w:rPr>
          <w:instrText xml:space="preserve"> PAGEREF _Toc524425752 \h </w:instrText>
        </w:r>
        <w:r w:rsidR="00A429CC">
          <w:rPr>
            <w:webHidden/>
          </w:rPr>
        </w:r>
        <w:r w:rsidR="00A429CC">
          <w:rPr>
            <w:webHidden/>
          </w:rPr>
          <w:fldChar w:fldCharType="separate"/>
        </w:r>
        <w:r w:rsidR="00FB44C1">
          <w:rPr>
            <w:webHidden/>
          </w:rPr>
          <w:t>7</w:t>
        </w:r>
        <w:r w:rsidR="00A429CC">
          <w:rPr>
            <w:webHidden/>
          </w:rPr>
          <w:fldChar w:fldCharType="end"/>
        </w:r>
      </w:hyperlink>
    </w:p>
    <w:p w:rsidR="00A429CC" w:rsidRDefault="00071219">
      <w:pPr>
        <w:pStyle w:val="TOC5"/>
        <w:tabs>
          <w:tab w:val="left" w:pos="1080"/>
        </w:tabs>
        <w:rPr>
          <w:spacing w:val="0"/>
          <w:sz w:val="22"/>
          <w:szCs w:val="22"/>
          <w:lang w:eastAsia="en-AU"/>
        </w:rPr>
      </w:pPr>
      <w:hyperlink w:anchor="_Toc524425753" w:history="1">
        <w:r w:rsidR="00A429CC" w:rsidRPr="002D54CF">
          <w:rPr>
            <w:rStyle w:val="Hyperlink"/>
          </w:rPr>
          <w:t>5.3</w:t>
        </w:r>
        <w:r w:rsidR="00A429CC">
          <w:rPr>
            <w:spacing w:val="0"/>
            <w:sz w:val="22"/>
            <w:szCs w:val="22"/>
            <w:lang w:eastAsia="en-AU"/>
          </w:rPr>
          <w:tab/>
        </w:r>
        <w:r w:rsidR="00A429CC" w:rsidRPr="002D54CF">
          <w:rPr>
            <w:rStyle w:val="Hyperlink"/>
          </w:rPr>
          <w:t>Differences between</w:t>
        </w:r>
        <w:r w:rsidR="00830953">
          <w:rPr>
            <w:rStyle w:val="Hyperlink"/>
          </w:rPr>
          <w:t xml:space="preserve"> the</w:t>
        </w:r>
        <w:r w:rsidR="00A429CC" w:rsidRPr="002D54CF">
          <w:rPr>
            <w:rStyle w:val="Hyperlink"/>
          </w:rPr>
          <w:t xml:space="preserve"> PBO and DTF</w:t>
        </w:r>
        <w:r w:rsidR="00A429CC">
          <w:rPr>
            <w:webHidden/>
          </w:rPr>
          <w:tab/>
        </w:r>
        <w:r w:rsidR="00A429CC">
          <w:rPr>
            <w:webHidden/>
          </w:rPr>
          <w:fldChar w:fldCharType="begin"/>
        </w:r>
        <w:r w:rsidR="00A429CC">
          <w:rPr>
            <w:webHidden/>
          </w:rPr>
          <w:instrText xml:space="preserve"> PAGEREF _Toc524425753 \h </w:instrText>
        </w:r>
        <w:r w:rsidR="00A429CC">
          <w:rPr>
            <w:webHidden/>
          </w:rPr>
        </w:r>
        <w:r w:rsidR="00A429CC">
          <w:rPr>
            <w:webHidden/>
          </w:rPr>
          <w:fldChar w:fldCharType="separate"/>
        </w:r>
        <w:r w:rsidR="00FB44C1">
          <w:rPr>
            <w:webHidden/>
          </w:rPr>
          <w:t>8</w:t>
        </w:r>
        <w:r w:rsidR="00A429CC">
          <w:rPr>
            <w:webHidden/>
          </w:rPr>
          <w:fldChar w:fldCharType="end"/>
        </w:r>
      </w:hyperlink>
    </w:p>
    <w:p w:rsidR="00A429CC" w:rsidRDefault="00071219">
      <w:pPr>
        <w:pStyle w:val="TOC1"/>
        <w:rPr>
          <w:noProof/>
          <w:spacing w:val="0"/>
          <w:sz w:val="22"/>
          <w:szCs w:val="22"/>
        </w:rPr>
      </w:pPr>
      <w:hyperlink w:anchor="_Toc524425754" w:history="1">
        <w:r w:rsidR="00A429CC" w:rsidRPr="002D54CF">
          <w:rPr>
            <w:rStyle w:val="Hyperlink"/>
            <w:noProof/>
          </w:rPr>
          <w:t>Appendix A: Standard policy costing conventions</w:t>
        </w:r>
        <w:r w:rsidR="00A429CC">
          <w:rPr>
            <w:noProof/>
            <w:webHidden/>
          </w:rPr>
          <w:tab/>
        </w:r>
        <w:r w:rsidR="00A429CC">
          <w:rPr>
            <w:noProof/>
            <w:webHidden/>
          </w:rPr>
          <w:fldChar w:fldCharType="begin"/>
        </w:r>
        <w:r w:rsidR="00A429CC">
          <w:rPr>
            <w:noProof/>
            <w:webHidden/>
          </w:rPr>
          <w:instrText xml:space="preserve"> PAGEREF _Toc524425754 \h </w:instrText>
        </w:r>
        <w:r w:rsidR="00A429CC">
          <w:rPr>
            <w:noProof/>
            <w:webHidden/>
          </w:rPr>
        </w:r>
        <w:r w:rsidR="00A429CC">
          <w:rPr>
            <w:noProof/>
            <w:webHidden/>
          </w:rPr>
          <w:fldChar w:fldCharType="separate"/>
        </w:r>
        <w:r w:rsidR="00FB44C1">
          <w:rPr>
            <w:noProof/>
            <w:webHidden/>
          </w:rPr>
          <w:t>9</w:t>
        </w:r>
        <w:r w:rsidR="00A429CC">
          <w:rPr>
            <w:noProof/>
            <w:webHidden/>
          </w:rPr>
          <w:fldChar w:fldCharType="end"/>
        </w:r>
      </w:hyperlink>
    </w:p>
    <w:p w:rsidR="00A429CC" w:rsidRDefault="00071219">
      <w:pPr>
        <w:pStyle w:val="TOC1"/>
        <w:rPr>
          <w:noProof/>
          <w:spacing w:val="0"/>
          <w:sz w:val="22"/>
          <w:szCs w:val="22"/>
        </w:rPr>
      </w:pPr>
      <w:hyperlink w:anchor="_Toc524425755" w:history="1">
        <w:r w:rsidR="00A429CC" w:rsidRPr="002D54CF">
          <w:rPr>
            <w:rStyle w:val="Hyperlink"/>
            <w:noProof/>
          </w:rPr>
          <w:t>Appendix B: Sample request template</w:t>
        </w:r>
        <w:r w:rsidR="00A429CC">
          <w:rPr>
            <w:noProof/>
            <w:webHidden/>
          </w:rPr>
          <w:tab/>
        </w:r>
        <w:r w:rsidR="00A429CC">
          <w:rPr>
            <w:noProof/>
            <w:webHidden/>
          </w:rPr>
          <w:fldChar w:fldCharType="begin"/>
        </w:r>
        <w:r w:rsidR="00A429CC">
          <w:rPr>
            <w:noProof/>
            <w:webHidden/>
          </w:rPr>
          <w:instrText xml:space="preserve"> PAGEREF _Toc524425755 \h </w:instrText>
        </w:r>
        <w:r w:rsidR="00A429CC">
          <w:rPr>
            <w:noProof/>
            <w:webHidden/>
          </w:rPr>
        </w:r>
        <w:r w:rsidR="00A429CC">
          <w:rPr>
            <w:noProof/>
            <w:webHidden/>
          </w:rPr>
          <w:fldChar w:fldCharType="separate"/>
        </w:r>
        <w:r w:rsidR="00FB44C1">
          <w:rPr>
            <w:noProof/>
            <w:webHidden/>
          </w:rPr>
          <w:t>10</w:t>
        </w:r>
        <w:r w:rsidR="00A429CC">
          <w:rPr>
            <w:noProof/>
            <w:webHidden/>
          </w:rPr>
          <w:fldChar w:fldCharType="end"/>
        </w:r>
      </w:hyperlink>
    </w:p>
    <w:p w:rsidR="00A429CC" w:rsidRDefault="00071219">
      <w:pPr>
        <w:pStyle w:val="TOC1"/>
        <w:rPr>
          <w:noProof/>
          <w:spacing w:val="0"/>
          <w:sz w:val="22"/>
          <w:szCs w:val="22"/>
        </w:rPr>
      </w:pPr>
      <w:hyperlink w:anchor="_Toc524425756" w:history="1">
        <w:r w:rsidR="00A429CC" w:rsidRPr="002D54CF">
          <w:rPr>
            <w:rStyle w:val="Hyperlink"/>
            <w:noProof/>
          </w:rPr>
          <w:t>Appendix C: Sample costing release template</w:t>
        </w:r>
        <w:r w:rsidR="00A429CC">
          <w:rPr>
            <w:noProof/>
            <w:webHidden/>
          </w:rPr>
          <w:tab/>
        </w:r>
        <w:r w:rsidR="00A429CC">
          <w:rPr>
            <w:noProof/>
            <w:webHidden/>
          </w:rPr>
          <w:fldChar w:fldCharType="begin"/>
        </w:r>
        <w:r w:rsidR="00A429CC">
          <w:rPr>
            <w:noProof/>
            <w:webHidden/>
          </w:rPr>
          <w:instrText xml:space="preserve"> PAGEREF _Toc524425756 \h </w:instrText>
        </w:r>
        <w:r w:rsidR="00A429CC">
          <w:rPr>
            <w:noProof/>
            <w:webHidden/>
          </w:rPr>
        </w:r>
        <w:r w:rsidR="00A429CC">
          <w:rPr>
            <w:noProof/>
            <w:webHidden/>
          </w:rPr>
          <w:fldChar w:fldCharType="separate"/>
        </w:r>
        <w:r w:rsidR="00FB44C1">
          <w:rPr>
            <w:noProof/>
            <w:webHidden/>
          </w:rPr>
          <w:t>11</w:t>
        </w:r>
        <w:r w:rsidR="00A429CC">
          <w:rPr>
            <w:noProof/>
            <w:webHidden/>
          </w:rPr>
          <w:fldChar w:fldCharType="end"/>
        </w:r>
      </w:hyperlink>
    </w:p>
    <w:p w:rsidR="00A429CC" w:rsidRDefault="00071219">
      <w:pPr>
        <w:pStyle w:val="TOC2"/>
        <w:rPr>
          <w:spacing w:val="0"/>
          <w:sz w:val="22"/>
          <w:szCs w:val="22"/>
        </w:rPr>
      </w:pPr>
      <w:hyperlink w:anchor="_Toc524425757" w:history="1">
        <w:r w:rsidR="00A429CC" w:rsidRPr="002D54CF">
          <w:rPr>
            <w:rStyle w:val="Hyperlink"/>
          </w:rPr>
          <w:t>Type of information to normally be included in the public release of an election policy costing</w:t>
        </w:r>
        <w:r w:rsidR="00A429CC">
          <w:rPr>
            <w:webHidden/>
          </w:rPr>
          <w:tab/>
        </w:r>
        <w:r w:rsidR="00A429CC">
          <w:rPr>
            <w:webHidden/>
          </w:rPr>
          <w:fldChar w:fldCharType="begin"/>
        </w:r>
        <w:r w:rsidR="00A429CC">
          <w:rPr>
            <w:webHidden/>
          </w:rPr>
          <w:instrText xml:space="preserve"> PAGEREF _Toc524425757 \h </w:instrText>
        </w:r>
        <w:r w:rsidR="00A429CC">
          <w:rPr>
            <w:webHidden/>
          </w:rPr>
        </w:r>
        <w:r w:rsidR="00A429CC">
          <w:rPr>
            <w:webHidden/>
          </w:rPr>
          <w:fldChar w:fldCharType="separate"/>
        </w:r>
        <w:r w:rsidR="00FB44C1">
          <w:rPr>
            <w:webHidden/>
          </w:rPr>
          <w:t>11</w:t>
        </w:r>
        <w:r w:rsidR="00A429CC">
          <w:rPr>
            <w:webHidden/>
          </w:rPr>
          <w:fldChar w:fldCharType="end"/>
        </w:r>
      </w:hyperlink>
    </w:p>
    <w:p w:rsidR="00A429CC" w:rsidRDefault="00071219">
      <w:pPr>
        <w:pStyle w:val="TOC2"/>
        <w:rPr>
          <w:spacing w:val="0"/>
          <w:sz w:val="22"/>
          <w:szCs w:val="22"/>
        </w:rPr>
      </w:pPr>
      <w:hyperlink w:anchor="_Toc524425758" w:history="1">
        <w:r w:rsidR="00A429CC" w:rsidRPr="002D54CF">
          <w:rPr>
            <w:rStyle w:val="Hyperlink"/>
          </w:rPr>
          <w:t>DTF comments section</w:t>
        </w:r>
        <w:r w:rsidR="00A429CC">
          <w:rPr>
            <w:webHidden/>
          </w:rPr>
          <w:tab/>
        </w:r>
        <w:r w:rsidR="00A429CC">
          <w:rPr>
            <w:webHidden/>
          </w:rPr>
          <w:fldChar w:fldCharType="begin"/>
        </w:r>
        <w:r w:rsidR="00A429CC">
          <w:rPr>
            <w:webHidden/>
          </w:rPr>
          <w:instrText xml:space="preserve"> PAGEREF _Toc524425758 \h </w:instrText>
        </w:r>
        <w:r w:rsidR="00A429CC">
          <w:rPr>
            <w:webHidden/>
          </w:rPr>
        </w:r>
        <w:r w:rsidR="00A429CC">
          <w:rPr>
            <w:webHidden/>
          </w:rPr>
          <w:fldChar w:fldCharType="separate"/>
        </w:r>
        <w:r w:rsidR="00FB44C1">
          <w:rPr>
            <w:webHidden/>
          </w:rPr>
          <w:t>12</w:t>
        </w:r>
        <w:r w:rsidR="00A429CC">
          <w:rPr>
            <w:webHidden/>
          </w:rPr>
          <w:fldChar w:fldCharType="end"/>
        </w:r>
      </w:hyperlink>
    </w:p>
    <w:p w:rsidR="00E7443D" w:rsidRDefault="00E7443D" w:rsidP="00E7443D">
      <w:pPr>
        <w:rPr>
          <w:lang w:eastAsia="en-US"/>
        </w:rPr>
      </w:pPr>
      <w:r>
        <w:rPr>
          <w:noProof/>
          <w:color w:val="404040"/>
          <w:sz w:val="28"/>
          <w:szCs w:val="28"/>
          <w:lang w:eastAsia="en-US"/>
        </w:rPr>
        <w:fldChar w:fldCharType="end"/>
      </w:r>
    </w:p>
    <w:p w:rsidR="00E7443D" w:rsidRDefault="00E7443D" w:rsidP="00E7443D"/>
    <w:p w:rsidR="00E7443D" w:rsidRDefault="00E7443D" w:rsidP="00E7443D"/>
    <w:p w:rsidR="00E7443D" w:rsidRDefault="00E7443D" w:rsidP="00E7443D">
      <w:pPr>
        <w:sectPr w:rsidR="00E7443D"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rsidR="00E7443D" w:rsidRDefault="00E7443D" w:rsidP="00E7443D">
      <w:pPr>
        <w:pStyle w:val="Heading1"/>
      </w:pPr>
      <w:bookmarkStart w:id="1" w:name="_Toc524425734"/>
      <w:r>
        <w:lastRenderedPageBreak/>
        <w:t>Foreword</w:t>
      </w:r>
      <w:bookmarkEnd w:id="1"/>
    </w:p>
    <w:p w:rsidR="00E7443D" w:rsidRDefault="00E7443D" w:rsidP="00E7443D">
      <w:r>
        <w:t xml:space="preserve">The </w:t>
      </w:r>
      <w:r w:rsidRPr="0019120C">
        <w:rPr>
          <w:i/>
        </w:rPr>
        <w:t>Guidelines on the Caretaker Conventions</w:t>
      </w:r>
      <w:r>
        <w:t xml:space="preserve"> (‘the caretaker conventions’), issued by the Department of Premier and Cabinet (DPC) in May 2018, outline circumstances whereby the Department of Treasury and Finance (DTF) may be called upon to cost policies at the request of a political party.</w:t>
      </w:r>
    </w:p>
    <w:p w:rsidR="00E7443D" w:rsidRDefault="00E7443D" w:rsidP="00E7443D">
      <w:r>
        <w:t xml:space="preserve">The caretaker conventions are available in full at </w:t>
      </w:r>
      <w:hyperlink r:id="rId21" w:history="1">
        <w:r w:rsidRPr="00E03CE7">
          <w:rPr>
            <w:rStyle w:val="Hyperlink"/>
          </w:rPr>
          <w:t>www.dpc.vic.gov.au</w:t>
        </w:r>
      </w:hyperlink>
      <w:r>
        <w:t>. The relevant ‘policy costings’ section pertaining to DTF is as follows:</w:t>
      </w:r>
    </w:p>
    <w:p w:rsidR="00E7443D" w:rsidRPr="00B37AFF" w:rsidRDefault="00E7443D" w:rsidP="00E7443D">
      <w:pPr>
        <w:pStyle w:val="NormalIndentItalics"/>
        <w:ind w:left="648"/>
      </w:pPr>
      <w:r w:rsidRPr="00B37AFF">
        <w:rPr>
          <w:b/>
        </w:rPr>
        <w:t>2.70</w:t>
      </w:r>
      <w:r w:rsidRPr="00B37AFF">
        <w:tab/>
        <w:t>It remains open for government and non-government parties to seek costings of their own election policies from DTF. DTF will undertake the costings in conjunction with relevant departments, provided any assumptions necessary for the costings are identified for the departments or do not require departments to undertake extensive policy research. After an election policy is costed, DTF will advise the relevant party of the costing, and publish the costing and material assumptions used in its preparation on its website.</w:t>
      </w:r>
    </w:p>
    <w:p w:rsidR="00E7443D" w:rsidRDefault="00E7443D" w:rsidP="00E7443D">
      <w:r>
        <w:t xml:space="preserve">In preparing itself to manage any such requests, DTF has developed this document; </w:t>
      </w:r>
      <w:r w:rsidRPr="001941D4">
        <w:rPr>
          <w:i/>
        </w:rPr>
        <w:t xml:space="preserve">Guidelines for </w:t>
      </w:r>
      <w:r>
        <w:rPr>
          <w:i/>
        </w:rPr>
        <w:t>m</w:t>
      </w:r>
      <w:r w:rsidRPr="001941D4">
        <w:rPr>
          <w:i/>
        </w:rPr>
        <w:t xml:space="preserve">anaging </w:t>
      </w:r>
      <w:r>
        <w:rPr>
          <w:i/>
        </w:rPr>
        <w:t>r</w:t>
      </w:r>
      <w:r w:rsidRPr="001941D4">
        <w:rPr>
          <w:i/>
        </w:rPr>
        <w:t xml:space="preserve">equests from a </w:t>
      </w:r>
      <w:r>
        <w:rPr>
          <w:i/>
        </w:rPr>
        <w:t>p</w:t>
      </w:r>
      <w:r w:rsidRPr="001941D4">
        <w:rPr>
          <w:i/>
        </w:rPr>
        <w:t xml:space="preserve">olitical </w:t>
      </w:r>
      <w:r>
        <w:rPr>
          <w:i/>
        </w:rPr>
        <w:t>p</w:t>
      </w:r>
      <w:r w:rsidRPr="001941D4">
        <w:rPr>
          <w:i/>
        </w:rPr>
        <w:t xml:space="preserve">arty for </w:t>
      </w:r>
      <w:r>
        <w:rPr>
          <w:i/>
        </w:rPr>
        <w:t>c</w:t>
      </w:r>
      <w:r w:rsidRPr="001941D4">
        <w:rPr>
          <w:i/>
        </w:rPr>
        <w:t xml:space="preserve">osting of its </w:t>
      </w:r>
      <w:r>
        <w:rPr>
          <w:i/>
        </w:rPr>
        <w:t>o</w:t>
      </w:r>
      <w:r w:rsidRPr="001941D4">
        <w:rPr>
          <w:i/>
        </w:rPr>
        <w:t xml:space="preserve">wn </w:t>
      </w:r>
      <w:r>
        <w:rPr>
          <w:i/>
        </w:rPr>
        <w:t>p</w:t>
      </w:r>
      <w:r w:rsidRPr="001941D4">
        <w:rPr>
          <w:i/>
        </w:rPr>
        <w:t>olicies</w:t>
      </w:r>
      <w:r>
        <w:t xml:space="preserve"> (‘the policy costing guidelines’) based on guidelines that operated in 2014.</w:t>
      </w:r>
    </w:p>
    <w:p w:rsidR="00E7443D" w:rsidRDefault="00E7443D" w:rsidP="00E7443D">
      <w:r>
        <w:t>The pre-election budget update, to be released within 10 days of the issuing of the writ for the 2018 Victorian election, will be the primary point of reference for costing policies including relevant economic parameters.</w:t>
      </w:r>
    </w:p>
    <w:p w:rsidR="00E7443D" w:rsidRDefault="00E7443D" w:rsidP="00E7443D">
      <w:r>
        <w:t>The policy costing guidelines are intended to inform those requesting policy costing of the general methodology that is to be applied, what information will need to be supplied when requesting a policy costing and what will be produced.</w:t>
      </w:r>
    </w:p>
    <w:p w:rsidR="00E7443D" w:rsidRDefault="00E7443D" w:rsidP="00E7443D"/>
    <w:p w:rsidR="00E7443D" w:rsidRDefault="00E7443D" w:rsidP="00E7443D"/>
    <w:p w:rsidR="00E7443D" w:rsidRDefault="00E7443D" w:rsidP="00E7443D">
      <w:pPr>
        <w:rPr>
          <w:b/>
        </w:rPr>
      </w:pPr>
      <w:r w:rsidRPr="00E67A3B">
        <w:rPr>
          <w:b/>
        </w:rPr>
        <w:t>David Martine</w:t>
      </w:r>
      <w:r>
        <w:rPr>
          <w:b/>
        </w:rPr>
        <w:br/>
      </w:r>
      <w:r w:rsidRPr="00E67A3B">
        <w:rPr>
          <w:b/>
        </w:rPr>
        <w:t>Secretary</w:t>
      </w:r>
    </w:p>
    <w:p w:rsidR="00E7443D" w:rsidRPr="00071219" w:rsidRDefault="00E7443D" w:rsidP="00E7443D">
      <w:pPr>
        <w:rPr>
          <w:b/>
        </w:rPr>
      </w:pPr>
      <w:r w:rsidRPr="00071219">
        <w:rPr>
          <w:b/>
        </w:rPr>
        <w:t>Department of Treasury and Finance</w:t>
      </w:r>
    </w:p>
    <w:p w:rsidR="00E7443D" w:rsidRDefault="00E7443D" w:rsidP="00E7443D">
      <w:pPr>
        <w:spacing w:before="0" w:after="200"/>
        <w:rPr>
          <w:rFonts w:asciiTheme="majorHAnsi" w:eastAsiaTheme="majorEastAsia" w:hAnsiTheme="majorHAnsi" w:cstheme="majorBidi"/>
          <w:b/>
          <w:bCs/>
          <w:color w:val="201547"/>
          <w:spacing w:val="-1"/>
          <w:sz w:val="36"/>
          <w:szCs w:val="28"/>
        </w:rPr>
      </w:pPr>
      <w:r>
        <w:br w:type="page"/>
      </w:r>
    </w:p>
    <w:p w:rsidR="00E7443D" w:rsidRDefault="00E7443D" w:rsidP="00E7443D">
      <w:pPr>
        <w:pStyle w:val="Heading1numbered"/>
        <w:ind w:left="0" w:firstLine="0"/>
      </w:pPr>
      <w:bookmarkStart w:id="2" w:name="_Toc524425735"/>
      <w:r>
        <w:lastRenderedPageBreak/>
        <w:t>Process: c</w:t>
      </w:r>
      <w:r w:rsidRPr="00E501AF">
        <w:t>ontext, timing and outcome</w:t>
      </w:r>
      <w:bookmarkEnd w:id="2"/>
    </w:p>
    <w:p w:rsidR="00E7443D" w:rsidRDefault="00E7443D" w:rsidP="00E7443D">
      <w:pPr>
        <w:pStyle w:val="Heading2numbered"/>
      </w:pPr>
      <w:bookmarkStart w:id="3" w:name="_Toc524425736"/>
      <w:r>
        <w:t>Summary of process</w:t>
      </w:r>
      <w:bookmarkEnd w:id="3"/>
    </w:p>
    <w:p w:rsidR="00E7443D" w:rsidRDefault="00E7443D" w:rsidP="00E7443D">
      <w:pPr>
        <w:pStyle w:val="Numparaindent"/>
      </w:pPr>
      <w:r>
        <w:t xml:space="preserve">The following list outlines key elements of the process:  </w:t>
      </w:r>
    </w:p>
    <w:p w:rsidR="00E7443D" w:rsidRDefault="00E7443D" w:rsidP="00E7443D">
      <w:pPr>
        <w:pStyle w:val="Numparaindent"/>
      </w:pPr>
      <w:r>
        <w:t>The caretaker conventions issued by DPC remain the authoritative guide regarding the role and res</w:t>
      </w:r>
      <w:r w:rsidR="00830953">
        <w:t>ponsibilities of the Victorian p</w:t>
      </w:r>
      <w:r>
        <w:t xml:space="preserve">ublic </w:t>
      </w:r>
      <w:r w:rsidR="00830953">
        <w:t>s</w:t>
      </w:r>
      <w:r>
        <w:t>ector during the caretaker period</w:t>
      </w:r>
      <w:r>
        <w:rPr>
          <w:rStyle w:val="FootnoteReference"/>
        </w:rPr>
        <w:footnoteReference w:id="1"/>
      </w:r>
      <w:r>
        <w:t>. As outlined in the foreword, the policy costing guidelines explain in further detail a discrete section</w:t>
      </w:r>
      <w:r w:rsidR="009B3B8A">
        <w:t xml:space="preserve"> of the caretaker conventions. </w:t>
      </w:r>
    </w:p>
    <w:p w:rsidR="00E7443D" w:rsidRDefault="00E7443D" w:rsidP="00E7443D">
      <w:pPr>
        <w:pStyle w:val="Numparaindent"/>
      </w:pPr>
      <w:r>
        <w:t xml:space="preserve">During the caretaker period, DTF may be asked by a political party to cost its own policies. </w:t>
      </w:r>
    </w:p>
    <w:p w:rsidR="00E7443D" w:rsidRDefault="00E7443D" w:rsidP="00E7443D">
      <w:pPr>
        <w:pStyle w:val="Numparaindent"/>
      </w:pPr>
      <w:r>
        <w:t xml:space="preserve">A request by a political party to cost its own policies must: </w:t>
      </w:r>
    </w:p>
    <w:p w:rsidR="00E7443D" w:rsidRDefault="00E7443D" w:rsidP="00E7443D">
      <w:pPr>
        <w:pStyle w:val="Bulletindent"/>
        <w:numPr>
          <w:ilvl w:val="2"/>
          <w:numId w:val="1"/>
        </w:numPr>
        <w:tabs>
          <w:tab w:val="clear" w:pos="1152"/>
          <w:tab w:val="num" w:pos="1656"/>
        </w:tabs>
        <w:ind w:left="1656"/>
      </w:pPr>
      <w:r>
        <w:t>be made no earlier than 6pm on Tuesday 30 October 2018 (the start of the caretaker period);</w:t>
      </w:r>
    </w:p>
    <w:p w:rsidR="00E7443D" w:rsidRDefault="00E7443D" w:rsidP="00E7443D">
      <w:pPr>
        <w:pStyle w:val="Bulletindent"/>
        <w:numPr>
          <w:ilvl w:val="2"/>
          <w:numId w:val="1"/>
        </w:numPr>
        <w:ind w:left="1656"/>
      </w:pPr>
      <w:r>
        <w:t>be made in writing to DTF (refer to</w:t>
      </w:r>
      <w:r w:rsidRPr="00901B98">
        <w:rPr>
          <w:b/>
        </w:rPr>
        <w:t xml:space="preserve"> Appendix B</w:t>
      </w:r>
      <w:r>
        <w:t xml:space="preserve">): </w:t>
      </w:r>
    </w:p>
    <w:p w:rsidR="00E7443D" w:rsidRDefault="00E7443D" w:rsidP="00E7443D">
      <w:pPr>
        <w:pStyle w:val="Bulletindent2"/>
        <w:numPr>
          <w:ilvl w:val="3"/>
          <w:numId w:val="1"/>
        </w:numPr>
        <w:ind w:left="2016"/>
      </w:pPr>
      <w:r>
        <w:t xml:space="preserve">fully outlining the policy to be costed, giving relevant details including stating assumptions sufficiently to enable costings; </w:t>
      </w:r>
    </w:p>
    <w:p w:rsidR="00E7443D" w:rsidRDefault="00E7443D" w:rsidP="00E7443D">
      <w:pPr>
        <w:pStyle w:val="Bulletindent2"/>
        <w:numPr>
          <w:ilvl w:val="3"/>
          <w:numId w:val="1"/>
        </w:numPr>
        <w:ind w:left="2016"/>
      </w:pPr>
      <w:r>
        <w:t>stating the purpose or intention of the policy; and</w:t>
      </w:r>
    </w:p>
    <w:p w:rsidR="00E7443D" w:rsidRDefault="00E7443D" w:rsidP="00E7443D">
      <w:pPr>
        <w:pStyle w:val="Bulletindent2"/>
        <w:numPr>
          <w:ilvl w:val="3"/>
          <w:numId w:val="1"/>
        </w:numPr>
        <w:ind w:left="2016"/>
      </w:pPr>
      <w:r>
        <w:t xml:space="preserve">nominating a contact person and including that person’s contact details. </w:t>
      </w:r>
    </w:p>
    <w:p w:rsidR="00E7443D" w:rsidRDefault="00E7443D" w:rsidP="00E7443D">
      <w:pPr>
        <w:pStyle w:val="Numparaindent"/>
      </w:pPr>
      <w:r>
        <w:t xml:space="preserve">The relevant DTF contact will be </w:t>
      </w:r>
      <w:r w:rsidRPr="007E6BE9">
        <w:t>Mr Mark Johnstone, Executive Director</w:t>
      </w:r>
      <w:r w:rsidRPr="005E1FC7">
        <w:t>,</w:t>
      </w:r>
      <w:r w:rsidRPr="004D1D12">
        <w:t xml:space="preserve"> Budget and Finance Division</w:t>
      </w:r>
      <w:r>
        <w:rPr>
          <w:rStyle w:val="FootnoteReference"/>
        </w:rPr>
        <w:footnoteReference w:id="2"/>
      </w:r>
      <w:r>
        <w:t xml:space="preserve">, who will acknowledge receipt via email to the person nominated in the request and list the request on the DTF website at </w:t>
      </w:r>
      <w:hyperlink r:id="rId22" w:history="1">
        <w:r w:rsidRPr="002A31E8">
          <w:rPr>
            <w:rStyle w:val="Hyperlink"/>
          </w:rPr>
          <w:t>www.dtf.vic.gov.au/2018-victorian-election-costings</w:t>
        </w:r>
      </w:hyperlink>
      <w:r>
        <w:t xml:space="preserve"> at the next available opportunity. Please refer to </w:t>
      </w:r>
      <w:r w:rsidRPr="006F1783">
        <w:rPr>
          <w:b/>
        </w:rPr>
        <w:t>S</w:t>
      </w:r>
      <w:r w:rsidR="00673EED">
        <w:rPr>
          <w:b/>
        </w:rPr>
        <w:t>ection </w:t>
      </w:r>
      <w:r w:rsidRPr="006F1783">
        <w:rPr>
          <w:b/>
        </w:rPr>
        <w:t>1.2</w:t>
      </w:r>
      <w:r>
        <w:t xml:space="preserve"> of this document for a flow chart outlining the timing of this process. </w:t>
      </w:r>
    </w:p>
    <w:p w:rsidR="00E7443D" w:rsidRDefault="00E7443D" w:rsidP="00E7443D">
      <w:pPr>
        <w:pStyle w:val="Numparaindent"/>
      </w:pPr>
      <w:r>
        <w:t>DTF will endeavour to complete costings and communicate its completion to the nominated party contact within five business days of receiving a costing request.</w:t>
      </w:r>
    </w:p>
    <w:p w:rsidR="00E7443D" w:rsidRDefault="00E7443D" w:rsidP="00E7443D">
      <w:pPr>
        <w:pStyle w:val="Numparaindent"/>
      </w:pPr>
      <w:r>
        <w:t>After a policy has been costed, DTF will advise the nominated party contact by email of the outcome of the costing and that it will publish the outcome on the DTF website.</w:t>
      </w:r>
    </w:p>
    <w:p w:rsidR="00E7443D" w:rsidRDefault="00E7443D" w:rsidP="00E7443D">
      <w:pPr>
        <w:pStyle w:val="Numparaindent"/>
      </w:pPr>
      <w:r>
        <w:t xml:space="preserve">DTF will advise the nominated party contact four business hours in advance of the publication of costings. </w:t>
      </w:r>
    </w:p>
    <w:p w:rsidR="00E7443D" w:rsidRDefault="00E7443D" w:rsidP="00E7443D">
      <w:pPr>
        <w:pStyle w:val="Numparaindent"/>
      </w:pPr>
      <w:r>
        <w:t>Policy costing requests sh</w:t>
      </w:r>
      <w:r w:rsidR="00830953">
        <w:t>ould be made no later than 5</w:t>
      </w:r>
      <w:r>
        <w:t xml:space="preserve">pm on </w:t>
      </w:r>
      <w:r w:rsidR="009B3B8A">
        <w:t>Thursday </w:t>
      </w:r>
      <w:r>
        <w:t>15</w:t>
      </w:r>
      <w:r w:rsidR="009B3B8A">
        <w:t> </w:t>
      </w:r>
      <w:r>
        <w:t>November 2018 to allow five working days for the costing to be completed and allow public release of the costing o</w:t>
      </w:r>
      <w:r w:rsidR="009B3B8A">
        <w:t>n the Thursday prior to polling </w:t>
      </w:r>
      <w:r>
        <w:t xml:space="preserve">day. </w:t>
      </w:r>
    </w:p>
    <w:p w:rsidR="00E7443D" w:rsidRDefault="00E7443D" w:rsidP="00E7443D">
      <w:pPr>
        <w:pStyle w:val="Numparaindent"/>
      </w:pPr>
      <w:r>
        <w:t>For any polic</w:t>
      </w:r>
      <w:r w:rsidR="00830953">
        <w:t>y costings submitted after 5</w:t>
      </w:r>
      <w:r>
        <w:t>pm on Thursday 15 November 2018, DTF will utilise best endeavours to complete costings to allow for public release by the Thursday prior to polling date. DTF notes that it may not be possible to provide four business hours’ notice prior to publication for these costings.</w:t>
      </w:r>
    </w:p>
    <w:p w:rsidR="00E7443D" w:rsidRDefault="00E7443D" w:rsidP="00E7443D">
      <w:pPr>
        <w:pStyle w:val="Numparaindent"/>
      </w:pPr>
      <w:r>
        <w:lastRenderedPageBreak/>
        <w:t xml:space="preserve">Where required, DTF may seek assistance in costing policies from other departments or agencies. </w:t>
      </w:r>
    </w:p>
    <w:p w:rsidR="00E7443D" w:rsidRDefault="00E7443D" w:rsidP="00E7443D">
      <w:pPr>
        <w:pStyle w:val="Numparaindent"/>
      </w:pPr>
      <w:r>
        <w:t xml:space="preserve">If necessary, </w:t>
      </w:r>
      <w:proofErr w:type="gramStart"/>
      <w:r>
        <w:t>in order to</w:t>
      </w:r>
      <w:proofErr w:type="gramEnd"/>
      <w:r>
        <w:t xml:space="preserve"> fully cost a policy, DTF may request more information from the requesting party, through the nominated party contact. Where additional information is required, the five working days will exclude the time taken to obtain the additional information. Additional information requested (and responses provided) will also be published at the time the DTF response is provided.</w:t>
      </w:r>
    </w:p>
    <w:p w:rsidR="00E7443D" w:rsidRDefault="00E7443D" w:rsidP="00E7443D">
      <w:pPr>
        <w:pStyle w:val="Numparaindent"/>
      </w:pPr>
      <w:r>
        <w:t>DTF will advise the nominated party contact in all circumstances where a costing was not able to be completed. The reason for not completing the costing (e.g. time constraints or insufficient information) will also be published on the DTF website, along with the originally submitted request.</w:t>
      </w:r>
    </w:p>
    <w:p w:rsidR="00E7443D" w:rsidRDefault="00E7443D" w:rsidP="009B3B8A">
      <w:pPr>
        <w:pStyle w:val="Heading2numbered"/>
      </w:pPr>
      <w:bookmarkStart w:id="4" w:name="_Toc524425737"/>
      <w:r>
        <w:rPr>
          <w:noProof/>
        </w:rPr>
        <mc:AlternateContent>
          <mc:Choice Requires="wpc">
            <w:drawing>
              <wp:anchor distT="0" distB="0" distL="114300" distR="114300" simplePos="0" relativeHeight="251659264" behindDoc="1" locked="0" layoutInCell="1" allowOverlap="1" wp14:anchorId="3160FFA0" wp14:editId="713B741D">
                <wp:simplePos x="0" y="0"/>
                <wp:positionH relativeFrom="column">
                  <wp:posOffset>501650</wp:posOffset>
                </wp:positionH>
                <wp:positionV relativeFrom="paragraph">
                  <wp:posOffset>509905</wp:posOffset>
                </wp:positionV>
                <wp:extent cx="5248275" cy="5163820"/>
                <wp:effectExtent l="0" t="0" r="28575" b="0"/>
                <wp:wrapTight wrapText="bothSides">
                  <wp:wrapPolygon edited="0">
                    <wp:start x="0" y="0"/>
                    <wp:lineTo x="0" y="2391"/>
                    <wp:lineTo x="3136" y="2709"/>
                    <wp:lineTo x="0" y="3187"/>
                    <wp:lineTo x="0" y="4701"/>
                    <wp:lineTo x="4312" y="5259"/>
                    <wp:lineTo x="0" y="5578"/>
                    <wp:lineTo x="0" y="8606"/>
                    <wp:lineTo x="4312" y="9084"/>
                    <wp:lineTo x="0" y="9483"/>
                    <wp:lineTo x="0" y="16415"/>
                    <wp:lineTo x="4312" y="16734"/>
                    <wp:lineTo x="0" y="17292"/>
                    <wp:lineTo x="0" y="21515"/>
                    <wp:lineTo x="21090" y="21515"/>
                    <wp:lineTo x="21247" y="17371"/>
                    <wp:lineTo x="20306" y="17212"/>
                    <wp:lineTo x="15524" y="16734"/>
                    <wp:lineTo x="19287" y="16734"/>
                    <wp:lineTo x="21169" y="16335"/>
                    <wp:lineTo x="21247" y="9562"/>
                    <wp:lineTo x="20463" y="9403"/>
                    <wp:lineTo x="15445" y="9084"/>
                    <wp:lineTo x="18346" y="9084"/>
                    <wp:lineTo x="20698" y="8526"/>
                    <wp:lineTo x="20777" y="5658"/>
                    <wp:lineTo x="20150" y="5578"/>
                    <wp:lineTo x="15524" y="5259"/>
                    <wp:lineTo x="18817" y="5259"/>
                    <wp:lineTo x="21639" y="4701"/>
                    <wp:lineTo x="21639" y="3187"/>
                    <wp:lineTo x="3528" y="2709"/>
                    <wp:lineTo x="21639" y="2470"/>
                    <wp:lineTo x="21639" y="0"/>
                    <wp:lineTo x="0" y="0"/>
                  </wp:wrapPolygon>
                </wp:wrapTight>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36000"/>
                            <a:ext cx="1599248" cy="527524"/>
                          </a:xfrm>
                          <a:prstGeom prst="rect">
                            <a:avLst/>
                          </a:prstGeom>
                          <a:solidFill>
                            <a:schemeClr val="accent2"/>
                          </a:solidFill>
                          <a:ln>
                            <a:noFill/>
                          </a:ln>
                        </wps:spPr>
                        <wps:txbx>
                          <w:txbxContent>
                            <w:p w:rsidR="009B3B8A" w:rsidRPr="00975AF1" w:rsidRDefault="009B3B8A" w:rsidP="009B3B8A">
                              <w:pPr>
                                <w:spacing w:before="100"/>
                                <w:rPr>
                                  <w:color w:val="FFFFFF"/>
                                  <w:sz w:val="18"/>
                                  <w:szCs w:val="18"/>
                                </w:rPr>
                              </w:pPr>
                              <w:r w:rsidRPr="00975AF1">
                                <w:rPr>
                                  <w:color w:val="FFFFFF"/>
                                  <w:sz w:val="18"/>
                                  <w:szCs w:val="18"/>
                                </w:rPr>
                                <w:t xml:space="preserve">DTF receives request from </w:t>
                              </w:r>
                              <w:r w:rsidR="00830953">
                                <w:rPr>
                                  <w:color w:val="FFFFFF"/>
                                  <w:sz w:val="18"/>
                                  <w:szCs w:val="18"/>
                                </w:rPr>
                                <w:t>p</w:t>
                              </w:r>
                              <w:r w:rsidRPr="00975AF1">
                                <w:rPr>
                                  <w:color w:val="FFFFFF"/>
                                  <w:sz w:val="18"/>
                                  <w:szCs w:val="18"/>
                                </w:rPr>
                                <w:t>olitical Party.</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0" y="784173"/>
                            <a:ext cx="5254831" cy="342900"/>
                          </a:xfrm>
                          <a:prstGeom prst="rect">
                            <a:avLst/>
                          </a:prstGeom>
                          <a:solidFill>
                            <a:schemeClr val="accent2"/>
                          </a:solidFill>
                          <a:ln>
                            <a:noFill/>
                          </a:ln>
                        </wps:spPr>
                        <wps:txbx>
                          <w:txbxContent>
                            <w:p w:rsidR="009B3B8A" w:rsidRPr="00975AF1" w:rsidRDefault="009B3B8A" w:rsidP="009B3B8A">
                              <w:pPr>
                                <w:spacing w:before="100"/>
                                <w:rPr>
                                  <w:color w:val="FFFFFF"/>
                                  <w:sz w:val="18"/>
                                  <w:szCs w:val="18"/>
                                </w:rPr>
                              </w:pPr>
                              <w:r w:rsidRPr="00975AF1">
                                <w:rPr>
                                  <w:color w:val="FFFFFF"/>
                                  <w:sz w:val="18"/>
                                  <w:szCs w:val="18"/>
                                </w:rPr>
                                <w:t xml:space="preserve">DTF sends email acknowledgement of receipt of request to Party nominee </w:t>
                              </w:r>
                              <w:r w:rsidRPr="00975AF1">
                                <w:rPr>
                                  <w:b/>
                                  <w:color w:val="FFFFFF"/>
                                  <w:sz w:val="18"/>
                                  <w:szCs w:val="18"/>
                                </w:rPr>
                                <w:t>and</w:t>
                              </w:r>
                              <w:r w:rsidRPr="00975AF1">
                                <w:rPr>
                                  <w:color w:val="FFFFFF"/>
                                  <w:sz w:val="18"/>
                                  <w:szCs w:val="18"/>
                                </w:rPr>
                                <w:t xml:space="preserve"> lists on website.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2972118" y="36003"/>
                            <a:ext cx="2280196" cy="544830"/>
                          </a:xfrm>
                          <a:prstGeom prst="rect">
                            <a:avLst/>
                          </a:prstGeom>
                          <a:solidFill>
                            <a:srgbClr val="FFFFFF"/>
                          </a:solidFill>
                          <a:ln w="9525">
                            <a:solidFill>
                              <a:srgbClr val="000000"/>
                            </a:solidFill>
                            <a:prstDash val="sysDot"/>
                            <a:miter lim="800000"/>
                            <a:headEnd/>
                            <a:tailEnd/>
                          </a:ln>
                        </wps:spPr>
                        <wps:txbx>
                          <w:txbxContent>
                            <w:p w:rsidR="009B3B8A" w:rsidRPr="00975AF1" w:rsidRDefault="009B3B8A" w:rsidP="00E7443D">
                              <w:pPr>
                                <w:spacing w:before="0"/>
                                <w:rPr>
                                  <w:sz w:val="18"/>
                                  <w:szCs w:val="18"/>
                                </w:rPr>
                              </w:pPr>
                              <w:r w:rsidRPr="00975AF1">
                                <w:rPr>
                                  <w:b/>
                                  <w:sz w:val="18"/>
                                  <w:szCs w:val="18"/>
                                </w:rPr>
                                <w:t>Note:</w:t>
                              </w:r>
                              <w:r w:rsidRPr="00975AF1">
                                <w:rPr>
                                  <w:sz w:val="18"/>
                                  <w:szCs w:val="18"/>
                                </w:rPr>
                                <w:t xml:space="preserve"> The Party need n</w:t>
                              </w:r>
                              <w:r>
                                <w:rPr>
                                  <w:sz w:val="18"/>
                                  <w:szCs w:val="18"/>
                                </w:rPr>
                                <w:t xml:space="preserve">ot communicate further with DTF </w:t>
                              </w:r>
                              <w:r w:rsidRPr="00975AF1">
                                <w:rPr>
                                  <w:sz w:val="18"/>
                                  <w:szCs w:val="18"/>
                                </w:rPr>
                                <w:t>after lodging the initial request.</w:t>
                              </w:r>
                            </w:p>
                          </w:txbxContent>
                        </wps:txbx>
                        <wps:bodyPr rot="0" vert="horz" wrap="square" lIns="91440" tIns="45720" rIns="91440" bIns="45720" anchor="t" anchorCtr="0" upright="1">
                          <a:noAutofit/>
                        </wps:bodyPr>
                      </wps:wsp>
                      <wps:wsp>
                        <wps:cNvPr id="13" name="Line 7"/>
                        <wps:cNvCnPr/>
                        <wps:spPr bwMode="auto">
                          <a:xfrm>
                            <a:off x="794417" y="549636"/>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0" y="1359125"/>
                            <a:ext cx="2152184" cy="701081"/>
                          </a:xfrm>
                          <a:prstGeom prst="rect">
                            <a:avLst/>
                          </a:prstGeom>
                          <a:solidFill>
                            <a:schemeClr val="accent1">
                              <a:lumMod val="20000"/>
                              <a:lumOff val="80000"/>
                            </a:schemeClr>
                          </a:solidFill>
                          <a:ln>
                            <a:noFill/>
                          </a:ln>
                        </wps:spPr>
                        <wps:txbx>
                          <w:txbxContent>
                            <w:p w:rsidR="009B3B8A" w:rsidRPr="00975AF1" w:rsidRDefault="009B3B8A" w:rsidP="009B3B8A">
                              <w:pPr>
                                <w:spacing w:before="100"/>
                                <w:jc w:val="center"/>
                                <w:rPr>
                                  <w:sz w:val="18"/>
                                  <w:szCs w:val="18"/>
                                </w:rPr>
                              </w:pPr>
                              <w:r w:rsidRPr="00975AF1">
                                <w:rPr>
                                  <w:sz w:val="18"/>
                                  <w:szCs w:val="18"/>
                                </w:rPr>
                                <w:t xml:space="preserve">DTF receives request </w:t>
                              </w:r>
                              <w:r w:rsidRPr="00975AF1">
                                <w:rPr>
                                  <w:b/>
                                  <w:sz w:val="18"/>
                                  <w:szCs w:val="18"/>
                                </w:rPr>
                                <w:t>prior</w:t>
                              </w:r>
                              <w:r w:rsidR="00830953">
                                <w:rPr>
                                  <w:sz w:val="18"/>
                                  <w:szCs w:val="18"/>
                                </w:rPr>
                                <w:t xml:space="preserve"> to 5</w:t>
                              </w:r>
                              <w:r w:rsidRPr="00975AF1">
                                <w:rPr>
                                  <w:sz w:val="18"/>
                                  <w:szCs w:val="18"/>
                                </w:rPr>
                                <w:t xml:space="preserve">pm Thursday </w:t>
                              </w:r>
                              <w:r w:rsidR="00A56DD5">
                                <w:rPr>
                                  <w:sz w:val="18"/>
                                  <w:szCs w:val="18"/>
                                </w:rPr>
                                <w:t>15 November </w:t>
                              </w:r>
                              <w:r>
                                <w:rPr>
                                  <w:sz w:val="18"/>
                                  <w:szCs w:val="18"/>
                                </w:rPr>
                                <w:t>2018</w:t>
                              </w:r>
                              <w:r w:rsidR="006D110D">
                                <w:rPr>
                                  <w:sz w:val="18"/>
                                  <w:szCs w:val="18"/>
                                </w:rPr>
                                <w:t>.</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2464356" y="1360284"/>
                            <a:ext cx="2520176" cy="701081"/>
                          </a:xfrm>
                          <a:prstGeom prst="rect">
                            <a:avLst/>
                          </a:prstGeom>
                          <a:solidFill>
                            <a:schemeClr val="accent1">
                              <a:lumMod val="20000"/>
                              <a:lumOff val="80000"/>
                            </a:schemeClr>
                          </a:solidFill>
                          <a:ln>
                            <a:noFill/>
                          </a:ln>
                        </wps:spPr>
                        <wps:txbx>
                          <w:txbxContent>
                            <w:p w:rsidR="009B3B8A" w:rsidRPr="00975AF1" w:rsidRDefault="009B3B8A" w:rsidP="00872B12">
                              <w:pPr>
                                <w:spacing w:before="100"/>
                                <w:jc w:val="center"/>
                                <w:rPr>
                                  <w:sz w:val="18"/>
                                  <w:szCs w:val="18"/>
                                </w:rPr>
                              </w:pPr>
                              <w:r w:rsidRPr="00975AF1">
                                <w:rPr>
                                  <w:sz w:val="18"/>
                                  <w:szCs w:val="18"/>
                                </w:rPr>
                                <w:t xml:space="preserve">DTF receives request </w:t>
                              </w:r>
                              <w:r>
                                <w:rPr>
                                  <w:b/>
                                  <w:sz w:val="18"/>
                                  <w:szCs w:val="18"/>
                                </w:rPr>
                                <w:t>after</w:t>
                              </w:r>
                              <w:r w:rsidRPr="00975AF1">
                                <w:rPr>
                                  <w:sz w:val="18"/>
                                  <w:szCs w:val="18"/>
                                </w:rPr>
                                <w:t xml:space="preserve"> 5pm Thursday </w:t>
                              </w:r>
                              <w:r>
                                <w:rPr>
                                  <w:sz w:val="18"/>
                                  <w:szCs w:val="18"/>
                                </w:rPr>
                                <w:t>15</w:t>
                              </w:r>
                              <w:r w:rsidRPr="00975AF1">
                                <w:rPr>
                                  <w:sz w:val="18"/>
                                  <w:szCs w:val="18"/>
                                </w:rPr>
                                <w:t xml:space="preserve"> November 201</w:t>
                              </w:r>
                              <w:r>
                                <w:rPr>
                                  <w:sz w:val="18"/>
                                  <w:szCs w:val="18"/>
                                </w:rPr>
                                <w:t>8</w:t>
                              </w:r>
                              <w:r w:rsidR="006D110D">
                                <w:rPr>
                                  <w:sz w:val="18"/>
                                  <w:szCs w:val="18"/>
                                </w:rPr>
                                <w:t>.</w:t>
                              </w:r>
                            </w:p>
                          </w:txbxContent>
                        </wps:txbx>
                        <wps:bodyPr rot="0" vert="horz" wrap="square" lIns="91440" tIns="45720" rIns="91440" bIns="45720" anchor="t" anchorCtr="0" upright="1">
                          <a:noAutofit/>
                        </wps:bodyPr>
                      </wps:wsp>
                      <wps:wsp>
                        <wps:cNvPr id="17" name="Line 11"/>
                        <wps:cNvCnPr/>
                        <wps:spPr bwMode="auto">
                          <a:xfrm>
                            <a:off x="1079678" y="1125830"/>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19" name="Line 12"/>
                        <wps:cNvCnPr/>
                        <wps:spPr bwMode="auto">
                          <a:xfrm>
                            <a:off x="3719364" y="1133217"/>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0" y="2285957"/>
                            <a:ext cx="2174488" cy="1645920"/>
                          </a:xfrm>
                          <a:prstGeom prst="rect">
                            <a:avLst/>
                          </a:prstGeom>
                          <a:solidFill>
                            <a:schemeClr val="accent1">
                              <a:lumMod val="20000"/>
                              <a:lumOff val="80000"/>
                            </a:schemeClr>
                          </a:solidFill>
                          <a:ln>
                            <a:noFill/>
                          </a:ln>
                        </wps:spPr>
                        <wps:txbx>
                          <w:txbxContent>
                            <w:p w:rsidR="009B3B8A" w:rsidRPr="00975AF1" w:rsidRDefault="009B3B8A" w:rsidP="009B3B8A">
                              <w:pPr>
                                <w:spacing w:before="100"/>
                                <w:jc w:val="center"/>
                                <w:rPr>
                                  <w:sz w:val="18"/>
                                  <w:szCs w:val="18"/>
                                </w:rPr>
                              </w:pPr>
                              <w:r w:rsidRPr="00975AF1">
                                <w:rPr>
                                  <w:sz w:val="18"/>
                                  <w:szCs w:val="18"/>
                                </w:rPr>
                                <w:t>DTF endeavours to undertake the costing within five business days of it receiving the request and to publicly release the costing by Thursda</w:t>
                              </w:r>
                              <w:r>
                                <w:rPr>
                                  <w:sz w:val="18"/>
                                  <w:szCs w:val="18"/>
                                </w:rPr>
                                <w:t>y</w:t>
                              </w:r>
                              <w:r w:rsidRPr="00975AF1">
                                <w:rPr>
                                  <w:sz w:val="18"/>
                                  <w:szCs w:val="18"/>
                                </w:rPr>
                                <w:t xml:space="preserve"> </w:t>
                              </w:r>
                              <w:r w:rsidRPr="00975AF1">
                                <w:rPr>
                                  <w:sz w:val="18"/>
                                  <w:szCs w:val="18"/>
                                </w:rPr>
                                <w:br/>
                                <w:t>2</w:t>
                              </w:r>
                              <w:r>
                                <w:rPr>
                                  <w:sz w:val="18"/>
                                  <w:szCs w:val="18"/>
                                </w:rPr>
                                <w:t>2</w:t>
                              </w:r>
                              <w:r w:rsidRPr="00975AF1">
                                <w:rPr>
                                  <w:sz w:val="18"/>
                                  <w:szCs w:val="18"/>
                                </w:rPr>
                                <w:t xml:space="preserve"> November 201</w:t>
                              </w:r>
                              <w:r>
                                <w:rPr>
                                  <w:sz w:val="18"/>
                                  <w:szCs w:val="18"/>
                                </w:rPr>
                                <w:t>8</w:t>
                              </w:r>
                              <w:r w:rsidRPr="00975AF1">
                                <w:rPr>
                                  <w:sz w:val="18"/>
                                  <w:szCs w:val="18"/>
                                </w:rPr>
                                <w:t>.</w:t>
                              </w:r>
                            </w:p>
                            <w:p w:rsidR="009B3B8A" w:rsidRPr="00975AF1" w:rsidRDefault="009B3B8A" w:rsidP="009B3B8A">
                              <w:pPr>
                                <w:spacing w:before="100"/>
                                <w:jc w:val="center"/>
                                <w:rPr>
                                  <w:sz w:val="18"/>
                                  <w:szCs w:val="18"/>
                                </w:rPr>
                              </w:pPr>
                              <w:r w:rsidRPr="00975AF1">
                                <w:rPr>
                                  <w:sz w:val="18"/>
                                  <w:szCs w:val="18"/>
                                </w:rPr>
                                <w:t xml:space="preserve">The five business days </w:t>
                              </w:r>
                              <w:r w:rsidRPr="00975AF1">
                                <w:rPr>
                                  <w:b/>
                                  <w:sz w:val="18"/>
                                  <w:szCs w:val="18"/>
                                </w:rPr>
                                <w:t>excludes</w:t>
                              </w:r>
                              <w:r w:rsidRPr="00975AF1">
                                <w:rPr>
                                  <w:sz w:val="18"/>
                                  <w:szCs w:val="18"/>
                                </w:rPr>
                                <w:t xml:space="preserve"> any timing delays associated with awaiting necessary additional information from the Party.</w:t>
                              </w:r>
                            </w:p>
                          </w:txbxContent>
                        </wps:txbx>
                        <wps:bodyPr rot="0" vert="horz" wrap="square" lIns="91440" tIns="45720" rIns="91440" bIns="45720" anchor="t" anchorCtr="0" upright="1">
                          <a:noAutofit/>
                        </wps:bodyPr>
                      </wps:wsp>
                      <wps:wsp>
                        <wps:cNvPr id="25" name="Line 17"/>
                        <wps:cNvCnPr/>
                        <wps:spPr bwMode="auto">
                          <a:xfrm>
                            <a:off x="1079722" y="2057356"/>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26" name="Text Box 18"/>
                        <wps:cNvSpPr txBox="1">
                          <a:spLocks noChangeArrowheads="1"/>
                        </wps:cNvSpPr>
                        <wps:spPr bwMode="auto">
                          <a:xfrm>
                            <a:off x="2464419" y="2285956"/>
                            <a:ext cx="2631688" cy="1647389"/>
                          </a:xfrm>
                          <a:prstGeom prst="rect">
                            <a:avLst/>
                          </a:prstGeom>
                          <a:solidFill>
                            <a:schemeClr val="accent1">
                              <a:lumMod val="20000"/>
                              <a:lumOff val="80000"/>
                            </a:schemeClr>
                          </a:solidFill>
                          <a:ln>
                            <a:noFill/>
                          </a:ln>
                        </wps:spPr>
                        <wps:txbx>
                          <w:txbxContent>
                            <w:p w:rsidR="009B3B8A" w:rsidRDefault="009B3B8A" w:rsidP="009B3B8A">
                              <w:pPr>
                                <w:spacing w:before="100"/>
                                <w:jc w:val="center"/>
                                <w:rPr>
                                  <w:sz w:val="18"/>
                                  <w:szCs w:val="18"/>
                                </w:rPr>
                              </w:pPr>
                              <w:r w:rsidRPr="00975AF1">
                                <w:rPr>
                                  <w:sz w:val="18"/>
                                  <w:szCs w:val="18"/>
                                </w:rPr>
                                <w:t>Listed on website</w:t>
                              </w:r>
                            </w:p>
                            <w:p w:rsidR="009B3B8A" w:rsidRPr="00975AF1" w:rsidRDefault="009B3B8A" w:rsidP="009B3B8A">
                              <w:pPr>
                                <w:spacing w:before="100"/>
                                <w:jc w:val="center"/>
                                <w:rPr>
                                  <w:sz w:val="18"/>
                                  <w:szCs w:val="18"/>
                                </w:rPr>
                              </w:pPr>
                              <w:r w:rsidRPr="00975AF1">
                                <w:rPr>
                                  <w:sz w:val="18"/>
                                  <w:szCs w:val="18"/>
                                </w:rPr>
                                <w:t>DTF will employ its best efforts to complete the costing and release it publicly by Thursday 2</w:t>
                              </w:r>
                              <w:r>
                                <w:rPr>
                                  <w:sz w:val="18"/>
                                  <w:szCs w:val="18"/>
                                </w:rPr>
                                <w:t>2</w:t>
                              </w:r>
                              <w:r w:rsidRPr="00975AF1">
                                <w:rPr>
                                  <w:sz w:val="18"/>
                                  <w:szCs w:val="18"/>
                                </w:rPr>
                                <w:t xml:space="preserve"> November 201</w:t>
                              </w:r>
                              <w:r>
                                <w:rPr>
                                  <w:sz w:val="18"/>
                                  <w:szCs w:val="18"/>
                                </w:rPr>
                                <w:t>8</w:t>
                              </w:r>
                              <w:r w:rsidRPr="00975AF1">
                                <w:rPr>
                                  <w:sz w:val="18"/>
                                  <w:szCs w:val="18"/>
                                </w:rPr>
                                <w:t>.</w:t>
                              </w:r>
                            </w:p>
                            <w:p w:rsidR="009B3B8A" w:rsidRDefault="009B3B8A" w:rsidP="009B3B8A">
                              <w:pPr>
                                <w:spacing w:before="100"/>
                                <w:jc w:val="center"/>
                                <w:rPr>
                                  <w:sz w:val="18"/>
                                  <w:szCs w:val="18"/>
                                </w:rPr>
                              </w:pPr>
                              <w:r w:rsidRPr="00975AF1">
                                <w:rPr>
                                  <w:sz w:val="18"/>
                                  <w:szCs w:val="18"/>
                                </w:rPr>
                                <w:t>DTF’s capacity to complete a costing may be impacted by the number of requests received.</w:t>
                              </w:r>
                            </w:p>
                            <w:p w:rsidR="009B3B8A" w:rsidRPr="00975AF1" w:rsidRDefault="009B3B8A" w:rsidP="009B3B8A">
                              <w:pPr>
                                <w:spacing w:before="100"/>
                                <w:jc w:val="center"/>
                                <w:rPr>
                                  <w:sz w:val="18"/>
                                  <w:szCs w:val="18"/>
                                </w:rPr>
                              </w:pPr>
                              <w:r w:rsidRPr="00975AF1">
                                <w:rPr>
                                  <w:sz w:val="18"/>
                                  <w:szCs w:val="18"/>
                                </w:rPr>
                                <w:t>Priority will be given to requests rece</w:t>
                              </w:r>
                              <w:r>
                                <w:rPr>
                                  <w:sz w:val="18"/>
                                  <w:szCs w:val="18"/>
                                </w:rPr>
                                <w:t>ived prior to 5pm Thursday 15</w:t>
                              </w:r>
                              <w:r w:rsidRPr="00975AF1">
                                <w:rPr>
                                  <w:sz w:val="18"/>
                                  <w:szCs w:val="18"/>
                                </w:rPr>
                                <w:t xml:space="preserve"> November 201</w:t>
                              </w:r>
                              <w:r>
                                <w:rPr>
                                  <w:sz w:val="18"/>
                                  <w:szCs w:val="18"/>
                                </w:rPr>
                                <w:t>8</w:t>
                              </w:r>
                              <w:r w:rsidRPr="00975AF1">
                                <w:rPr>
                                  <w:sz w:val="18"/>
                                  <w:szCs w:val="18"/>
                                </w:rPr>
                                <w:t>.</w:t>
                              </w:r>
                            </w:p>
                          </w:txbxContent>
                        </wps:txbx>
                        <wps:bodyPr rot="0" vert="horz" wrap="square" lIns="91440" tIns="45720" rIns="91440" bIns="45720" anchor="t" anchorCtr="0" upright="1">
                          <a:noAutofit/>
                        </wps:bodyPr>
                      </wps:wsp>
                      <wps:wsp>
                        <wps:cNvPr id="27" name="Line 19"/>
                        <wps:cNvCnPr/>
                        <wps:spPr bwMode="auto">
                          <a:xfrm>
                            <a:off x="3720094" y="2063860"/>
                            <a:ext cx="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28" name="Text Box 20"/>
                        <wps:cNvSpPr txBox="1">
                          <a:spLocks noChangeArrowheads="1"/>
                        </wps:cNvSpPr>
                        <wps:spPr bwMode="auto">
                          <a:xfrm>
                            <a:off x="0" y="4159336"/>
                            <a:ext cx="5107258" cy="970032"/>
                          </a:xfrm>
                          <a:prstGeom prst="rect">
                            <a:avLst/>
                          </a:prstGeom>
                          <a:solidFill>
                            <a:schemeClr val="accent2"/>
                          </a:solidFill>
                          <a:ln>
                            <a:noFill/>
                          </a:ln>
                        </wps:spPr>
                        <wps:txbx>
                          <w:txbxContent>
                            <w:p w:rsidR="009B3B8A" w:rsidRPr="00975AF1" w:rsidRDefault="009B3B8A" w:rsidP="009B3B8A">
                              <w:pPr>
                                <w:spacing w:before="100"/>
                                <w:rPr>
                                  <w:color w:val="FFFFFF"/>
                                  <w:sz w:val="18"/>
                                  <w:szCs w:val="18"/>
                                </w:rPr>
                              </w:pPr>
                              <w:r w:rsidRPr="00975AF1">
                                <w:rPr>
                                  <w:color w:val="FFFFFF"/>
                                  <w:sz w:val="18"/>
                                  <w:szCs w:val="18"/>
                                </w:rPr>
                                <w:t>DTF contacts</w:t>
                              </w:r>
                              <w:r w:rsidR="00830953">
                                <w:rPr>
                                  <w:color w:val="FFFFFF"/>
                                  <w:sz w:val="18"/>
                                  <w:szCs w:val="18"/>
                                </w:rPr>
                                <w:t xml:space="preserve"> the</w:t>
                              </w:r>
                              <w:r>
                                <w:rPr>
                                  <w:color w:val="FFFFFF"/>
                                  <w:sz w:val="18"/>
                                  <w:szCs w:val="18"/>
                                </w:rPr>
                                <w:t xml:space="preserve"> nominated</w:t>
                              </w:r>
                              <w:r w:rsidRPr="00975AF1">
                                <w:rPr>
                                  <w:color w:val="FFFFFF"/>
                                  <w:sz w:val="18"/>
                                  <w:szCs w:val="18"/>
                                </w:rPr>
                                <w:t xml:space="preserve"> Party contact by email to advise the outcome o</w:t>
                              </w:r>
                              <w:r>
                                <w:rPr>
                                  <w:color w:val="FFFFFF"/>
                                  <w:sz w:val="18"/>
                                  <w:szCs w:val="18"/>
                                </w:rPr>
                                <w:t>f the costing and that it will publish the outcome on its website.</w:t>
                              </w:r>
                              <w:r w:rsidRPr="00975AF1">
                                <w:rPr>
                                  <w:color w:val="FFFFFF"/>
                                  <w:sz w:val="18"/>
                                  <w:szCs w:val="18"/>
                                </w:rPr>
                                <w:t xml:space="preserve"> </w:t>
                              </w:r>
                            </w:p>
                            <w:p w:rsidR="009B3B8A" w:rsidRPr="00D80BBF" w:rsidRDefault="009B3B8A" w:rsidP="009B3B8A">
                              <w:pPr>
                                <w:spacing w:before="100"/>
                                <w:rPr>
                                  <w:color w:val="FFFFFF" w:themeColor="background1"/>
                                  <w:sz w:val="18"/>
                                  <w:szCs w:val="18"/>
                                </w:rPr>
                              </w:pPr>
                              <w:r w:rsidRPr="005B19FE">
                                <w:rPr>
                                  <w:color w:val="FFFFFF"/>
                                  <w:sz w:val="18"/>
                                  <w:szCs w:val="18"/>
                                </w:rPr>
                                <w:t>DTF will advise the nominated party contact four business hours in advance of the publication of any costings (except requests rec</w:t>
                              </w:r>
                              <w:r>
                                <w:rPr>
                                  <w:color w:val="FFFFFF"/>
                                  <w:sz w:val="18"/>
                                  <w:szCs w:val="18"/>
                                </w:rPr>
                                <w:t>eived after 5pm</w:t>
                              </w:r>
                              <w:r w:rsidR="006D110D">
                                <w:rPr>
                                  <w:color w:val="FFFFFF"/>
                                  <w:sz w:val="18"/>
                                  <w:szCs w:val="18"/>
                                </w:rPr>
                                <w:t xml:space="preserve"> Thursday</w:t>
                              </w:r>
                              <w:r>
                                <w:rPr>
                                  <w:color w:val="FFFFFF"/>
                                  <w:sz w:val="18"/>
                                  <w:szCs w:val="18"/>
                                </w:rPr>
                                <w:t xml:space="preserve"> 15</w:t>
                              </w:r>
                              <w:r w:rsidRPr="005B19FE">
                                <w:rPr>
                                  <w:color w:val="FFFFFF"/>
                                  <w:sz w:val="18"/>
                                  <w:szCs w:val="18"/>
                                </w:rPr>
                                <w:t xml:space="preserve"> November 2018</w:t>
                              </w:r>
                              <w:r>
                                <w:rPr>
                                  <w:color w:val="FFFFFF"/>
                                  <w:sz w:val="18"/>
                                  <w:szCs w:val="18"/>
                                </w:rPr>
                                <w:t>.</w:t>
                              </w:r>
                            </w:p>
                          </w:txbxContent>
                        </wps:txbx>
                        <wps:bodyPr rot="0" vert="horz" wrap="square" lIns="91440" tIns="45720" rIns="91440" bIns="45720" anchor="t" anchorCtr="0" upright="1">
                          <a:noAutofit/>
                        </wps:bodyPr>
                      </wps:wsp>
                      <wps:wsp>
                        <wps:cNvPr id="29" name="Line 21"/>
                        <wps:cNvCnPr/>
                        <wps:spPr bwMode="auto">
                          <a:xfrm>
                            <a:off x="1084768" y="3934525"/>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s:wsp>
                        <wps:cNvPr id="30" name="Line 22"/>
                        <wps:cNvCnPr/>
                        <wps:spPr bwMode="auto">
                          <a:xfrm flipH="1">
                            <a:off x="3724202" y="3938619"/>
                            <a:ext cx="730" cy="228600"/>
                          </a:xfrm>
                          <a:prstGeom prst="line">
                            <a:avLst/>
                          </a:prstGeom>
                          <a:noFill/>
                          <a:ln w="19050">
                            <a:solidFill>
                              <a:srgbClr val="42145F"/>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3160FFA0" id="Canvas 33" o:spid="_x0000_s1026" editas="canvas" style="position:absolute;left:0;text-align:left;margin-left:39.5pt;margin-top:40.15pt;width:413.25pt;height:406.6pt;z-index:-251657216;mso-width-relative:margin;mso-height-relative:margin" coordsize="52482,5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5163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60;width:15992;height: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0f0248 [3205]" stroked="f">
                  <v:textbox>
                    <w:txbxContent>
                      <w:p w:rsidR="009B3B8A" w:rsidRPr="00975AF1" w:rsidRDefault="009B3B8A" w:rsidP="009B3B8A">
                        <w:pPr>
                          <w:spacing w:before="100"/>
                          <w:rPr>
                            <w:color w:val="FFFFFF"/>
                            <w:sz w:val="18"/>
                            <w:szCs w:val="18"/>
                          </w:rPr>
                        </w:pPr>
                        <w:r w:rsidRPr="00975AF1">
                          <w:rPr>
                            <w:color w:val="FFFFFF"/>
                            <w:sz w:val="18"/>
                            <w:szCs w:val="18"/>
                          </w:rPr>
                          <w:t xml:space="preserve">DTF receives request from </w:t>
                        </w:r>
                        <w:r w:rsidR="00830953">
                          <w:rPr>
                            <w:color w:val="FFFFFF"/>
                            <w:sz w:val="18"/>
                            <w:szCs w:val="18"/>
                          </w:rPr>
                          <w:t>p</w:t>
                        </w:r>
                        <w:r w:rsidRPr="00975AF1">
                          <w:rPr>
                            <w:color w:val="FFFFFF"/>
                            <w:sz w:val="18"/>
                            <w:szCs w:val="18"/>
                          </w:rPr>
                          <w:t>olitical Party.</w:t>
                        </w:r>
                      </w:p>
                    </w:txbxContent>
                  </v:textbox>
                </v:shape>
                <v:shape id="Text Box 5" o:spid="_x0000_s1029" type="#_x0000_t202" style="position:absolute;top:7841;width:52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" fillcolor="#0f0248 [3205]" stroked="f">
                  <v:textbox>
                    <w:txbxContent>
                      <w:p w:rsidR="009B3B8A" w:rsidRPr="00975AF1" w:rsidRDefault="009B3B8A" w:rsidP="009B3B8A">
                        <w:pPr>
                          <w:spacing w:before="100"/>
                          <w:rPr>
                            <w:color w:val="FFFFFF"/>
                            <w:sz w:val="18"/>
                            <w:szCs w:val="18"/>
                          </w:rPr>
                        </w:pPr>
                        <w:r w:rsidRPr="00975AF1">
                          <w:rPr>
                            <w:color w:val="FFFFFF"/>
                            <w:sz w:val="18"/>
                            <w:szCs w:val="18"/>
                          </w:rPr>
                          <w:t xml:space="preserve">DTF sends email acknowledgement of receipt of request to Party nominee </w:t>
                        </w:r>
                        <w:r w:rsidRPr="00975AF1">
                          <w:rPr>
                            <w:b/>
                            <w:color w:val="FFFFFF"/>
                            <w:sz w:val="18"/>
                            <w:szCs w:val="18"/>
                          </w:rPr>
                          <w:t>and</w:t>
                        </w:r>
                        <w:r w:rsidRPr="00975AF1">
                          <w:rPr>
                            <w:color w:val="FFFFFF"/>
                            <w:sz w:val="18"/>
                            <w:szCs w:val="18"/>
                          </w:rPr>
                          <w:t xml:space="preserve"> lists on website.</w:t>
                        </w:r>
                      </w:p>
                    </w:txbxContent>
                  </v:textbox>
                </v:shape>
                <v:shape id="Text Box 6" o:spid="_x0000_s1030" type="#_x0000_t202" style="position:absolute;left:29721;top:360;width:22802;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">
                  <v:stroke dashstyle="1 1"/>
                  <v:textbox>
                    <w:txbxContent>
                      <w:p w:rsidR="009B3B8A" w:rsidRPr="00975AF1" w:rsidRDefault="009B3B8A" w:rsidP="00E7443D">
                        <w:pPr>
                          <w:spacing w:before="0"/>
                          <w:rPr>
                            <w:sz w:val="18"/>
                            <w:szCs w:val="18"/>
                          </w:rPr>
                        </w:pPr>
                        <w:r w:rsidRPr="00975AF1">
                          <w:rPr>
                            <w:b/>
                            <w:sz w:val="18"/>
                            <w:szCs w:val="18"/>
                          </w:rPr>
                          <w:t>Note:</w:t>
                        </w:r>
                        <w:r w:rsidRPr="00975AF1">
                          <w:rPr>
                            <w:sz w:val="18"/>
                            <w:szCs w:val="18"/>
                          </w:rPr>
                          <w:t xml:space="preserve"> The Party need n</w:t>
                        </w:r>
                        <w:r>
                          <w:rPr>
                            <w:sz w:val="18"/>
                            <w:szCs w:val="18"/>
                          </w:rPr>
                          <w:t xml:space="preserve">ot communicate further with DTF </w:t>
                        </w:r>
                        <w:r w:rsidRPr="00975AF1">
                          <w:rPr>
                            <w:sz w:val="18"/>
                            <w:szCs w:val="18"/>
                          </w:rPr>
                          <w:t>after lodging the initial request.</w:t>
                        </w:r>
                      </w:p>
                    </w:txbxContent>
                  </v:textbox>
                </v:shape>
                <v:line id="Line 7" o:spid="_x0000_s1031" style="position:absolute;visibility:visible;mso-wrap-style:square" from="7944,5496" to="7951,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" strokecolor="#42145f" strokeweight="1.5pt">
                  <v:stroke endarrow="block"/>
                </v:line>
                <v:shape id="Text Box 8" o:spid="_x0000_s1032" type="#_x0000_t202" style="position:absolute;top:13591;width:2152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" fillcolor="#bae3ff [660]" stroked="f">
                  <v:textbox>
                    <w:txbxContent>
                      <w:p w:rsidR="009B3B8A" w:rsidRPr="00975AF1" w:rsidRDefault="009B3B8A" w:rsidP="009B3B8A">
                        <w:pPr>
                          <w:spacing w:before="100"/>
                          <w:jc w:val="center"/>
                          <w:rPr>
                            <w:sz w:val="18"/>
                            <w:szCs w:val="18"/>
                          </w:rPr>
                        </w:pPr>
                        <w:r w:rsidRPr="00975AF1">
                          <w:rPr>
                            <w:sz w:val="18"/>
                            <w:szCs w:val="18"/>
                          </w:rPr>
                          <w:t xml:space="preserve">DTF receives request </w:t>
                        </w:r>
                        <w:r w:rsidRPr="00975AF1">
                          <w:rPr>
                            <w:b/>
                            <w:sz w:val="18"/>
                            <w:szCs w:val="18"/>
                          </w:rPr>
                          <w:t>prior</w:t>
                        </w:r>
                        <w:r w:rsidR="00830953">
                          <w:rPr>
                            <w:sz w:val="18"/>
                            <w:szCs w:val="18"/>
                          </w:rPr>
                          <w:t xml:space="preserve"> to 5</w:t>
                        </w:r>
                        <w:r w:rsidRPr="00975AF1">
                          <w:rPr>
                            <w:sz w:val="18"/>
                            <w:szCs w:val="18"/>
                          </w:rPr>
                          <w:t xml:space="preserve">pm Thursday </w:t>
                        </w:r>
                        <w:r w:rsidR="00A56DD5">
                          <w:rPr>
                            <w:sz w:val="18"/>
                            <w:szCs w:val="18"/>
                          </w:rPr>
                          <w:t>15 November </w:t>
                        </w:r>
                        <w:r>
                          <w:rPr>
                            <w:sz w:val="18"/>
                            <w:szCs w:val="18"/>
                          </w:rPr>
                          <w:t>2018</w:t>
                        </w:r>
                        <w:r w:rsidR="006D110D">
                          <w:rPr>
                            <w:sz w:val="18"/>
                            <w:szCs w:val="18"/>
                          </w:rPr>
                          <w:t>.</w:t>
                        </w:r>
                      </w:p>
                    </w:txbxContent>
                  </v:textbox>
                </v:shape>
                <v:shape id="Text Box 9" o:spid="_x0000_s1033" type="#_x0000_t202" style="position:absolute;left:24643;top:13602;width:25202;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" fillcolor="#bae3ff [660]" stroked="f">
                  <v:textbox>
                    <w:txbxContent>
                      <w:p w:rsidR="009B3B8A" w:rsidRPr="00975AF1" w:rsidRDefault="009B3B8A" w:rsidP="00872B12">
                        <w:pPr>
                          <w:spacing w:before="100"/>
                          <w:jc w:val="center"/>
                          <w:rPr>
                            <w:sz w:val="18"/>
                            <w:szCs w:val="18"/>
                          </w:rPr>
                        </w:pPr>
                        <w:r w:rsidRPr="00975AF1">
                          <w:rPr>
                            <w:sz w:val="18"/>
                            <w:szCs w:val="18"/>
                          </w:rPr>
                          <w:t xml:space="preserve">DTF receives request </w:t>
                        </w:r>
                        <w:r>
                          <w:rPr>
                            <w:b/>
                            <w:sz w:val="18"/>
                            <w:szCs w:val="18"/>
                          </w:rPr>
                          <w:t>after</w:t>
                        </w:r>
                        <w:r w:rsidRPr="00975AF1">
                          <w:rPr>
                            <w:sz w:val="18"/>
                            <w:szCs w:val="18"/>
                          </w:rPr>
                          <w:t xml:space="preserve"> 5pm Thursday </w:t>
                        </w:r>
                        <w:r>
                          <w:rPr>
                            <w:sz w:val="18"/>
                            <w:szCs w:val="18"/>
                          </w:rPr>
                          <w:t>15</w:t>
                        </w:r>
                        <w:r w:rsidRPr="00975AF1">
                          <w:rPr>
                            <w:sz w:val="18"/>
                            <w:szCs w:val="18"/>
                          </w:rPr>
                          <w:t xml:space="preserve"> November 201</w:t>
                        </w:r>
                        <w:r>
                          <w:rPr>
                            <w:sz w:val="18"/>
                            <w:szCs w:val="18"/>
                          </w:rPr>
                          <w:t>8</w:t>
                        </w:r>
                        <w:r w:rsidR="006D110D">
                          <w:rPr>
                            <w:sz w:val="18"/>
                            <w:szCs w:val="18"/>
                          </w:rPr>
                          <w:t>.</w:t>
                        </w:r>
                      </w:p>
                    </w:txbxContent>
                  </v:textbox>
                </v:shape>
                <v:line id="Line 11" o:spid="_x0000_s1034" style="position:absolute;visibility:visible;mso-wrap-style:square" from="10796,11258" to="10804,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" strokecolor="#42145f" strokeweight="1.5pt">
                  <v:stroke endarrow="block"/>
                </v:line>
                <v:line id="Line 12" o:spid="_x0000_s1035" style="position:absolute;visibility:visible;mso-wrap-style:square" from="37193,11332" to="37200,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" strokecolor="#42145f" strokeweight="1.5pt">
                  <v:stroke endarrow="block"/>
                </v:line>
                <v:shape id="Text Box 14" o:spid="_x0000_s1036" type="#_x0000_t202" style="position:absolute;top:22859;width:21744;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" fillcolor="#bae3ff [660]" stroked="f">
                  <v:textbox>
                    <w:txbxContent>
                      <w:p w:rsidR="009B3B8A" w:rsidRPr="00975AF1" w:rsidRDefault="009B3B8A" w:rsidP="009B3B8A">
                        <w:pPr>
                          <w:spacing w:before="100"/>
                          <w:jc w:val="center"/>
                          <w:rPr>
                            <w:sz w:val="18"/>
                            <w:szCs w:val="18"/>
                          </w:rPr>
                        </w:pPr>
                        <w:r w:rsidRPr="00975AF1">
                          <w:rPr>
                            <w:sz w:val="18"/>
                            <w:szCs w:val="18"/>
                          </w:rPr>
                          <w:t>DTF endeavours to undertake the costing within five business days of it receiving the request and to publicly release the costing by Thursda</w:t>
                        </w:r>
                        <w:r>
                          <w:rPr>
                            <w:sz w:val="18"/>
                            <w:szCs w:val="18"/>
                          </w:rPr>
                          <w:t>y</w:t>
                        </w:r>
                        <w:r w:rsidRPr="00975AF1">
                          <w:rPr>
                            <w:sz w:val="18"/>
                            <w:szCs w:val="18"/>
                          </w:rPr>
                          <w:t xml:space="preserve"> </w:t>
                        </w:r>
                        <w:r w:rsidRPr="00975AF1">
                          <w:rPr>
                            <w:sz w:val="18"/>
                            <w:szCs w:val="18"/>
                          </w:rPr>
                          <w:br/>
                          <w:t>2</w:t>
                        </w:r>
                        <w:r>
                          <w:rPr>
                            <w:sz w:val="18"/>
                            <w:szCs w:val="18"/>
                          </w:rPr>
                          <w:t>2</w:t>
                        </w:r>
                        <w:r w:rsidRPr="00975AF1">
                          <w:rPr>
                            <w:sz w:val="18"/>
                            <w:szCs w:val="18"/>
                          </w:rPr>
                          <w:t xml:space="preserve"> November 201</w:t>
                        </w:r>
                        <w:r>
                          <w:rPr>
                            <w:sz w:val="18"/>
                            <w:szCs w:val="18"/>
                          </w:rPr>
                          <w:t>8</w:t>
                        </w:r>
                        <w:r w:rsidRPr="00975AF1">
                          <w:rPr>
                            <w:sz w:val="18"/>
                            <w:szCs w:val="18"/>
                          </w:rPr>
                          <w:t>.</w:t>
                        </w:r>
                      </w:p>
                      <w:p w:rsidR="009B3B8A" w:rsidRPr="00975AF1" w:rsidRDefault="009B3B8A" w:rsidP="009B3B8A">
                        <w:pPr>
                          <w:spacing w:before="100"/>
                          <w:jc w:val="center"/>
                          <w:rPr>
                            <w:sz w:val="18"/>
                            <w:szCs w:val="18"/>
                          </w:rPr>
                        </w:pPr>
                        <w:r w:rsidRPr="00975AF1">
                          <w:rPr>
                            <w:sz w:val="18"/>
                            <w:szCs w:val="18"/>
                          </w:rPr>
                          <w:t xml:space="preserve">The five business days </w:t>
                        </w:r>
                        <w:r w:rsidRPr="00975AF1">
                          <w:rPr>
                            <w:b/>
                            <w:sz w:val="18"/>
                            <w:szCs w:val="18"/>
                          </w:rPr>
                          <w:t>excludes</w:t>
                        </w:r>
                        <w:r w:rsidRPr="00975AF1">
                          <w:rPr>
                            <w:sz w:val="18"/>
                            <w:szCs w:val="18"/>
                          </w:rPr>
                          <w:t xml:space="preserve"> any timing delays associated with awaiting necessary additional information from the Party.</w:t>
                        </w:r>
                      </w:p>
                    </w:txbxContent>
                  </v:textbox>
                </v:shape>
                <v:line id="Line 17" o:spid="_x0000_s1037" style="position:absolute;visibility:visible;mso-wrap-style:square" from="10797,20573" to="10804,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" strokecolor="#42145f" strokeweight="1.5pt">
                  <v:stroke endarrow="block"/>
                </v:line>
                <v:shape id="Text Box 18" o:spid="_x0000_s1038" type="#_x0000_t202" style="position:absolute;left:24644;top:22859;width:26317;height:1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" fillcolor="#bae3ff [660]" stroked="f">
                  <v:textbox>
                    <w:txbxContent>
                      <w:p w:rsidR="009B3B8A" w:rsidRDefault="009B3B8A" w:rsidP="009B3B8A">
                        <w:pPr>
                          <w:spacing w:before="100"/>
                          <w:jc w:val="center"/>
                          <w:rPr>
                            <w:sz w:val="18"/>
                            <w:szCs w:val="18"/>
                          </w:rPr>
                        </w:pPr>
                        <w:r w:rsidRPr="00975AF1">
                          <w:rPr>
                            <w:sz w:val="18"/>
                            <w:szCs w:val="18"/>
                          </w:rPr>
                          <w:t>Listed on website</w:t>
                        </w:r>
                      </w:p>
                      <w:p w:rsidR="009B3B8A" w:rsidRPr="00975AF1" w:rsidRDefault="009B3B8A" w:rsidP="009B3B8A">
                        <w:pPr>
                          <w:spacing w:before="100"/>
                          <w:jc w:val="center"/>
                          <w:rPr>
                            <w:sz w:val="18"/>
                            <w:szCs w:val="18"/>
                          </w:rPr>
                        </w:pPr>
                        <w:r w:rsidRPr="00975AF1">
                          <w:rPr>
                            <w:sz w:val="18"/>
                            <w:szCs w:val="18"/>
                          </w:rPr>
                          <w:t>DTF will employ its best efforts to complete the costing and release it publicly by Thursday 2</w:t>
                        </w:r>
                        <w:r>
                          <w:rPr>
                            <w:sz w:val="18"/>
                            <w:szCs w:val="18"/>
                          </w:rPr>
                          <w:t>2</w:t>
                        </w:r>
                        <w:r w:rsidRPr="00975AF1">
                          <w:rPr>
                            <w:sz w:val="18"/>
                            <w:szCs w:val="18"/>
                          </w:rPr>
                          <w:t xml:space="preserve"> November 201</w:t>
                        </w:r>
                        <w:r>
                          <w:rPr>
                            <w:sz w:val="18"/>
                            <w:szCs w:val="18"/>
                          </w:rPr>
                          <w:t>8</w:t>
                        </w:r>
                        <w:r w:rsidRPr="00975AF1">
                          <w:rPr>
                            <w:sz w:val="18"/>
                            <w:szCs w:val="18"/>
                          </w:rPr>
                          <w:t>.</w:t>
                        </w:r>
                      </w:p>
                      <w:p w:rsidR="009B3B8A" w:rsidRDefault="009B3B8A" w:rsidP="009B3B8A">
                        <w:pPr>
                          <w:spacing w:before="100"/>
                          <w:jc w:val="center"/>
                          <w:rPr>
                            <w:sz w:val="18"/>
                            <w:szCs w:val="18"/>
                          </w:rPr>
                        </w:pPr>
                        <w:r w:rsidRPr="00975AF1">
                          <w:rPr>
                            <w:sz w:val="18"/>
                            <w:szCs w:val="18"/>
                          </w:rPr>
                          <w:t>DTF’s capacity to complete a costing may be impacted by the number of requests received.</w:t>
                        </w:r>
                      </w:p>
                      <w:p w:rsidR="009B3B8A" w:rsidRPr="00975AF1" w:rsidRDefault="009B3B8A" w:rsidP="009B3B8A">
                        <w:pPr>
                          <w:spacing w:before="100"/>
                          <w:jc w:val="center"/>
                          <w:rPr>
                            <w:sz w:val="18"/>
                            <w:szCs w:val="18"/>
                          </w:rPr>
                        </w:pPr>
                        <w:r w:rsidRPr="00975AF1">
                          <w:rPr>
                            <w:sz w:val="18"/>
                            <w:szCs w:val="18"/>
                          </w:rPr>
                          <w:t>Priority will be given to requests rece</w:t>
                        </w:r>
                        <w:r>
                          <w:rPr>
                            <w:sz w:val="18"/>
                            <w:szCs w:val="18"/>
                          </w:rPr>
                          <w:t>ived prior to 5pm Thursday 15</w:t>
                        </w:r>
                        <w:r w:rsidRPr="00975AF1">
                          <w:rPr>
                            <w:sz w:val="18"/>
                            <w:szCs w:val="18"/>
                          </w:rPr>
                          <w:t xml:space="preserve"> November 201</w:t>
                        </w:r>
                        <w:r>
                          <w:rPr>
                            <w:sz w:val="18"/>
                            <w:szCs w:val="18"/>
                          </w:rPr>
                          <w:t>8</w:t>
                        </w:r>
                        <w:r w:rsidRPr="00975AF1">
                          <w:rPr>
                            <w:sz w:val="18"/>
                            <w:szCs w:val="18"/>
                          </w:rPr>
                          <w:t>.</w:t>
                        </w:r>
                      </w:p>
                    </w:txbxContent>
                  </v:textbox>
                </v:shape>
                <v:line id="Line 19" o:spid="_x0000_s1039" style="position:absolute;visibility:visible;mso-wrap-style:square" from="37200,20638" to="37200,2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" strokecolor="#42145f" strokeweight="1.5pt">
                  <v:stroke endarrow="block"/>
                </v:line>
                <v:shape id="Text Box 20" o:spid="_x0000_s1040" type="#_x0000_t202" style="position:absolute;top:41593;width:51072;height:9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" fillcolor="#0f0248 [3205]" stroked="f">
                  <v:textbox>
                    <w:txbxContent>
                      <w:p w:rsidR="009B3B8A" w:rsidRPr="00975AF1" w:rsidRDefault="009B3B8A" w:rsidP="009B3B8A">
                        <w:pPr>
                          <w:spacing w:before="100"/>
                          <w:rPr>
                            <w:color w:val="FFFFFF"/>
                            <w:sz w:val="18"/>
                            <w:szCs w:val="18"/>
                          </w:rPr>
                        </w:pPr>
                        <w:r w:rsidRPr="00975AF1">
                          <w:rPr>
                            <w:color w:val="FFFFFF"/>
                            <w:sz w:val="18"/>
                            <w:szCs w:val="18"/>
                          </w:rPr>
                          <w:t>DTF contacts</w:t>
                        </w:r>
                        <w:r w:rsidR="00830953">
                          <w:rPr>
                            <w:color w:val="FFFFFF"/>
                            <w:sz w:val="18"/>
                            <w:szCs w:val="18"/>
                          </w:rPr>
                          <w:t xml:space="preserve"> the</w:t>
                        </w:r>
                        <w:r>
                          <w:rPr>
                            <w:color w:val="FFFFFF"/>
                            <w:sz w:val="18"/>
                            <w:szCs w:val="18"/>
                          </w:rPr>
                          <w:t xml:space="preserve"> nominated</w:t>
                        </w:r>
                        <w:r w:rsidRPr="00975AF1">
                          <w:rPr>
                            <w:color w:val="FFFFFF"/>
                            <w:sz w:val="18"/>
                            <w:szCs w:val="18"/>
                          </w:rPr>
                          <w:t xml:space="preserve"> Party contact by email to advise the outcome o</w:t>
                        </w:r>
                        <w:r>
                          <w:rPr>
                            <w:color w:val="FFFFFF"/>
                            <w:sz w:val="18"/>
                            <w:szCs w:val="18"/>
                          </w:rPr>
                          <w:t>f the costing and that it will publish the outcome on its website.</w:t>
                        </w:r>
                        <w:r w:rsidRPr="00975AF1">
                          <w:rPr>
                            <w:color w:val="FFFFFF"/>
                            <w:sz w:val="18"/>
                            <w:szCs w:val="18"/>
                          </w:rPr>
                          <w:t xml:space="preserve"> </w:t>
                        </w:r>
                      </w:p>
                      <w:p w:rsidR="009B3B8A" w:rsidRPr="00D80BBF" w:rsidRDefault="009B3B8A" w:rsidP="009B3B8A">
                        <w:pPr>
                          <w:spacing w:before="100"/>
                          <w:rPr>
                            <w:color w:val="FFFFFF" w:themeColor="background1"/>
                            <w:sz w:val="18"/>
                            <w:szCs w:val="18"/>
                          </w:rPr>
                        </w:pPr>
                        <w:r w:rsidRPr="005B19FE">
                          <w:rPr>
                            <w:color w:val="FFFFFF"/>
                            <w:sz w:val="18"/>
                            <w:szCs w:val="18"/>
                          </w:rPr>
                          <w:t>DTF will advise the nominated party contact four business hours in advance of the publication of any costings (except requests rec</w:t>
                        </w:r>
                        <w:r>
                          <w:rPr>
                            <w:color w:val="FFFFFF"/>
                            <w:sz w:val="18"/>
                            <w:szCs w:val="18"/>
                          </w:rPr>
                          <w:t>eived after 5pm</w:t>
                        </w:r>
                        <w:r w:rsidR="006D110D">
                          <w:rPr>
                            <w:color w:val="FFFFFF"/>
                            <w:sz w:val="18"/>
                            <w:szCs w:val="18"/>
                          </w:rPr>
                          <w:t xml:space="preserve"> Thursday</w:t>
                        </w:r>
                        <w:r>
                          <w:rPr>
                            <w:color w:val="FFFFFF"/>
                            <w:sz w:val="18"/>
                            <w:szCs w:val="18"/>
                          </w:rPr>
                          <w:t xml:space="preserve"> 15</w:t>
                        </w:r>
                        <w:r w:rsidRPr="005B19FE">
                          <w:rPr>
                            <w:color w:val="FFFFFF"/>
                            <w:sz w:val="18"/>
                            <w:szCs w:val="18"/>
                          </w:rPr>
                          <w:t xml:space="preserve"> November 2018</w:t>
                        </w:r>
                        <w:r>
                          <w:rPr>
                            <w:color w:val="FFFFFF"/>
                            <w:sz w:val="18"/>
                            <w:szCs w:val="18"/>
                          </w:rPr>
                          <w:t>.</w:t>
                        </w:r>
                      </w:p>
                    </w:txbxContent>
                  </v:textbox>
                </v:shape>
                <v:line id="Line 21" o:spid="_x0000_s1041" style="position:absolute;visibility:visible;mso-wrap-style:square" from="10847,39345" to="10854,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" strokecolor="#42145f" strokeweight="1.5pt">
                  <v:stroke endarrow="block"/>
                </v:line>
                <v:line id="Line 22" o:spid="_x0000_s1042" style="position:absolute;flip:x;visibility:visible;mso-wrap-style:square" from="37242,39386" to="37249,4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" strokecolor="#42145f" strokeweight="1.5pt">
                  <v:stroke endarrow="block"/>
                </v:line>
                <w10:wrap type="tight"/>
              </v:group>
            </w:pict>
          </mc:Fallback>
        </mc:AlternateContent>
      </w:r>
      <w:r>
        <w:t>Timing flow chart</w:t>
      </w:r>
      <w:bookmarkEnd w:id="4"/>
    </w:p>
    <w:p w:rsidR="00872B12" w:rsidRPr="00872B12" w:rsidRDefault="00872B12" w:rsidP="00872B12">
      <w:pPr>
        <w:pStyle w:val="NormalIndent"/>
      </w:pPr>
    </w:p>
    <w:p w:rsidR="00E7443D" w:rsidRPr="00C92338" w:rsidRDefault="00E7443D" w:rsidP="00E7443D">
      <w:pPr>
        <w:pStyle w:val="Heading1numbered"/>
      </w:pPr>
      <w:bookmarkStart w:id="5" w:name="_Toc524425738"/>
      <w:r w:rsidRPr="00E501AF">
        <w:lastRenderedPageBreak/>
        <w:t>Aims, methodology and assumptions</w:t>
      </w:r>
      <w:r>
        <w:t xml:space="preserve"> for policy costings</w:t>
      </w:r>
      <w:bookmarkEnd w:id="5"/>
    </w:p>
    <w:p w:rsidR="00E7443D" w:rsidRDefault="00E7443D" w:rsidP="00E7443D">
      <w:pPr>
        <w:pStyle w:val="Heading2numbered"/>
        <w:numPr>
          <w:ilvl w:val="3"/>
          <w:numId w:val="8"/>
        </w:numPr>
      </w:pPr>
      <w:bookmarkStart w:id="6" w:name="_Toc524425739"/>
      <w:r>
        <w:t>Aims</w:t>
      </w:r>
      <w:bookmarkEnd w:id="6"/>
    </w:p>
    <w:p w:rsidR="00E7443D" w:rsidRDefault="00E7443D" w:rsidP="00E7443D">
      <w:pPr>
        <w:pStyle w:val="NormalIndent"/>
      </w:pPr>
      <w:r>
        <w:t xml:space="preserve">DTF aims to be as clear, transparent and timely in costing policies as possible and will therefore: </w:t>
      </w:r>
    </w:p>
    <w:p w:rsidR="00E7443D" w:rsidRDefault="00E7443D" w:rsidP="00E7443D">
      <w:pPr>
        <w:pStyle w:val="Bulletindent"/>
        <w:numPr>
          <w:ilvl w:val="2"/>
          <w:numId w:val="1"/>
        </w:numPr>
      </w:pPr>
      <w:r>
        <w:t xml:space="preserve">provide its best estimate of the full cost of a policy; </w:t>
      </w:r>
    </w:p>
    <w:p w:rsidR="00E7443D" w:rsidRDefault="00E7443D" w:rsidP="00E7443D">
      <w:pPr>
        <w:pStyle w:val="Bulletindent"/>
        <w:numPr>
          <w:ilvl w:val="2"/>
          <w:numId w:val="1"/>
        </w:numPr>
      </w:pPr>
      <w:r>
        <w:t xml:space="preserve">complete the costing in the shortest time possible, generally within five working days; </w:t>
      </w:r>
    </w:p>
    <w:p w:rsidR="00E7443D" w:rsidRDefault="00E7443D" w:rsidP="00E7443D">
      <w:pPr>
        <w:pStyle w:val="Bulletindent"/>
        <w:numPr>
          <w:ilvl w:val="2"/>
          <w:numId w:val="1"/>
        </w:numPr>
      </w:pPr>
      <w:r>
        <w:t xml:space="preserve">cost policies in a manner consistent with methodologies used to prepare the annual Budget statements, the pre-election budget update (PEBU) and other financial reports; </w:t>
      </w:r>
    </w:p>
    <w:p w:rsidR="00E7443D" w:rsidRDefault="00E7443D" w:rsidP="00E7443D">
      <w:pPr>
        <w:pStyle w:val="Bulletindent"/>
        <w:numPr>
          <w:ilvl w:val="2"/>
          <w:numId w:val="1"/>
        </w:numPr>
      </w:pPr>
      <w:r>
        <w:t xml:space="preserve">cost all policies across all parties in a consistent manner; </w:t>
      </w:r>
    </w:p>
    <w:p w:rsidR="00E7443D" w:rsidRDefault="00E7443D" w:rsidP="00E7443D">
      <w:pPr>
        <w:pStyle w:val="Bulletindent"/>
        <w:numPr>
          <w:ilvl w:val="2"/>
          <w:numId w:val="1"/>
        </w:numPr>
      </w:pPr>
      <w:r>
        <w:t xml:space="preserve">only provide fiscal costings, and not provide policy advice or assessments of the economic impact of policies; and </w:t>
      </w:r>
    </w:p>
    <w:p w:rsidR="00E7443D" w:rsidRPr="001E6C3B" w:rsidRDefault="00E7443D" w:rsidP="00E7443D">
      <w:pPr>
        <w:pStyle w:val="Bulletindent"/>
        <w:numPr>
          <w:ilvl w:val="2"/>
          <w:numId w:val="1"/>
        </w:numPr>
      </w:pPr>
      <w:r>
        <w:t>produce a self-contained written report on the costing that explains the published costings, and material assumptions used in arriving at the conclusions.</w:t>
      </w:r>
      <w:r>
        <w:rPr>
          <w:rStyle w:val="FootnoteReference"/>
        </w:rPr>
        <w:footnoteReference w:id="3"/>
      </w:r>
    </w:p>
    <w:p w:rsidR="00E7443D" w:rsidRDefault="00E7443D" w:rsidP="00E7443D">
      <w:pPr>
        <w:pStyle w:val="Heading2numbered"/>
        <w:numPr>
          <w:ilvl w:val="3"/>
          <w:numId w:val="8"/>
        </w:numPr>
      </w:pPr>
      <w:bookmarkStart w:id="7" w:name="_Toc524425740"/>
      <w:r>
        <w:t>Methodology</w:t>
      </w:r>
      <w:bookmarkEnd w:id="7"/>
      <w:r>
        <w:t xml:space="preserve"> </w:t>
      </w:r>
    </w:p>
    <w:p w:rsidR="00E7443D" w:rsidRDefault="00E7443D" w:rsidP="00E7443D">
      <w:pPr>
        <w:pStyle w:val="NormalIndent"/>
      </w:pPr>
      <w:r>
        <w:t>The costings will be produced in a manner consistent with normal costing practice</w:t>
      </w:r>
      <w:r w:rsidR="009B3B8A">
        <w:t>.</w:t>
      </w:r>
      <w:r w:rsidR="00830953">
        <w:t xml:space="preserve"> </w:t>
      </w:r>
      <w:r>
        <w:t xml:space="preserve">A list of standard policy costing conventions is provided in </w:t>
      </w:r>
      <w:r w:rsidRPr="00C62106">
        <w:rPr>
          <w:b/>
        </w:rPr>
        <w:t>Appendix A</w:t>
      </w:r>
      <w:r>
        <w:t xml:space="preserve">. </w:t>
      </w:r>
    </w:p>
    <w:p w:rsidR="00E7443D" w:rsidRDefault="00E7443D" w:rsidP="00E7443D">
      <w:pPr>
        <w:pStyle w:val="NormalIndent"/>
      </w:pPr>
      <w:r>
        <w:t>Policy costings will estimate the financial impacts of the proposal concerned. The focus of costings will be on initial (first round) effects and the direct budgetary consequences of policies.</w:t>
      </w:r>
    </w:p>
    <w:p w:rsidR="00E7443D" w:rsidRDefault="00E7443D" w:rsidP="00E7443D">
      <w:pPr>
        <w:pStyle w:val="NormalIndent"/>
      </w:pPr>
      <w:r>
        <w:t>Policy costings will, generally, not account for the impact on State debt interest payments, unless:</w:t>
      </w:r>
    </w:p>
    <w:p w:rsidR="00E7443D" w:rsidRDefault="00E7443D" w:rsidP="00E7443D">
      <w:pPr>
        <w:pStyle w:val="Bulletindent"/>
        <w:numPr>
          <w:ilvl w:val="2"/>
          <w:numId w:val="1"/>
        </w:numPr>
      </w:pPr>
      <w:r>
        <w:t xml:space="preserve">it is an explicit policy objective to affect the level of interest payments; or </w:t>
      </w:r>
    </w:p>
    <w:p w:rsidR="00E7443D" w:rsidRDefault="00E7443D" w:rsidP="00E7443D">
      <w:pPr>
        <w:pStyle w:val="Bulletindent"/>
        <w:numPr>
          <w:ilvl w:val="2"/>
          <w:numId w:val="1"/>
        </w:numPr>
      </w:pPr>
      <w:r>
        <w:t>the policy involves a financing type transaction where the major Budget impact is through State debt interest payments.</w:t>
      </w:r>
    </w:p>
    <w:p w:rsidR="00E7443D" w:rsidRDefault="00E7443D" w:rsidP="00E7443D">
      <w:pPr>
        <w:pStyle w:val="NormalIndent"/>
      </w:pPr>
      <w:r>
        <w:t xml:space="preserve">In the case of costing a policy package (comprising a related set of initiatives, possibly across several portfolios), both the cost of individual components and the overall cost of the package will be undertaken. </w:t>
      </w:r>
    </w:p>
    <w:p w:rsidR="00E7443D" w:rsidRPr="00C62106" w:rsidRDefault="00E7443D" w:rsidP="00E7443D">
      <w:pPr>
        <w:pStyle w:val="NormalIndent"/>
      </w:pPr>
      <w:r>
        <w:t xml:space="preserve">Where a party submits a final aggregated package of </w:t>
      </w:r>
      <w:r w:rsidRPr="00C62106">
        <w:rPr>
          <w:u w:val="single"/>
        </w:rPr>
        <w:t>all</w:t>
      </w:r>
      <w:r>
        <w:t xml:space="preserve"> its election commitments and funding sources to DTF for costing, DTF will comment on the net financial impact of the overall policy package on the operating result (net result from transactions) and net debt.</w:t>
      </w:r>
    </w:p>
    <w:p w:rsidR="00E7443D" w:rsidRDefault="00E7443D" w:rsidP="00E7443D">
      <w:pPr>
        <w:pStyle w:val="Heading2numbered"/>
        <w:numPr>
          <w:ilvl w:val="3"/>
          <w:numId w:val="8"/>
        </w:numPr>
      </w:pPr>
      <w:bookmarkStart w:id="8" w:name="_Toc524425741"/>
      <w:r>
        <w:lastRenderedPageBreak/>
        <w:t>Assumptions</w:t>
      </w:r>
      <w:bookmarkEnd w:id="8"/>
    </w:p>
    <w:p w:rsidR="00E7443D" w:rsidRDefault="00E7443D" w:rsidP="00E7443D">
      <w:pPr>
        <w:pStyle w:val="NormalIndent"/>
      </w:pPr>
      <w:r>
        <w:t xml:space="preserve">In relation to the assumptions to be used, the caretaker conventions state that </w:t>
      </w:r>
      <w:r w:rsidRPr="00C76C83">
        <w:t xml:space="preserve">‘DTF will undertake the costings in conjunction with relevant departments, provided any assumptions necessary for the costings are identified for the </w:t>
      </w:r>
      <w:r>
        <w:t>d</w:t>
      </w:r>
      <w:r w:rsidRPr="00C76C83">
        <w:t xml:space="preserve">epartments or do not require </w:t>
      </w:r>
      <w:r>
        <w:t>d</w:t>
      </w:r>
      <w:r w:rsidRPr="00C76C83">
        <w:t>epartments to undertake extensive policy research.’</w:t>
      </w:r>
    </w:p>
    <w:p w:rsidR="00E7443D" w:rsidRDefault="00E7443D" w:rsidP="00E7443D">
      <w:pPr>
        <w:pStyle w:val="NormalIndent"/>
      </w:pPr>
      <w:r>
        <w:t>Any economic data or forecasts used in costing policies will be consistent with the most recent publicly released estimates as contained in the PEBU</w:t>
      </w:r>
      <w:r>
        <w:rPr>
          <w:rStyle w:val="FootnoteReference"/>
        </w:rPr>
        <w:footnoteReference w:id="4"/>
      </w:r>
      <w:r>
        <w:t xml:space="preserve">. </w:t>
      </w:r>
    </w:p>
    <w:p w:rsidR="00E7443D" w:rsidRDefault="00E7443D" w:rsidP="00E7443D">
      <w:pPr>
        <w:pStyle w:val="NormalIndent"/>
      </w:pPr>
      <w:r>
        <w:t xml:space="preserve">The nature of any assumptions used will be made clear by DTF when releasing costings and any caveats associated with the assumptions will be outlined. </w:t>
      </w:r>
    </w:p>
    <w:p w:rsidR="00E7443D" w:rsidRDefault="00E7443D" w:rsidP="00E7443D">
      <w:pPr>
        <w:pStyle w:val="NormalIndent"/>
      </w:pPr>
      <w:r>
        <w:t xml:space="preserve">Assumptions regarding behavioural responses of the people affected by policies will be </w:t>
      </w:r>
      <w:proofErr w:type="gramStart"/>
      <w:r>
        <w:t>taken into account</w:t>
      </w:r>
      <w:proofErr w:type="gramEnd"/>
      <w:r>
        <w:t xml:space="preserve"> where it is normal practice to do so. Where there are significant behavioural effects, the assumptions used in the costing will be clearly identified in the publicly released costing report</w:t>
      </w:r>
      <w:r w:rsidR="009B3B8A">
        <w:t xml:space="preserve">. </w:t>
      </w:r>
    </w:p>
    <w:p w:rsidR="00E7443D" w:rsidRDefault="00E7443D" w:rsidP="00E7443D">
      <w:pPr>
        <w:pStyle w:val="NormalIndent"/>
      </w:pPr>
      <w:r>
        <w:t>Moreover, while costings will generally be the best assessment of the cost of a policy, in cases where assumptions are particularly uncertain, costings may be provided as a range of possible outcomes.</w:t>
      </w:r>
    </w:p>
    <w:p w:rsidR="00E7443D" w:rsidRPr="00C92338" w:rsidRDefault="00E7443D" w:rsidP="00E7443D">
      <w:pPr>
        <w:pStyle w:val="Heading1numbered"/>
        <w:tabs>
          <w:tab w:val="num" w:pos="709"/>
        </w:tabs>
        <w:ind w:left="709" w:hanging="709"/>
      </w:pPr>
      <w:bookmarkStart w:id="9" w:name="_Toc524425742"/>
      <w:r w:rsidRPr="002F214B">
        <w:t>Request process, detail and time required and security</w:t>
      </w:r>
      <w:bookmarkEnd w:id="9"/>
    </w:p>
    <w:p w:rsidR="00E7443D" w:rsidRDefault="00E7443D" w:rsidP="00E7443D">
      <w:pPr>
        <w:pStyle w:val="Heading2numbered"/>
        <w:numPr>
          <w:ilvl w:val="3"/>
          <w:numId w:val="8"/>
        </w:numPr>
      </w:pPr>
      <w:bookmarkStart w:id="10" w:name="_Toc524425743"/>
      <w:r>
        <w:t>Request process</w:t>
      </w:r>
      <w:bookmarkEnd w:id="10"/>
    </w:p>
    <w:p w:rsidR="00E7443D" w:rsidRDefault="00E7443D" w:rsidP="00E7443D">
      <w:pPr>
        <w:pStyle w:val="NormalIndent"/>
      </w:pPr>
      <w:r w:rsidRPr="00EB3763">
        <w:t>Requests for policy costings should be made to DTF via email to</w:t>
      </w:r>
      <w:r>
        <w:t xml:space="preserve"> costing.request@dtf.vic.gov.au.</w:t>
      </w:r>
    </w:p>
    <w:p w:rsidR="00E7443D" w:rsidRDefault="00E7443D" w:rsidP="00E7443D">
      <w:pPr>
        <w:pStyle w:val="Heading2numbered"/>
        <w:numPr>
          <w:ilvl w:val="3"/>
          <w:numId w:val="8"/>
        </w:numPr>
      </w:pPr>
      <w:bookmarkStart w:id="11" w:name="_Toc524425744"/>
      <w:r>
        <w:t>Detail</w:t>
      </w:r>
      <w:bookmarkEnd w:id="11"/>
    </w:p>
    <w:p w:rsidR="00E7443D" w:rsidRDefault="00E7443D" w:rsidP="00E7443D">
      <w:pPr>
        <w:pStyle w:val="NormalIndent"/>
      </w:pPr>
      <w:r>
        <w:t xml:space="preserve">The provision of fulsome information at the time of submitting the request to cost the policy will help to minimise unnecessary delays. </w:t>
      </w:r>
      <w:r w:rsidRPr="00EB3763">
        <w:rPr>
          <w:b/>
        </w:rPr>
        <w:t>Appendix B</w:t>
      </w:r>
      <w:r>
        <w:t xml:space="preserve"> provides a template outlining the type of information normally required for a timely policy costing to be prepared</w:t>
      </w:r>
      <w:r w:rsidR="009B3B8A">
        <w:t xml:space="preserve">. </w:t>
      </w:r>
    </w:p>
    <w:p w:rsidR="00E7443D" w:rsidRPr="00EB3763" w:rsidRDefault="00E7443D" w:rsidP="00E7443D">
      <w:pPr>
        <w:pStyle w:val="NormalIndent"/>
      </w:pPr>
      <w:r>
        <w:t>A request should fully outline the design features of the policy, including the intention of the policy</w:t>
      </w:r>
      <w:r w:rsidR="00830953">
        <w:t xml:space="preserve">. </w:t>
      </w:r>
      <w:r>
        <w:t>It will assist in the preparation of costings if detailed information is provided on the assumptions that parties may have used in making their own costing assessments</w:t>
      </w:r>
      <w:r w:rsidR="009B3B8A">
        <w:t xml:space="preserve">. </w:t>
      </w:r>
      <w:r>
        <w:t xml:space="preserve">However, DTF will still endeavour to undertake a costing even where the party has not provided its own costing assessments. It should be noted that material assumptions used by DTF in the costing will be made clear at the time of release of the costing. Where there is an inconsistency between the stated intention of the policy and its design features, the policy will be </w:t>
      </w:r>
      <w:proofErr w:type="spellStart"/>
      <w:r>
        <w:t>costed</w:t>
      </w:r>
      <w:proofErr w:type="spellEnd"/>
      <w:r>
        <w:t xml:space="preserve"> </w:t>
      </w:r>
      <w:proofErr w:type="gramStart"/>
      <w:r>
        <w:t>on the basis of</w:t>
      </w:r>
      <w:proofErr w:type="gramEnd"/>
      <w:r>
        <w:t xml:space="preserve"> its design features.</w:t>
      </w:r>
    </w:p>
    <w:p w:rsidR="00E7443D" w:rsidRDefault="00E7443D" w:rsidP="00E7443D">
      <w:pPr>
        <w:pStyle w:val="Heading2numbered"/>
        <w:numPr>
          <w:ilvl w:val="3"/>
          <w:numId w:val="8"/>
        </w:numPr>
      </w:pPr>
      <w:bookmarkStart w:id="12" w:name="_Toc524425745"/>
      <w:r>
        <w:lastRenderedPageBreak/>
        <w:t>Time required</w:t>
      </w:r>
      <w:bookmarkEnd w:id="12"/>
    </w:p>
    <w:p w:rsidR="00E7443D" w:rsidRDefault="00E7443D" w:rsidP="00E7443D">
      <w:pPr>
        <w:pStyle w:val="NormalIndent"/>
      </w:pPr>
      <w:r>
        <w:t>DTF will endeavour to complete a costing within five working days of having received a request. However, this may not be possible in the case of complex costing requests or where data is difficult to obtain.</w:t>
      </w:r>
    </w:p>
    <w:p w:rsidR="00E7443D" w:rsidRDefault="00E7443D" w:rsidP="00E7443D">
      <w:pPr>
        <w:pStyle w:val="NormalIndent"/>
      </w:pPr>
      <w:r>
        <w:t>If DTF considers that further information is required, it will request it in writing from the nominated party contact. DTF will endeavour to ask for any additional information it requires within two working days of it receiving the policy costing request. The further information should be forwarded to DTF in writing</w:t>
      </w:r>
      <w:r w:rsidR="009B3B8A">
        <w:t xml:space="preserve">. </w:t>
      </w:r>
    </w:p>
    <w:p w:rsidR="00E7443D" w:rsidRDefault="00E7443D" w:rsidP="00E7443D">
      <w:pPr>
        <w:pStyle w:val="NormalIndent"/>
      </w:pPr>
      <w:r>
        <w:t xml:space="preserve">Where additional information is required, the five working days will exclude the time taken to obtain the additional information. </w:t>
      </w:r>
    </w:p>
    <w:p w:rsidR="00E7443D" w:rsidRDefault="00E7443D" w:rsidP="00E7443D">
      <w:pPr>
        <w:pStyle w:val="NormalIndent"/>
      </w:pPr>
      <w:r>
        <w:t xml:space="preserve">DTF will release </w:t>
      </w:r>
      <w:r w:rsidR="00830953">
        <w:t>completed costings up until 5</w:t>
      </w:r>
      <w:r>
        <w:t>pm Thursday 22 November 2018. DTF will not release costings after this time.</w:t>
      </w:r>
    </w:p>
    <w:p w:rsidR="00E7443D" w:rsidRPr="00EB3763" w:rsidRDefault="00E7443D" w:rsidP="00E7443D">
      <w:pPr>
        <w:pStyle w:val="NormalIndent"/>
      </w:pPr>
      <w:r>
        <w:t xml:space="preserve">See </w:t>
      </w:r>
      <w:r>
        <w:rPr>
          <w:b/>
        </w:rPr>
        <w:t>Section 1.2</w:t>
      </w:r>
      <w:r>
        <w:t xml:space="preserve"> for a summary of process timing.</w:t>
      </w:r>
    </w:p>
    <w:p w:rsidR="00E7443D" w:rsidRDefault="00E7443D" w:rsidP="00E7443D">
      <w:pPr>
        <w:pStyle w:val="Heading2numbered"/>
        <w:numPr>
          <w:ilvl w:val="3"/>
          <w:numId w:val="8"/>
        </w:numPr>
      </w:pPr>
      <w:bookmarkStart w:id="13" w:name="_Toc524425746"/>
      <w:r>
        <w:t>Security</w:t>
      </w:r>
      <w:bookmarkEnd w:id="13"/>
    </w:p>
    <w:p w:rsidR="00E7443D" w:rsidRDefault="00E7443D" w:rsidP="00E7443D">
      <w:pPr>
        <w:pStyle w:val="NormalIndent"/>
      </w:pPr>
      <w:r>
        <w:t>Security and confidentiality arrangements will be consistent with those applied to budget preparation, and the Victorian Protective Data Security Standards (VPDSS).</w:t>
      </w:r>
    </w:p>
    <w:p w:rsidR="00E7443D" w:rsidRDefault="00E7443D" w:rsidP="00E7443D">
      <w:pPr>
        <w:pStyle w:val="NormalIndent"/>
      </w:pPr>
      <w:r>
        <w:t xml:space="preserve">DTF will disclose that it has received a policy costing request and its </w:t>
      </w:r>
      <w:proofErr w:type="gramStart"/>
      <w:r>
        <w:t>current status</w:t>
      </w:r>
      <w:proofErr w:type="gramEnd"/>
      <w:r>
        <w:t xml:space="preserve"> on the DTF website.</w:t>
      </w:r>
    </w:p>
    <w:p w:rsidR="00E7443D" w:rsidRPr="00C92338" w:rsidRDefault="00E7443D" w:rsidP="00E7443D">
      <w:pPr>
        <w:pStyle w:val="Heading1numbered"/>
        <w:ind w:left="0" w:firstLine="0"/>
      </w:pPr>
      <w:bookmarkStart w:id="14" w:name="_Toc524425747"/>
      <w:r w:rsidRPr="002F214B">
        <w:t>Constraints and public release</w:t>
      </w:r>
      <w:bookmarkEnd w:id="14"/>
    </w:p>
    <w:p w:rsidR="00E7443D" w:rsidRDefault="00E7443D" w:rsidP="00E7443D">
      <w:pPr>
        <w:pStyle w:val="Heading2numbered"/>
        <w:numPr>
          <w:ilvl w:val="3"/>
          <w:numId w:val="8"/>
        </w:numPr>
      </w:pPr>
      <w:bookmarkStart w:id="15" w:name="_Toc524425748"/>
      <w:r>
        <w:t>Constraints</w:t>
      </w:r>
      <w:bookmarkEnd w:id="15"/>
    </w:p>
    <w:p w:rsidR="00E7443D" w:rsidRDefault="00E7443D" w:rsidP="00E7443D">
      <w:pPr>
        <w:pStyle w:val="NormalIndent"/>
      </w:pPr>
      <w:r>
        <w:t>The policy costing guidelines require that policy costings be provided to the nominated party contact as soon as is practicable after a costing request has been made.</w:t>
      </w:r>
    </w:p>
    <w:p w:rsidR="00E7443D" w:rsidRDefault="00E7443D" w:rsidP="00E7443D">
      <w:pPr>
        <w:pStyle w:val="NormalIndent"/>
      </w:pPr>
      <w:r>
        <w:t>Where a policy costing is not possible, DTF will advise the nominated party contact to that effect</w:t>
      </w:r>
      <w:r w:rsidR="009B3B8A">
        <w:t xml:space="preserve">. </w:t>
      </w:r>
    </w:p>
    <w:p w:rsidR="00E7443D" w:rsidRDefault="00E7443D" w:rsidP="00E7443D">
      <w:pPr>
        <w:pStyle w:val="NormalIndent"/>
      </w:pPr>
      <w:r>
        <w:t xml:space="preserve">The non-release of a policy costing may be due to: </w:t>
      </w:r>
    </w:p>
    <w:p w:rsidR="00E7443D" w:rsidRDefault="00E7443D" w:rsidP="00E7443D">
      <w:pPr>
        <w:pStyle w:val="Bulletindent"/>
        <w:numPr>
          <w:ilvl w:val="2"/>
          <w:numId w:val="1"/>
        </w:numPr>
      </w:pPr>
      <w:r>
        <w:t>time constraints that prevent the policy being costed by 5</w:t>
      </w:r>
      <w:r w:rsidR="00830953">
        <w:t>pm Thursday 22 </w:t>
      </w:r>
      <w:r>
        <w:t xml:space="preserve">November 2018; </w:t>
      </w:r>
    </w:p>
    <w:p w:rsidR="00E7443D" w:rsidRDefault="00E7443D" w:rsidP="00E7443D">
      <w:pPr>
        <w:pStyle w:val="Bulletindent"/>
        <w:numPr>
          <w:ilvl w:val="2"/>
          <w:numId w:val="1"/>
        </w:numPr>
      </w:pPr>
      <w:r>
        <w:t xml:space="preserve">the provision of insufficient information about the policy to allow DTF to properly cost it; or </w:t>
      </w:r>
    </w:p>
    <w:p w:rsidR="00E7443D" w:rsidRDefault="00E7443D" w:rsidP="00E7443D">
      <w:pPr>
        <w:pStyle w:val="Bulletindent"/>
        <w:numPr>
          <w:ilvl w:val="2"/>
          <w:numId w:val="1"/>
        </w:numPr>
      </w:pPr>
      <w:r>
        <w:t>there being insufficient data available to reliably cost the policy.</w:t>
      </w:r>
    </w:p>
    <w:p w:rsidR="00E7443D" w:rsidRDefault="00E7443D" w:rsidP="00E7443D">
      <w:pPr>
        <w:pStyle w:val="Heading2numbered"/>
        <w:numPr>
          <w:ilvl w:val="3"/>
          <w:numId w:val="8"/>
        </w:numPr>
      </w:pPr>
      <w:bookmarkStart w:id="16" w:name="_Toc524425749"/>
      <w:r>
        <w:lastRenderedPageBreak/>
        <w:t>Public release</w:t>
      </w:r>
      <w:bookmarkEnd w:id="16"/>
    </w:p>
    <w:p w:rsidR="00E7443D" w:rsidRDefault="00830953" w:rsidP="00A56DD5">
      <w:pPr>
        <w:keepNext/>
        <w:spacing w:before="0" w:after="200"/>
        <w:ind w:left="720"/>
      </w:pPr>
      <w:r>
        <w:t>The D</w:t>
      </w:r>
      <w:r w:rsidR="00E7443D">
        <w:t>epartment’s arrangements for public release of a policy costing will be:</w:t>
      </w:r>
    </w:p>
    <w:p w:rsidR="00E7443D" w:rsidRPr="00745654" w:rsidRDefault="00E7443D" w:rsidP="00E7443D">
      <w:pPr>
        <w:pStyle w:val="Numparaindent"/>
      </w:pPr>
      <w:r w:rsidRPr="00745654">
        <w:t xml:space="preserve">DTF will advise the nominated party contact four business hours in advance of the publication of any costings. </w:t>
      </w:r>
    </w:p>
    <w:p w:rsidR="00E7443D" w:rsidRDefault="00E7443D" w:rsidP="00E7443D">
      <w:pPr>
        <w:pStyle w:val="Numparaindent"/>
      </w:pPr>
      <w:r>
        <w:t xml:space="preserve">The costing will be published on the DTF website </w:t>
      </w:r>
      <w:r w:rsidRPr="00827177">
        <w:t>www.dtf.vic.gov.au/2018-victorian-election-costings</w:t>
      </w:r>
      <w:r>
        <w:t xml:space="preserve">. </w:t>
      </w:r>
    </w:p>
    <w:p w:rsidR="00E7443D" w:rsidRDefault="00E7443D" w:rsidP="00E7443D">
      <w:pPr>
        <w:pStyle w:val="Numparaindent"/>
      </w:pPr>
      <w:r>
        <w:t>The costing methodology and the material assumptions used in costing the policy will be disclosed.</w:t>
      </w:r>
    </w:p>
    <w:p w:rsidR="00E7443D" w:rsidRDefault="00E7443D" w:rsidP="00A56DD5">
      <w:pPr>
        <w:pStyle w:val="NormalIndent"/>
      </w:pPr>
      <w:r>
        <w:t xml:space="preserve">Costings will not include policy advice or assessments of the economic impact of policies, but will include: </w:t>
      </w:r>
    </w:p>
    <w:p w:rsidR="00E7443D" w:rsidRDefault="00E7443D" w:rsidP="00E7443D">
      <w:pPr>
        <w:pStyle w:val="Bulletindent"/>
        <w:numPr>
          <w:ilvl w:val="2"/>
          <w:numId w:val="1"/>
        </w:numPr>
      </w:pPr>
      <w:r>
        <w:t>an outline of the specific costing methodology and assumptions used (including economic and any behavioural assumptions) in sufficient detail to allow an understanding of how the costing was determined; and</w:t>
      </w:r>
    </w:p>
    <w:p w:rsidR="00E7443D" w:rsidRDefault="00E7443D" w:rsidP="00E7443D">
      <w:pPr>
        <w:pStyle w:val="Bulletindent"/>
        <w:numPr>
          <w:ilvl w:val="2"/>
          <w:numId w:val="1"/>
        </w:numPr>
      </w:pPr>
      <w:r>
        <w:t>a table setting out the financial impact against the current financial year and forward estimates period (the following three financial years) or in terms</w:t>
      </w:r>
      <w:r w:rsidR="00830953">
        <w:t xml:space="preserve"> of total estimated investment</w:t>
      </w:r>
      <w:r>
        <w:t>.</w:t>
      </w:r>
    </w:p>
    <w:p w:rsidR="00E7443D" w:rsidRDefault="00E7443D" w:rsidP="00A56DD5">
      <w:pPr>
        <w:pStyle w:val="NormalIndent"/>
      </w:pPr>
      <w:r>
        <w:t xml:space="preserve">A sample of the form in which a policy costing will be publicly released is provided in </w:t>
      </w:r>
      <w:r w:rsidRPr="00895892">
        <w:rPr>
          <w:b/>
        </w:rPr>
        <w:t>Appendix C</w:t>
      </w:r>
      <w:r>
        <w:t>.</w:t>
      </w:r>
    </w:p>
    <w:p w:rsidR="00E7443D" w:rsidRPr="00C92338" w:rsidRDefault="00E7443D" w:rsidP="00E7443D">
      <w:pPr>
        <w:pStyle w:val="Heading1numbered"/>
        <w:ind w:left="0" w:firstLine="0"/>
      </w:pPr>
      <w:bookmarkStart w:id="17" w:name="_Toc524425750"/>
      <w:r>
        <w:t>Parliamentary Budget Office (PBO)</w:t>
      </w:r>
      <w:bookmarkEnd w:id="17"/>
    </w:p>
    <w:p w:rsidR="00E7443D" w:rsidRDefault="00E7443D" w:rsidP="00E7443D">
      <w:pPr>
        <w:pStyle w:val="Heading2numbered"/>
        <w:numPr>
          <w:ilvl w:val="3"/>
          <w:numId w:val="8"/>
        </w:numPr>
      </w:pPr>
      <w:bookmarkStart w:id="18" w:name="_Toc524425751"/>
      <w:r>
        <w:t>Establishment</w:t>
      </w:r>
      <w:bookmarkEnd w:id="18"/>
    </w:p>
    <w:p w:rsidR="00E7443D" w:rsidRPr="0075491D" w:rsidRDefault="00E7443D" w:rsidP="00A56DD5">
      <w:pPr>
        <w:pStyle w:val="NormalIndent"/>
      </w:pPr>
      <w:r>
        <w:t xml:space="preserve">The </w:t>
      </w:r>
      <w:r>
        <w:rPr>
          <w:i/>
        </w:rPr>
        <w:t xml:space="preserve">Parliamentary Budget Officer Act </w:t>
      </w:r>
      <w:r w:rsidRPr="00C10789">
        <w:rPr>
          <w:i/>
        </w:rPr>
        <w:t>2017</w:t>
      </w:r>
      <w:r>
        <w:t xml:space="preserve"> received Royal Assent on 27 June 2017, enabling the establishment of an independent Parliamentary Budget Office (PBO). </w:t>
      </w:r>
      <w:r w:rsidRPr="0075491D">
        <w:t>The</w:t>
      </w:r>
      <w:r>
        <w:t xml:space="preserve"> PBO has been established as a permanent standing body to provide policy costings and advice to Members of Parliament.</w:t>
      </w:r>
    </w:p>
    <w:p w:rsidR="00E7443D" w:rsidRDefault="00E7443D" w:rsidP="00E7443D">
      <w:pPr>
        <w:pStyle w:val="Heading2numbered"/>
        <w:numPr>
          <w:ilvl w:val="3"/>
          <w:numId w:val="8"/>
        </w:numPr>
      </w:pPr>
      <w:bookmarkStart w:id="19" w:name="_Toc524425752"/>
      <w:r>
        <w:t>Role</w:t>
      </w:r>
      <w:bookmarkEnd w:id="19"/>
    </w:p>
    <w:p w:rsidR="00E7443D" w:rsidRDefault="00E7443D" w:rsidP="00A56DD5">
      <w:pPr>
        <w:pStyle w:val="NormalIndent"/>
      </w:pPr>
      <w:r>
        <w:t>The caretaker conventions contain a section outlining the PBO’s role, as follows:</w:t>
      </w:r>
    </w:p>
    <w:p w:rsidR="00E7443D" w:rsidRDefault="00E7443D" w:rsidP="00E7443D">
      <w:pPr>
        <w:pStyle w:val="NormalIndentItalics"/>
      </w:pPr>
      <w:r>
        <w:rPr>
          <w:b/>
        </w:rPr>
        <w:t>2.69</w:t>
      </w:r>
      <w:r w:rsidRPr="00B37AFF">
        <w:tab/>
      </w:r>
      <w:r w:rsidRPr="0082614C">
        <w:t xml:space="preserve">The PBO is empowered to perform policy costings under the </w:t>
      </w:r>
      <w:r w:rsidRPr="00A56DD5">
        <w:rPr>
          <w:i w:val="0"/>
        </w:rPr>
        <w:t>Parliamentary Budget Officer Act 2017</w:t>
      </w:r>
      <w:r w:rsidRPr="0082614C">
        <w:t>. Once the PBO is operational, relevant parliamentary leaders may request the PBO to prepare a costing of an election policy. The relevant period within which requests of the PBO may be made is set out in Part 3 of that Act.</w:t>
      </w:r>
    </w:p>
    <w:p w:rsidR="00E7443D" w:rsidRDefault="00E7443D" w:rsidP="00E7443D">
      <w:pPr>
        <w:pStyle w:val="Heading2numbered"/>
        <w:numPr>
          <w:ilvl w:val="3"/>
          <w:numId w:val="8"/>
        </w:numPr>
      </w:pPr>
      <w:bookmarkStart w:id="20" w:name="_Toc524425753"/>
      <w:r>
        <w:lastRenderedPageBreak/>
        <w:t>Differences between PBO and DTF</w:t>
      </w:r>
      <w:bookmarkEnd w:id="20"/>
    </w:p>
    <w:p w:rsidR="00E7443D" w:rsidRDefault="00E7443D" w:rsidP="00A56DD5">
      <w:pPr>
        <w:pStyle w:val="NormalIndent"/>
        <w:keepNext/>
      </w:pPr>
      <w:r>
        <w:t>Government and non-government parties will still be able to seek costings of their election policies from DTF.</w:t>
      </w:r>
    </w:p>
    <w:p w:rsidR="00E7443D" w:rsidRDefault="00E7443D" w:rsidP="00E7443D">
      <w:pPr>
        <w:pStyle w:val="NormalIndent"/>
      </w:pPr>
      <w:r>
        <w:t>Upon completing an election policy costing, DTF will publish the costing and material assumptions used on its website. This is different from the approach of the PBO, which may only publicly disclose costings and advice at the request of a parliamentary leader who has commissioned the election policy costing.</w:t>
      </w:r>
    </w:p>
    <w:p w:rsidR="00A429CC" w:rsidRDefault="00A429CC">
      <w:pPr>
        <w:spacing w:before="0" w:after="200"/>
        <w:rPr>
          <w:rFonts w:asciiTheme="majorHAnsi" w:eastAsiaTheme="majorEastAsia" w:hAnsiTheme="majorHAnsi" w:cstheme="majorBidi"/>
          <w:b/>
          <w:bCs/>
          <w:color w:val="201547"/>
          <w:spacing w:val="-1"/>
          <w:sz w:val="36"/>
          <w:szCs w:val="28"/>
        </w:rPr>
      </w:pPr>
      <w:r>
        <w:br w:type="page"/>
      </w:r>
    </w:p>
    <w:p w:rsidR="00E7443D" w:rsidRPr="00C92338" w:rsidRDefault="00E7443D" w:rsidP="00A429CC">
      <w:pPr>
        <w:pStyle w:val="Heading1"/>
      </w:pPr>
      <w:bookmarkStart w:id="21" w:name="_Toc524425754"/>
      <w:r w:rsidRPr="00414BC4">
        <w:lastRenderedPageBreak/>
        <w:t>Appendix A: Standard policy costing conventions</w:t>
      </w:r>
      <w:bookmarkEnd w:id="21"/>
    </w:p>
    <w:p w:rsidR="00E7443D" w:rsidRDefault="00E7443D" w:rsidP="00A429CC">
      <w:r>
        <w:t>The following are standard conventions for the preparation of policy costings:</w:t>
      </w:r>
    </w:p>
    <w:p w:rsidR="00E7443D" w:rsidRDefault="00E7443D" w:rsidP="00A429CC">
      <w:pPr>
        <w:pStyle w:val="Bullet1"/>
      </w:pPr>
      <w:r>
        <w:t>Costings will be produced in a manner that is consistent with normal costing practice and are based on any effect on the State's financial statements.</w:t>
      </w:r>
    </w:p>
    <w:p w:rsidR="00E7443D" w:rsidRDefault="00E7443D" w:rsidP="00A429CC">
      <w:pPr>
        <w:pStyle w:val="Bullet1"/>
      </w:pPr>
      <w:r>
        <w:t>Costings will generally reflect the marginal change of undertaking the requested function or activity (in accordance with the costing request) and will include consideration of whether the request relates to:</w:t>
      </w:r>
    </w:p>
    <w:p w:rsidR="00E7443D" w:rsidRDefault="00E7443D" w:rsidP="00A429CC">
      <w:pPr>
        <w:pStyle w:val="Bullet2"/>
      </w:pPr>
      <w:r>
        <w:t>a new function or activity of government;</w:t>
      </w:r>
    </w:p>
    <w:p w:rsidR="00E7443D" w:rsidRDefault="00E7443D" w:rsidP="00A429CC">
      <w:pPr>
        <w:pStyle w:val="Bullet2"/>
      </w:pPr>
      <w:r>
        <w:t>cessation of an existing function or activity of government; and</w:t>
      </w:r>
    </w:p>
    <w:p w:rsidR="00E7443D" w:rsidRDefault="00E7443D" w:rsidP="00A429CC">
      <w:pPr>
        <w:pStyle w:val="Bullet2"/>
      </w:pPr>
      <w:r>
        <w:t>a change to, or extension of, an existing function or activity of government.</w:t>
      </w:r>
    </w:p>
    <w:p w:rsidR="00E7443D" w:rsidRDefault="00E7443D" w:rsidP="00A429CC">
      <w:pPr>
        <w:pStyle w:val="Bullet1"/>
      </w:pPr>
      <w:r>
        <w:t>Costings will be provided on an annual basis for the Budget and Forward Estimates period, or in the case of an asset investment, in terms of total estimated investment (TEI). For the 2018 election, the budget and forward estimates period is 2018-19 to 2021-22.</w:t>
      </w:r>
    </w:p>
    <w:p w:rsidR="00E7443D" w:rsidRDefault="00E7443D" w:rsidP="00A429CC">
      <w:pPr>
        <w:pStyle w:val="Bullet1"/>
      </w:pPr>
      <w:r>
        <w:t>Full-year, part-year and one-off effects will be distinguished.</w:t>
      </w:r>
    </w:p>
    <w:p w:rsidR="00E7443D" w:rsidRDefault="00E7443D" w:rsidP="00A429CC">
      <w:pPr>
        <w:pStyle w:val="Bullet1"/>
      </w:pPr>
      <w:r>
        <w:t>Costings are generally to the best point estimates; however, costing ranges will be provided if they are considered appropriate.</w:t>
      </w:r>
    </w:p>
    <w:p w:rsidR="00E7443D" w:rsidRPr="0079596D" w:rsidRDefault="00E7443D" w:rsidP="00A429CC">
      <w:pPr>
        <w:pStyle w:val="Bullet1"/>
      </w:pPr>
      <w:r w:rsidRPr="0079596D">
        <w:t>Where relevant, the revenue, expense and asset components of a policy costing will be identified separately.</w:t>
      </w:r>
    </w:p>
    <w:p w:rsidR="00E7443D" w:rsidRDefault="00E7443D" w:rsidP="00A429CC">
      <w:pPr>
        <w:pStyle w:val="Bullet1"/>
      </w:pPr>
      <w:r>
        <w:t>Assumptions in the costing request will be reviewed for reasonableness in terms of cost, potential demand and the implementation period.</w:t>
      </w:r>
    </w:p>
    <w:p w:rsidR="00E7443D" w:rsidRPr="00817945" w:rsidRDefault="00E7443D" w:rsidP="00A429CC">
      <w:pPr>
        <w:pStyle w:val="Bullet1"/>
      </w:pPr>
      <w:r w:rsidRPr="00817945">
        <w:t>Assumptions used in costings will be based on the best professional judgement of DTF.</w:t>
      </w:r>
    </w:p>
    <w:p w:rsidR="00E7443D" w:rsidRDefault="00E7443D" w:rsidP="00A429CC">
      <w:pPr>
        <w:pStyle w:val="Bullet1"/>
      </w:pPr>
      <w:r w:rsidRPr="00817945">
        <w:t>Assumptions used for one policy costing will generally be used again to cost similar policies for consistency.</w:t>
      </w:r>
    </w:p>
    <w:p w:rsidR="00E7443D" w:rsidRPr="00817945" w:rsidRDefault="00E7443D" w:rsidP="00A429CC">
      <w:pPr>
        <w:pStyle w:val="Bullet1"/>
      </w:pPr>
      <w:r>
        <w:t>Costings provided will reflect the net cost of a policy proposal.</w:t>
      </w:r>
    </w:p>
    <w:p w:rsidR="00A429CC" w:rsidRDefault="00A429CC">
      <w:pPr>
        <w:spacing w:before="0" w:after="200"/>
        <w:rPr>
          <w:rFonts w:asciiTheme="majorHAnsi" w:eastAsiaTheme="majorEastAsia" w:hAnsiTheme="majorHAnsi" w:cstheme="majorBidi"/>
          <w:b/>
          <w:bCs/>
          <w:color w:val="201547"/>
          <w:spacing w:val="-1"/>
          <w:sz w:val="36"/>
          <w:szCs w:val="28"/>
        </w:rPr>
      </w:pPr>
      <w:r>
        <w:br w:type="page"/>
      </w:r>
    </w:p>
    <w:p w:rsidR="00E7443D" w:rsidRPr="00C92338" w:rsidRDefault="00E7443D" w:rsidP="00A429CC">
      <w:pPr>
        <w:pStyle w:val="Heading1"/>
      </w:pPr>
      <w:bookmarkStart w:id="22" w:name="_Toc524425755"/>
      <w:r w:rsidRPr="002F214B">
        <w:lastRenderedPageBreak/>
        <w:t xml:space="preserve">Appendix B: </w:t>
      </w:r>
      <w:r>
        <w:t>Sample request template</w:t>
      </w:r>
      <w:bookmarkEnd w:id="22"/>
    </w:p>
    <w:p w:rsidR="00E7443D" w:rsidRDefault="00E7443D" w:rsidP="00A429CC">
      <w:pPr>
        <w:rPr>
          <w:b/>
          <w:color w:val="0063A6" w:themeColor="accent1"/>
        </w:rPr>
      </w:pPr>
      <w:r w:rsidRPr="00A429CC">
        <w:rPr>
          <w:b/>
          <w:color w:val="0063A6" w:themeColor="accent1"/>
        </w:rPr>
        <w:t>The following template outlines the type of information required from a political party in a request to DTF for costing an election policy</w:t>
      </w:r>
      <w:r w:rsidR="009233F0" w:rsidRPr="00A429CC">
        <w:rPr>
          <w:b/>
          <w:color w:val="0063A6" w:themeColor="accent1"/>
        </w:rPr>
        <w:t>.</w:t>
      </w:r>
    </w:p>
    <w:p w:rsidR="00A429CC" w:rsidRPr="00A429CC" w:rsidRDefault="00A429CC" w:rsidP="00A429CC">
      <w:pPr>
        <w:pStyle w:val="Spacer"/>
      </w:pPr>
    </w:p>
    <w:tbl>
      <w:tblPr>
        <w:tblStyle w:val="DTFtexttable"/>
        <w:tblW w:w="9134" w:type="dxa"/>
        <w:tblLook w:val="0620" w:firstRow="1" w:lastRow="0" w:firstColumn="0" w:lastColumn="0" w:noHBand="1" w:noVBand="1"/>
      </w:tblPr>
      <w:tblGrid>
        <w:gridCol w:w="4567"/>
        <w:gridCol w:w="4567"/>
      </w:tblGrid>
      <w:tr w:rsidR="00E7443D" w:rsidRPr="00975AF1" w:rsidTr="009233F0">
        <w:trPr>
          <w:cnfStyle w:val="100000000000" w:firstRow="1" w:lastRow="0" w:firstColumn="0" w:lastColumn="0" w:oddVBand="0" w:evenVBand="0" w:oddHBand="0" w:evenHBand="0" w:firstRowFirstColumn="0" w:firstRowLastColumn="0" w:lastRowFirstColumn="0" w:lastRowLastColumn="0"/>
        </w:trPr>
        <w:tc>
          <w:tcPr>
            <w:tcW w:w="9134" w:type="dxa"/>
            <w:gridSpan w:val="2"/>
          </w:tcPr>
          <w:p w:rsidR="00E7443D" w:rsidRPr="00975AF1" w:rsidRDefault="00E7443D" w:rsidP="009B3B8A">
            <w:pPr>
              <w:rPr>
                <w:rFonts w:asciiTheme="majorHAnsi" w:hAnsiTheme="majorHAnsi" w:cstheme="majorHAnsi"/>
              </w:rPr>
            </w:pPr>
            <w:r w:rsidRPr="00975AF1">
              <w:rPr>
                <w:rFonts w:asciiTheme="majorHAnsi" w:hAnsiTheme="majorHAnsi" w:cstheme="majorHAnsi"/>
              </w:rPr>
              <w:t>Name of policy:</w:t>
            </w:r>
          </w:p>
        </w:tc>
      </w:tr>
      <w:tr w:rsidR="00E7443D" w:rsidRPr="00975AF1" w:rsidTr="009233F0">
        <w:tc>
          <w:tcPr>
            <w:tcW w:w="4567"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Party requesting costing (and nominated party contact/s details):</w:t>
            </w:r>
          </w:p>
        </w:tc>
        <w:tc>
          <w:tcPr>
            <w:tcW w:w="4567" w:type="dxa"/>
          </w:tcPr>
          <w:p w:rsidR="00E7443D" w:rsidRPr="00975AF1" w:rsidRDefault="00E7443D" w:rsidP="009B3B8A">
            <w:pPr>
              <w:rPr>
                <w:rFonts w:asciiTheme="majorHAnsi" w:hAnsiTheme="majorHAnsi" w:cstheme="majorHAnsi"/>
              </w:rPr>
            </w:pPr>
          </w:p>
        </w:tc>
      </w:tr>
      <w:tr w:rsidR="00E7443D" w:rsidRPr="00975AF1" w:rsidTr="009233F0">
        <w:tc>
          <w:tcPr>
            <w:tcW w:w="4567"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Date of public release of policy (including source of party statement/media release):</w:t>
            </w:r>
          </w:p>
        </w:tc>
        <w:tc>
          <w:tcPr>
            <w:tcW w:w="4567" w:type="dxa"/>
          </w:tcPr>
          <w:p w:rsidR="00E7443D" w:rsidRPr="00975AF1" w:rsidRDefault="00E7443D" w:rsidP="009B3B8A">
            <w:pPr>
              <w:rPr>
                <w:rFonts w:asciiTheme="majorHAnsi" w:hAnsiTheme="majorHAnsi" w:cstheme="majorHAnsi"/>
              </w:rPr>
            </w:pPr>
          </w:p>
        </w:tc>
      </w:tr>
      <w:tr w:rsidR="00E7443D" w:rsidRPr="00975AF1" w:rsidTr="009233F0">
        <w:tc>
          <w:tcPr>
            <w:tcW w:w="4567"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Summary of policy</w:t>
            </w:r>
            <w:r>
              <w:rPr>
                <w:rFonts w:asciiTheme="majorHAnsi" w:hAnsiTheme="majorHAnsi" w:cstheme="majorHAnsi"/>
              </w:rPr>
              <w:t xml:space="preserve"> (please attach copies of relevant policy documents)</w:t>
            </w:r>
            <w:r w:rsidRPr="00975AF1">
              <w:rPr>
                <w:rFonts w:asciiTheme="majorHAnsi" w:hAnsiTheme="majorHAnsi" w:cstheme="majorHAnsi"/>
              </w:rPr>
              <w:t>:</w:t>
            </w:r>
          </w:p>
        </w:tc>
        <w:tc>
          <w:tcPr>
            <w:tcW w:w="4567" w:type="dxa"/>
          </w:tcPr>
          <w:p w:rsidR="00E7443D" w:rsidRPr="00975AF1" w:rsidRDefault="00E7443D" w:rsidP="009B3B8A">
            <w:pPr>
              <w:rPr>
                <w:rFonts w:asciiTheme="majorHAnsi" w:hAnsiTheme="majorHAnsi" w:cstheme="majorHAnsi"/>
              </w:rPr>
            </w:pPr>
          </w:p>
        </w:tc>
      </w:tr>
      <w:tr w:rsidR="00E7443D" w:rsidRPr="00975AF1" w:rsidTr="009233F0">
        <w:tc>
          <w:tcPr>
            <w:tcW w:w="4567"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Intention of policy:</w:t>
            </w:r>
          </w:p>
        </w:tc>
        <w:tc>
          <w:tcPr>
            <w:tcW w:w="4567" w:type="dxa"/>
          </w:tcPr>
          <w:p w:rsidR="00E7443D" w:rsidRPr="00975AF1" w:rsidRDefault="00E7443D" w:rsidP="009B3B8A">
            <w:pPr>
              <w:rPr>
                <w:rFonts w:asciiTheme="majorHAnsi" w:hAnsiTheme="majorHAnsi" w:cstheme="majorHAnsi"/>
              </w:rPr>
            </w:pPr>
          </w:p>
        </w:tc>
      </w:tr>
      <w:tr w:rsidR="00E7443D" w:rsidRPr="00975AF1" w:rsidTr="009233F0">
        <w:tc>
          <w:tcPr>
            <w:tcW w:w="9134" w:type="dxa"/>
            <w:gridSpan w:val="2"/>
            <w:shd w:val="clear" w:color="auto" w:fill="0063A6" w:themeFill="accent1"/>
          </w:tcPr>
          <w:p w:rsidR="00E7443D" w:rsidRPr="00975AF1" w:rsidRDefault="00E7443D" w:rsidP="009233F0">
            <w:pPr>
              <w:pStyle w:val="Tableheader"/>
            </w:pPr>
            <w:r w:rsidRPr="00975AF1">
              <w:t xml:space="preserve">Description </w:t>
            </w:r>
            <w:r>
              <w:t xml:space="preserve">and scope </w:t>
            </w:r>
            <w:r w:rsidRPr="00975AF1">
              <w:t>of policy</w:t>
            </w:r>
            <w:r>
              <w:t xml:space="preserve"> – please outline the basis/data sources of all assumptions informing the inputs provided:</w:t>
            </w:r>
          </w:p>
        </w:tc>
      </w:tr>
      <w:tr w:rsidR="00E7443D" w:rsidRPr="00975AF1" w:rsidTr="009233F0">
        <w:tc>
          <w:tcPr>
            <w:tcW w:w="4567" w:type="dxa"/>
          </w:tcPr>
          <w:p w:rsidR="00E7443D" w:rsidRPr="00E5298E" w:rsidRDefault="00E7443D" w:rsidP="00BA1E36">
            <w:pPr>
              <w:rPr>
                <w:rFonts w:asciiTheme="majorHAnsi" w:hAnsiTheme="majorHAnsi" w:cstheme="majorHAnsi"/>
              </w:rPr>
            </w:pPr>
            <w:r>
              <w:rPr>
                <w:rFonts w:asciiTheme="majorHAnsi" w:hAnsiTheme="majorHAnsi" w:cstheme="majorHAnsi"/>
              </w:rPr>
              <w:t>What is the scope of th</w:t>
            </w:r>
            <w:r w:rsidR="00BA1E36">
              <w:rPr>
                <w:rFonts w:asciiTheme="majorHAnsi" w:hAnsiTheme="majorHAnsi" w:cstheme="majorHAnsi"/>
              </w:rPr>
              <w:t xml:space="preserve">e initiative? </w:t>
            </w:r>
          </w:p>
        </w:tc>
        <w:tc>
          <w:tcPr>
            <w:tcW w:w="4567" w:type="dxa"/>
          </w:tcPr>
          <w:p w:rsidR="00E7443D" w:rsidRDefault="00E7443D"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Pr>
                <w:rFonts w:asciiTheme="majorHAnsi" w:hAnsiTheme="majorHAnsi" w:cstheme="majorHAnsi"/>
              </w:rPr>
              <w:t>List any key assumptions (for example, timing of implementation, start/completion date, if a policy is ongoing, expected demand etc)</w:t>
            </w:r>
          </w:p>
        </w:tc>
        <w:tc>
          <w:tcPr>
            <w:tcW w:w="4567" w:type="dxa"/>
          </w:tcPr>
          <w:p w:rsidR="00BA1E36" w:rsidRDefault="00BA1E36"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Pr>
                <w:rFonts w:asciiTheme="majorHAnsi" w:hAnsiTheme="majorHAnsi" w:cstheme="majorHAnsi"/>
              </w:rPr>
              <w:t>What are the expected administrative costs?</w:t>
            </w:r>
          </w:p>
        </w:tc>
        <w:tc>
          <w:tcPr>
            <w:tcW w:w="4567" w:type="dxa"/>
          </w:tcPr>
          <w:p w:rsidR="00BA1E36" w:rsidRDefault="00BA1E36"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sidRPr="00975AF1">
              <w:rPr>
                <w:rFonts w:asciiTheme="majorHAnsi" w:hAnsiTheme="majorHAnsi" w:cstheme="majorHAnsi"/>
              </w:rPr>
              <w:t>Specif</w:t>
            </w:r>
            <w:r>
              <w:rPr>
                <w:rFonts w:asciiTheme="majorHAnsi" w:hAnsiTheme="majorHAnsi" w:cstheme="majorHAnsi"/>
              </w:rPr>
              <w:t>y any asset</w:t>
            </w:r>
            <w:r w:rsidRPr="00975AF1">
              <w:rPr>
                <w:rFonts w:asciiTheme="majorHAnsi" w:hAnsiTheme="majorHAnsi" w:cstheme="majorHAnsi"/>
              </w:rPr>
              <w:t xml:space="preserve"> and output</w:t>
            </w:r>
            <w:r>
              <w:rPr>
                <w:rFonts w:asciiTheme="majorHAnsi" w:hAnsiTheme="majorHAnsi" w:cstheme="majorHAnsi"/>
              </w:rPr>
              <w:t xml:space="preserve"> components</w:t>
            </w:r>
            <w:r w:rsidRPr="00975AF1">
              <w:rPr>
                <w:rFonts w:asciiTheme="majorHAnsi" w:hAnsiTheme="majorHAnsi" w:cstheme="majorHAnsi"/>
              </w:rPr>
              <w:t xml:space="preserve"> required</w:t>
            </w:r>
            <w:r>
              <w:rPr>
                <w:rFonts w:asciiTheme="majorHAnsi" w:hAnsiTheme="majorHAnsi" w:cstheme="majorHAnsi"/>
              </w:rPr>
              <w:t>.</w:t>
            </w:r>
          </w:p>
        </w:tc>
        <w:tc>
          <w:tcPr>
            <w:tcW w:w="4567" w:type="dxa"/>
          </w:tcPr>
          <w:p w:rsidR="00BA1E36" w:rsidRDefault="00BA1E36"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Pr>
                <w:rFonts w:asciiTheme="majorHAnsi" w:hAnsiTheme="majorHAnsi" w:cstheme="majorHAnsi"/>
              </w:rPr>
              <w:t>Outline the estimated f</w:t>
            </w:r>
            <w:r w:rsidRPr="00975AF1">
              <w:rPr>
                <w:rFonts w:asciiTheme="majorHAnsi" w:hAnsiTheme="majorHAnsi" w:cstheme="majorHAnsi"/>
              </w:rPr>
              <w:t xml:space="preserve">inancial impact of the policy </w:t>
            </w:r>
            <w:r>
              <w:rPr>
                <w:rFonts w:asciiTheme="majorHAnsi" w:hAnsiTheme="majorHAnsi" w:cstheme="majorHAnsi"/>
              </w:rPr>
              <w:t xml:space="preserve">if known </w:t>
            </w:r>
            <w:r w:rsidRPr="00975AF1">
              <w:rPr>
                <w:rFonts w:asciiTheme="majorHAnsi" w:hAnsiTheme="majorHAnsi" w:cstheme="majorHAnsi"/>
              </w:rPr>
              <w:t>(cost impacts by year and/or total estimated investment (TEI) for asset initiatives)</w:t>
            </w:r>
            <w:r>
              <w:rPr>
                <w:rFonts w:asciiTheme="majorHAnsi" w:hAnsiTheme="majorHAnsi" w:cstheme="majorHAnsi"/>
              </w:rPr>
              <w:t xml:space="preserve"> over the budget year and forward estimates (2018-19 to 2021-22)</w:t>
            </w:r>
            <w:r w:rsidRPr="00975AF1">
              <w:rPr>
                <w:rFonts w:asciiTheme="majorHAnsi" w:hAnsiTheme="majorHAnsi" w:cstheme="majorHAnsi"/>
              </w:rPr>
              <w:t>.</w:t>
            </w:r>
          </w:p>
        </w:tc>
        <w:tc>
          <w:tcPr>
            <w:tcW w:w="4567" w:type="dxa"/>
          </w:tcPr>
          <w:p w:rsidR="00BA1E36" w:rsidRDefault="00BA1E36"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Pr>
                <w:rFonts w:asciiTheme="majorHAnsi" w:hAnsiTheme="majorHAnsi" w:cstheme="majorHAnsi"/>
              </w:rPr>
              <w:t>Will other parties external to the Victorian Government (e.g. the Commonwealth) contribute to funding this policy?</w:t>
            </w:r>
          </w:p>
        </w:tc>
        <w:tc>
          <w:tcPr>
            <w:tcW w:w="4567" w:type="dxa"/>
          </w:tcPr>
          <w:p w:rsidR="00BA1E36" w:rsidRDefault="00BA1E36" w:rsidP="009B3B8A">
            <w:pPr>
              <w:ind w:left="227"/>
              <w:rPr>
                <w:rFonts w:asciiTheme="majorHAnsi" w:hAnsiTheme="majorHAnsi" w:cstheme="majorHAnsi"/>
              </w:rPr>
            </w:pPr>
          </w:p>
        </w:tc>
      </w:tr>
      <w:tr w:rsidR="00BA1E36" w:rsidRPr="00975AF1" w:rsidTr="009233F0">
        <w:tc>
          <w:tcPr>
            <w:tcW w:w="4567" w:type="dxa"/>
          </w:tcPr>
          <w:p w:rsidR="00BA1E36" w:rsidRDefault="00BA1E36" w:rsidP="009B3B8A">
            <w:pPr>
              <w:rPr>
                <w:rFonts w:asciiTheme="majorHAnsi" w:hAnsiTheme="majorHAnsi" w:cstheme="majorHAnsi"/>
              </w:rPr>
            </w:pPr>
            <w:r>
              <w:rPr>
                <w:rFonts w:asciiTheme="majorHAnsi" w:hAnsiTheme="majorHAnsi" w:cstheme="majorHAnsi"/>
              </w:rPr>
              <w:t>Are there any associated savings, revenue impacts or offsets to fund the proposal?</w:t>
            </w:r>
          </w:p>
        </w:tc>
        <w:tc>
          <w:tcPr>
            <w:tcW w:w="4567" w:type="dxa"/>
          </w:tcPr>
          <w:p w:rsidR="00BA1E36" w:rsidRDefault="00BA1E36" w:rsidP="009B3B8A">
            <w:pPr>
              <w:ind w:left="227"/>
              <w:rPr>
                <w:rFonts w:asciiTheme="majorHAnsi" w:hAnsiTheme="majorHAnsi" w:cstheme="majorHAnsi"/>
              </w:rPr>
            </w:pPr>
          </w:p>
        </w:tc>
      </w:tr>
    </w:tbl>
    <w:p w:rsidR="00BA1E36" w:rsidRDefault="00BA1E36" w:rsidP="00BA1E36">
      <w:pPr>
        <w:pStyle w:val="Spacer"/>
      </w:pPr>
    </w:p>
    <w:p w:rsidR="00E7443D" w:rsidRDefault="00E7443D" w:rsidP="00A429CC">
      <w:pPr>
        <w:pStyle w:val="Heading1"/>
      </w:pPr>
      <w:r>
        <w:br w:type="page"/>
      </w:r>
      <w:bookmarkStart w:id="23" w:name="_Toc524425756"/>
      <w:r w:rsidRPr="002F214B">
        <w:lastRenderedPageBreak/>
        <w:t xml:space="preserve">Appendix C: Sample </w:t>
      </w:r>
      <w:r>
        <w:t xml:space="preserve">costing </w:t>
      </w:r>
      <w:r w:rsidRPr="002F214B">
        <w:t>release</w:t>
      </w:r>
      <w:r>
        <w:t xml:space="preserve"> template</w:t>
      </w:r>
      <w:bookmarkEnd w:id="23"/>
    </w:p>
    <w:p w:rsidR="00E7443D" w:rsidRPr="00975AF1" w:rsidRDefault="00E7443D" w:rsidP="00A429CC">
      <w:pPr>
        <w:pStyle w:val="Heading2"/>
      </w:pPr>
      <w:bookmarkStart w:id="24" w:name="_Toc524425757"/>
      <w:r w:rsidRPr="00975AF1">
        <w:t>Type of information to normally be included in the public release of an election policy costing</w:t>
      </w:r>
      <w:bookmarkEnd w:id="24"/>
    </w:p>
    <w:tbl>
      <w:tblPr>
        <w:tblStyle w:val="DTFtexttable"/>
        <w:tblW w:w="9134" w:type="dxa"/>
        <w:tblLook w:val="0280" w:firstRow="0" w:lastRow="0" w:firstColumn="1" w:lastColumn="0" w:noHBand="1" w:noVBand="0"/>
      </w:tblPr>
      <w:tblGrid>
        <w:gridCol w:w="4325"/>
        <w:gridCol w:w="4809"/>
      </w:tblGrid>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Party making the request: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Name of policy: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Description of policy:</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Date of public release of policy: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Date of receipt of request:</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519"/>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Additional information requested (including date):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519"/>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Additional information received (including date):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r w:rsidR="00E7443D" w:rsidRPr="00975AF1" w:rsidTr="00F375D4">
        <w:trPr>
          <w:trHeight w:val="1833"/>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Costing methodology used: </w:t>
            </w:r>
          </w:p>
          <w:p w:rsidR="00E7443D" w:rsidRPr="00975AF1" w:rsidRDefault="00E7443D" w:rsidP="00F375D4">
            <w:pPr>
              <w:pStyle w:val="Tablebullet"/>
            </w:pPr>
            <w:r w:rsidRPr="00975AF1">
              <w:t>scope of initiative;</w:t>
            </w:r>
          </w:p>
          <w:p w:rsidR="00E7443D" w:rsidRPr="00975AF1" w:rsidRDefault="00E7443D" w:rsidP="00F375D4">
            <w:pPr>
              <w:pStyle w:val="Tablebullet"/>
            </w:pPr>
            <w:r w:rsidRPr="00975AF1">
              <w:t xml:space="preserve">costing techniques; </w:t>
            </w:r>
          </w:p>
          <w:p w:rsidR="00E7443D" w:rsidRPr="00975AF1" w:rsidRDefault="00E7443D" w:rsidP="00F375D4">
            <w:pPr>
              <w:pStyle w:val="Tablebullet"/>
            </w:pPr>
            <w:r w:rsidRPr="00975AF1">
              <w:t xml:space="preserve">policy parameters; </w:t>
            </w:r>
          </w:p>
          <w:p w:rsidR="00E7443D" w:rsidRPr="00975AF1" w:rsidRDefault="00E7443D" w:rsidP="00F375D4">
            <w:pPr>
              <w:pStyle w:val="Tablebullet"/>
            </w:pPr>
            <w:r w:rsidRPr="00975AF1">
              <w:t xml:space="preserve">statistical data used; and </w:t>
            </w:r>
          </w:p>
          <w:p w:rsidR="00E7443D" w:rsidRPr="00975AF1" w:rsidRDefault="00E7443D" w:rsidP="00F375D4">
            <w:pPr>
              <w:pStyle w:val="Tablebullet"/>
            </w:pPr>
            <w:r w:rsidRPr="00975AF1">
              <w:t xml:space="preserve">behavioural assumptions used (as appropriate). </w:t>
            </w:r>
          </w:p>
        </w:tc>
        <w:tc>
          <w:tcPr>
            <w:cnfStyle w:val="000010000000" w:firstRow="0" w:lastRow="0" w:firstColumn="0" w:lastColumn="0" w:oddVBand="1" w:evenVBand="0" w:oddHBand="0" w:evenHBand="0" w:firstRowFirstColumn="0" w:firstRowLastColumn="0" w:lastRowFirstColumn="0" w:lastRowLastColumn="0"/>
            <w:tcW w:w="4728" w:type="dxa"/>
          </w:tcPr>
          <w:p w:rsidR="00E7443D" w:rsidRPr="00975AF1" w:rsidRDefault="00E7443D" w:rsidP="009B3B8A">
            <w:pPr>
              <w:rPr>
                <w:rFonts w:asciiTheme="majorHAnsi" w:hAnsiTheme="majorHAnsi" w:cstheme="majorHAnsi"/>
              </w:rPr>
            </w:pPr>
          </w:p>
        </w:tc>
      </w:tr>
    </w:tbl>
    <w:p w:rsidR="00F375D4" w:rsidRDefault="00F375D4" w:rsidP="00A429CC">
      <w:pPr>
        <w:pStyle w:val="Spacer"/>
      </w:pPr>
      <w:bookmarkStart w:id="25" w:name="_Toc274050442"/>
    </w:p>
    <w:p w:rsidR="00F375D4" w:rsidRDefault="00F375D4" w:rsidP="00F375D4">
      <w:r>
        <w:t>The cost of the proposed</w:t>
      </w:r>
      <w:r w:rsidRPr="00D7057E">
        <w:t xml:space="preserve"> output initiative </w:t>
      </w:r>
      <w:r>
        <w:t xml:space="preserve">for the </w:t>
      </w:r>
      <w:r w:rsidRPr="00F375D4">
        <w:rPr>
          <w:b/>
        </w:rPr>
        <w:t>budget and</w:t>
      </w:r>
      <w:r>
        <w:t xml:space="preserve"> </w:t>
      </w:r>
      <w:r w:rsidRPr="00006FFB">
        <w:rPr>
          <w:b/>
        </w:rPr>
        <w:t>forward estimates period</w:t>
      </w:r>
      <w:r>
        <w:rPr>
          <w:b/>
        </w:rPr>
        <w:t xml:space="preserve"> </w:t>
      </w:r>
      <w:r w:rsidRPr="00AE53C4">
        <w:t>is set out below</w:t>
      </w:r>
      <w:r w:rsidRPr="00D7057E">
        <w:t>:</w:t>
      </w:r>
    </w:p>
    <w:p w:rsidR="00F375D4" w:rsidRPr="001020D7" w:rsidRDefault="00F375D4" w:rsidP="00F375D4">
      <w:pPr>
        <w:pStyle w:val="Tableunits"/>
      </w:pPr>
      <w:r w:rsidRPr="001020D7">
        <w:t>($ million)</w:t>
      </w:r>
    </w:p>
    <w:tbl>
      <w:tblPr>
        <w:tblStyle w:val="DTFfinancialtable"/>
        <w:tblW w:w="9146" w:type="dxa"/>
        <w:tblLayout w:type="fixed"/>
        <w:tblLook w:val="00A0" w:firstRow="1" w:lastRow="0" w:firstColumn="1" w:lastColumn="0" w:noHBand="0" w:noVBand="0"/>
      </w:tblPr>
      <w:tblGrid>
        <w:gridCol w:w="3100"/>
        <w:gridCol w:w="1129"/>
        <w:gridCol w:w="1129"/>
        <w:gridCol w:w="1129"/>
        <w:gridCol w:w="1129"/>
        <w:gridCol w:w="1530"/>
      </w:tblGrid>
      <w:tr w:rsidR="00F375D4" w:rsidRPr="00006FFB" w:rsidTr="00F375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00" w:type="dxa"/>
          </w:tcPr>
          <w:p w:rsidR="00F375D4" w:rsidRPr="00006FFB" w:rsidRDefault="00F375D4" w:rsidP="00FA453E">
            <w:pPr>
              <w:pStyle w:val="Tableheader"/>
            </w:pPr>
          </w:p>
        </w:tc>
        <w:tc>
          <w:tcPr>
            <w:cnfStyle w:val="000010000000" w:firstRow="0" w:lastRow="0" w:firstColumn="0" w:lastColumn="0" w:oddVBand="1" w:evenVBand="0" w:oddHBand="0" w:evenHBand="0" w:firstRowFirstColumn="0" w:firstRowLastColumn="0" w:lastRowFirstColumn="0" w:lastRowLastColumn="0"/>
            <w:tcW w:w="1129" w:type="dxa"/>
          </w:tcPr>
          <w:p w:rsidR="00F375D4" w:rsidRPr="00F375D4" w:rsidRDefault="00F375D4" w:rsidP="00F375D4">
            <w:pPr>
              <w:rPr>
                <w:rFonts w:asciiTheme="majorHAnsi" w:hAnsiTheme="majorHAnsi" w:cstheme="majorHAnsi"/>
                <w:b/>
              </w:rPr>
            </w:pPr>
            <w:r w:rsidRPr="00F375D4">
              <w:rPr>
                <w:rFonts w:asciiTheme="majorHAnsi" w:hAnsiTheme="majorHAnsi" w:cstheme="majorHAnsi"/>
                <w:b/>
              </w:rPr>
              <w:t>2018-19</w:t>
            </w:r>
          </w:p>
        </w:tc>
        <w:tc>
          <w:tcPr>
            <w:cnfStyle w:val="000001000000" w:firstRow="0" w:lastRow="0" w:firstColumn="0" w:lastColumn="0" w:oddVBand="0" w:evenVBand="1" w:oddHBand="0" w:evenHBand="0" w:firstRowFirstColumn="0" w:firstRowLastColumn="0" w:lastRowFirstColumn="0" w:lastRowLastColumn="0"/>
            <w:tcW w:w="1129" w:type="dxa"/>
          </w:tcPr>
          <w:p w:rsidR="00F375D4" w:rsidRPr="00F375D4" w:rsidRDefault="00F375D4" w:rsidP="00F375D4">
            <w:pPr>
              <w:rPr>
                <w:rFonts w:asciiTheme="majorHAnsi" w:hAnsiTheme="majorHAnsi" w:cstheme="majorHAnsi"/>
                <w:b/>
              </w:rPr>
            </w:pPr>
            <w:r w:rsidRPr="00F375D4">
              <w:rPr>
                <w:rFonts w:asciiTheme="majorHAnsi" w:hAnsiTheme="majorHAnsi" w:cstheme="majorHAnsi"/>
                <w:b/>
              </w:rPr>
              <w:t>2019-20</w:t>
            </w:r>
          </w:p>
        </w:tc>
        <w:tc>
          <w:tcPr>
            <w:cnfStyle w:val="000010000000" w:firstRow="0" w:lastRow="0" w:firstColumn="0" w:lastColumn="0" w:oddVBand="1" w:evenVBand="0" w:oddHBand="0" w:evenHBand="0" w:firstRowFirstColumn="0" w:firstRowLastColumn="0" w:lastRowFirstColumn="0" w:lastRowLastColumn="0"/>
            <w:tcW w:w="1129" w:type="dxa"/>
          </w:tcPr>
          <w:p w:rsidR="00F375D4" w:rsidRPr="00F375D4" w:rsidRDefault="00F375D4" w:rsidP="00F375D4">
            <w:pPr>
              <w:rPr>
                <w:rFonts w:asciiTheme="majorHAnsi" w:hAnsiTheme="majorHAnsi" w:cstheme="majorHAnsi"/>
                <w:b/>
              </w:rPr>
            </w:pPr>
            <w:r w:rsidRPr="00F375D4">
              <w:rPr>
                <w:rFonts w:asciiTheme="majorHAnsi" w:hAnsiTheme="majorHAnsi" w:cstheme="majorHAnsi"/>
                <w:b/>
              </w:rPr>
              <w:t>2020-21</w:t>
            </w:r>
          </w:p>
        </w:tc>
        <w:tc>
          <w:tcPr>
            <w:cnfStyle w:val="000001000000" w:firstRow="0" w:lastRow="0" w:firstColumn="0" w:lastColumn="0" w:oddVBand="0" w:evenVBand="1" w:oddHBand="0" w:evenHBand="0" w:firstRowFirstColumn="0" w:firstRowLastColumn="0" w:lastRowFirstColumn="0" w:lastRowLastColumn="0"/>
            <w:tcW w:w="1129" w:type="dxa"/>
          </w:tcPr>
          <w:p w:rsidR="00F375D4" w:rsidRPr="00F375D4" w:rsidRDefault="00F375D4" w:rsidP="00F375D4">
            <w:pPr>
              <w:rPr>
                <w:rFonts w:asciiTheme="majorHAnsi" w:hAnsiTheme="majorHAnsi" w:cstheme="majorHAnsi"/>
                <w:b/>
              </w:rPr>
            </w:pPr>
            <w:r w:rsidRPr="00F375D4">
              <w:rPr>
                <w:rFonts w:asciiTheme="majorHAnsi" w:hAnsiTheme="majorHAnsi" w:cstheme="majorHAnsi"/>
                <w:b/>
              </w:rPr>
              <w:t>2021-22</w:t>
            </w:r>
          </w:p>
        </w:tc>
        <w:tc>
          <w:tcPr>
            <w:cnfStyle w:val="000010000000" w:firstRow="0" w:lastRow="0" w:firstColumn="0" w:lastColumn="0" w:oddVBand="1" w:evenVBand="0" w:oddHBand="0" w:evenHBand="0" w:firstRowFirstColumn="0" w:firstRowLastColumn="0" w:lastRowFirstColumn="0" w:lastRowLastColumn="0"/>
            <w:tcW w:w="1530" w:type="dxa"/>
          </w:tcPr>
          <w:p w:rsidR="00F375D4" w:rsidRPr="00F375D4" w:rsidRDefault="00F375D4" w:rsidP="00F375D4">
            <w:pPr>
              <w:rPr>
                <w:rFonts w:asciiTheme="majorHAnsi" w:hAnsiTheme="majorHAnsi" w:cstheme="majorHAnsi"/>
                <w:b/>
              </w:rPr>
            </w:pPr>
            <w:r w:rsidRPr="00F375D4">
              <w:rPr>
                <w:rFonts w:asciiTheme="majorHAnsi" w:hAnsiTheme="majorHAnsi" w:cstheme="majorHAnsi"/>
                <w:b/>
              </w:rPr>
              <w:t>Four-year total (2018-19 to 202</w:t>
            </w:r>
            <w:r>
              <w:rPr>
                <w:rFonts w:asciiTheme="majorHAnsi" w:hAnsiTheme="majorHAnsi" w:cstheme="majorHAnsi"/>
                <w:b/>
              </w:rPr>
              <w:t>1</w:t>
            </w:r>
            <w:r>
              <w:rPr>
                <w:rFonts w:asciiTheme="majorHAnsi" w:hAnsiTheme="majorHAnsi" w:cstheme="majorHAnsi"/>
                <w:b/>
              </w:rPr>
              <w:noBreakHyphen/>
            </w:r>
            <w:r w:rsidRPr="00F375D4">
              <w:rPr>
                <w:rFonts w:asciiTheme="majorHAnsi" w:hAnsiTheme="majorHAnsi" w:cstheme="majorHAnsi"/>
                <w:b/>
              </w:rPr>
              <w:t>22)</w:t>
            </w:r>
          </w:p>
        </w:tc>
      </w:tr>
      <w:tr w:rsidR="00F375D4" w:rsidRPr="00006FFB" w:rsidTr="00F375D4">
        <w:tc>
          <w:tcPr>
            <w:cnfStyle w:val="001000000000" w:firstRow="0" w:lastRow="0" w:firstColumn="1" w:lastColumn="0" w:oddVBand="0" w:evenVBand="0" w:oddHBand="0" w:evenHBand="0" w:firstRowFirstColumn="0" w:firstRowLastColumn="0" w:lastRowFirstColumn="0" w:lastRowLastColumn="0"/>
            <w:tcW w:w="3100" w:type="dxa"/>
          </w:tcPr>
          <w:p w:rsidR="00F375D4" w:rsidRPr="00006FFB" w:rsidRDefault="00F375D4" w:rsidP="00FA453E">
            <w:pPr>
              <w:pStyle w:val="Tabletext"/>
            </w:pPr>
            <w:r w:rsidRPr="00006FFB">
              <w:t xml:space="preserve">DTF costing of </w:t>
            </w:r>
            <w:r w:rsidRPr="00397CCB">
              <w:t>output</w:t>
            </w:r>
            <w:r w:rsidRPr="00006FFB">
              <w:t xml:space="preserve"> initiative</w:t>
            </w:r>
          </w:p>
        </w:tc>
        <w:tc>
          <w:tcPr>
            <w:cnfStyle w:val="000010000000" w:firstRow="0" w:lastRow="0" w:firstColumn="0" w:lastColumn="0" w:oddVBand="1" w:evenVBand="0" w:oddHBand="0" w:evenHBand="0" w:firstRowFirstColumn="0" w:firstRowLastColumn="0" w:lastRowFirstColumn="0" w:lastRowLastColumn="0"/>
            <w:tcW w:w="1129" w:type="dxa"/>
          </w:tcPr>
          <w:p w:rsidR="00F375D4" w:rsidRPr="00006FFB" w:rsidRDefault="00F375D4" w:rsidP="00FA453E">
            <w:pPr>
              <w:pStyle w:val="Tabletextright"/>
            </w:pPr>
          </w:p>
        </w:tc>
        <w:tc>
          <w:tcPr>
            <w:cnfStyle w:val="000001000000" w:firstRow="0" w:lastRow="0" w:firstColumn="0" w:lastColumn="0" w:oddVBand="0" w:evenVBand="1" w:oddHBand="0" w:evenHBand="0" w:firstRowFirstColumn="0" w:firstRowLastColumn="0" w:lastRowFirstColumn="0" w:lastRowLastColumn="0"/>
            <w:tcW w:w="1129" w:type="dxa"/>
          </w:tcPr>
          <w:p w:rsidR="00F375D4" w:rsidRPr="00006FFB" w:rsidRDefault="00F375D4" w:rsidP="00FA453E">
            <w:pPr>
              <w:pStyle w:val="Tabletextright"/>
            </w:pPr>
          </w:p>
        </w:tc>
        <w:tc>
          <w:tcPr>
            <w:cnfStyle w:val="000010000000" w:firstRow="0" w:lastRow="0" w:firstColumn="0" w:lastColumn="0" w:oddVBand="1" w:evenVBand="0" w:oddHBand="0" w:evenHBand="0" w:firstRowFirstColumn="0" w:firstRowLastColumn="0" w:lastRowFirstColumn="0" w:lastRowLastColumn="0"/>
            <w:tcW w:w="1129" w:type="dxa"/>
          </w:tcPr>
          <w:p w:rsidR="00F375D4" w:rsidRPr="00006FFB" w:rsidRDefault="00F375D4" w:rsidP="00FA453E">
            <w:pPr>
              <w:pStyle w:val="Tabletextright"/>
            </w:pPr>
          </w:p>
        </w:tc>
        <w:tc>
          <w:tcPr>
            <w:cnfStyle w:val="000001000000" w:firstRow="0" w:lastRow="0" w:firstColumn="0" w:lastColumn="0" w:oddVBand="0" w:evenVBand="1" w:oddHBand="0" w:evenHBand="0" w:firstRowFirstColumn="0" w:firstRowLastColumn="0" w:lastRowFirstColumn="0" w:lastRowLastColumn="0"/>
            <w:tcW w:w="1129" w:type="dxa"/>
          </w:tcPr>
          <w:p w:rsidR="00F375D4" w:rsidRPr="00397CCB" w:rsidRDefault="00F375D4" w:rsidP="00FA453E">
            <w:pPr>
              <w:pStyle w:val="Tabletextright"/>
            </w:pPr>
          </w:p>
        </w:tc>
        <w:tc>
          <w:tcPr>
            <w:cnfStyle w:val="000010000000" w:firstRow="0" w:lastRow="0" w:firstColumn="0" w:lastColumn="0" w:oddVBand="1" w:evenVBand="0" w:oddHBand="0" w:evenHBand="0" w:firstRowFirstColumn="0" w:firstRowLastColumn="0" w:lastRowFirstColumn="0" w:lastRowLastColumn="0"/>
            <w:tcW w:w="1530" w:type="dxa"/>
          </w:tcPr>
          <w:p w:rsidR="00F375D4" w:rsidRPr="00006FFB" w:rsidRDefault="00F375D4" w:rsidP="00FA453E">
            <w:pPr>
              <w:pStyle w:val="Tabletextright"/>
            </w:pPr>
          </w:p>
        </w:tc>
      </w:tr>
    </w:tbl>
    <w:p w:rsidR="00F375D4" w:rsidRPr="00975AF1" w:rsidRDefault="00F375D4" w:rsidP="00F375D4">
      <w:pPr>
        <w:pStyle w:val="Spacer"/>
      </w:pPr>
    </w:p>
    <w:p w:rsidR="00E7443D" w:rsidRPr="00387A60" w:rsidRDefault="00E7443D" w:rsidP="00F375D4">
      <w:r w:rsidRPr="00387A60">
        <w:t xml:space="preserve">Note – where a four-year costing estimate that includes 2022-23 is requested, DTF will provide a costing figure for 2022-23 where possible. Where a 2022-23 costing is possible, the table above will remain unchanged and the costing will be addressed using the following text: </w:t>
      </w:r>
    </w:p>
    <w:p w:rsidR="00E7443D" w:rsidRPr="00387A60" w:rsidRDefault="00E7443D" w:rsidP="00F375D4">
      <w:pPr>
        <w:pStyle w:val="NormalIndent"/>
      </w:pPr>
      <w:r w:rsidRPr="00387A60">
        <w:t>The [</w:t>
      </w:r>
      <w:proofErr w:type="spellStart"/>
      <w:r w:rsidRPr="00387A60">
        <w:t>xxxx</w:t>
      </w:r>
      <w:proofErr w:type="spellEnd"/>
      <w:r w:rsidRPr="00387A60">
        <w:t xml:space="preserve"> Party] has included an estimate for 2022-23 of $x million. DTF has undertaken a costing of this figure and considers $y million to be a reasonable estimate for 2022-23 and notes that this would bring the total estimated cost of the proposal to $ z million over five years.</w:t>
      </w:r>
    </w:p>
    <w:p w:rsidR="00E7443D" w:rsidRPr="00387A60" w:rsidRDefault="00E7443D" w:rsidP="00F375D4">
      <w:pPr>
        <w:keepNext/>
      </w:pPr>
      <w:r w:rsidRPr="00387A60">
        <w:lastRenderedPageBreak/>
        <w:t>Where a 2022-23 costing is not possible, the following text will be included:</w:t>
      </w:r>
    </w:p>
    <w:p w:rsidR="00E7443D" w:rsidRPr="00387A60" w:rsidRDefault="00E7443D" w:rsidP="00F375D4">
      <w:pPr>
        <w:pStyle w:val="NormalIndent"/>
      </w:pPr>
      <w:r w:rsidRPr="00387A60">
        <w:t>The [</w:t>
      </w:r>
      <w:proofErr w:type="spellStart"/>
      <w:r w:rsidRPr="00387A60">
        <w:t>xxxx</w:t>
      </w:r>
      <w:proofErr w:type="spellEnd"/>
      <w:r w:rsidRPr="00387A60">
        <w:t xml:space="preserve"> Party] has </w:t>
      </w:r>
      <w:r>
        <w:t>i</w:t>
      </w:r>
      <w:r w:rsidRPr="00387A60">
        <w:t>ncluded an estimate for 2022-23 of $x million, however, it has not been possible to undertake a costing of this estimate.</w:t>
      </w:r>
    </w:p>
    <w:p w:rsidR="00E7443D" w:rsidRDefault="00E7443D" w:rsidP="00F375D4">
      <w:r w:rsidRPr="006E5CD6">
        <w:t xml:space="preserve">When costing an asset initiative, the outcome will be shown as follows: </w:t>
      </w:r>
    </w:p>
    <w:p w:rsidR="00E7443D" w:rsidRPr="00D7057E" w:rsidRDefault="00E7443D" w:rsidP="00F375D4">
      <w:r>
        <w:t>The cost of the proposed</w:t>
      </w:r>
      <w:r w:rsidRPr="00D7057E">
        <w:t xml:space="preserve"> </w:t>
      </w:r>
      <w:r>
        <w:t>asset</w:t>
      </w:r>
      <w:r w:rsidRPr="00D7057E">
        <w:t xml:space="preserve"> initiative </w:t>
      </w:r>
      <w:r w:rsidRPr="00AE53C4">
        <w:t>is set out below</w:t>
      </w:r>
      <w:r w:rsidRPr="00D7057E">
        <w:t>:</w:t>
      </w:r>
    </w:p>
    <w:tbl>
      <w:tblPr>
        <w:tblStyle w:val="DTFtexttable"/>
        <w:tblW w:w="5179" w:type="dxa"/>
        <w:tblLayout w:type="fixed"/>
        <w:tblLook w:val="02A0" w:firstRow="1" w:lastRow="0" w:firstColumn="1" w:lastColumn="0" w:noHBand="1" w:noVBand="0"/>
      </w:tblPr>
      <w:tblGrid>
        <w:gridCol w:w="3927"/>
        <w:gridCol w:w="1252"/>
      </w:tblGrid>
      <w:tr w:rsidR="00E7443D" w:rsidRPr="00975AF1" w:rsidTr="00A429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27" w:type="dxa"/>
            <w:tcBorders>
              <w:bottom w:val="single" w:sz="6" w:space="0" w:color="0063A6" w:themeColor="accent1"/>
            </w:tcBorders>
          </w:tcPr>
          <w:p w:rsidR="00E7443D" w:rsidRPr="00975AF1" w:rsidRDefault="00E7443D" w:rsidP="009B3B8A">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252" w:type="dxa"/>
            <w:tcBorders>
              <w:bottom w:val="single" w:sz="6" w:space="0" w:color="0063A6" w:themeColor="accent1"/>
            </w:tcBorders>
          </w:tcPr>
          <w:p w:rsidR="00E7443D" w:rsidRPr="00F375D4" w:rsidRDefault="00E7443D" w:rsidP="00F375D4">
            <w:pPr>
              <w:jc w:val="right"/>
              <w:rPr>
                <w:rFonts w:asciiTheme="majorHAnsi" w:hAnsiTheme="majorHAnsi" w:cstheme="majorHAnsi"/>
              </w:rPr>
            </w:pPr>
            <w:r w:rsidRPr="00F375D4">
              <w:rPr>
                <w:rFonts w:asciiTheme="majorHAnsi" w:hAnsiTheme="majorHAnsi" w:cstheme="majorHAnsi"/>
              </w:rPr>
              <w:t>TEI</w:t>
            </w:r>
          </w:p>
        </w:tc>
      </w:tr>
      <w:tr w:rsidR="00E7443D" w:rsidRPr="00975AF1" w:rsidTr="00A429CC">
        <w:tc>
          <w:tcPr>
            <w:cnfStyle w:val="001000000000" w:firstRow="0" w:lastRow="0" w:firstColumn="1" w:lastColumn="0" w:oddVBand="0" w:evenVBand="0" w:oddHBand="0" w:evenHBand="0" w:firstRowFirstColumn="0" w:firstRowLastColumn="0" w:lastRowFirstColumn="0" w:lastRowLastColumn="0"/>
            <w:tcW w:w="3927" w:type="dxa"/>
            <w:tcBorders>
              <w:bottom w:val="single" w:sz="12" w:space="0" w:color="0063A6" w:themeColor="accent1"/>
            </w:tcBorders>
          </w:tcPr>
          <w:p w:rsidR="00E7443D" w:rsidRPr="00975AF1" w:rsidRDefault="00E7443D" w:rsidP="00F375D4">
            <w:r w:rsidRPr="00975AF1">
              <w:t>DTF costing of asset initiative</w:t>
            </w:r>
          </w:p>
        </w:tc>
        <w:tc>
          <w:tcPr>
            <w:cnfStyle w:val="000010000000" w:firstRow="0" w:lastRow="0" w:firstColumn="0" w:lastColumn="0" w:oddVBand="1" w:evenVBand="0" w:oddHBand="0" w:evenHBand="0" w:firstRowFirstColumn="0" w:firstRowLastColumn="0" w:lastRowFirstColumn="0" w:lastRowLastColumn="0"/>
            <w:tcW w:w="1252" w:type="dxa"/>
            <w:tcBorders>
              <w:bottom w:val="single" w:sz="12" w:space="0" w:color="0063A6" w:themeColor="accent1"/>
            </w:tcBorders>
          </w:tcPr>
          <w:p w:rsidR="00E7443D" w:rsidRPr="00975AF1" w:rsidRDefault="00E7443D" w:rsidP="00F375D4">
            <w:pPr>
              <w:jc w:val="right"/>
              <w:rPr>
                <w:rFonts w:asciiTheme="majorHAnsi" w:hAnsiTheme="majorHAnsi" w:cstheme="majorHAnsi"/>
              </w:rPr>
            </w:pPr>
          </w:p>
        </w:tc>
      </w:tr>
    </w:tbl>
    <w:p w:rsidR="00E7443D" w:rsidRPr="00975AF1" w:rsidRDefault="00E7443D" w:rsidP="00E7443D">
      <w:pPr>
        <w:spacing w:before="0" w:after="0"/>
        <w:rPr>
          <w:rFonts w:asciiTheme="majorHAnsi" w:hAnsiTheme="majorHAnsi" w:cstheme="majorHAnsi"/>
          <w:color w:val="000000"/>
        </w:rPr>
      </w:pPr>
    </w:p>
    <w:p w:rsidR="00E7443D" w:rsidRPr="00774C66" w:rsidRDefault="00E7443D" w:rsidP="00F375D4">
      <w:r w:rsidRPr="00774C66">
        <w:rPr>
          <w:color w:val="000000"/>
        </w:rPr>
        <w:t xml:space="preserve">Where a party submits a final aggregated package of </w:t>
      </w:r>
      <w:r w:rsidRPr="00774C66">
        <w:rPr>
          <w:color w:val="000000"/>
          <w:u w:val="single"/>
        </w:rPr>
        <w:t>all</w:t>
      </w:r>
      <w:r w:rsidRPr="00774C66">
        <w:rPr>
          <w:color w:val="000000"/>
        </w:rPr>
        <w:t xml:space="preserve"> election commitments and funding sources to DTF for costing, </w:t>
      </w:r>
      <w:r w:rsidRPr="00774C66">
        <w:t xml:space="preserve">DTF will comment on the </w:t>
      </w:r>
      <w:r>
        <w:t xml:space="preserve">net financial </w:t>
      </w:r>
      <w:r w:rsidRPr="00774C66">
        <w:t xml:space="preserve">impact of the overall policy package on the operating </w:t>
      </w:r>
      <w:r>
        <w:t>result (net result from transactions)</w:t>
      </w:r>
      <w:r w:rsidRPr="00774C66">
        <w:t xml:space="preserve"> and net debt.</w:t>
      </w:r>
    </w:p>
    <w:p w:rsidR="00E7443D" w:rsidRPr="005C7873" w:rsidRDefault="00E7443D" w:rsidP="00F375D4">
      <w:r w:rsidRPr="005C7873">
        <w:t>Where DTF completes a costing of a policy package, any surplus and</w:t>
      </w:r>
      <w:r>
        <w:t xml:space="preserve"> net</w:t>
      </w:r>
      <w:r w:rsidRPr="005C7873">
        <w:t xml:space="preserve"> debt impacts may be addressed using the following table:</w:t>
      </w:r>
    </w:p>
    <w:tbl>
      <w:tblPr>
        <w:tblStyle w:val="DTFfinancialtable"/>
        <w:tblW w:w="9090" w:type="dxa"/>
        <w:tblLayout w:type="fixed"/>
        <w:tblLook w:val="02A0" w:firstRow="1" w:lastRow="0" w:firstColumn="1" w:lastColumn="0" w:noHBand="1" w:noVBand="0"/>
      </w:tblPr>
      <w:tblGrid>
        <w:gridCol w:w="4140"/>
        <w:gridCol w:w="1237"/>
        <w:gridCol w:w="1238"/>
        <w:gridCol w:w="1237"/>
        <w:gridCol w:w="1238"/>
      </w:tblGrid>
      <w:tr w:rsidR="00E7443D" w:rsidRPr="00975AF1" w:rsidTr="00F375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0" w:type="dxa"/>
          </w:tcPr>
          <w:p w:rsidR="00E7443D" w:rsidRPr="00975AF1" w:rsidRDefault="00E7443D" w:rsidP="00F375D4">
            <w:pPr>
              <w:pStyle w:val="Tableheader"/>
            </w:pPr>
          </w:p>
        </w:tc>
        <w:tc>
          <w:tcPr>
            <w:cnfStyle w:val="000010000000" w:firstRow="0" w:lastRow="0" w:firstColumn="0" w:lastColumn="0" w:oddVBand="1" w:evenVBand="0" w:oddHBand="0" w:evenHBand="0" w:firstRowFirstColumn="0" w:firstRowLastColumn="0" w:lastRowFirstColumn="0" w:lastRowLastColumn="0"/>
            <w:tcW w:w="1237" w:type="dxa"/>
          </w:tcPr>
          <w:p w:rsidR="00E7443D" w:rsidRPr="00F375D4" w:rsidRDefault="00E7443D" w:rsidP="00F375D4">
            <w:pPr>
              <w:pStyle w:val="Tableheader"/>
              <w:rPr>
                <w:b/>
              </w:rPr>
            </w:pPr>
            <w:r w:rsidRPr="00F375D4">
              <w:rPr>
                <w:b/>
              </w:rPr>
              <w:t>2018-19</w:t>
            </w:r>
          </w:p>
        </w:tc>
        <w:tc>
          <w:tcPr>
            <w:cnfStyle w:val="000001000000" w:firstRow="0" w:lastRow="0" w:firstColumn="0" w:lastColumn="0" w:oddVBand="0" w:evenVBand="1" w:oddHBand="0" w:evenHBand="0" w:firstRowFirstColumn="0" w:firstRowLastColumn="0" w:lastRowFirstColumn="0" w:lastRowLastColumn="0"/>
            <w:tcW w:w="1238" w:type="dxa"/>
          </w:tcPr>
          <w:p w:rsidR="00E7443D" w:rsidRPr="00F375D4" w:rsidRDefault="00E7443D" w:rsidP="00F375D4">
            <w:pPr>
              <w:pStyle w:val="Tableheader"/>
              <w:rPr>
                <w:b/>
              </w:rPr>
            </w:pPr>
            <w:r w:rsidRPr="00F375D4">
              <w:rPr>
                <w:b/>
              </w:rPr>
              <w:t>2019-20</w:t>
            </w:r>
          </w:p>
        </w:tc>
        <w:tc>
          <w:tcPr>
            <w:cnfStyle w:val="000010000000" w:firstRow="0" w:lastRow="0" w:firstColumn="0" w:lastColumn="0" w:oddVBand="1" w:evenVBand="0" w:oddHBand="0" w:evenHBand="0" w:firstRowFirstColumn="0" w:firstRowLastColumn="0" w:lastRowFirstColumn="0" w:lastRowLastColumn="0"/>
            <w:tcW w:w="1237" w:type="dxa"/>
          </w:tcPr>
          <w:p w:rsidR="00E7443D" w:rsidRPr="00F375D4" w:rsidRDefault="00E7443D" w:rsidP="00F375D4">
            <w:pPr>
              <w:pStyle w:val="Tableheader"/>
              <w:rPr>
                <w:b/>
              </w:rPr>
            </w:pPr>
            <w:r w:rsidRPr="00F375D4">
              <w:rPr>
                <w:b/>
              </w:rPr>
              <w:t>2020-21</w:t>
            </w:r>
          </w:p>
        </w:tc>
        <w:tc>
          <w:tcPr>
            <w:cnfStyle w:val="000001000000" w:firstRow="0" w:lastRow="0" w:firstColumn="0" w:lastColumn="0" w:oddVBand="0" w:evenVBand="1" w:oddHBand="0" w:evenHBand="0" w:firstRowFirstColumn="0" w:firstRowLastColumn="0" w:lastRowFirstColumn="0" w:lastRowLastColumn="0"/>
            <w:tcW w:w="1238" w:type="dxa"/>
          </w:tcPr>
          <w:p w:rsidR="00E7443D" w:rsidRPr="00F375D4" w:rsidRDefault="00E7443D" w:rsidP="00F375D4">
            <w:pPr>
              <w:pStyle w:val="Tableheader"/>
              <w:rPr>
                <w:b/>
              </w:rPr>
            </w:pPr>
            <w:r w:rsidRPr="00F375D4">
              <w:rPr>
                <w:b/>
              </w:rPr>
              <w:t>2021-22</w:t>
            </w:r>
          </w:p>
        </w:tc>
      </w:tr>
      <w:tr w:rsidR="00E7443D" w:rsidRPr="00975AF1" w:rsidTr="00F375D4">
        <w:tc>
          <w:tcPr>
            <w:cnfStyle w:val="001000000000" w:firstRow="0" w:lastRow="0" w:firstColumn="1" w:lastColumn="0" w:oddVBand="0" w:evenVBand="0" w:oddHBand="0" w:evenHBand="0" w:firstRowFirstColumn="0" w:firstRowLastColumn="0" w:lastRowFirstColumn="0" w:lastRowLastColumn="0"/>
            <w:tcW w:w="4140"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Aggregate increase/decrease in net result from transactions for the general government sector</w:t>
            </w:r>
          </w:p>
        </w:tc>
        <w:tc>
          <w:tcPr>
            <w:cnfStyle w:val="000010000000" w:firstRow="0" w:lastRow="0" w:firstColumn="0" w:lastColumn="0" w:oddVBand="1" w:evenVBand="0" w:oddHBand="0" w:evenHBand="0" w:firstRowFirstColumn="0" w:firstRowLastColumn="0" w:lastRowFirstColumn="0" w:lastRowLastColumn="0"/>
            <w:tcW w:w="1237" w:type="dxa"/>
          </w:tcPr>
          <w:p w:rsidR="00E7443D" w:rsidRPr="00975AF1" w:rsidRDefault="00E7443D" w:rsidP="009B3B8A">
            <w:pPr>
              <w:rPr>
                <w:rFonts w:asciiTheme="majorHAnsi" w:hAnsiTheme="majorHAnsi" w:cstheme="majorHAnsi"/>
              </w:rPr>
            </w:pPr>
          </w:p>
        </w:tc>
        <w:tc>
          <w:tcPr>
            <w:cnfStyle w:val="000001000000" w:firstRow="0" w:lastRow="0" w:firstColumn="0" w:lastColumn="0" w:oddVBand="0" w:evenVBand="1" w:oddHBand="0" w:evenHBand="0" w:firstRowFirstColumn="0" w:firstRowLastColumn="0" w:lastRowFirstColumn="0" w:lastRowLastColumn="0"/>
            <w:tcW w:w="1238" w:type="dxa"/>
          </w:tcPr>
          <w:p w:rsidR="00E7443D" w:rsidRPr="00975AF1" w:rsidRDefault="00E7443D" w:rsidP="009B3B8A">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237" w:type="dxa"/>
          </w:tcPr>
          <w:p w:rsidR="00E7443D" w:rsidRPr="00975AF1" w:rsidRDefault="00E7443D" w:rsidP="009B3B8A">
            <w:pPr>
              <w:rPr>
                <w:rFonts w:asciiTheme="majorHAnsi" w:hAnsiTheme="majorHAnsi" w:cstheme="majorHAnsi"/>
              </w:rPr>
            </w:pPr>
          </w:p>
        </w:tc>
        <w:tc>
          <w:tcPr>
            <w:cnfStyle w:val="000001000000" w:firstRow="0" w:lastRow="0" w:firstColumn="0" w:lastColumn="0" w:oddVBand="0" w:evenVBand="1" w:oddHBand="0" w:evenHBand="0" w:firstRowFirstColumn="0" w:firstRowLastColumn="0" w:lastRowFirstColumn="0" w:lastRowLastColumn="0"/>
            <w:tcW w:w="1238" w:type="dxa"/>
          </w:tcPr>
          <w:p w:rsidR="00E7443D" w:rsidRPr="00975AF1" w:rsidRDefault="00E7443D" w:rsidP="009B3B8A">
            <w:pPr>
              <w:rPr>
                <w:rFonts w:asciiTheme="majorHAnsi" w:hAnsiTheme="majorHAnsi" w:cstheme="majorHAnsi"/>
              </w:rPr>
            </w:pPr>
          </w:p>
        </w:tc>
      </w:tr>
      <w:tr w:rsidR="00E7443D" w:rsidRPr="00975AF1" w:rsidTr="00F375D4">
        <w:tc>
          <w:tcPr>
            <w:cnfStyle w:val="001000000000" w:firstRow="0" w:lastRow="0" w:firstColumn="1" w:lastColumn="0" w:oddVBand="0" w:evenVBand="0" w:oddHBand="0" w:evenHBand="0" w:firstRowFirstColumn="0" w:firstRowLastColumn="0" w:lastRowFirstColumn="0" w:lastRowLastColumn="0"/>
            <w:tcW w:w="4140"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Aggregate increase/decrease in net debt for the general government sector</w:t>
            </w:r>
          </w:p>
        </w:tc>
        <w:tc>
          <w:tcPr>
            <w:cnfStyle w:val="000010000000" w:firstRow="0" w:lastRow="0" w:firstColumn="0" w:lastColumn="0" w:oddVBand="1" w:evenVBand="0" w:oddHBand="0" w:evenHBand="0" w:firstRowFirstColumn="0" w:firstRowLastColumn="0" w:lastRowFirstColumn="0" w:lastRowLastColumn="0"/>
            <w:tcW w:w="1237" w:type="dxa"/>
          </w:tcPr>
          <w:p w:rsidR="00E7443D" w:rsidRPr="00975AF1" w:rsidRDefault="00E7443D" w:rsidP="009B3B8A">
            <w:pPr>
              <w:rPr>
                <w:rFonts w:asciiTheme="majorHAnsi" w:hAnsiTheme="majorHAnsi" w:cstheme="majorHAnsi"/>
              </w:rPr>
            </w:pPr>
          </w:p>
        </w:tc>
        <w:tc>
          <w:tcPr>
            <w:cnfStyle w:val="000001000000" w:firstRow="0" w:lastRow="0" w:firstColumn="0" w:lastColumn="0" w:oddVBand="0" w:evenVBand="1" w:oddHBand="0" w:evenHBand="0" w:firstRowFirstColumn="0" w:firstRowLastColumn="0" w:lastRowFirstColumn="0" w:lastRowLastColumn="0"/>
            <w:tcW w:w="1238" w:type="dxa"/>
          </w:tcPr>
          <w:p w:rsidR="00E7443D" w:rsidRPr="00975AF1" w:rsidRDefault="00E7443D" w:rsidP="009B3B8A">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237" w:type="dxa"/>
          </w:tcPr>
          <w:p w:rsidR="00E7443D" w:rsidRPr="00975AF1" w:rsidRDefault="00E7443D" w:rsidP="009B3B8A">
            <w:pPr>
              <w:rPr>
                <w:rFonts w:asciiTheme="majorHAnsi" w:hAnsiTheme="majorHAnsi" w:cstheme="majorHAnsi"/>
              </w:rPr>
            </w:pPr>
          </w:p>
        </w:tc>
        <w:tc>
          <w:tcPr>
            <w:cnfStyle w:val="000001000000" w:firstRow="0" w:lastRow="0" w:firstColumn="0" w:lastColumn="0" w:oddVBand="0" w:evenVBand="1" w:oddHBand="0" w:evenHBand="0" w:firstRowFirstColumn="0" w:firstRowLastColumn="0" w:lastRowFirstColumn="0" w:lastRowLastColumn="0"/>
            <w:tcW w:w="1238" w:type="dxa"/>
          </w:tcPr>
          <w:p w:rsidR="00E7443D" w:rsidRPr="00975AF1" w:rsidRDefault="00E7443D" w:rsidP="009B3B8A">
            <w:pPr>
              <w:rPr>
                <w:rFonts w:asciiTheme="majorHAnsi" w:hAnsiTheme="majorHAnsi" w:cstheme="majorHAnsi"/>
              </w:rPr>
            </w:pPr>
          </w:p>
        </w:tc>
      </w:tr>
    </w:tbl>
    <w:p w:rsidR="00E7443D" w:rsidRPr="00975AF1" w:rsidRDefault="00E7443D" w:rsidP="00E7443D">
      <w:pPr>
        <w:rPr>
          <w:rFonts w:asciiTheme="majorHAnsi" w:hAnsiTheme="majorHAnsi" w:cstheme="majorHAnsi"/>
        </w:rPr>
      </w:pPr>
    </w:p>
    <w:p w:rsidR="00E7443D" w:rsidRPr="00E0286B" w:rsidRDefault="00E7443D" w:rsidP="00A429CC">
      <w:pPr>
        <w:pStyle w:val="Heading2"/>
      </w:pPr>
      <w:bookmarkStart w:id="26" w:name="_Toc524425758"/>
      <w:r w:rsidRPr="00E0286B">
        <w:t>DTF comments section</w:t>
      </w:r>
      <w:bookmarkEnd w:id="25"/>
      <w:bookmarkEnd w:id="26"/>
    </w:p>
    <w:tbl>
      <w:tblPr>
        <w:tblStyle w:val="DTFtexttable"/>
        <w:tblW w:w="9134" w:type="dxa"/>
        <w:tblLook w:val="0280" w:firstRow="0" w:lastRow="0" w:firstColumn="1" w:lastColumn="0" w:noHBand="1" w:noVBand="0"/>
      </w:tblPr>
      <w:tblGrid>
        <w:gridCol w:w="4253"/>
        <w:gridCol w:w="4881"/>
      </w:tblGrid>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Where relevant, separate identification</w:t>
            </w:r>
            <w:r>
              <w:rPr>
                <w:rFonts w:asciiTheme="majorHAnsi" w:hAnsiTheme="majorHAnsi" w:cstheme="majorHAnsi"/>
              </w:rPr>
              <w:t xml:space="preserve"> will be included</w:t>
            </w:r>
            <w:r w:rsidRPr="00975AF1">
              <w:rPr>
                <w:rFonts w:asciiTheme="majorHAnsi" w:hAnsiTheme="majorHAnsi" w:cstheme="majorHAnsi"/>
              </w:rPr>
              <w:t xml:space="preserve"> of revenue, expense, asset and liability components.</w:t>
            </w:r>
          </w:p>
        </w:tc>
        <w:tc>
          <w:tcPr>
            <w:cnfStyle w:val="000010000000" w:firstRow="0" w:lastRow="0" w:firstColumn="0" w:lastColumn="0" w:oddVBand="1" w:evenVBand="0" w:oddHBand="0" w:evenHBand="0" w:firstRowFirstColumn="0" w:firstRowLastColumn="0" w:lastRowFirstColumn="0" w:lastRowLastColumn="0"/>
            <w:tcW w:w="4881"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Where appropriate, </w:t>
            </w:r>
            <w:r>
              <w:rPr>
                <w:rFonts w:asciiTheme="majorHAnsi" w:hAnsiTheme="majorHAnsi" w:cstheme="majorHAnsi"/>
              </w:rPr>
              <w:t>a</w:t>
            </w:r>
            <w:r w:rsidRPr="00975AF1">
              <w:rPr>
                <w:rFonts w:asciiTheme="majorHAnsi" w:hAnsiTheme="majorHAnsi" w:cstheme="majorHAnsi"/>
              </w:rPr>
              <w:t xml:space="preserve"> range for the costing or sensitivity analysis</w:t>
            </w:r>
            <w:r>
              <w:rPr>
                <w:rFonts w:asciiTheme="majorHAnsi" w:hAnsiTheme="majorHAnsi" w:cstheme="majorHAnsi"/>
              </w:rPr>
              <w:t xml:space="preserve"> will be included</w:t>
            </w:r>
            <w:r w:rsidRPr="00975AF1">
              <w:rPr>
                <w:rFonts w:asciiTheme="majorHAnsi" w:hAnsiTheme="majorHAnsi" w:cstheme="majorHAnsi"/>
              </w:rPr>
              <w:t xml:space="preserve">. </w:t>
            </w:r>
          </w:p>
        </w:tc>
        <w:tc>
          <w:tcPr>
            <w:cnfStyle w:val="000010000000" w:firstRow="0" w:lastRow="0" w:firstColumn="0" w:lastColumn="0" w:oddVBand="1" w:evenVBand="0" w:oddHBand="0" w:evenHBand="0" w:firstRowFirstColumn="0" w:firstRowLastColumn="0" w:lastRowFirstColumn="0" w:lastRowLastColumn="0"/>
            <w:tcW w:w="4881" w:type="dxa"/>
          </w:tcPr>
          <w:p w:rsidR="00E7443D" w:rsidRPr="00975AF1" w:rsidRDefault="00E7443D" w:rsidP="009B3B8A">
            <w:pPr>
              <w:rPr>
                <w:rFonts w:asciiTheme="majorHAnsi" w:hAnsiTheme="majorHAnsi" w:cstheme="majorHAnsi"/>
              </w:rPr>
            </w:pPr>
          </w:p>
        </w:tc>
      </w:tr>
      <w:tr w:rsidR="00E7443D" w:rsidRPr="00975AF1" w:rsidTr="00F375D4">
        <w:trPr>
          <w:trHeight w:val="27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rPr>
              <w:t xml:space="preserve">Caveats or qualifications to the costing. </w:t>
            </w:r>
          </w:p>
        </w:tc>
        <w:tc>
          <w:tcPr>
            <w:cnfStyle w:val="000010000000" w:firstRow="0" w:lastRow="0" w:firstColumn="0" w:lastColumn="0" w:oddVBand="1" w:evenVBand="0" w:oddHBand="0" w:evenHBand="0" w:firstRowFirstColumn="0" w:firstRowLastColumn="0" w:lastRowFirstColumn="0" w:lastRowLastColumn="0"/>
            <w:tcW w:w="4881" w:type="dxa"/>
          </w:tcPr>
          <w:p w:rsidR="00E7443D" w:rsidRPr="00975AF1" w:rsidRDefault="00E7443D" w:rsidP="009B3B8A">
            <w:pPr>
              <w:rPr>
                <w:rFonts w:asciiTheme="majorHAnsi" w:hAnsiTheme="majorHAnsi" w:cstheme="majorHAnsi"/>
              </w:rPr>
            </w:pPr>
          </w:p>
        </w:tc>
      </w:tr>
      <w:tr w:rsidR="00E7443D" w:rsidRPr="00975AF1" w:rsidTr="00F375D4">
        <w:trPr>
          <w:trHeight w:val="520"/>
        </w:trPr>
        <w:tc>
          <w:tcPr>
            <w:cnfStyle w:val="001000000000" w:firstRow="0" w:lastRow="0" w:firstColumn="1" w:lastColumn="0" w:oddVBand="0" w:evenVBand="0" w:oddHBand="0" w:evenHBand="0" w:firstRowFirstColumn="0" w:firstRowLastColumn="0" w:lastRowFirstColumn="0" w:lastRowLastColumn="0"/>
            <w:tcW w:w="4253" w:type="dxa"/>
          </w:tcPr>
          <w:p w:rsidR="00E7443D" w:rsidRPr="00975AF1" w:rsidRDefault="00E7443D" w:rsidP="009B3B8A">
            <w:pPr>
              <w:rPr>
                <w:rFonts w:asciiTheme="majorHAnsi" w:hAnsiTheme="majorHAnsi" w:cstheme="majorHAnsi"/>
              </w:rPr>
            </w:pPr>
            <w:r w:rsidRPr="00975AF1">
              <w:rPr>
                <w:rFonts w:asciiTheme="majorHAnsi" w:hAnsiTheme="majorHAnsi" w:cstheme="majorHAnsi"/>
                <w:b/>
              </w:rPr>
              <w:t>Associated material:</w:t>
            </w:r>
            <w:r w:rsidRPr="00975AF1">
              <w:rPr>
                <w:rFonts w:asciiTheme="majorHAnsi" w:hAnsiTheme="majorHAnsi" w:cstheme="majorHAnsi"/>
              </w:rPr>
              <w:t xml:space="preserve"> Copy of request as received by DTF </w:t>
            </w:r>
            <w:r w:rsidRPr="00975AF1">
              <w:rPr>
                <w:rFonts w:asciiTheme="majorHAnsi" w:hAnsiTheme="majorHAnsi" w:cstheme="majorHAnsi"/>
                <w:b/>
              </w:rPr>
              <w:t>and</w:t>
            </w:r>
            <w:r w:rsidRPr="00975AF1">
              <w:rPr>
                <w:rFonts w:asciiTheme="majorHAnsi" w:hAnsiTheme="majorHAnsi" w:cstheme="majorHAnsi"/>
              </w:rPr>
              <w:t xml:space="preserve"> any additional information requested by DTF from party.</w:t>
            </w:r>
          </w:p>
        </w:tc>
        <w:tc>
          <w:tcPr>
            <w:cnfStyle w:val="000010000000" w:firstRow="0" w:lastRow="0" w:firstColumn="0" w:lastColumn="0" w:oddVBand="1" w:evenVBand="0" w:oddHBand="0" w:evenHBand="0" w:firstRowFirstColumn="0" w:firstRowLastColumn="0" w:lastRowFirstColumn="0" w:lastRowLastColumn="0"/>
            <w:tcW w:w="4881" w:type="dxa"/>
          </w:tcPr>
          <w:p w:rsidR="00E7443D" w:rsidRPr="00975AF1" w:rsidRDefault="00E7443D" w:rsidP="009B3B8A">
            <w:pPr>
              <w:rPr>
                <w:rFonts w:asciiTheme="majorHAnsi" w:hAnsiTheme="majorHAnsi" w:cstheme="majorHAnsi"/>
                <w:b/>
              </w:rPr>
            </w:pPr>
          </w:p>
        </w:tc>
      </w:tr>
    </w:tbl>
    <w:p w:rsidR="00103722" w:rsidRDefault="00103722" w:rsidP="00632F2E"/>
    <w:p w:rsidR="00D12E74" w:rsidRDefault="00D12E74" w:rsidP="00D2312F"/>
    <w:p w:rsidR="00014213" w:rsidRDefault="00014213" w:rsidP="00D2312F">
      <w:pPr>
        <w:sectPr w:rsidR="00014213" w:rsidSect="00614076">
          <w:headerReference w:type="even" r:id="rId23"/>
          <w:headerReference w:type="default" r:id="rId24"/>
          <w:footerReference w:type="even" r:id="rId25"/>
          <w:footerReference w:type="default" r:id="rId26"/>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7"/>
      <w:headerReference w:type="default" r:id="rId28"/>
      <w:footerReference w:type="even" r:id="rId29"/>
      <w:footerReference w:type="default" r:id="rId3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EC" w:rsidRDefault="000C7AEC" w:rsidP="002D711A">
      <w:pPr>
        <w:spacing w:after="0" w:line="240" w:lineRule="auto"/>
      </w:pPr>
      <w:r>
        <w:separator/>
      </w:r>
    </w:p>
  </w:endnote>
  <w:endnote w:type="continuationSeparator" w:id="0">
    <w:p w:rsidR="000C7AEC" w:rsidRDefault="000C7AE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CB3976">
    <w:pPr>
      <w:pStyle w:val="Spacer"/>
    </w:pPr>
  </w:p>
  <w:p w:rsidR="009B3B8A" w:rsidRDefault="009B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CB3976">
    <w:pPr>
      <w:pStyle w:val="Spacer"/>
    </w:pPr>
  </w:p>
  <w:p w:rsidR="009B3B8A" w:rsidRDefault="009B3B8A" w:rsidP="00C022F9">
    <w:pPr>
      <w:pStyle w:val="Footer"/>
    </w:pPr>
    <w:r>
      <w:drawing>
        <wp:anchor distT="0" distB="0" distL="114300" distR="114300" simplePos="0" relativeHeight="251660288" behindDoc="0" locked="0" layoutInCell="1" allowOverlap="1" wp14:anchorId="29329098" wp14:editId="13E1F09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A47634">
    <w:pPr>
      <w:pStyle w:val="Spacer"/>
    </w:pPr>
  </w:p>
  <w:p w:rsidR="009B3B8A" w:rsidRPr="00297281" w:rsidRDefault="009B3B8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Pr="00CB3976" w:rsidRDefault="009B3B8A" w:rsidP="00CB3976">
    <w:pPr>
      <w:pStyle w:val="Spacer"/>
    </w:pPr>
  </w:p>
  <w:p w:rsidR="009B3B8A" w:rsidRPr="00297281" w:rsidRDefault="009B3B8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429CC">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A47634">
    <w:pPr>
      <w:pStyle w:val="Spacer"/>
    </w:pPr>
  </w:p>
  <w:p w:rsidR="009B3B8A" w:rsidRPr="00297281" w:rsidRDefault="009B3B8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429CC">
      <w:rPr>
        <w:rStyle w:val="PageNumber"/>
      </w:rPr>
      <w:t>12</w:t>
    </w:r>
    <w:r w:rsidRPr="00297281">
      <w:rPr>
        <w:rStyle w:val="PageNumber"/>
      </w:rPr>
      <w:fldChar w:fldCharType="end"/>
    </w:r>
    <w:r>
      <w:rPr>
        <w:rStyle w:val="PageNumber"/>
      </w:rPr>
      <w:tab/>
    </w:r>
    <w:r>
      <w:rPr>
        <w:b/>
        <w:noProof w:val="0"/>
        <w:color w:val="0063A6" w:themeColor="accent1"/>
      </w:rPr>
      <w:t xml:space="preserve">Policy Costing Guidelines, </w:t>
    </w:r>
    <w:r w:rsidRPr="0074762A">
      <w:rPr>
        <w:b/>
        <w:noProof w:val="0"/>
        <w:color w:val="0063A6" w:themeColor="accent1"/>
      </w:rPr>
      <w:t>September</w:t>
    </w:r>
    <w:r>
      <w:rPr>
        <w:b/>
        <w:noProof w:val="0"/>
        <w:color w:val="0063A6" w:themeColor="accent1"/>
      </w:rP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165E66">
    <w:pPr>
      <w:pStyle w:val="Spacer"/>
    </w:pPr>
  </w:p>
  <w:p w:rsidR="009B3B8A" w:rsidRPr="00C022F9" w:rsidRDefault="009B3B8A" w:rsidP="00165E66">
    <w:pPr>
      <w:pStyle w:val="Footer"/>
    </w:pPr>
    <w:r>
      <w:rPr>
        <w:b/>
        <w:noProof w:val="0"/>
        <w:color w:val="0063A6" w:themeColor="accent1"/>
      </w:rPr>
      <w:t xml:space="preserve">Policy Costing Guidelines, </w:t>
    </w:r>
    <w:r w:rsidRPr="0074762A">
      <w:rPr>
        <w:b/>
        <w:noProof w:val="0"/>
        <w:color w:val="0063A6" w:themeColor="accent1"/>
      </w:rPr>
      <w:t>September</w:t>
    </w:r>
    <w:r>
      <w:rPr>
        <w:b/>
        <w:noProof w:val="0"/>
        <w:color w:val="0063A6" w:themeColor="accent1"/>
      </w:rPr>
      <w:t xml:space="preserve"> 2018</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429CC">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Pr="00014213" w:rsidRDefault="009B3B8A"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CB3976">
    <w:pPr>
      <w:pStyle w:val="Spacer"/>
    </w:pPr>
  </w:p>
  <w:p w:rsidR="009B3B8A" w:rsidRPr="00CB3976" w:rsidRDefault="009B3B8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EC" w:rsidRDefault="000C7AEC" w:rsidP="002D711A">
      <w:pPr>
        <w:spacing w:after="0" w:line="240" w:lineRule="auto"/>
      </w:pPr>
      <w:r>
        <w:separator/>
      </w:r>
    </w:p>
  </w:footnote>
  <w:footnote w:type="continuationSeparator" w:id="0">
    <w:p w:rsidR="000C7AEC" w:rsidRDefault="000C7AEC" w:rsidP="002D711A">
      <w:pPr>
        <w:spacing w:after="0" w:line="240" w:lineRule="auto"/>
      </w:pPr>
      <w:r>
        <w:continuationSeparator/>
      </w:r>
    </w:p>
  </w:footnote>
  <w:footnote w:id="1">
    <w:p w:rsidR="009B3B8A" w:rsidRDefault="009B3B8A" w:rsidP="00E7443D">
      <w:pPr>
        <w:pStyle w:val="FootnoteText"/>
      </w:pPr>
      <w:r>
        <w:rPr>
          <w:rStyle w:val="FootnoteReference"/>
        </w:rPr>
        <w:footnoteRef/>
      </w:r>
      <w:r>
        <w:t xml:space="preserve"> In 2018, the caretaker peri</w:t>
      </w:r>
      <w:r w:rsidR="00830953">
        <w:t>od is expected to commence at 6</w:t>
      </w:r>
      <w:r>
        <w:t>pm on Tuesday 30 October 2018 and continue until the result of the election is clear, or, if there is a change of Government, until the new Government is appointed.</w:t>
      </w:r>
    </w:p>
  </w:footnote>
  <w:footnote w:id="2">
    <w:p w:rsidR="009B3B8A" w:rsidRDefault="009B3B8A" w:rsidP="00E7443D">
      <w:pPr>
        <w:pStyle w:val="FootnoteText"/>
      </w:pPr>
      <w:r>
        <w:rPr>
          <w:rStyle w:val="FootnoteReference"/>
        </w:rPr>
        <w:footnoteRef/>
      </w:r>
      <w:r>
        <w:t xml:space="preserve"> costing.request@dtf.vic.gov.au</w:t>
      </w:r>
    </w:p>
  </w:footnote>
  <w:footnote w:id="3">
    <w:p w:rsidR="009B3B8A" w:rsidRDefault="009B3B8A" w:rsidP="00E7443D">
      <w:pPr>
        <w:pStyle w:val="FootnoteText"/>
      </w:pPr>
      <w:r>
        <w:rPr>
          <w:rStyle w:val="FootnoteReference"/>
        </w:rPr>
        <w:footnoteRef/>
      </w:r>
      <w:r>
        <w:t xml:space="preserve"> </w:t>
      </w:r>
      <w:r w:rsidRPr="001E6C3B">
        <w:t xml:space="preserve">This report, as well as the original request and any other material provided by the contact person, satisfies DTF’s obligations under section </w:t>
      </w:r>
      <w:r>
        <w:t>2.70</w:t>
      </w:r>
      <w:r w:rsidRPr="001E6C3B">
        <w:t xml:space="preserve"> of the caretaker conventions.</w:t>
      </w:r>
    </w:p>
  </w:footnote>
  <w:footnote w:id="4">
    <w:p w:rsidR="009B3B8A" w:rsidRDefault="009B3B8A" w:rsidP="00E7443D">
      <w:pPr>
        <w:pStyle w:val="FootnoteText"/>
      </w:pPr>
      <w:r>
        <w:rPr>
          <w:rStyle w:val="FootnoteReference"/>
        </w:rPr>
        <w:footnoteRef/>
      </w:r>
      <w:r>
        <w:t xml:space="preserve"> </w:t>
      </w:r>
      <w:r w:rsidRPr="00C62106">
        <w:t xml:space="preserve">Pursuant to section 27C of the </w:t>
      </w:r>
      <w:r w:rsidRPr="00637929">
        <w:rPr>
          <w:i/>
        </w:rPr>
        <w:t>Financial Management Act 1994</w:t>
      </w:r>
      <w:r>
        <w:t>,</w:t>
      </w:r>
      <w:r w:rsidRPr="00C62106">
        <w:t xml:space="preserve"> the Secretary of the Department of Treasury and Finance is required to release the </w:t>
      </w:r>
      <w:r>
        <w:t>pre-election budget u</w:t>
      </w:r>
      <w:r w:rsidRPr="00C62106">
        <w:t>pdate (PEBU), within 10 days after the issue of the writ for the 201</w:t>
      </w:r>
      <w:r>
        <w:t>8</w:t>
      </w:r>
      <w:r w:rsidRPr="00C62106">
        <w:t xml:space="preserve"> Victorian 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r>
      <w:rPr>
        <w:noProof/>
      </w:rPr>
      <w:drawing>
        <wp:anchor distT="0" distB="0" distL="114300" distR="114300" simplePos="0" relativeHeight="251656188" behindDoc="1" locked="0" layoutInCell="1" allowOverlap="1" wp14:anchorId="0DEDBAB8" wp14:editId="7420E85A">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2D7EB7C9" wp14:editId="715D73DB">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r>
      <w:rPr>
        <w:noProof/>
      </w:rPr>
      <w:drawing>
        <wp:anchor distT="0" distB="0" distL="114300" distR="114300" simplePos="0" relativeHeight="251682816" behindDoc="0" locked="0" layoutInCell="1" allowOverlap="1" wp14:anchorId="1DC19EBD" wp14:editId="27F38996">
          <wp:simplePos x="0" y="0"/>
          <wp:positionH relativeFrom="column">
            <wp:posOffset>-932815</wp:posOffset>
          </wp:positionH>
          <wp:positionV relativeFrom="page">
            <wp:posOffset>-3546</wp:posOffset>
          </wp:positionV>
          <wp:extent cx="7591245" cy="740985"/>
          <wp:effectExtent l="0" t="0" r="0" b="2540"/>
          <wp:wrapNone/>
          <wp:docPr id="3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r>
      <w:rPr>
        <w:noProof/>
      </w:rPr>
      <w:drawing>
        <wp:anchor distT="0" distB="0" distL="114300" distR="114300" simplePos="0" relativeHeight="251681792" behindDoc="0" locked="0" layoutInCell="1" allowOverlap="1" wp14:anchorId="44F1F990" wp14:editId="11FFDA63">
          <wp:simplePos x="0" y="0"/>
          <wp:positionH relativeFrom="column">
            <wp:posOffset>-931849</wp:posOffset>
          </wp:positionH>
          <wp:positionV relativeFrom="page">
            <wp:posOffset>0</wp:posOffset>
          </wp:positionV>
          <wp:extent cx="7591245" cy="740985"/>
          <wp:effectExtent l="0" t="0" r="0" b="2540"/>
          <wp:wrapNone/>
          <wp:docPr id="3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rsidP="005306A2">
    <w:pPr>
      <w:pStyle w:val="Header"/>
    </w:pPr>
    <w:r>
      <w:rPr>
        <w:noProof/>
      </w:rPr>
      <w:drawing>
        <wp:anchor distT="0" distB="0" distL="114300" distR="114300" simplePos="0" relativeHeight="251679744" behindDoc="0" locked="0" layoutInCell="1" allowOverlap="1" wp14:anchorId="027983AD" wp14:editId="0ABD2ED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r>
      <w:rPr>
        <w:noProof/>
      </w:rPr>
      <w:drawing>
        <wp:anchor distT="0" distB="0" distL="114300" distR="114300" simplePos="0" relativeHeight="251674624" behindDoc="0" locked="0" layoutInCell="1" allowOverlap="1" wp14:anchorId="6B43DDA1" wp14:editId="259A58F2">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B8A" w:rsidRDefault="009B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4"/>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2"/>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43D"/>
    <w:rsid w:val="00012F6F"/>
    <w:rsid w:val="00014213"/>
    <w:rsid w:val="00014B55"/>
    <w:rsid w:val="00020E3E"/>
    <w:rsid w:val="00023BF3"/>
    <w:rsid w:val="00026811"/>
    <w:rsid w:val="0004185E"/>
    <w:rsid w:val="00056988"/>
    <w:rsid w:val="00071219"/>
    <w:rsid w:val="00075E6C"/>
    <w:rsid w:val="00081C12"/>
    <w:rsid w:val="000B29AD"/>
    <w:rsid w:val="000C6372"/>
    <w:rsid w:val="000C7AEC"/>
    <w:rsid w:val="000E392D"/>
    <w:rsid w:val="000E3D05"/>
    <w:rsid w:val="000F4288"/>
    <w:rsid w:val="000F7165"/>
    <w:rsid w:val="00102379"/>
    <w:rsid w:val="00103722"/>
    <w:rsid w:val="001065D6"/>
    <w:rsid w:val="001068D5"/>
    <w:rsid w:val="001068FB"/>
    <w:rsid w:val="00121252"/>
    <w:rsid w:val="00121E0B"/>
    <w:rsid w:val="00124609"/>
    <w:rsid w:val="001254CE"/>
    <w:rsid w:val="001422CC"/>
    <w:rsid w:val="00143DCA"/>
    <w:rsid w:val="001617B6"/>
    <w:rsid w:val="00165E66"/>
    <w:rsid w:val="00196143"/>
    <w:rsid w:val="001A24FC"/>
    <w:rsid w:val="001C7BAE"/>
    <w:rsid w:val="001E31FA"/>
    <w:rsid w:val="001E48F9"/>
    <w:rsid w:val="001E64F6"/>
    <w:rsid w:val="001E7AEB"/>
    <w:rsid w:val="00204B82"/>
    <w:rsid w:val="00222BEB"/>
    <w:rsid w:val="00225E60"/>
    <w:rsid w:val="0023202C"/>
    <w:rsid w:val="00245043"/>
    <w:rsid w:val="00284FA2"/>
    <w:rsid w:val="00292D36"/>
    <w:rsid w:val="00297281"/>
    <w:rsid w:val="002B03F1"/>
    <w:rsid w:val="002B5E2B"/>
    <w:rsid w:val="002B6DAA"/>
    <w:rsid w:val="002D711A"/>
    <w:rsid w:val="002D7336"/>
    <w:rsid w:val="002E3396"/>
    <w:rsid w:val="002F2953"/>
    <w:rsid w:val="00303DAC"/>
    <w:rsid w:val="0031149C"/>
    <w:rsid w:val="003163BA"/>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F3F4E"/>
    <w:rsid w:val="00510167"/>
    <w:rsid w:val="005306A2"/>
    <w:rsid w:val="0053416C"/>
    <w:rsid w:val="00541C2F"/>
    <w:rsid w:val="00563527"/>
    <w:rsid w:val="0058124E"/>
    <w:rsid w:val="005875A3"/>
    <w:rsid w:val="005A3416"/>
    <w:rsid w:val="005B27FE"/>
    <w:rsid w:val="005B76DF"/>
    <w:rsid w:val="005B79CB"/>
    <w:rsid w:val="005C26CD"/>
    <w:rsid w:val="005E4C16"/>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3EED"/>
    <w:rsid w:val="00676E5F"/>
    <w:rsid w:val="006A3309"/>
    <w:rsid w:val="006A4D80"/>
    <w:rsid w:val="006A5B34"/>
    <w:rsid w:val="006C77A9"/>
    <w:rsid w:val="006D110D"/>
    <w:rsid w:val="006D4720"/>
    <w:rsid w:val="006E6CDF"/>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0360"/>
    <w:rsid w:val="007D5F9E"/>
    <w:rsid w:val="007F1A4C"/>
    <w:rsid w:val="007F723F"/>
    <w:rsid w:val="008022C3"/>
    <w:rsid w:val="008041E6"/>
    <w:rsid w:val="008065D2"/>
    <w:rsid w:val="0082194C"/>
    <w:rsid w:val="008222FF"/>
    <w:rsid w:val="008241FF"/>
    <w:rsid w:val="00830953"/>
    <w:rsid w:val="008411E9"/>
    <w:rsid w:val="00841617"/>
    <w:rsid w:val="0084200F"/>
    <w:rsid w:val="00843B2C"/>
    <w:rsid w:val="008668A8"/>
    <w:rsid w:val="00872B12"/>
    <w:rsid w:val="00880AC4"/>
    <w:rsid w:val="00897447"/>
    <w:rsid w:val="008A4900"/>
    <w:rsid w:val="008A55FE"/>
    <w:rsid w:val="008B146D"/>
    <w:rsid w:val="008B42AD"/>
    <w:rsid w:val="008B5666"/>
    <w:rsid w:val="008D0281"/>
    <w:rsid w:val="008E2348"/>
    <w:rsid w:val="008F186F"/>
    <w:rsid w:val="008F6D45"/>
    <w:rsid w:val="00922944"/>
    <w:rsid w:val="009233F0"/>
    <w:rsid w:val="00937A10"/>
    <w:rsid w:val="00966115"/>
    <w:rsid w:val="009834C0"/>
    <w:rsid w:val="00986AAC"/>
    <w:rsid w:val="00995526"/>
    <w:rsid w:val="009A1DA2"/>
    <w:rsid w:val="009A3704"/>
    <w:rsid w:val="009A4739"/>
    <w:rsid w:val="009A674F"/>
    <w:rsid w:val="009A6D22"/>
    <w:rsid w:val="009B199C"/>
    <w:rsid w:val="009B3B8A"/>
    <w:rsid w:val="009B61F1"/>
    <w:rsid w:val="009B62E0"/>
    <w:rsid w:val="009C3D88"/>
    <w:rsid w:val="009E3858"/>
    <w:rsid w:val="009E467D"/>
    <w:rsid w:val="009E70DD"/>
    <w:rsid w:val="009F2ED9"/>
    <w:rsid w:val="009F3231"/>
    <w:rsid w:val="009F5C58"/>
    <w:rsid w:val="00A023A0"/>
    <w:rsid w:val="00A05805"/>
    <w:rsid w:val="00A1562B"/>
    <w:rsid w:val="00A170F4"/>
    <w:rsid w:val="00A21408"/>
    <w:rsid w:val="00A21CFD"/>
    <w:rsid w:val="00A25B78"/>
    <w:rsid w:val="00A32D20"/>
    <w:rsid w:val="00A429CC"/>
    <w:rsid w:val="00A46BA8"/>
    <w:rsid w:val="00A47634"/>
    <w:rsid w:val="00A56DD5"/>
    <w:rsid w:val="00A612FE"/>
    <w:rsid w:val="00AA26B8"/>
    <w:rsid w:val="00AC0B87"/>
    <w:rsid w:val="00AC2624"/>
    <w:rsid w:val="00AD7E4E"/>
    <w:rsid w:val="00AF4D58"/>
    <w:rsid w:val="00AF6666"/>
    <w:rsid w:val="00B81B44"/>
    <w:rsid w:val="00B9053B"/>
    <w:rsid w:val="00BA1E36"/>
    <w:rsid w:val="00BB4D98"/>
    <w:rsid w:val="00BB4EBF"/>
    <w:rsid w:val="00BB59E0"/>
    <w:rsid w:val="00BC3422"/>
    <w:rsid w:val="00BC6E19"/>
    <w:rsid w:val="00BF4F96"/>
    <w:rsid w:val="00C015B9"/>
    <w:rsid w:val="00C022F9"/>
    <w:rsid w:val="00C032EA"/>
    <w:rsid w:val="00C06EB5"/>
    <w:rsid w:val="00C1145F"/>
    <w:rsid w:val="00C11CD1"/>
    <w:rsid w:val="00C322B1"/>
    <w:rsid w:val="00C33AD3"/>
    <w:rsid w:val="00C43F06"/>
    <w:rsid w:val="00C51C01"/>
    <w:rsid w:val="00C637E1"/>
    <w:rsid w:val="00C67EAC"/>
    <w:rsid w:val="00C70D50"/>
    <w:rsid w:val="00C72252"/>
    <w:rsid w:val="00C907D7"/>
    <w:rsid w:val="00C92338"/>
    <w:rsid w:val="00CA2AAE"/>
    <w:rsid w:val="00CB3976"/>
    <w:rsid w:val="00CC6774"/>
    <w:rsid w:val="00CD0307"/>
    <w:rsid w:val="00CD3D1B"/>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06039"/>
    <w:rsid w:val="00E26B32"/>
    <w:rsid w:val="00E407B6"/>
    <w:rsid w:val="00E41EF1"/>
    <w:rsid w:val="00E42942"/>
    <w:rsid w:val="00E65A0A"/>
    <w:rsid w:val="00E71BDF"/>
    <w:rsid w:val="00E7443D"/>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12312"/>
    <w:rsid w:val="00F17CE1"/>
    <w:rsid w:val="00F2115C"/>
    <w:rsid w:val="00F22ABA"/>
    <w:rsid w:val="00F36B12"/>
    <w:rsid w:val="00F375D4"/>
    <w:rsid w:val="00F60F9F"/>
    <w:rsid w:val="00F64AEB"/>
    <w:rsid w:val="00F64F08"/>
    <w:rsid w:val="00F70055"/>
    <w:rsid w:val="00F734F5"/>
    <w:rsid w:val="00F73B5B"/>
    <w:rsid w:val="00F91F5A"/>
    <w:rsid w:val="00F966B1"/>
    <w:rsid w:val="00F97D48"/>
    <w:rsid w:val="00FA0311"/>
    <w:rsid w:val="00FB44C1"/>
    <w:rsid w:val="00FD640F"/>
    <w:rsid w:val="00FD6B4C"/>
    <w:rsid w:val="00FE0553"/>
    <w:rsid w:val="00FE083C"/>
    <w:rsid w:val="00FF4E99"/>
    <w:rsid w:val="00FF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FD28A"/>
  <w15:docId w15:val="{92D508E7-F41E-4BED-95AB-FC6325A2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A429CC"/>
    <w:pPr>
      <w:tabs>
        <w:tab w:val="right" w:leader="dot" w:pos="9000"/>
      </w:tabs>
      <w:spacing w:after="100"/>
      <w:ind w:left="446" w:right="432"/>
      <w:contextualSpacing/>
    </w:pPr>
    <w:rPr>
      <w:noProof/>
      <w:spacing w:val="2"/>
      <w:sz w:val="19"/>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429CC"/>
    <w:pPr>
      <w:numPr>
        <w:numId w:val="3"/>
      </w:numPr>
      <w:spacing w:before="100" w:after="100" w:line="240" w:lineRule="auto"/>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E7443D"/>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B3B8A"/>
    <w:pPr>
      <w:numPr>
        <w:ilvl w:val="3"/>
        <w:numId w:val="3"/>
      </w:numPr>
      <w:spacing w:before="60" w:after="60"/>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233F0"/>
    <w:pPr>
      <w:spacing w:before="30" w:after="30" w:line="264" w:lineRule="auto"/>
      <w:jc w:val="left"/>
    </w:pPr>
    <w:tblPr>
      <w:tblStyleRowBandSize w:val="1"/>
      <w:tblBorders>
        <w:top w:val="single" w:sz="6" w:space="0" w:color="0063A6" w:themeColor="accent1"/>
        <w:bottom w:val="none" w:sz="0" w:space="0" w:color="auto"/>
        <w:insideH w:val="single" w:sz="6" w:space="0" w:color="0063A6" w:themeColor="accent1"/>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9B3B8A"/>
    <w:pPr>
      <w:keepLines/>
      <w:numPr>
        <w:ilvl w:val="8"/>
        <w:numId w:val="4"/>
      </w:numPr>
      <w:tabs>
        <w:tab w:val="clear" w:pos="540"/>
      </w:tabs>
      <w:spacing w:before="100"/>
      <w:contextualSpacing w:val="0"/>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NormalIndentItalics">
    <w:name w:val="Normal Indent Italics"/>
    <w:basedOn w:val="NormalIndent"/>
    <w:uiPriority w:val="13"/>
    <w:qFormat/>
    <w:rsid w:val="00E7443D"/>
    <w:pPr>
      <w:ind w:left="1440" w:hanging="648"/>
    </w:pPr>
    <w:rPr>
      <w:i/>
    </w:rPr>
  </w:style>
  <w:style w:type="paragraph" w:customStyle="1" w:styleId="Tableunits">
    <w:name w:val="Table units"/>
    <w:basedOn w:val="Normal"/>
    <w:qFormat/>
    <w:rsid w:val="00F375D4"/>
    <w:pPr>
      <w:spacing w:before="0" w:after="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dpc.vic.gov.au" TargetMode="Externa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dtf.vic.gov.au/2018-victorian-election-costings" TargetMode="External"/><Relationship Id="rId27" Type="http://schemas.openxmlformats.org/officeDocument/2006/relationships/header" Target="head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FB86-7FDD-41CF-BF7D-4D4711E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18</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 (DTF)</cp:lastModifiedBy>
  <cp:revision>2</cp:revision>
  <cp:lastPrinted>2018-09-17T05:56:00Z</cp:lastPrinted>
  <dcterms:created xsi:type="dcterms:W3CDTF">2018-09-17T23:57:00Z</dcterms:created>
  <dcterms:modified xsi:type="dcterms:W3CDTF">2018-09-17T23:57:00Z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lassification">
    <vt:lpwstr>Do Not Mark</vt:lpwstr>
  </property>
</Properties>
</file>