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F1" w:rsidRPr="00BF6584" w:rsidRDefault="00BF6584" w:rsidP="00BF6584">
      <w:pPr>
        <w:pStyle w:val="Title"/>
      </w:pPr>
      <w:bookmarkStart w:id="0" w:name="_GoBack"/>
      <w:r>
        <w:t>Financial Reporting Operations Framework</w:t>
      </w:r>
      <w:bookmarkEnd w:id="0"/>
    </w:p>
    <w:p w:rsidR="00750CBE" w:rsidRDefault="006205B4" w:rsidP="00750CBE">
      <w:pPr>
        <w:pStyle w:val="Subtitle"/>
      </w:pPr>
      <w:r>
        <w:rPr>
          <w:noProof/>
        </w:rPr>
        <w:t xml:space="preserve">For Victorian </w:t>
      </w:r>
      <w:r w:rsidR="008C476B">
        <w:rPr>
          <w:noProof/>
        </w:rPr>
        <w:t>G</w:t>
      </w:r>
      <w:r>
        <w:rPr>
          <w:noProof/>
        </w:rPr>
        <w:t xml:space="preserve">overnment </w:t>
      </w:r>
      <w:r w:rsidR="008C476B">
        <w:rPr>
          <w:noProof/>
        </w:rPr>
        <w:t>d</w:t>
      </w:r>
      <w:r>
        <w:rPr>
          <w:noProof/>
        </w:rPr>
        <w:t>epartments</w:t>
      </w:r>
    </w:p>
    <w:p w:rsidR="00750CBE" w:rsidRDefault="00BF3B80" w:rsidP="00750CBE">
      <w:pPr>
        <w:pStyle w:val="TertiaryTitle"/>
      </w:pPr>
      <w:r>
        <w:t xml:space="preserve">Updated </w:t>
      </w:r>
      <w:r w:rsidR="007659F3">
        <w:t>February</w:t>
      </w:r>
      <w:r w:rsidR="00CC6E40" w:rsidRPr="008C476B">
        <w:t xml:space="preserve"> 2019</w:t>
      </w:r>
    </w:p>
    <w:p w:rsidR="00B81007" w:rsidRDefault="00BF3B80" w:rsidP="00095B63">
      <w:pPr>
        <w:pStyle w:val="TertiaryTitle"/>
        <w:rPr>
          <w:sz w:val="24"/>
          <w:szCs w:val="24"/>
        </w:rPr>
      </w:pPr>
      <w:r w:rsidRPr="00095B63">
        <w:rPr>
          <w:sz w:val="24"/>
          <w:szCs w:val="24"/>
        </w:rPr>
        <w:t>Effective from 1 July 201</w:t>
      </w:r>
      <w:r w:rsidR="00CC6E40">
        <w:rPr>
          <w:sz w:val="24"/>
          <w:szCs w:val="24"/>
        </w:rPr>
        <w:t>9</w:t>
      </w:r>
    </w:p>
    <w:p w:rsidR="00750CBE" w:rsidRPr="00387A01" w:rsidRDefault="00750CBE">
      <w:pPr>
        <w:rPr>
          <w:rFonts w:eastAsia="Times New Roman" w:cs="Calibri"/>
          <w:spacing w:val="0"/>
          <w:sz w:val="18"/>
          <w:szCs w:val="19"/>
          <w:lang w:eastAsia="en-US"/>
        </w:rPr>
      </w:pPr>
      <w:r w:rsidRPr="00387A01">
        <w:rPr>
          <w:rFonts w:eastAsia="Times New Roman" w:cs="Calibri"/>
          <w:spacing w:val="0"/>
          <w:sz w:val="18"/>
          <w:szCs w:val="19"/>
          <w:lang w:eastAsia="en-US"/>
        </w:rPr>
        <w:br w:type="page"/>
      </w:r>
    </w:p>
    <w:p w:rsidR="00750CBE" w:rsidRDefault="00750CBE" w:rsidP="008D0281">
      <w:pPr>
        <w:pStyle w:val="NormalTight"/>
      </w:pPr>
    </w:p>
    <w:p w:rsidR="00750CBE" w:rsidRPr="00C92338" w:rsidRDefault="00750CBE" w:rsidP="00E26B32">
      <w:pPr>
        <w:pStyle w:val="Insidecoverspacer"/>
      </w:pPr>
    </w:p>
    <w:p w:rsidR="00750CBE" w:rsidRPr="00C92338" w:rsidRDefault="00750CBE" w:rsidP="008D0281">
      <w:pPr>
        <w:pStyle w:val="NormalTight"/>
      </w:pPr>
      <w:r w:rsidRPr="00C92338">
        <w:t>The Secretary</w:t>
      </w:r>
    </w:p>
    <w:p w:rsidR="00750CBE" w:rsidRPr="00C92338" w:rsidRDefault="00750CBE" w:rsidP="008D0281">
      <w:pPr>
        <w:pStyle w:val="NormalTight"/>
      </w:pPr>
      <w:r w:rsidRPr="00C92338">
        <w:t>Department of Treasury and Finance</w:t>
      </w:r>
    </w:p>
    <w:p w:rsidR="00750CBE" w:rsidRPr="00C92338" w:rsidRDefault="00750CBE" w:rsidP="008D0281">
      <w:pPr>
        <w:pStyle w:val="NormalTight"/>
      </w:pPr>
      <w:r w:rsidRPr="00C92338">
        <w:t>1 Treasury Place</w:t>
      </w:r>
    </w:p>
    <w:p w:rsidR="00750CBE" w:rsidRPr="00C92338" w:rsidRDefault="00750CBE" w:rsidP="008D0281">
      <w:pPr>
        <w:pStyle w:val="NormalTight"/>
      </w:pPr>
      <w:r w:rsidRPr="00C92338">
        <w:t>Melbourne Victoria 3002</w:t>
      </w:r>
    </w:p>
    <w:p w:rsidR="00750CBE" w:rsidRPr="00C92338" w:rsidRDefault="00750CBE" w:rsidP="008D0281">
      <w:pPr>
        <w:pStyle w:val="NormalTight"/>
      </w:pPr>
      <w:r w:rsidRPr="00C92338">
        <w:t>Australia</w:t>
      </w:r>
    </w:p>
    <w:p w:rsidR="00750CBE" w:rsidRPr="00C92338" w:rsidRDefault="00750CBE" w:rsidP="008D0281">
      <w:pPr>
        <w:pStyle w:val="NormalTight"/>
      </w:pPr>
      <w:r w:rsidRPr="00C92338">
        <w:t>Telephone: +61 3 9651 5111</w:t>
      </w:r>
    </w:p>
    <w:p w:rsidR="00750CBE" w:rsidRPr="00C92338" w:rsidRDefault="00750CBE" w:rsidP="008D0281">
      <w:pPr>
        <w:pStyle w:val="NormalTight"/>
      </w:pPr>
      <w:r w:rsidRPr="00C92338">
        <w:t>Facsimile: +61 3 9651 2062</w:t>
      </w:r>
    </w:p>
    <w:p w:rsidR="00750CBE" w:rsidRPr="00C92338" w:rsidRDefault="00750CBE" w:rsidP="008D0281">
      <w:pPr>
        <w:pStyle w:val="NormalTight"/>
      </w:pPr>
      <w:r w:rsidRPr="00C92338">
        <w:t>dtf.vic.gov.au</w:t>
      </w:r>
    </w:p>
    <w:p w:rsidR="00750CBE" w:rsidRPr="00C92338" w:rsidRDefault="00750CBE" w:rsidP="008D0281">
      <w:pPr>
        <w:pStyle w:val="NormalTight"/>
      </w:pPr>
    </w:p>
    <w:p w:rsidR="00750CBE" w:rsidRPr="00C92338" w:rsidRDefault="00750CBE" w:rsidP="008D0281">
      <w:pPr>
        <w:pStyle w:val="NormalTight"/>
      </w:pPr>
      <w:r w:rsidRPr="00C92338">
        <w:t>Authorised by the Victorian Government</w:t>
      </w:r>
    </w:p>
    <w:p w:rsidR="00750CBE" w:rsidRPr="00C92338" w:rsidRDefault="00750CBE" w:rsidP="008D0281">
      <w:pPr>
        <w:pStyle w:val="NormalTight"/>
      </w:pPr>
      <w:r w:rsidRPr="00C92338">
        <w:t>1 Treasury Place, Melbourne, 3002</w:t>
      </w:r>
    </w:p>
    <w:p w:rsidR="00750CBE" w:rsidRDefault="00750CBE" w:rsidP="008D0281">
      <w:pPr>
        <w:pStyle w:val="NormalTight"/>
      </w:pPr>
    </w:p>
    <w:p w:rsidR="00E0468E" w:rsidRDefault="00E0468E" w:rsidP="008D0281">
      <w:pPr>
        <w:pStyle w:val="NormalTight"/>
      </w:pPr>
    </w:p>
    <w:p w:rsidR="00E0468E" w:rsidRDefault="00E0468E" w:rsidP="008D0281">
      <w:pPr>
        <w:pStyle w:val="NormalTight"/>
      </w:pPr>
    </w:p>
    <w:p w:rsidR="00E0468E" w:rsidRPr="00C92338" w:rsidRDefault="00E0468E" w:rsidP="008D0281">
      <w:pPr>
        <w:pStyle w:val="NormalTight"/>
      </w:pPr>
    </w:p>
    <w:p w:rsidR="00750CBE" w:rsidRPr="00C92338" w:rsidRDefault="003A541A" w:rsidP="006F6693">
      <w:pPr>
        <w:ind w:right="1826"/>
        <w:rPr>
          <w:rFonts w:cstheme="minorHAnsi"/>
          <w:spacing w:val="0"/>
          <w:sz w:val="19"/>
          <w:szCs w:val="19"/>
        </w:rPr>
      </w:pPr>
      <w:r w:rsidRPr="00C92338">
        <w:rPr>
          <w:rFonts w:cstheme="minorHAnsi"/>
          <w:spacing w:val="0"/>
          <w:sz w:val="19"/>
          <w:szCs w:val="19"/>
        </w:rPr>
        <w:t xml:space="preserve">© State of Victoria </w:t>
      </w:r>
      <w:r w:rsidRPr="00910CAF">
        <w:rPr>
          <w:rFonts w:cstheme="minorHAnsi"/>
          <w:spacing w:val="0"/>
          <w:sz w:val="19"/>
          <w:szCs w:val="19"/>
        </w:rPr>
        <w:t>201</w:t>
      </w:r>
      <w:r w:rsidR="004D1079" w:rsidRPr="00E26733">
        <w:rPr>
          <w:rFonts w:cstheme="minorHAnsi"/>
          <w:spacing w:val="0"/>
          <w:sz w:val="19"/>
          <w:szCs w:val="19"/>
        </w:rPr>
        <w:t>9</w:t>
      </w:r>
    </w:p>
    <w:p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6E55C55D" wp14:editId="6B818628">
            <wp:extent cx="1117460" cy="393651"/>
            <wp:effectExtent l="0" t="0" r="6985" b="6985"/>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9">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rsidR="00750CBE" w:rsidRPr="00C92338" w:rsidRDefault="00750CBE" w:rsidP="008D0281">
      <w:pPr>
        <w:pStyle w:val="NormalTight"/>
      </w:pPr>
      <w:r w:rsidRPr="00C92338">
        <w:t xml:space="preserve">You are free to re-use this work under a </w:t>
      </w:r>
      <w:hyperlink r:id="rId10"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6F6693" w:rsidRPr="00C92338" w:rsidRDefault="006F6693" w:rsidP="008D0281">
      <w:pPr>
        <w:pStyle w:val="NormalTight"/>
      </w:pPr>
    </w:p>
    <w:p w:rsidR="00750CBE" w:rsidRPr="00C92338" w:rsidRDefault="00750CBE" w:rsidP="008D0281">
      <w:pPr>
        <w:pStyle w:val="NormalTight"/>
      </w:pPr>
      <w:r w:rsidRPr="00C92338">
        <w:t xml:space="preserve">Copyright queries may be directed to </w:t>
      </w:r>
      <w:hyperlink r:id="rId11" w:history="1">
        <w:r w:rsidRPr="00C92338">
          <w:rPr>
            <w:rStyle w:val="Hyperlink"/>
            <w:rFonts w:cstheme="minorHAnsi"/>
          </w:rPr>
          <w:t>IPpolicy@dtf.vic.gov.au</w:t>
        </w:r>
      </w:hyperlink>
    </w:p>
    <w:p w:rsidR="00750CBE" w:rsidRPr="00C92338" w:rsidRDefault="00750CBE" w:rsidP="008D0281">
      <w:pPr>
        <w:pStyle w:val="NormalTight"/>
      </w:pPr>
    </w:p>
    <w:p w:rsidR="00750CBE" w:rsidRPr="00C92338" w:rsidRDefault="00782A05" w:rsidP="008D0281">
      <w:pPr>
        <w:pStyle w:val="NormalTight"/>
      </w:pPr>
      <w:r>
        <w:t>ISBN 978-1-922222</w:t>
      </w:r>
      <w:r w:rsidR="00750CBE" w:rsidRPr="00C92338">
        <w:t>-</w:t>
      </w:r>
      <w:r>
        <w:t>78-7</w:t>
      </w:r>
    </w:p>
    <w:p w:rsidR="00750CBE" w:rsidRPr="00C92338" w:rsidRDefault="00750CBE" w:rsidP="008D0281">
      <w:pPr>
        <w:pStyle w:val="NormalTight"/>
      </w:pPr>
      <w:r w:rsidRPr="00C92338">
        <w:t xml:space="preserve">Published </w:t>
      </w:r>
      <w:r w:rsidR="007659F3">
        <w:t xml:space="preserve">February </w:t>
      </w:r>
      <w:r w:rsidR="008C476B">
        <w:t>2019</w:t>
      </w:r>
    </w:p>
    <w:p w:rsidR="00750CBE" w:rsidRPr="00C92338" w:rsidRDefault="00750CBE" w:rsidP="008D0281">
      <w:pPr>
        <w:pStyle w:val="NormalTight"/>
      </w:pPr>
    </w:p>
    <w:p w:rsidR="00750CBE" w:rsidRPr="00C92338" w:rsidRDefault="00750CBE" w:rsidP="008D0281">
      <w:pPr>
        <w:pStyle w:val="NormalTight"/>
      </w:pPr>
      <w:r w:rsidRPr="00C92338">
        <w:t xml:space="preserve">If you would like to receive this publication in an accessible </w:t>
      </w:r>
      <w:proofErr w:type="gramStart"/>
      <w:r w:rsidRPr="00C92338">
        <w:t>format</w:t>
      </w:r>
      <w:proofErr w:type="gramEnd"/>
      <w:r w:rsidRPr="00C92338">
        <w:t xml:space="preserve"> please</w:t>
      </w:r>
      <w:r w:rsidR="00413A48">
        <w:t xml:space="preserve"> </w:t>
      </w:r>
      <w:r w:rsidRPr="00C92338">
        <w:t xml:space="preserve">email </w:t>
      </w:r>
      <w:hyperlink r:id="rId12" w:history="1">
        <w:r w:rsidRPr="00C92338">
          <w:t>information@dtf.vic.gov.au</w:t>
        </w:r>
      </w:hyperlink>
      <w:r w:rsidRPr="00C92338">
        <w:t xml:space="preserve"> </w:t>
      </w:r>
    </w:p>
    <w:p w:rsidR="006F6693" w:rsidRPr="00C92338" w:rsidRDefault="006F6693" w:rsidP="008D0281">
      <w:pPr>
        <w:pStyle w:val="NormalTight"/>
      </w:pPr>
    </w:p>
    <w:p w:rsidR="00750CBE" w:rsidRPr="00C92338" w:rsidRDefault="00750CBE" w:rsidP="008D0281">
      <w:pPr>
        <w:pStyle w:val="NormalTight"/>
      </w:pPr>
      <w:r w:rsidRPr="00C92338">
        <w:t xml:space="preserve">This document is also available in Word and PDF format at </w:t>
      </w:r>
      <w:hyperlink r:id="rId13" w:history="1">
        <w:r w:rsidRPr="00C92338">
          <w:rPr>
            <w:rStyle w:val="Hyperlink"/>
          </w:rPr>
          <w:t>dtf.vic.gov.au</w:t>
        </w:r>
      </w:hyperlink>
    </w:p>
    <w:p w:rsidR="00750CBE" w:rsidRPr="00C92338" w:rsidRDefault="00750CBE" w:rsidP="00D2312F">
      <w:pPr>
        <w:rPr>
          <w:spacing w:val="0"/>
          <w:sz w:val="19"/>
          <w:szCs w:val="19"/>
        </w:rPr>
      </w:pPr>
    </w:p>
    <w:p w:rsidR="00750CBE" w:rsidRDefault="00750CBE" w:rsidP="00D2312F">
      <w:pPr>
        <w:sectPr w:rsidR="00750CBE" w:rsidSect="00E26733">
          <w:headerReference w:type="default" r:id="rId14"/>
          <w:footerReference w:type="even" r:id="rId15"/>
          <w:footerReference w:type="default" r:id="rId16"/>
          <w:headerReference w:type="first" r:id="rId17"/>
          <w:pgSz w:w="11906" w:h="16838" w:code="9"/>
          <w:pgMar w:top="1440" w:right="1440" w:bottom="1440" w:left="1440" w:header="706" w:footer="461" w:gutter="0"/>
          <w:pgNumType w:fmt="lowerRoman" w:start="1"/>
          <w:cols w:space="708"/>
          <w:titlePg/>
          <w:docGrid w:linePitch="360"/>
        </w:sectPr>
      </w:pPr>
    </w:p>
    <w:p w:rsidR="00750CBE" w:rsidRDefault="00D44953" w:rsidP="00986AAC">
      <w:pPr>
        <w:pStyle w:val="TOCHeading"/>
      </w:pPr>
      <w:r>
        <w:lastRenderedPageBreak/>
        <w:t>Contents</w:t>
      </w:r>
    </w:p>
    <w:p w:rsidR="001B0ED0" w:rsidRDefault="00CD3D1B">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\h \z \t "Heading 1,1,</w:instrText>
      </w:r>
      <w:r w:rsidR="001B6E62">
        <w:rPr>
          <w:noProof/>
          <w:color w:val="404040"/>
          <w:sz w:val="28"/>
          <w:szCs w:val="28"/>
          <w:lang w:eastAsia="en-US"/>
        </w:rPr>
        <w:instrText xml:space="preserve"> </w:instrText>
      </w:r>
      <w:r w:rsidR="00E2791B">
        <w:rPr>
          <w:noProof/>
          <w:color w:val="404040"/>
          <w:sz w:val="28"/>
          <w:szCs w:val="28"/>
          <w:lang w:eastAsia="en-US"/>
        </w:rPr>
        <w:instrText xml:space="preserve">Heading 2,2, </w:instrText>
      </w:r>
      <w:r>
        <w:rPr>
          <w:noProof/>
          <w:color w:val="404040"/>
          <w:sz w:val="28"/>
          <w:szCs w:val="28"/>
          <w:lang w:eastAsia="en-US"/>
        </w:rPr>
        <w:instrText xml:space="preserve">Heading 1 numbered,4,Heading 2 numbered,5,Heading 3 numbered,6" </w:instrText>
      </w:r>
      <w:r>
        <w:rPr>
          <w:noProof/>
          <w:color w:val="404040"/>
          <w:sz w:val="28"/>
          <w:szCs w:val="28"/>
          <w:lang w:eastAsia="en-US"/>
        </w:rPr>
        <w:fldChar w:fldCharType="separate"/>
      </w:r>
      <w:hyperlink w:anchor="_Toc785439" w:history="1">
        <w:r w:rsidR="001B0ED0" w:rsidRPr="003F4FCF">
          <w:rPr>
            <w:rStyle w:val="Hyperlink"/>
            <w:noProof/>
          </w:rPr>
          <w:t>Introduction</w:t>
        </w:r>
        <w:r w:rsidR="001B0ED0">
          <w:rPr>
            <w:noProof/>
            <w:webHidden/>
          </w:rPr>
          <w:tab/>
        </w:r>
        <w:r w:rsidR="001B0ED0">
          <w:rPr>
            <w:noProof/>
            <w:webHidden/>
          </w:rPr>
          <w:fldChar w:fldCharType="begin"/>
        </w:r>
        <w:r w:rsidR="001B0ED0">
          <w:rPr>
            <w:noProof/>
            <w:webHidden/>
          </w:rPr>
          <w:instrText xml:space="preserve"> PAGEREF _Toc785439 \h </w:instrText>
        </w:r>
        <w:r w:rsidR="001B0ED0">
          <w:rPr>
            <w:noProof/>
            <w:webHidden/>
          </w:rPr>
        </w:r>
        <w:r w:rsidR="001B0ED0">
          <w:rPr>
            <w:noProof/>
            <w:webHidden/>
          </w:rPr>
          <w:fldChar w:fldCharType="separate"/>
        </w:r>
        <w:r w:rsidR="003D4CD6">
          <w:rPr>
            <w:noProof/>
            <w:webHidden/>
          </w:rPr>
          <w:t>1</w:t>
        </w:r>
        <w:r w:rsidR="001B0ED0">
          <w:rPr>
            <w:noProof/>
            <w:webHidden/>
          </w:rPr>
          <w:fldChar w:fldCharType="end"/>
        </w:r>
      </w:hyperlink>
    </w:p>
    <w:p w:rsidR="001B0ED0" w:rsidRDefault="00A23E4C">
      <w:pPr>
        <w:pStyle w:val="TOC2"/>
        <w:rPr>
          <w:spacing w:val="0"/>
          <w:sz w:val="22"/>
          <w:szCs w:val="22"/>
        </w:rPr>
      </w:pPr>
      <w:hyperlink w:anchor="_Toc785440" w:history="1">
        <w:r w:rsidR="001B0ED0" w:rsidRPr="003F4FCF">
          <w:rPr>
            <w:rStyle w:val="Hyperlink"/>
          </w:rPr>
          <w:t>Purpose and context</w:t>
        </w:r>
        <w:r w:rsidR="001B0ED0">
          <w:rPr>
            <w:webHidden/>
          </w:rPr>
          <w:tab/>
        </w:r>
        <w:r w:rsidR="001B0ED0">
          <w:rPr>
            <w:webHidden/>
          </w:rPr>
          <w:fldChar w:fldCharType="begin"/>
        </w:r>
        <w:r w:rsidR="001B0ED0">
          <w:rPr>
            <w:webHidden/>
          </w:rPr>
          <w:instrText xml:space="preserve"> PAGEREF _Toc785440 \h </w:instrText>
        </w:r>
        <w:r w:rsidR="001B0ED0">
          <w:rPr>
            <w:webHidden/>
          </w:rPr>
        </w:r>
        <w:r w:rsidR="001B0ED0">
          <w:rPr>
            <w:webHidden/>
          </w:rPr>
          <w:fldChar w:fldCharType="separate"/>
        </w:r>
        <w:r w:rsidR="003D4CD6">
          <w:rPr>
            <w:webHidden/>
          </w:rPr>
          <w:t>1</w:t>
        </w:r>
        <w:r w:rsidR="001B0ED0">
          <w:rPr>
            <w:webHidden/>
          </w:rPr>
          <w:fldChar w:fldCharType="end"/>
        </w:r>
      </w:hyperlink>
    </w:p>
    <w:p w:rsidR="001B0ED0" w:rsidRDefault="00A23E4C">
      <w:pPr>
        <w:pStyle w:val="TOC2"/>
        <w:rPr>
          <w:spacing w:val="0"/>
          <w:sz w:val="22"/>
          <w:szCs w:val="22"/>
        </w:rPr>
      </w:pPr>
      <w:hyperlink w:anchor="_Toc785441" w:history="1">
        <w:r w:rsidR="001B0ED0" w:rsidRPr="003F4FCF">
          <w:rPr>
            <w:rStyle w:val="Hyperlink"/>
          </w:rPr>
          <w:t>Legal status</w:t>
        </w:r>
        <w:r w:rsidR="001B0ED0">
          <w:rPr>
            <w:webHidden/>
          </w:rPr>
          <w:tab/>
        </w:r>
        <w:r w:rsidR="001B0ED0">
          <w:rPr>
            <w:webHidden/>
          </w:rPr>
          <w:fldChar w:fldCharType="begin"/>
        </w:r>
        <w:r w:rsidR="001B0ED0">
          <w:rPr>
            <w:webHidden/>
          </w:rPr>
          <w:instrText xml:space="preserve"> PAGEREF _Toc785441 \h </w:instrText>
        </w:r>
        <w:r w:rsidR="001B0ED0">
          <w:rPr>
            <w:webHidden/>
          </w:rPr>
        </w:r>
        <w:r w:rsidR="001B0ED0">
          <w:rPr>
            <w:webHidden/>
          </w:rPr>
          <w:fldChar w:fldCharType="separate"/>
        </w:r>
        <w:r w:rsidR="003D4CD6">
          <w:rPr>
            <w:webHidden/>
          </w:rPr>
          <w:t>1</w:t>
        </w:r>
        <w:r w:rsidR="001B0ED0">
          <w:rPr>
            <w:webHidden/>
          </w:rPr>
          <w:fldChar w:fldCharType="end"/>
        </w:r>
      </w:hyperlink>
    </w:p>
    <w:p w:rsidR="001B0ED0" w:rsidRDefault="00A23E4C">
      <w:pPr>
        <w:pStyle w:val="TOC2"/>
        <w:rPr>
          <w:spacing w:val="0"/>
          <w:sz w:val="22"/>
          <w:szCs w:val="22"/>
        </w:rPr>
      </w:pPr>
      <w:hyperlink w:anchor="_Toc785442" w:history="1">
        <w:r w:rsidR="001B0ED0" w:rsidRPr="003F4FCF">
          <w:rPr>
            <w:rStyle w:val="Hyperlink"/>
          </w:rPr>
          <w:t>Application and compliance</w:t>
        </w:r>
        <w:r w:rsidR="001B0ED0">
          <w:rPr>
            <w:webHidden/>
          </w:rPr>
          <w:tab/>
        </w:r>
        <w:r w:rsidR="001B0ED0">
          <w:rPr>
            <w:webHidden/>
          </w:rPr>
          <w:fldChar w:fldCharType="begin"/>
        </w:r>
        <w:r w:rsidR="001B0ED0">
          <w:rPr>
            <w:webHidden/>
          </w:rPr>
          <w:instrText xml:space="preserve"> PAGEREF _Toc785442 \h </w:instrText>
        </w:r>
        <w:r w:rsidR="001B0ED0">
          <w:rPr>
            <w:webHidden/>
          </w:rPr>
        </w:r>
        <w:r w:rsidR="001B0ED0">
          <w:rPr>
            <w:webHidden/>
          </w:rPr>
          <w:fldChar w:fldCharType="separate"/>
        </w:r>
        <w:r w:rsidR="003D4CD6">
          <w:rPr>
            <w:webHidden/>
          </w:rPr>
          <w:t>2</w:t>
        </w:r>
        <w:r w:rsidR="001B0ED0">
          <w:rPr>
            <w:webHidden/>
          </w:rPr>
          <w:fldChar w:fldCharType="end"/>
        </w:r>
      </w:hyperlink>
    </w:p>
    <w:p w:rsidR="001B0ED0" w:rsidRDefault="00A23E4C">
      <w:pPr>
        <w:pStyle w:val="TOC2"/>
        <w:rPr>
          <w:spacing w:val="0"/>
          <w:sz w:val="22"/>
          <w:szCs w:val="22"/>
        </w:rPr>
      </w:pPr>
      <w:hyperlink w:anchor="_Toc785443" w:history="1">
        <w:r w:rsidR="001B0ED0" w:rsidRPr="003F4FCF">
          <w:rPr>
            <w:rStyle w:val="Hyperlink"/>
          </w:rPr>
          <w:t>Commencement, DTF role and currency</w:t>
        </w:r>
        <w:r w:rsidR="001B0ED0">
          <w:rPr>
            <w:webHidden/>
          </w:rPr>
          <w:tab/>
        </w:r>
        <w:r w:rsidR="001B0ED0">
          <w:rPr>
            <w:webHidden/>
          </w:rPr>
          <w:fldChar w:fldCharType="begin"/>
        </w:r>
        <w:r w:rsidR="001B0ED0">
          <w:rPr>
            <w:webHidden/>
          </w:rPr>
          <w:instrText xml:space="preserve"> PAGEREF _Toc785443 \h </w:instrText>
        </w:r>
        <w:r w:rsidR="001B0ED0">
          <w:rPr>
            <w:webHidden/>
          </w:rPr>
        </w:r>
        <w:r w:rsidR="001B0ED0">
          <w:rPr>
            <w:webHidden/>
          </w:rPr>
          <w:fldChar w:fldCharType="separate"/>
        </w:r>
        <w:r w:rsidR="003D4CD6">
          <w:rPr>
            <w:webHidden/>
          </w:rPr>
          <w:t>2</w:t>
        </w:r>
        <w:r w:rsidR="001B0ED0">
          <w:rPr>
            <w:webHidden/>
          </w:rPr>
          <w:fldChar w:fldCharType="end"/>
        </w:r>
      </w:hyperlink>
    </w:p>
    <w:p w:rsidR="001B0ED0" w:rsidRDefault="00A23E4C">
      <w:pPr>
        <w:pStyle w:val="TOC2"/>
        <w:rPr>
          <w:spacing w:val="0"/>
          <w:sz w:val="22"/>
          <w:szCs w:val="22"/>
        </w:rPr>
      </w:pPr>
      <w:hyperlink w:anchor="_Toc785444" w:history="1">
        <w:r w:rsidR="001B0ED0" w:rsidRPr="003F4FCF">
          <w:rPr>
            <w:rStyle w:val="Hyperlink"/>
          </w:rPr>
          <w:t>Structure</w:t>
        </w:r>
        <w:r w:rsidR="001B0ED0">
          <w:rPr>
            <w:webHidden/>
          </w:rPr>
          <w:tab/>
        </w:r>
        <w:r w:rsidR="001B0ED0">
          <w:rPr>
            <w:webHidden/>
          </w:rPr>
          <w:fldChar w:fldCharType="begin"/>
        </w:r>
        <w:r w:rsidR="001B0ED0">
          <w:rPr>
            <w:webHidden/>
          </w:rPr>
          <w:instrText xml:space="preserve"> PAGEREF _Toc785444 \h </w:instrText>
        </w:r>
        <w:r w:rsidR="001B0ED0">
          <w:rPr>
            <w:webHidden/>
          </w:rPr>
        </w:r>
        <w:r w:rsidR="001B0ED0">
          <w:rPr>
            <w:webHidden/>
          </w:rPr>
          <w:fldChar w:fldCharType="separate"/>
        </w:r>
        <w:r w:rsidR="003D4CD6">
          <w:rPr>
            <w:webHidden/>
          </w:rPr>
          <w:t>3</w:t>
        </w:r>
        <w:r w:rsidR="001B0ED0">
          <w:rPr>
            <w:webHidden/>
          </w:rPr>
          <w:fldChar w:fldCharType="end"/>
        </w:r>
      </w:hyperlink>
    </w:p>
    <w:p w:rsidR="001B0ED0" w:rsidRDefault="00A23E4C">
      <w:pPr>
        <w:pStyle w:val="TOC1"/>
        <w:rPr>
          <w:noProof/>
          <w:spacing w:val="0"/>
          <w:sz w:val="22"/>
          <w:szCs w:val="22"/>
        </w:rPr>
      </w:pPr>
      <w:hyperlink w:anchor="_Toc785445" w:history="1">
        <w:r w:rsidR="001B0ED0" w:rsidRPr="003F4FCF">
          <w:rPr>
            <w:rStyle w:val="Hyperlink"/>
            <w:noProof/>
          </w:rPr>
          <w:t>Definitions</w:t>
        </w:r>
        <w:r w:rsidR="001B0ED0">
          <w:rPr>
            <w:noProof/>
            <w:webHidden/>
          </w:rPr>
          <w:tab/>
        </w:r>
        <w:r w:rsidR="001B0ED0">
          <w:rPr>
            <w:noProof/>
            <w:webHidden/>
          </w:rPr>
          <w:fldChar w:fldCharType="begin"/>
        </w:r>
        <w:r w:rsidR="001B0ED0">
          <w:rPr>
            <w:noProof/>
            <w:webHidden/>
          </w:rPr>
          <w:instrText xml:space="preserve"> PAGEREF _Toc785445 \h </w:instrText>
        </w:r>
        <w:r w:rsidR="001B0ED0">
          <w:rPr>
            <w:noProof/>
            <w:webHidden/>
          </w:rPr>
        </w:r>
        <w:r w:rsidR="001B0ED0">
          <w:rPr>
            <w:noProof/>
            <w:webHidden/>
          </w:rPr>
          <w:fldChar w:fldCharType="separate"/>
        </w:r>
        <w:r w:rsidR="003D4CD6">
          <w:rPr>
            <w:noProof/>
            <w:webHidden/>
          </w:rPr>
          <w:t>4</w:t>
        </w:r>
        <w:r w:rsidR="001B0ED0">
          <w:rPr>
            <w:noProof/>
            <w:webHidden/>
          </w:rPr>
          <w:fldChar w:fldCharType="end"/>
        </w:r>
      </w:hyperlink>
    </w:p>
    <w:p w:rsidR="001B0ED0" w:rsidRDefault="00A23E4C">
      <w:pPr>
        <w:pStyle w:val="TOC4"/>
        <w:rPr>
          <w:spacing w:val="0"/>
          <w:sz w:val="22"/>
          <w:szCs w:val="22"/>
          <w:lang w:eastAsia="en-AU"/>
        </w:rPr>
      </w:pPr>
      <w:hyperlink w:anchor="_Toc785446" w:history="1">
        <w:r w:rsidR="001B0ED0" w:rsidRPr="003F4FCF">
          <w:rPr>
            <w:rStyle w:val="Hyperlink"/>
          </w:rPr>
          <w:t>1.</w:t>
        </w:r>
        <w:r w:rsidR="001B0ED0">
          <w:rPr>
            <w:spacing w:val="0"/>
            <w:sz w:val="22"/>
            <w:szCs w:val="22"/>
            <w:lang w:eastAsia="en-AU"/>
          </w:rPr>
          <w:tab/>
        </w:r>
        <w:r w:rsidR="001B0ED0" w:rsidRPr="003F4FCF">
          <w:rPr>
            <w:rStyle w:val="Hyperlink"/>
          </w:rPr>
          <w:t>Specific accounting issues</w:t>
        </w:r>
        <w:r w:rsidR="001B0ED0">
          <w:rPr>
            <w:webHidden/>
          </w:rPr>
          <w:tab/>
        </w:r>
        <w:r w:rsidR="001B0ED0">
          <w:rPr>
            <w:webHidden/>
          </w:rPr>
          <w:fldChar w:fldCharType="begin"/>
        </w:r>
        <w:r w:rsidR="001B0ED0">
          <w:rPr>
            <w:webHidden/>
          </w:rPr>
          <w:instrText xml:space="preserve"> PAGEREF _Toc785446 \h </w:instrText>
        </w:r>
        <w:r w:rsidR="001B0ED0">
          <w:rPr>
            <w:webHidden/>
          </w:rPr>
        </w:r>
        <w:r w:rsidR="001B0ED0">
          <w:rPr>
            <w:webHidden/>
          </w:rPr>
          <w:fldChar w:fldCharType="separate"/>
        </w:r>
        <w:r w:rsidR="003D4CD6">
          <w:rPr>
            <w:webHidden/>
          </w:rPr>
          <w:t>6</w:t>
        </w:r>
        <w:r w:rsidR="001B0ED0">
          <w:rPr>
            <w:webHidden/>
          </w:rPr>
          <w:fldChar w:fldCharType="end"/>
        </w:r>
      </w:hyperlink>
    </w:p>
    <w:p w:rsidR="001B0ED0" w:rsidRDefault="00A23E4C">
      <w:pPr>
        <w:pStyle w:val="TOC5"/>
        <w:tabs>
          <w:tab w:val="left" w:pos="1080"/>
        </w:tabs>
        <w:rPr>
          <w:spacing w:val="0"/>
          <w:sz w:val="22"/>
          <w:szCs w:val="22"/>
          <w:lang w:eastAsia="en-AU"/>
        </w:rPr>
      </w:pPr>
      <w:hyperlink w:anchor="_Toc785447" w:history="1">
        <w:r w:rsidR="001B0ED0" w:rsidRPr="003F4FCF">
          <w:rPr>
            <w:rStyle w:val="Hyperlink"/>
          </w:rPr>
          <w:t>1.1</w:t>
        </w:r>
        <w:r w:rsidR="001B0ED0">
          <w:rPr>
            <w:spacing w:val="0"/>
            <w:sz w:val="22"/>
            <w:szCs w:val="22"/>
            <w:lang w:eastAsia="en-AU"/>
          </w:rPr>
          <w:tab/>
        </w:r>
        <w:r w:rsidR="001B0ED0" w:rsidRPr="003F4FCF">
          <w:rPr>
            <w:rStyle w:val="Hyperlink"/>
          </w:rPr>
          <w:t>The classification and treatment of controlled and administered items</w:t>
        </w:r>
        <w:r w:rsidR="001B0ED0">
          <w:rPr>
            <w:webHidden/>
          </w:rPr>
          <w:tab/>
        </w:r>
        <w:r w:rsidR="001B0ED0">
          <w:rPr>
            <w:webHidden/>
          </w:rPr>
          <w:fldChar w:fldCharType="begin"/>
        </w:r>
        <w:r w:rsidR="001B0ED0">
          <w:rPr>
            <w:webHidden/>
          </w:rPr>
          <w:instrText xml:space="preserve"> PAGEREF _Toc785447 \h </w:instrText>
        </w:r>
        <w:r w:rsidR="001B0ED0">
          <w:rPr>
            <w:webHidden/>
          </w:rPr>
        </w:r>
        <w:r w:rsidR="001B0ED0">
          <w:rPr>
            <w:webHidden/>
          </w:rPr>
          <w:fldChar w:fldCharType="separate"/>
        </w:r>
        <w:r w:rsidR="003D4CD6">
          <w:rPr>
            <w:webHidden/>
          </w:rPr>
          <w:t>6</w:t>
        </w:r>
        <w:r w:rsidR="001B0ED0">
          <w:rPr>
            <w:webHidden/>
          </w:rPr>
          <w:fldChar w:fldCharType="end"/>
        </w:r>
      </w:hyperlink>
    </w:p>
    <w:p w:rsidR="001B0ED0" w:rsidRDefault="00A23E4C">
      <w:pPr>
        <w:pStyle w:val="TOC6"/>
        <w:tabs>
          <w:tab w:val="left" w:pos="1800"/>
        </w:tabs>
        <w:rPr>
          <w:spacing w:val="0"/>
          <w:sz w:val="22"/>
          <w:szCs w:val="22"/>
          <w:lang w:eastAsia="en-AU"/>
        </w:rPr>
      </w:pPr>
      <w:hyperlink w:anchor="_Toc785448" w:history="1">
        <w:r w:rsidR="001B0ED0" w:rsidRPr="003F4FCF">
          <w:rPr>
            <w:rStyle w:val="Hyperlink"/>
          </w:rPr>
          <w:t>1.1.1</w:t>
        </w:r>
        <w:r w:rsidR="001B0ED0">
          <w:rPr>
            <w:spacing w:val="0"/>
            <w:sz w:val="22"/>
            <w:szCs w:val="22"/>
            <w:lang w:eastAsia="en-AU"/>
          </w:rPr>
          <w:tab/>
        </w:r>
        <w:r w:rsidR="001B0ED0" w:rsidRPr="003F4FCF">
          <w:rPr>
            <w:rStyle w:val="Hyperlink"/>
          </w:rPr>
          <w:t>Treatment of controlled items</w:t>
        </w:r>
        <w:r w:rsidR="001B0ED0">
          <w:rPr>
            <w:webHidden/>
          </w:rPr>
          <w:tab/>
        </w:r>
        <w:r w:rsidR="001B0ED0">
          <w:rPr>
            <w:webHidden/>
          </w:rPr>
          <w:fldChar w:fldCharType="begin"/>
        </w:r>
        <w:r w:rsidR="001B0ED0">
          <w:rPr>
            <w:webHidden/>
          </w:rPr>
          <w:instrText xml:space="preserve"> PAGEREF _Toc785448 \h </w:instrText>
        </w:r>
        <w:r w:rsidR="001B0ED0">
          <w:rPr>
            <w:webHidden/>
          </w:rPr>
        </w:r>
        <w:r w:rsidR="001B0ED0">
          <w:rPr>
            <w:webHidden/>
          </w:rPr>
          <w:fldChar w:fldCharType="separate"/>
        </w:r>
        <w:r w:rsidR="003D4CD6">
          <w:rPr>
            <w:webHidden/>
          </w:rPr>
          <w:t>6</w:t>
        </w:r>
        <w:r w:rsidR="001B0ED0">
          <w:rPr>
            <w:webHidden/>
          </w:rPr>
          <w:fldChar w:fldCharType="end"/>
        </w:r>
      </w:hyperlink>
    </w:p>
    <w:p w:rsidR="001B0ED0" w:rsidRDefault="00A23E4C">
      <w:pPr>
        <w:pStyle w:val="TOC6"/>
        <w:tabs>
          <w:tab w:val="left" w:pos="1800"/>
        </w:tabs>
        <w:rPr>
          <w:spacing w:val="0"/>
          <w:sz w:val="22"/>
          <w:szCs w:val="22"/>
          <w:lang w:eastAsia="en-AU"/>
        </w:rPr>
      </w:pPr>
      <w:hyperlink w:anchor="_Toc785449" w:history="1">
        <w:r w:rsidR="001B0ED0" w:rsidRPr="003F4FCF">
          <w:rPr>
            <w:rStyle w:val="Hyperlink"/>
          </w:rPr>
          <w:t>1.1.2</w:t>
        </w:r>
        <w:r w:rsidR="001B0ED0">
          <w:rPr>
            <w:spacing w:val="0"/>
            <w:sz w:val="22"/>
            <w:szCs w:val="22"/>
            <w:lang w:eastAsia="en-AU"/>
          </w:rPr>
          <w:tab/>
        </w:r>
        <w:r w:rsidR="001B0ED0" w:rsidRPr="003F4FCF">
          <w:rPr>
            <w:rStyle w:val="Hyperlink"/>
          </w:rPr>
          <w:t>Treatment of administered items</w:t>
        </w:r>
        <w:r w:rsidR="001B0ED0">
          <w:rPr>
            <w:webHidden/>
          </w:rPr>
          <w:tab/>
        </w:r>
        <w:r w:rsidR="001B0ED0">
          <w:rPr>
            <w:webHidden/>
          </w:rPr>
          <w:fldChar w:fldCharType="begin"/>
        </w:r>
        <w:r w:rsidR="001B0ED0">
          <w:rPr>
            <w:webHidden/>
          </w:rPr>
          <w:instrText xml:space="preserve"> PAGEREF _Toc785449 \h </w:instrText>
        </w:r>
        <w:r w:rsidR="001B0ED0">
          <w:rPr>
            <w:webHidden/>
          </w:rPr>
        </w:r>
        <w:r w:rsidR="001B0ED0">
          <w:rPr>
            <w:webHidden/>
          </w:rPr>
          <w:fldChar w:fldCharType="separate"/>
        </w:r>
        <w:r w:rsidR="003D4CD6">
          <w:rPr>
            <w:webHidden/>
          </w:rPr>
          <w:t>6</w:t>
        </w:r>
        <w:r w:rsidR="001B0ED0">
          <w:rPr>
            <w:webHidden/>
          </w:rPr>
          <w:fldChar w:fldCharType="end"/>
        </w:r>
      </w:hyperlink>
    </w:p>
    <w:p w:rsidR="001B0ED0" w:rsidRDefault="00A23E4C">
      <w:pPr>
        <w:pStyle w:val="TOC5"/>
        <w:tabs>
          <w:tab w:val="left" w:pos="1080"/>
        </w:tabs>
        <w:rPr>
          <w:spacing w:val="0"/>
          <w:sz w:val="22"/>
          <w:szCs w:val="22"/>
          <w:lang w:eastAsia="en-AU"/>
        </w:rPr>
      </w:pPr>
      <w:hyperlink w:anchor="_Toc785450" w:history="1">
        <w:r w:rsidR="001B0ED0" w:rsidRPr="003F4FCF">
          <w:rPr>
            <w:rStyle w:val="Hyperlink"/>
          </w:rPr>
          <w:t>1.2</w:t>
        </w:r>
        <w:r w:rsidR="001B0ED0">
          <w:rPr>
            <w:spacing w:val="0"/>
            <w:sz w:val="22"/>
            <w:szCs w:val="22"/>
            <w:lang w:eastAsia="en-AU"/>
          </w:rPr>
          <w:tab/>
        </w:r>
        <w:r w:rsidR="001B0ED0" w:rsidRPr="003F4FCF">
          <w:rPr>
            <w:rStyle w:val="Hyperlink"/>
          </w:rPr>
          <w:t>Materiality and other thresholds</w:t>
        </w:r>
        <w:r w:rsidR="001B0ED0">
          <w:rPr>
            <w:webHidden/>
          </w:rPr>
          <w:tab/>
        </w:r>
        <w:r w:rsidR="001B0ED0">
          <w:rPr>
            <w:webHidden/>
          </w:rPr>
          <w:fldChar w:fldCharType="begin"/>
        </w:r>
        <w:r w:rsidR="001B0ED0">
          <w:rPr>
            <w:webHidden/>
          </w:rPr>
          <w:instrText xml:space="preserve"> PAGEREF _Toc785450 \h </w:instrText>
        </w:r>
        <w:r w:rsidR="001B0ED0">
          <w:rPr>
            <w:webHidden/>
          </w:rPr>
        </w:r>
        <w:r w:rsidR="001B0ED0">
          <w:rPr>
            <w:webHidden/>
          </w:rPr>
          <w:fldChar w:fldCharType="separate"/>
        </w:r>
        <w:r w:rsidR="003D4CD6">
          <w:rPr>
            <w:webHidden/>
          </w:rPr>
          <w:t>8</w:t>
        </w:r>
        <w:r w:rsidR="001B0ED0">
          <w:rPr>
            <w:webHidden/>
          </w:rPr>
          <w:fldChar w:fldCharType="end"/>
        </w:r>
      </w:hyperlink>
    </w:p>
    <w:p w:rsidR="001B0ED0" w:rsidRDefault="00A23E4C">
      <w:pPr>
        <w:pStyle w:val="TOC5"/>
        <w:tabs>
          <w:tab w:val="left" w:pos="1080"/>
        </w:tabs>
        <w:rPr>
          <w:spacing w:val="0"/>
          <w:sz w:val="22"/>
          <w:szCs w:val="22"/>
          <w:lang w:eastAsia="en-AU"/>
        </w:rPr>
      </w:pPr>
      <w:hyperlink w:anchor="_Toc785451" w:history="1">
        <w:r w:rsidR="001B0ED0" w:rsidRPr="003F4FCF">
          <w:rPr>
            <w:rStyle w:val="Hyperlink"/>
          </w:rPr>
          <w:t>1.3</w:t>
        </w:r>
        <w:r w:rsidR="001B0ED0">
          <w:rPr>
            <w:spacing w:val="0"/>
            <w:sz w:val="22"/>
            <w:szCs w:val="22"/>
            <w:lang w:eastAsia="en-AU"/>
          </w:rPr>
          <w:tab/>
        </w:r>
        <w:r w:rsidR="001B0ED0" w:rsidRPr="003F4FCF">
          <w:rPr>
            <w:rStyle w:val="Hyperlink"/>
          </w:rPr>
          <w:t>Contributed capital</w:t>
        </w:r>
        <w:r w:rsidR="001B0ED0">
          <w:rPr>
            <w:webHidden/>
          </w:rPr>
          <w:tab/>
        </w:r>
        <w:r w:rsidR="001B0ED0">
          <w:rPr>
            <w:webHidden/>
          </w:rPr>
          <w:fldChar w:fldCharType="begin"/>
        </w:r>
        <w:r w:rsidR="001B0ED0">
          <w:rPr>
            <w:webHidden/>
          </w:rPr>
          <w:instrText xml:space="preserve"> PAGEREF _Toc785451 \h </w:instrText>
        </w:r>
        <w:r w:rsidR="001B0ED0">
          <w:rPr>
            <w:webHidden/>
          </w:rPr>
        </w:r>
        <w:r w:rsidR="001B0ED0">
          <w:rPr>
            <w:webHidden/>
          </w:rPr>
          <w:fldChar w:fldCharType="separate"/>
        </w:r>
        <w:r w:rsidR="003D4CD6">
          <w:rPr>
            <w:webHidden/>
          </w:rPr>
          <w:t>9</w:t>
        </w:r>
        <w:r w:rsidR="001B0ED0">
          <w:rPr>
            <w:webHidden/>
          </w:rPr>
          <w:fldChar w:fldCharType="end"/>
        </w:r>
      </w:hyperlink>
    </w:p>
    <w:p w:rsidR="001B0ED0" w:rsidRDefault="00A23E4C">
      <w:pPr>
        <w:pStyle w:val="TOC6"/>
        <w:tabs>
          <w:tab w:val="left" w:pos="1800"/>
        </w:tabs>
        <w:rPr>
          <w:spacing w:val="0"/>
          <w:sz w:val="22"/>
          <w:szCs w:val="22"/>
          <w:lang w:eastAsia="en-AU"/>
        </w:rPr>
      </w:pPr>
      <w:hyperlink w:anchor="_Toc785452" w:history="1">
        <w:r w:rsidR="001B0ED0" w:rsidRPr="003F4FCF">
          <w:rPr>
            <w:rStyle w:val="Hyperlink"/>
          </w:rPr>
          <w:t>1.3.1</w:t>
        </w:r>
        <w:r w:rsidR="001B0ED0">
          <w:rPr>
            <w:spacing w:val="0"/>
            <w:sz w:val="22"/>
            <w:szCs w:val="22"/>
            <w:lang w:eastAsia="en-AU"/>
          </w:rPr>
          <w:tab/>
        </w:r>
        <w:r w:rsidR="001B0ED0" w:rsidRPr="003F4FCF">
          <w:rPr>
            <w:rStyle w:val="Hyperlink"/>
          </w:rPr>
          <w:t>Contributed capital reconciliation requirements and time frames – actuals</w:t>
        </w:r>
        <w:r w:rsidR="001B0ED0">
          <w:rPr>
            <w:webHidden/>
          </w:rPr>
          <w:tab/>
        </w:r>
        <w:r w:rsidR="001B0ED0">
          <w:rPr>
            <w:webHidden/>
          </w:rPr>
          <w:fldChar w:fldCharType="begin"/>
        </w:r>
        <w:r w:rsidR="001B0ED0">
          <w:rPr>
            <w:webHidden/>
          </w:rPr>
          <w:instrText xml:space="preserve"> PAGEREF _Toc785452 \h </w:instrText>
        </w:r>
        <w:r w:rsidR="001B0ED0">
          <w:rPr>
            <w:webHidden/>
          </w:rPr>
        </w:r>
        <w:r w:rsidR="001B0ED0">
          <w:rPr>
            <w:webHidden/>
          </w:rPr>
          <w:fldChar w:fldCharType="separate"/>
        </w:r>
        <w:r w:rsidR="003D4CD6">
          <w:rPr>
            <w:webHidden/>
          </w:rPr>
          <w:t>9</w:t>
        </w:r>
        <w:r w:rsidR="001B0ED0">
          <w:rPr>
            <w:webHidden/>
          </w:rPr>
          <w:fldChar w:fldCharType="end"/>
        </w:r>
      </w:hyperlink>
    </w:p>
    <w:p w:rsidR="001B0ED0" w:rsidRDefault="00A23E4C">
      <w:pPr>
        <w:pStyle w:val="TOC6"/>
        <w:tabs>
          <w:tab w:val="left" w:pos="1800"/>
        </w:tabs>
        <w:rPr>
          <w:spacing w:val="0"/>
          <w:sz w:val="22"/>
          <w:szCs w:val="22"/>
          <w:lang w:eastAsia="en-AU"/>
        </w:rPr>
      </w:pPr>
      <w:hyperlink w:anchor="_Toc785453" w:history="1">
        <w:r w:rsidR="001B0ED0" w:rsidRPr="003F4FCF">
          <w:rPr>
            <w:rStyle w:val="Hyperlink"/>
          </w:rPr>
          <w:t>1.3.2</w:t>
        </w:r>
        <w:r w:rsidR="001B0ED0">
          <w:rPr>
            <w:spacing w:val="0"/>
            <w:sz w:val="22"/>
            <w:szCs w:val="22"/>
            <w:lang w:eastAsia="en-AU"/>
          </w:rPr>
          <w:tab/>
        </w:r>
        <w:r w:rsidR="001B0ED0" w:rsidRPr="003F4FCF">
          <w:rPr>
            <w:rStyle w:val="Hyperlink"/>
          </w:rPr>
          <w:t>Contributed capital journal entry reconciliation requirements – estimates</w:t>
        </w:r>
        <w:r w:rsidR="001B0ED0">
          <w:rPr>
            <w:webHidden/>
          </w:rPr>
          <w:tab/>
        </w:r>
        <w:r w:rsidR="001B0ED0">
          <w:rPr>
            <w:webHidden/>
          </w:rPr>
          <w:fldChar w:fldCharType="begin"/>
        </w:r>
        <w:r w:rsidR="001B0ED0">
          <w:rPr>
            <w:webHidden/>
          </w:rPr>
          <w:instrText xml:space="preserve"> PAGEREF _Toc785453 \h </w:instrText>
        </w:r>
        <w:r w:rsidR="001B0ED0">
          <w:rPr>
            <w:webHidden/>
          </w:rPr>
        </w:r>
        <w:r w:rsidR="001B0ED0">
          <w:rPr>
            <w:webHidden/>
          </w:rPr>
          <w:fldChar w:fldCharType="separate"/>
        </w:r>
        <w:r w:rsidR="003D4CD6">
          <w:rPr>
            <w:webHidden/>
          </w:rPr>
          <w:t>9</w:t>
        </w:r>
        <w:r w:rsidR="001B0ED0">
          <w:rPr>
            <w:webHidden/>
          </w:rPr>
          <w:fldChar w:fldCharType="end"/>
        </w:r>
      </w:hyperlink>
    </w:p>
    <w:p w:rsidR="001B0ED0" w:rsidRDefault="00A23E4C">
      <w:pPr>
        <w:pStyle w:val="TOC6"/>
        <w:tabs>
          <w:tab w:val="left" w:pos="1800"/>
        </w:tabs>
        <w:rPr>
          <w:spacing w:val="0"/>
          <w:sz w:val="22"/>
          <w:szCs w:val="22"/>
          <w:lang w:eastAsia="en-AU"/>
        </w:rPr>
      </w:pPr>
      <w:hyperlink w:anchor="_Toc785454" w:history="1">
        <w:r w:rsidR="001B0ED0" w:rsidRPr="003F4FCF">
          <w:rPr>
            <w:rStyle w:val="Hyperlink"/>
          </w:rPr>
          <w:t>1.3.3</w:t>
        </w:r>
        <w:r w:rsidR="001B0ED0">
          <w:rPr>
            <w:spacing w:val="0"/>
            <w:sz w:val="22"/>
            <w:szCs w:val="22"/>
            <w:lang w:eastAsia="en-AU"/>
          </w:rPr>
          <w:tab/>
        </w:r>
        <w:r w:rsidR="001B0ED0" w:rsidRPr="003F4FCF">
          <w:rPr>
            <w:rStyle w:val="Hyperlink"/>
          </w:rPr>
          <w:t>Treatment of contributed capital entries in departmental and portfolio agency accounts</w:t>
        </w:r>
        <w:r w:rsidR="001B0ED0">
          <w:rPr>
            <w:webHidden/>
          </w:rPr>
          <w:tab/>
        </w:r>
        <w:r w:rsidR="001B0ED0">
          <w:rPr>
            <w:webHidden/>
          </w:rPr>
          <w:fldChar w:fldCharType="begin"/>
        </w:r>
        <w:r w:rsidR="001B0ED0">
          <w:rPr>
            <w:webHidden/>
          </w:rPr>
          <w:instrText xml:space="preserve"> PAGEREF _Toc785454 \h </w:instrText>
        </w:r>
        <w:r w:rsidR="001B0ED0">
          <w:rPr>
            <w:webHidden/>
          </w:rPr>
        </w:r>
        <w:r w:rsidR="001B0ED0">
          <w:rPr>
            <w:webHidden/>
          </w:rPr>
          <w:fldChar w:fldCharType="separate"/>
        </w:r>
        <w:r w:rsidR="003D4CD6">
          <w:rPr>
            <w:webHidden/>
          </w:rPr>
          <w:t>9</w:t>
        </w:r>
        <w:r w:rsidR="001B0ED0">
          <w:rPr>
            <w:webHidden/>
          </w:rPr>
          <w:fldChar w:fldCharType="end"/>
        </w:r>
      </w:hyperlink>
    </w:p>
    <w:p w:rsidR="001B0ED0" w:rsidRDefault="00A23E4C">
      <w:pPr>
        <w:pStyle w:val="TOC6"/>
        <w:tabs>
          <w:tab w:val="left" w:pos="1800"/>
        </w:tabs>
        <w:rPr>
          <w:spacing w:val="0"/>
          <w:sz w:val="22"/>
          <w:szCs w:val="22"/>
          <w:lang w:eastAsia="en-AU"/>
        </w:rPr>
      </w:pPr>
      <w:hyperlink w:anchor="_Toc785455" w:history="1">
        <w:r w:rsidR="001B0ED0" w:rsidRPr="003F4FCF">
          <w:rPr>
            <w:rStyle w:val="Hyperlink"/>
          </w:rPr>
          <w:t>1.3.4</w:t>
        </w:r>
        <w:r w:rsidR="001B0ED0">
          <w:rPr>
            <w:spacing w:val="0"/>
            <w:sz w:val="22"/>
            <w:szCs w:val="22"/>
            <w:lang w:eastAsia="en-AU"/>
          </w:rPr>
          <w:tab/>
        </w:r>
        <w:r w:rsidR="001B0ED0" w:rsidRPr="003F4FCF">
          <w:rPr>
            <w:rStyle w:val="Hyperlink"/>
          </w:rPr>
          <w:t>Recognition of appropriation for contributed capital</w:t>
        </w:r>
        <w:r w:rsidR="001B0ED0">
          <w:rPr>
            <w:webHidden/>
          </w:rPr>
          <w:tab/>
        </w:r>
        <w:r w:rsidR="001B0ED0">
          <w:rPr>
            <w:webHidden/>
          </w:rPr>
          <w:fldChar w:fldCharType="begin"/>
        </w:r>
        <w:r w:rsidR="001B0ED0">
          <w:rPr>
            <w:webHidden/>
          </w:rPr>
          <w:instrText xml:space="preserve"> PAGEREF _Toc785455 \h </w:instrText>
        </w:r>
        <w:r w:rsidR="001B0ED0">
          <w:rPr>
            <w:webHidden/>
          </w:rPr>
        </w:r>
        <w:r w:rsidR="001B0ED0">
          <w:rPr>
            <w:webHidden/>
          </w:rPr>
          <w:fldChar w:fldCharType="separate"/>
        </w:r>
        <w:r w:rsidR="003D4CD6">
          <w:rPr>
            <w:webHidden/>
          </w:rPr>
          <w:t>9</w:t>
        </w:r>
        <w:r w:rsidR="001B0ED0">
          <w:rPr>
            <w:webHidden/>
          </w:rPr>
          <w:fldChar w:fldCharType="end"/>
        </w:r>
      </w:hyperlink>
    </w:p>
    <w:p w:rsidR="001B0ED0" w:rsidRDefault="00A23E4C">
      <w:pPr>
        <w:pStyle w:val="TOC6"/>
        <w:tabs>
          <w:tab w:val="left" w:pos="1800"/>
        </w:tabs>
        <w:rPr>
          <w:spacing w:val="0"/>
          <w:sz w:val="22"/>
          <w:szCs w:val="22"/>
          <w:lang w:eastAsia="en-AU"/>
        </w:rPr>
      </w:pPr>
      <w:hyperlink w:anchor="_Toc785456" w:history="1">
        <w:r w:rsidR="001B0ED0" w:rsidRPr="003F4FCF">
          <w:rPr>
            <w:rStyle w:val="Hyperlink"/>
          </w:rPr>
          <w:t>1.3.5</w:t>
        </w:r>
        <w:r w:rsidR="001B0ED0">
          <w:rPr>
            <w:spacing w:val="0"/>
            <w:sz w:val="22"/>
            <w:szCs w:val="22"/>
            <w:lang w:eastAsia="en-AU"/>
          </w:rPr>
          <w:tab/>
        </w:r>
        <w:r w:rsidR="001B0ED0" w:rsidRPr="003F4FCF">
          <w:rPr>
            <w:rStyle w:val="Hyperlink"/>
          </w:rPr>
          <w:t>Treatment of reductions in, or returns of, contributed capital</w:t>
        </w:r>
        <w:r w:rsidR="001B0ED0">
          <w:rPr>
            <w:webHidden/>
          </w:rPr>
          <w:tab/>
        </w:r>
        <w:r w:rsidR="001B0ED0">
          <w:rPr>
            <w:webHidden/>
          </w:rPr>
          <w:fldChar w:fldCharType="begin"/>
        </w:r>
        <w:r w:rsidR="001B0ED0">
          <w:rPr>
            <w:webHidden/>
          </w:rPr>
          <w:instrText xml:space="preserve"> PAGEREF _Toc785456 \h </w:instrText>
        </w:r>
        <w:r w:rsidR="001B0ED0">
          <w:rPr>
            <w:webHidden/>
          </w:rPr>
        </w:r>
        <w:r w:rsidR="001B0ED0">
          <w:rPr>
            <w:webHidden/>
          </w:rPr>
          <w:fldChar w:fldCharType="separate"/>
        </w:r>
        <w:r w:rsidR="003D4CD6">
          <w:rPr>
            <w:webHidden/>
          </w:rPr>
          <w:t>9</w:t>
        </w:r>
        <w:r w:rsidR="001B0ED0">
          <w:rPr>
            <w:webHidden/>
          </w:rPr>
          <w:fldChar w:fldCharType="end"/>
        </w:r>
      </w:hyperlink>
    </w:p>
    <w:p w:rsidR="001B0ED0" w:rsidRDefault="00A23E4C">
      <w:pPr>
        <w:pStyle w:val="TOC6"/>
        <w:tabs>
          <w:tab w:val="left" w:pos="1800"/>
        </w:tabs>
        <w:rPr>
          <w:spacing w:val="0"/>
          <w:sz w:val="22"/>
          <w:szCs w:val="22"/>
          <w:lang w:eastAsia="en-AU"/>
        </w:rPr>
      </w:pPr>
      <w:hyperlink w:anchor="_Toc785457" w:history="1">
        <w:r w:rsidR="001B0ED0" w:rsidRPr="003F4FCF">
          <w:rPr>
            <w:rStyle w:val="Hyperlink"/>
          </w:rPr>
          <w:t>1.3.6</w:t>
        </w:r>
        <w:r w:rsidR="001B0ED0">
          <w:rPr>
            <w:spacing w:val="0"/>
            <w:sz w:val="22"/>
            <w:szCs w:val="22"/>
            <w:lang w:eastAsia="en-AU"/>
          </w:rPr>
          <w:tab/>
        </w:r>
        <w:r w:rsidR="001B0ED0" w:rsidRPr="003F4FCF">
          <w:rPr>
            <w:rStyle w:val="Hyperlink"/>
          </w:rPr>
          <w:t>Recording of equity investments in entities</w:t>
        </w:r>
        <w:r w:rsidR="001B0ED0">
          <w:rPr>
            <w:webHidden/>
          </w:rPr>
          <w:tab/>
        </w:r>
        <w:r w:rsidR="001B0ED0">
          <w:rPr>
            <w:webHidden/>
          </w:rPr>
          <w:fldChar w:fldCharType="begin"/>
        </w:r>
        <w:r w:rsidR="001B0ED0">
          <w:rPr>
            <w:webHidden/>
          </w:rPr>
          <w:instrText xml:space="preserve"> PAGEREF _Toc785457 \h </w:instrText>
        </w:r>
        <w:r w:rsidR="001B0ED0">
          <w:rPr>
            <w:webHidden/>
          </w:rPr>
        </w:r>
        <w:r w:rsidR="001B0ED0">
          <w:rPr>
            <w:webHidden/>
          </w:rPr>
          <w:fldChar w:fldCharType="separate"/>
        </w:r>
        <w:r w:rsidR="003D4CD6">
          <w:rPr>
            <w:webHidden/>
          </w:rPr>
          <w:t>10</w:t>
        </w:r>
        <w:r w:rsidR="001B0ED0">
          <w:rPr>
            <w:webHidden/>
          </w:rPr>
          <w:fldChar w:fldCharType="end"/>
        </w:r>
      </w:hyperlink>
    </w:p>
    <w:p w:rsidR="001B0ED0" w:rsidRDefault="00A23E4C">
      <w:pPr>
        <w:pStyle w:val="TOC5"/>
        <w:tabs>
          <w:tab w:val="left" w:pos="1080"/>
        </w:tabs>
        <w:rPr>
          <w:spacing w:val="0"/>
          <w:sz w:val="22"/>
          <w:szCs w:val="22"/>
          <w:lang w:eastAsia="en-AU"/>
        </w:rPr>
      </w:pPr>
      <w:hyperlink w:anchor="_Toc785458" w:history="1">
        <w:r w:rsidR="001B0ED0" w:rsidRPr="003F4FCF">
          <w:rPr>
            <w:rStyle w:val="Hyperlink"/>
          </w:rPr>
          <w:t>1.4</w:t>
        </w:r>
        <w:r w:rsidR="001B0ED0">
          <w:rPr>
            <w:spacing w:val="0"/>
            <w:sz w:val="22"/>
            <w:szCs w:val="22"/>
            <w:lang w:eastAsia="en-AU"/>
          </w:rPr>
          <w:tab/>
        </w:r>
        <w:r w:rsidR="001B0ED0" w:rsidRPr="003F4FCF">
          <w:rPr>
            <w:rStyle w:val="Hyperlink"/>
          </w:rPr>
          <w:t>Accounting for motor vehicle leasing</w:t>
        </w:r>
        <w:r w:rsidR="001B0ED0">
          <w:rPr>
            <w:webHidden/>
          </w:rPr>
          <w:tab/>
        </w:r>
        <w:r w:rsidR="001B0ED0">
          <w:rPr>
            <w:webHidden/>
          </w:rPr>
          <w:fldChar w:fldCharType="begin"/>
        </w:r>
        <w:r w:rsidR="001B0ED0">
          <w:rPr>
            <w:webHidden/>
          </w:rPr>
          <w:instrText xml:space="preserve"> PAGEREF _Toc785458 \h </w:instrText>
        </w:r>
        <w:r w:rsidR="001B0ED0">
          <w:rPr>
            <w:webHidden/>
          </w:rPr>
        </w:r>
        <w:r w:rsidR="001B0ED0">
          <w:rPr>
            <w:webHidden/>
          </w:rPr>
          <w:fldChar w:fldCharType="separate"/>
        </w:r>
        <w:r w:rsidR="003D4CD6">
          <w:rPr>
            <w:webHidden/>
          </w:rPr>
          <w:t>13</w:t>
        </w:r>
        <w:r w:rsidR="001B0ED0">
          <w:rPr>
            <w:webHidden/>
          </w:rPr>
          <w:fldChar w:fldCharType="end"/>
        </w:r>
      </w:hyperlink>
    </w:p>
    <w:p w:rsidR="001B0ED0" w:rsidRDefault="00A23E4C">
      <w:pPr>
        <w:pStyle w:val="TOC6"/>
        <w:tabs>
          <w:tab w:val="left" w:pos="1800"/>
        </w:tabs>
        <w:rPr>
          <w:spacing w:val="0"/>
          <w:sz w:val="22"/>
          <w:szCs w:val="22"/>
          <w:lang w:eastAsia="en-AU"/>
        </w:rPr>
      </w:pPr>
      <w:hyperlink w:anchor="_Toc785459" w:history="1">
        <w:r w:rsidR="001B0ED0" w:rsidRPr="003F4FCF">
          <w:rPr>
            <w:rStyle w:val="Hyperlink"/>
          </w:rPr>
          <w:t>1.4.1</w:t>
        </w:r>
        <w:r w:rsidR="001B0ED0">
          <w:rPr>
            <w:spacing w:val="0"/>
            <w:sz w:val="22"/>
            <w:szCs w:val="22"/>
            <w:lang w:eastAsia="en-AU"/>
          </w:rPr>
          <w:tab/>
        </w:r>
        <w:r w:rsidR="001B0ED0" w:rsidRPr="003F4FCF">
          <w:rPr>
            <w:rStyle w:val="Hyperlink"/>
          </w:rPr>
          <w:t>Recording of VicFleet journal entries</w:t>
        </w:r>
        <w:r w:rsidR="001B0ED0">
          <w:rPr>
            <w:webHidden/>
          </w:rPr>
          <w:tab/>
        </w:r>
        <w:r w:rsidR="001B0ED0">
          <w:rPr>
            <w:webHidden/>
          </w:rPr>
          <w:fldChar w:fldCharType="begin"/>
        </w:r>
        <w:r w:rsidR="001B0ED0">
          <w:rPr>
            <w:webHidden/>
          </w:rPr>
          <w:instrText xml:space="preserve"> PAGEREF _Toc785459 \h </w:instrText>
        </w:r>
        <w:r w:rsidR="001B0ED0">
          <w:rPr>
            <w:webHidden/>
          </w:rPr>
        </w:r>
        <w:r w:rsidR="001B0ED0">
          <w:rPr>
            <w:webHidden/>
          </w:rPr>
          <w:fldChar w:fldCharType="separate"/>
        </w:r>
        <w:r w:rsidR="003D4CD6">
          <w:rPr>
            <w:webHidden/>
          </w:rPr>
          <w:t>13</w:t>
        </w:r>
        <w:r w:rsidR="001B0ED0">
          <w:rPr>
            <w:webHidden/>
          </w:rPr>
          <w:fldChar w:fldCharType="end"/>
        </w:r>
      </w:hyperlink>
    </w:p>
    <w:p w:rsidR="001B0ED0" w:rsidRDefault="00A23E4C">
      <w:pPr>
        <w:pStyle w:val="TOC6"/>
        <w:tabs>
          <w:tab w:val="left" w:pos="1800"/>
        </w:tabs>
        <w:rPr>
          <w:spacing w:val="0"/>
          <w:sz w:val="22"/>
          <w:szCs w:val="22"/>
          <w:lang w:eastAsia="en-AU"/>
        </w:rPr>
      </w:pPr>
      <w:hyperlink w:anchor="_Toc785460" w:history="1">
        <w:r w:rsidR="001B0ED0" w:rsidRPr="003F4FCF">
          <w:rPr>
            <w:rStyle w:val="Hyperlink"/>
          </w:rPr>
          <w:t>1.4.2</w:t>
        </w:r>
        <w:r w:rsidR="001B0ED0">
          <w:rPr>
            <w:spacing w:val="0"/>
            <w:sz w:val="22"/>
            <w:szCs w:val="22"/>
            <w:lang w:eastAsia="en-AU"/>
          </w:rPr>
          <w:tab/>
        </w:r>
        <w:r w:rsidR="001B0ED0" w:rsidRPr="003F4FCF">
          <w:rPr>
            <w:rStyle w:val="Hyperlink"/>
          </w:rPr>
          <w:t>VicFleet trust multi-user account</w:t>
        </w:r>
        <w:r w:rsidR="001B0ED0">
          <w:rPr>
            <w:webHidden/>
          </w:rPr>
          <w:tab/>
        </w:r>
        <w:r w:rsidR="001B0ED0">
          <w:rPr>
            <w:webHidden/>
          </w:rPr>
          <w:fldChar w:fldCharType="begin"/>
        </w:r>
        <w:r w:rsidR="001B0ED0">
          <w:rPr>
            <w:webHidden/>
          </w:rPr>
          <w:instrText xml:space="preserve"> PAGEREF _Toc785460 \h </w:instrText>
        </w:r>
        <w:r w:rsidR="001B0ED0">
          <w:rPr>
            <w:webHidden/>
          </w:rPr>
        </w:r>
        <w:r w:rsidR="001B0ED0">
          <w:rPr>
            <w:webHidden/>
          </w:rPr>
          <w:fldChar w:fldCharType="separate"/>
        </w:r>
        <w:r w:rsidR="003D4CD6">
          <w:rPr>
            <w:webHidden/>
          </w:rPr>
          <w:t>13</w:t>
        </w:r>
        <w:r w:rsidR="001B0ED0">
          <w:rPr>
            <w:webHidden/>
          </w:rPr>
          <w:fldChar w:fldCharType="end"/>
        </w:r>
      </w:hyperlink>
    </w:p>
    <w:p w:rsidR="001B0ED0" w:rsidRDefault="00A23E4C">
      <w:pPr>
        <w:pStyle w:val="TOC6"/>
        <w:tabs>
          <w:tab w:val="left" w:pos="1800"/>
        </w:tabs>
        <w:rPr>
          <w:spacing w:val="0"/>
          <w:sz w:val="22"/>
          <w:szCs w:val="22"/>
          <w:lang w:eastAsia="en-AU"/>
        </w:rPr>
      </w:pPr>
      <w:hyperlink w:anchor="_Toc785461" w:history="1">
        <w:r w:rsidR="001B0ED0" w:rsidRPr="003F4FCF">
          <w:rPr>
            <w:rStyle w:val="Hyperlink"/>
          </w:rPr>
          <w:t>1.4.3</w:t>
        </w:r>
        <w:r w:rsidR="001B0ED0">
          <w:rPr>
            <w:spacing w:val="0"/>
            <w:sz w:val="22"/>
            <w:szCs w:val="22"/>
            <w:lang w:eastAsia="en-AU"/>
          </w:rPr>
          <w:tab/>
        </w:r>
        <w:r w:rsidR="001B0ED0" w:rsidRPr="003F4FCF">
          <w:rPr>
            <w:rStyle w:val="Hyperlink"/>
          </w:rPr>
          <w:t>Application of Capital Assets Charge (CAC)</w:t>
        </w:r>
        <w:r w:rsidR="001B0ED0">
          <w:rPr>
            <w:webHidden/>
          </w:rPr>
          <w:tab/>
        </w:r>
        <w:r w:rsidR="001B0ED0">
          <w:rPr>
            <w:webHidden/>
          </w:rPr>
          <w:fldChar w:fldCharType="begin"/>
        </w:r>
        <w:r w:rsidR="001B0ED0">
          <w:rPr>
            <w:webHidden/>
          </w:rPr>
          <w:instrText xml:space="preserve"> PAGEREF _Toc785461 \h </w:instrText>
        </w:r>
        <w:r w:rsidR="001B0ED0">
          <w:rPr>
            <w:webHidden/>
          </w:rPr>
        </w:r>
        <w:r w:rsidR="001B0ED0">
          <w:rPr>
            <w:webHidden/>
          </w:rPr>
          <w:fldChar w:fldCharType="separate"/>
        </w:r>
        <w:r w:rsidR="003D4CD6">
          <w:rPr>
            <w:webHidden/>
          </w:rPr>
          <w:t>13</w:t>
        </w:r>
        <w:r w:rsidR="001B0ED0">
          <w:rPr>
            <w:webHidden/>
          </w:rPr>
          <w:fldChar w:fldCharType="end"/>
        </w:r>
      </w:hyperlink>
    </w:p>
    <w:p w:rsidR="001B0ED0" w:rsidRDefault="00A23E4C">
      <w:pPr>
        <w:pStyle w:val="TOC5"/>
        <w:tabs>
          <w:tab w:val="left" w:pos="1080"/>
        </w:tabs>
        <w:rPr>
          <w:spacing w:val="0"/>
          <w:sz w:val="22"/>
          <w:szCs w:val="22"/>
          <w:lang w:eastAsia="en-AU"/>
        </w:rPr>
      </w:pPr>
      <w:hyperlink w:anchor="_Toc785462" w:history="1">
        <w:r w:rsidR="001B0ED0" w:rsidRPr="003F4FCF">
          <w:rPr>
            <w:rStyle w:val="Hyperlink"/>
          </w:rPr>
          <w:t>1.5</w:t>
        </w:r>
        <w:r w:rsidR="001B0ED0">
          <w:rPr>
            <w:spacing w:val="0"/>
            <w:sz w:val="22"/>
            <w:szCs w:val="22"/>
            <w:lang w:eastAsia="en-AU"/>
          </w:rPr>
          <w:tab/>
        </w:r>
        <w:r w:rsidR="001B0ED0" w:rsidRPr="003F4FCF">
          <w:rPr>
            <w:rStyle w:val="Hyperlink"/>
          </w:rPr>
          <w:t>Accounting for the sale of departmental assets</w:t>
        </w:r>
        <w:r w:rsidR="001B0ED0">
          <w:rPr>
            <w:webHidden/>
          </w:rPr>
          <w:tab/>
        </w:r>
        <w:r w:rsidR="001B0ED0">
          <w:rPr>
            <w:webHidden/>
          </w:rPr>
          <w:fldChar w:fldCharType="begin"/>
        </w:r>
        <w:r w:rsidR="001B0ED0">
          <w:rPr>
            <w:webHidden/>
          </w:rPr>
          <w:instrText xml:space="preserve"> PAGEREF _Toc785462 \h </w:instrText>
        </w:r>
        <w:r w:rsidR="001B0ED0">
          <w:rPr>
            <w:webHidden/>
          </w:rPr>
        </w:r>
        <w:r w:rsidR="001B0ED0">
          <w:rPr>
            <w:webHidden/>
          </w:rPr>
          <w:fldChar w:fldCharType="separate"/>
        </w:r>
        <w:r w:rsidR="003D4CD6">
          <w:rPr>
            <w:webHidden/>
          </w:rPr>
          <w:t>15</w:t>
        </w:r>
        <w:r w:rsidR="001B0ED0">
          <w:rPr>
            <w:webHidden/>
          </w:rPr>
          <w:fldChar w:fldCharType="end"/>
        </w:r>
      </w:hyperlink>
    </w:p>
    <w:p w:rsidR="001B0ED0" w:rsidRDefault="00A23E4C">
      <w:pPr>
        <w:pStyle w:val="TOC6"/>
        <w:tabs>
          <w:tab w:val="left" w:pos="1800"/>
        </w:tabs>
        <w:rPr>
          <w:spacing w:val="0"/>
          <w:sz w:val="22"/>
          <w:szCs w:val="22"/>
          <w:lang w:eastAsia="en-AU"/>
        </w:rPr>
      </w:pPr>
      <w:hyperlink w:anchor="_Toc785463" w:history="1">
        <w:r w:rsidR="001B0ED0" w:rsidRPr="003F4FCF">
          <w:rPr>
            <w:rStyle w:val="Hyperlink"/>
          </w:rPr>
          <w:t>1.5.1</w:t>
        </w:r>
        <w:r w:rsidR="001B0ED0">
          <w:rPr>
            <w:spacing w:val="0"/>
            <w:sz w:val="22"/>
            <w:szCs w:val="22"/>
            <w:lang w:eastAsia="en-AU"/>
          </w:rPr>
          <w:tab/>
        </w:r>
        <w:r w:rsidR="001B0ED0" w:rsidRPr="003F4FCF">
          <w:rPr>
            <w:rStyle w:val="Hyperlink"/>
          </w:rPr>
          <w:t>Treatment of the sale of departmental assets</w:t>
        </w:r>
        <w:r w:rsidR="001B0ED0">
          <w:rPr>
            <w:webHidden/>
          </w:rPr>
          <w:tab/>
        </w:r>
        <w:r w:rsidR="001B0ED0">
          <w:rPr>
            <w:webHidden/>
          </w:rPr>
          <w:fldChar w:fldCharType="begin"/>
        </w:r>
        <w:r w:rsidR="001B0ED0">
          <w:rPr>
            <w:webHidden/>
          </w:rPr>
          <w:instrText xml:space="preserve"> PAGEREF _Toc785463 \h </w:instrText>
        </w:r>
        <w:r w:rsidR="001B0ED0">
          <w:rPr>
            <w:webHidden/>
          </w:rPr>
        </w:r>
        <w:r w:rsidR="001B0ED0">
          <w:rPr>
            <w:webHidden/>
          </w:rPr>
          <w:fldChar w:fldCharType="separate"/>
        </w:r>
        <w:r w:rsidR="003D4CD6">
          <w:rPr>
            <w:webHidden/>
          </w:rPr>
          <w:t>15</w:t>
        </w:r>
        <w:r w:rsidR="001B0ED0">
          <w:rPr>
            <w:webHidden/>
          </w:rPr>
          <w:fldChar w:fldCharType="end"/>
        </w:r>
      </w:hyperlink>
    </w:p>
    <w:p w:rsidR="001B0ED0" w:rsidRDefault="00A23E4C">
      <w:pPr>
        <w:pStyle w:val="TOC5"/>
        <w:tabs>
          <w:tab w:val="left" w:pos="1080"/>
        </w:tabs>
        <w:rPr>
          <w:spacing w:val="0"/>
          <w:sz w:val="22"/>
          <w:szCs w:val="22"/>
          <w:lang w:eastAsia="en-AU"/>
        </w:rPr>
      </w:pPr>
      <w:hyperlink w:anchor="_Toc785464" w:history="1">
        <w:r w:rsidR="001B0ED0" w:rsidRPr="003F4FCF">
          <w:rPr>
            <w:rStyle w:val="Hyperlink"/>
          </w:rPr>
          <w:t>1.6</w:t>
        </w:r>
        <w:r w:rsidR="001B0ED0">
          <w:rPr>
            <w:spacing w:val="0"/>
            <w:sz w:val="22"/>
            <w:szCs w:val="22"/>
            <w:lang w:eastAsia="en-AU"/>
          </w:rPr>
          <w:tab/>
        </w:r>
        <w:r w:rsidR="001B0ED0" w:rsidRPr="003F4FCF">
          <w:rPr>
            <w:rStyle w:val="Hyperlink"/>
          </w:rPr>
          <w:t>Redundancy payments</w:t>
        </w:r>
        <w:r w:rsidR="001B0ED0">
          <w:rPr>
            <w:webHidden/>
          </w:rPr>
          <w:tab/>
        </w:r>
        <w:r w:rsidR="001B0ED0">
          <w:rPr>
            <w:webHidden/>
          </w:rPr>
          <w:fldChar w:fldCharType="begin"/>
        </w:r>
        <w:r w:rsidR="001B0ED0">
          <w:rPr>
            <w:webHidden/>
          </w:rPr>
          <w:instrText xml:space="preserve"> PAGEREF _Toc785464 \h </w:instrText>
        </w:r>
        <w:r w:rsidR="001B0ED0">
          <w:rPr>
            <w:webHidden/>
          </w:rPr>
        </w:r>
        <w:r w:rsidR="001B0ED0">
          <w:rPr>
            <w:webHidden/>
          </w:rPr>
          <w:fldChar w:fldCharType="separate"/>
        </w:r>
        <w:r w:rsidR="003D4CD6">
          <w:rPr>
            <w:webHidden/>
          </w:rPr>
          <w:t>17</w:t>
        </w:r>
        <w:r w:rsidR="001B0ED0">
          <w:rPr>
            <w:webHidden/>
          </w:rPr>
          <w:fldChar w:fldCharType="end"/>
        </w:r>
      </w:hyperlink>
    </w:p>
    <w:p w:rsidR="001B0ED0" w:rsidRDefault="00A23E4C">
      <w:pPr>
        <w:pStyle w:val="TOC6"/>
        <w:tabs>
          <w:tab w:val="left" w:pos="1800"/>
        </w:tabs>
        <w:rPr>
          <w:spacing w:val="0"/>
          <w:sz w:val="22"/>
          <w:szCs w:val="22"/>
          <w:lang w:eastAsia="en-AU"/>
        </w:rPr>
      </w:pPr>
      <w:hyperlink w:anchor="_Toc785465" w:history="1">
        <w:r w:rsidR="001B0ED0" w:rsidRPr="003F4FCF">
          <w:rPr>
            <w:rStyle w:val="Hyperlink"/>
          </w:rPr>
          <w:t>1.6.1</w:t>
        </w:r>
        <w:r w:rsidR="001B0ED0">
          <w:rPr>
            <w:spacing w:val="0"/>
            <w:sz w:val="22"/>
            <w:szCs w:val="22"/>
            <w:lang w:eastAsia="en-AU"/>
          </w:rPr>
          <w:tab/>
        </w:r>
        <w:r w:rsidR="001B0ED0" w:rsidRPr="003F4FCF">
          <w:rPr>
            <w:rStyle w:val="Hyperlink"/>
          </w:rPr>
          <w:t>Treatment of Voluntary Departure Packages (VDPs) and Targeted Separation Packages (TSPs)</w:t>
        </w:r>
        <w:r w:rsidR="001B0ED0">
          <w:rPr>
            <w:webHidden/>
          </w:rPr>
          <w:tab/>
        </w:r>
        <w:r w:rsidR="001B0ED0">
          <w:rPr>
            <w:webHidden/>
          </w:rPr>
          <w:fldChar w:fldCharType="begin"/>
        </w:r>
        <w:r w:rsidR="001B0ED0">
          <w:rPr>
            <w:webHidden/>
          </w:rPr>
          <w:instrText xml:space="preserve"> PAGEREF _Toc785465 \h </w:instrText>
        </w:r>
        <w:r w:rsidR="001B0ED0">
          <w:rPr>
            <w:webHidden/>
          </w:rPr>
        </w:r>
        <w:r w:rsidR="001B0ED0">
          <w:rPr>
            <w:webHidden/>
          </w:rPr>
          <w:fldChar w:fldCharType="separate"/>
        </w:r>
        <w:r w:rsidR="003D4CD6">
          <w:rPr>
            <w:webHidden/>
          </w:rPr>
          <w:t>17</w:t>
        </w:r>
        <w:r w:rsidR="001B0ED0">
          <w:rPr>
            <w:webHidden/>
          </w:rPr>
          <w:fldChar w:fldCharType="end"/>
        </w:r>
      </w:hyperlink>
    </w:p>
    <w:p w:rsidR="001B0ED0" w:rsidRDefault="00A23E4C">
      <w:pPr>
        <w:pStyle w:val="TOC6"/>
        <w:tabs>
          <w:tab w:val="left" w:pos="1800"/>
        </w:tabs>
        <w:rPr>
          <w:spacing w:val="0"/>
          <w:sz w:val="22"/>
          <w:szCs w:val="22"/>
          <w:lang w:eastAsia="en-AU"/>
        </w:rPr>
      </w:pPr>
      <w:hyperlink w:anchor="_Toc785466" w:history="1">
        <w:r w:rsidR="001B0ED0" w:rsidRPr="003F4FCF">
          <w:rPr>
            <w:rStyle w:val="Hyperlink"/>
          </w:rPr>
          <w:t>1.6.2</w:t>
        </w:r>
        <w:r w:rsidR="001B0ED0">
          <w:rPr>
            <w:spacing w:val="0"/>
            <w:sz w:val="22"/>
            <w:szCs w:val="22"/>
            <w:lang w:eastAsia="en-AU"/>
          </w:rPr>
          <w:tab/>
        </w:r>
        <w:r w:rsidR="001B0ED0" w:rsidRPr="003F4FCF">
          <w:rPr>
            <w:rStyle w:val="Hyperlink"/>
          </w:rPr>
          <w:t>Treatment of significantly large redundancy programs</w:t>
        </w:r>
        <w:r w:rsidR="001B0ED0">
          <w:rPr>
            <w:webHidden/>
          </w:rPr>
          <w:tab/>
        </w:r>
        <w:r w:rsidR="001B0ED0">
          <w:rPr>
            <w:webHidden/>
          </w:rPr>
          <w:fldChar w:fldCharType="begin"/>
        </w:r>
        <w:r w:rsidR="001B0ED0">
          <w:rPr>
            <w:webHidden/>
          </w:rPr>
          <w:instrText xml:space="preserve"> PAGEREF _Toc785466 \h </w:instrText>
        </w:r>
        <w:r w:rsidR="001B0ED0">
          <w:rPr>
            <w:webHidden/>
          </w:rPr>
        </w:r>
        <w:r w:rsidR="001B0ED0">
          <w:rPr>
            <w:webHidden/>
          </w:rPr>
          <w:fldChar w:fldCharType="separate"/>
        </w:r>
        <w:r w:rsidR="003D4CD6">
          <w:rPr>
            <w:webHidden/>
          </w:rPr>
          <w:t>17</w:t>
        </w:r>
        <w:r w:rsidR="001B0ED0">
          <w:rPr>
            <w:webHidden/>
          </w:rPr>
          <w:fldChar w:fldCharType="end"/>
        </w:r>
      </w:hyperlink>
    </w:p>
    <w:p w:rsidR="001B0ED0" w:rsidRDefault="00A23E4C">
      <w:pPr>
        <w:pStyle w:val="TOC6"/>
        <w:tabs>
          <w:tab w:val="left" w:pos="1800"/>
        </w:tabs>
        <w:rPr>
          <w:spacing w:val="0"/>
          <w:sz w:val="22"/>
          <w:szCs w:val="22"/>
          <w:lang w:eastAsia="en-AU"/>
        </w:rPr>
      </w:pPr>
      <w:hyperlink w:anchor="_Toc785467" w:history="1">
        <w:r w:rsidR="001B0ED0" w:rsidRPr="003F4FCF">
          <w:rPr>
            <w:rStyle w:val="Hyperlink"/>
          </w:rPr>
          <w:t>1.6.3</w:t>
        </w:r>
        <w:r w:rsidR="001B0ED0">
          <w:rPr>
            <w:spacing w:val="0"/>
            <w:sz w:val="22"/>
            <w:szCs w:val="22"/>
            <w:lang w:eastAsia="en-AU"/>
          </w:rPr>
          <w:tab/>
        </w:r>
        <w:r w:rsidR="001B0ED0" w:rsidRPr="003F4FCF">
          <w:rPr>
            <w:rStyle w:val="Hyperlink"/>
          </w:rPr>
          <w:t>Treatment of related long service leave payouts on VDPs and TSPs</w:t>
        </w:r>
        <w:r w:rsidR="001B0ED0">
          <w:rPr>
            <w:webHidden/>
          </w:rPr>
          <w:tab/>
        </w:r>
        <w:r w:rsidR="001B0ED0">
          <w:rPr>
            <w:webHidden/>
          </w:rPr>
          <w:fldChar w:fldCharType="begin"/>
        </w:r>
        <w:r w:rsidR="001B0ED0">
          <w:rPr>
            <w:webHidden/>
          </w:rPr>
          <w:instrText xml:space="preserve"> PAGEREF _Toc785467 \h </w:instrText>
        </w:r>
        <w:r w:rsidR="001B0ED0">
          <w:rPr>
            <w:webHidden/>
          </w:rPr>
        </w:r>
        <w:r w:rsidR="001B0ED0">
          <w:rPr>
            <w:webHidden/>
          </w:rPr>
          <w:fldChar w:fldCharType="separate"/>
        </w:r>
        <w:r w:rsidR="003D4CD6">
          <w:rPr>
            <w:webHidden/>
          </w:rPr>
          <w:t>17</w:t>
        </w:r>
        <w:r w:rsidR="001B0ED0">
          <w:rPr>
            <w:webHidden/>
          </w:rPr>
          <w:fldChar w:fldCharType="end"/>
        </w:r>
      </w:hyperlink>
    </w:p>
    <w:p w:rsidR="001B0ED0" w:rsidRDefault="00A23E4C">
      <w:pPr>
        <w:pStyle w:val="TOC5"/>
        <w:tabs>
          <w:tab w:val="left" w:pos="1080"/>
        </w:tabs>
        <w:rPr>
          <w:spacing w:val="0"/>
          <w:sz w:val="22"/>
          <w:szCs w:val="22"/>
          <w:lang w:eastAsia="en-AU"/>
        </w:rPr>
      </w:pPr>
      <w:hyperlink w:anchor="_Toc785468" w:history="1">
        <w:r w:rsidR="001B0ED0" w:rsidRPr="003F4FCF">
          <w:rPr>
            <w:rStyle w:val="Hyperlink"/>
          </w:rPr>
          <w:t>1.7</w:t>
        </w:r>
        <w:r w:rsidR="001B0ED0">
          <w:rPr>
            <w:spacing w:val="0"/>
            <w:sz w:val="22"/>
            <w:szCs w:val="22"/>
            <w:lang w:eastAsia="en-AU"/>
          </w:rPr>
          <w:tab/>
        </w:r>
        <w:r w:rsidR="001B0ED0" w:rsidRPr="003F4FCF">
          <w:rPr>
            <w:rStyle w:val="Hyperlink"/>
          </w:rPr>
          <w:t>Superannuation expenses and liabilities</w:t>
        </w:r>
        <w:r w:rsidR="001B0ED0">
          <w:rPr>
            <w:webHidden/>
          </w:rPr>
          <w:tab/>
        </w:r>
        <w:r w:rsidR="001B0ED0">
          <w:rPr>
            <w:webHidden/>
          </w:rPr>
          <w:fldChar w:fldCharType="begin"/>
        </w:r>
        <w:r w:rsidR="001B0ED0">
          <w:rPr>
            <w:webHidden/>
          </w:rPr>
          <w:instrText xml:space="preserve"> PAGEREF _Toc785468 \h </w:instrText>
        </w:r>
        <w:r w:rsidR="001B0ED0">
          <w:rPr>
            <w:webHidden/>
          </w:rPr>
        </w:r>
        <w:r w:rsidR="001B0ED0">
          <w:rPr>
            <w:webHidden/>
          </w:rPr>
          <w:fldChar w:fldCharType="separate"/>
        </w:r>
        <w:r w:rsidR="003D4CD6">
          <w:rPr>
            <w:webHidden/>
          </w:rPr>
          <w:t>18</w:t>
        </w:r>
        <w:r w:rsidR="001B0ED0">
          <w:rPr>
            <w:webHidden/>
          </w:rPr>
          <w:fldChar w:fldCharType="end"/>
        </w:r>
      </w:hyperlink>
    </w:p>
    <w:p w:rsidR="001B0ED0" w:rsidRDefault="00A23E4C">
      <w:pPr>
        <w:pStyle w:val="TOC6"/>
        <w:tabs>
          <w:tab w:val="left" w:pos="1800"/>
        </w:tabs>
        <w:rPr>
          <w:spacing w:val="0"/>
          <w:sz w:val="22"/>
          <w:szCs w:val="22"/>
          <w:lang w:eastAsia="en-AU"/>
        </w:rPr>
      </w:pPr>
      <w:hyperlink w:anchor="_Toc785469" w:history="1">
        <w:r w:rsidR="001B0ED0" w:rsidRPr="003F4FCF">
          <w:rPr>
            <w:rStyle w:val="Hyperlink"/>
          </w:rPr>
          <w:t>1.7.1</w:t>
        </w:r>
        <w:r w:rsidR="001B0ED0">
          <w:rPr>
            <w:spacing w:val="0"/>
            <w:sz w:val="22"/>
            <w:szCs w:val="22"/>
            <w:lang w:eastAsia="en-AU"/>
          </w:rPr>
          <w:tab/>
        </w:r>
        <w:r w:rsidR="001B0ED0" w:rsidRPr="003F4FCF">
          <w:rPr>
            <w:rStyle w:val="Hyperlink"/>
          </w:rPr>
          <w:t>Accounting for contributions to superannuation schemes</w:t>
        </w:r>
        <w:r w:rsidR="001B0ED0">
          <w:rPr>
            <w:webHidden/>
          </w:rPr>
          <w:tab/>
        </w:r>
        <w:r w:rsidR="001B0ED0">
          <w:rPr>
            <w:webHidden/>
          </w:rPr>
          <w:fldChar w:fldCharType="begin"/>
        </w:r>
        <w:r w:rsidR="001B0ED0">
          <w:rPr>
            <w:webHidden/>
          </w:rPr>
          <w:instrText xml:space="preserve"> PAGEREF _Toc785469 \h </w:instrText>
        </w:r>
        <w:r w:rsidR="001B0ED0">
          <w:rPr>
            <w:webHidden/>
          </w:rPr>
        </w:r>
        <w:r w:rsidR="001B0ED0">
          <w:rPr>
            <w:webHidden/>
          </w:rPr>
          <w:fldChar w:fldCharType="separate"/>
        </w:r>
        <w:r w:rsidR="003D4CD6">
          <w:rPr>
            <w:webHidden/>
          </w:rPr>
          <w:t>18</w:t>
        </w:r>
        <w:r w:rsidR="001B0ED0">
          <w:rPr>
            <w:webHidden/>
          </w:rPr>
          <w:fldChar w:fldCharType="end"/>
        </w:r>
      </w:hyperlink>
    </w:p>
    <w:p w:rsidR="001B0ED0" w:rsidRDefault="00A23E4C">
      <w:pPr>
        <w:pStyle w:val="TOC6"/>
        <w:tabs>
          <w:tab w:val="left" w:pos="1800"/>
        </w:tabs>
        <w:rPr>
          <w:spacing w:val="0"/>
          <w:sz w:val="22"/>
          <w:szCs w:val="22"/>
          <w:lang w:eastAsia="en-AU"/>
        </w:rPr>
      </w:pPr>
      <w:hyperlink w:anchor="_Toc785470" w:history="1">
        <w:r w:rsidR="001B0ED0" w:rsidRPr="003F4FCF">
          <w:rPr>
            <w:rStyle w:val="Hyperlink"/>
          </w:rPr>
          <w:t>1.7.2</w:t>
        </w:r>
        <w:r w:rsidR="001B0ED0">
          <w:rPr>
            <w:spacing w:val="0"/>
            <w:sz w:val="22"/>
            <w:szCs w:val="22"/>
            <w:lang w:eastAsia="en-AU"/>
          </w:rPr>
          <w:tab/>
        </w:r>
        <w:r w:rsidR="001B0ED0" w:rsidRPr="003F4FCF">
          <w:rPr>
            <w:rStyle w:val="Hyperlink"/>
          </w:rPr>
          <w:t>Treatment of the accumulated superannuation liability incurred pre-1 July 1998</w:t>
        </w:r>
        <w:r w:rsidR="001B0ED0">
          <w:rPr>
            <w:webHidden/>
          </w:rPr>
          <w:tab/>
        </w:r>
        <w:r w:rsidR="001B0ED0">
          <w:rPr>
            <w:webHidden/>
          </w:rPr>
          <w:fldChar w:fldCharType="begin"/>
        </w:r>
        <w:r w:rsidR="001B0ED0">
          <w:rPr>
            <w:webHidden/>
          </w:rPr>
          <w:instrText xml:space="preserve"> PAGEREF _Toc785470 \h </w:instrText>
        </w:r>
        <w:r w:rsidR="001B0ED0">
          <w:rPr>
            <w:webHidden/>
          </w:rPr>
        </w:r>
        <w:r w:rsidR="001B0ED0">
          <w:rPr>
            <w:webHidden/>
          </w:rPr>
          <w:fldChar w:fldCharType="separate"/>
        </w:r>
        <w:r w:rsidR="003D4CD6">
          <w:rPr>
            <w:webHidden/>
          </w:rPr>
          <w:t>18</w:t>
        </w:r>
        <w:r w:rsidR="001B0ED0">
          <w:rPr>
            <w:webHidden/>
          </w:rPr>
          <w:fldChar w:fldCharType="end"/>
        </w:r>
      </w:hyperlink>
    </w:p>
    <w:p w:rsidR="001B0ED0" w:rsidRDefault="00A23E4C">
      <w:pPr>
        <w:pStyle w:val="TOC5"/>
        <w:tabs>
          <w:tab w:val="left" w:pos="1080"/>
        </w:tabs>
        <w:rPr>
          <w:spacing w:val="0"/>
          <w:sz w:val="22"/>
          <w:szCs w:val="22"/>
          <w:lang w:eastAsia="en-AU"/>
        </w:rPr>
      </w:pPr>
      <w:hyperlink w:anchor="_Toc785471" w:history="1">
        <w:r w:rsidR="001B0ED0" w:rsidRPr="003F4FCF">
          <w:rPr>
            <w:rStyle w:val="Hyperlink"/>
          </w:rPr>
          <w:t>1.8</w:t>
        </w:r>
        <w:r w:rsidR="001B0ED0">
          <w:rPr>
            <w:spacing w:val="0"/>
            <w:sz w:val="22"/>
            <w:szCs w:val="22"/>
            <w:lang w:eastAsia="en-AU"/>
          </w:rPr>
          <w:tab/>
        </w:r>
        <w:r w:rsidR="001B0ED0" w:rsidRPr="003F4FCF">
          <w:rPr>
            <w:rStyle w:val="Hyperlink"/>
          </w:rPr>
          <w:t>Annual leave</w:t>
        </w:r>
        <w:r w:rsidR="001B0ED0">
          <w:rPr>
            <w:webHidden/>
          </w:rPr>
          <w:tab/>
        </w:r>
        <w:r w:rsidR="001B0ED0">
          <w:rPr>
            <w:webHidden/>
          </w:rPr>
          <w:fldChar w:fldCharType="begin"/>
        </w:r>
        <w:r w:rsidR="001B0ED0">
          <w:rPr>
            <w:webHidden/>
          </w:rPr>
          <w:instrText xml:space="preserve"> PAGEREF _Toc785471 \h </w:instrText>
        </w:r>
        <w:r w:rsidR="001B0ED0">
          <w:rPr>
            <w:webHidden/>
          </w:rPr>
        </w:r>
        <w:r w:rsidR="001B0ED0">
          <w:rPr>
            <w:webHidden/>
          </w:rPr>
          <w:fldChar w:fldCharType="separate"/>
        </w:r>
        <w:r w:rsidR="003D4CD6">
          <w:rPr>
            <w:webHidden/>
          </w:rPr>
          <w:t>19</w:t>
        </w:r>
        <w:r w:rsidR="001B0ED0">
          <w:rPr>
            <w:webHidden/>
          </w:rPr>
          <w:fldChar w:fldCharType="end"/>
        </w:r>
      </w:hyperlink>
    </w:p>
    <w:p w:rsidR="001B0ED0" w:rsidRDefault="00A23E4C">
      <w:pPr>
        <w:pStyle w:val="TOC6"/>
        <w:tabs>
          <w:tab w:val="left" w:pos="1800"/>
        </w:tabs>
        <w:rPr>
          <w:spacing w:val="0"/>
          <w:sz w:val="22"/>
          <w:szCs w:val="22"/>
          <w:lang w:eastAsia="en-AU"/>
        </w:rPr>
      </w:pPr>
      <w:hyperlink w:anchor="_Toc785472" w:history="1">
        <w:r w:rsidR="001B0ED0" w:rsidRPr="003F4FCF">
          <w:rPr>
            <w:rStyle w:val="Hyperlink"/>
          </w:rPr>
          <w:t>1.8.1</w:t>
        </w:r>
        <w:r w:rsidR="001B0ED0">
          <w:rPr>
            <w:spacing w:val="0"/>
            <w:sz w:val="22"/>
            <w:szCs w:val="22"/>
            <w:lang w:eastAsia="en-AU"/>
          </w:rPr>
          <w:tab/>
        </w:r>
        <w:r w:rsidR="001B0ED0" w:rsidRPr="003F4FCF">
          <w:rPr>
            <w:rStyle w:val="Hyperlink"/>
          </w:rPr>
          <w:t>Transfer of annual leave balances between departments</w:t>
        </w:r>
        <w:r w:rsidR="001B0ED0">
          <w:rPr>
            <w:webHidden/>
          </w:rPr>
          <w:tab/>
        </w:r>
        <w:r w:rsidR="001B0ED0">
          <w:rPr>
            <w:webHidden/>
          </w:rPr>
          <w:fldChar w:fldCharType="begin"/>
        </w:r>
        <w:r w:rsidR="001B0ED0">
          <w:rPr>
            <w:webHidden/>
          </w:rPr>
          <w:instrText xml:space="preserve"> PAGEREF _Toc785472 \h </w:instrText>
        </w:r>
        <w:r w:rsidR="001B0ED0">
          <w:rPr>
            <w:webHidden/>
          </w:rPr>
        </w:r>
        <w:r w:rsidR="001B0ED0">
          <w:rPr>
            <w:webHidden/>
          </w:rPr>
          <w:fldChar w:fldCharType="separate"/>
        </w:r>
        <w:r w:rsidR="003D4CD6">
          <w:rPr>
            <w:webHidden/>
          </w:rPr>
          <w:t>19</w:t>
        </w:r>
        <w:r w:rsidR="001B0ED0">
          <w:rPr>
            <w:webHidden/>
          </w:rPr>
          <w:fldChar w:fldCharType="end"/>
        </w:r>
      </w:hyperlink>
    </w:p>
    <w:p w:rsidR="001B0ED0" w:rsidRDefault="00A23E4C">
      <w:pPr>
        <w:pStyle w:val="TOC4"/>
        <w:rPr>
          <w:spacing w:val="0"/>
          <w:sz w:val="22"/>
          <w:szCs w:val="22"/>
          <w:lang w:eastAsia="en-AU"/>
        </w:rPr>
      </w:pPr>
      <w:hyperlink w:anchor="_Toc785473" w:history="1">
        <w:r w:rsidR="001B0ED0" w:rsidRPr="003F4FCF">
          <w:rPr>
            <w:rStyle w:val="Hyperlink"/>
          </w:rPr>
          <w:t>2.</w:t>
        </w:r>
        <w:r w:rsidR="001B0ED0">
          <w:rPr>
            <w:spacing w:val="0"/>
            <w:sz w:val="22"/>
            <w:szCs w:val="22"/>
            <w:lang w:eastAsia="en-AU"/>
          </w:rPr>
          <w:tab/>
        </w:r>
        <w:r w:rsidR="001B0ED0" w:rsidRPr="003F4FCF">
          <w:rPr>
            <w:rStyle w:val="Hyperlink"/>
          </w:rPr>
          <w:t>The Victorian Government Chart of Accounts</w:t>
        </w:r>
        <w:r w:rsidR="001B0ED0">
          <w:rPr>
            <w:webHidden/>
          </w:rPr>
          <w:tab/>
        </w:r>
        <w:r w:rsidR="001B0ED0">
          <w:rPr>
            <w:webHidden/>
          </w:rPr>
          <w:fldChar w:fldCharType="begin"/>
        </w:r>
        <w:r w:rsidR="001B0ED0">
          <w:rPr>
            <w:webHidden/>
          </w:rPr>
          <w:instrText xml:space="preserve"> PAGEREF _Toc785473 \h </w:instrText>
        </w:r>
        <w:r w:rsidR="001B0ED0">
          <w:rPr>
            <w:webHidden/>
          </w:rPr>
        </w:r>
        <w:r w:rsidR="001B0ED0">
          <w:rPr>
            <w:webHidden/>
          </w:rPr>
          <w:fldChar w:fldCharType="separate"/>
        </w:r>
        <w:r w:rsidR="003D4CD6">
          <w:rPr>
            <w:webHidden/>
          </w:rPr>
          <w:t>20</w:t>
        </w:r>
        <w:r w:rsidR="001B0ED0">
          <w:rPr>
            <w:webHidden/>
          </w:rPr>
          <w:fldChar w:fldCharType="end"/>
        </w:r>
      </w:hyperlink>
    </w:p>
    <w:p w:rsidR="001B0ED0" w:rsidRDefault="00A23E4C">
      <w:pPr>
        <w:pStyle w:val="TOC6"/>
        <w:tabs>
          <w:tab w:val="left" w:pos="1800"/>
        </w:tabs>
        <w:rPr>
          <w:spacing w:val="0"/>
          <w:sz w:val="22"/>
          <w:szCs w:val="22"/>
          <w:lang w:eastAsia="en-AU"/>
        </w:rPr>
      </w:pPr>
      <w:hyperlink w:anchor="_Toc785474" w:history="1">
        <w:r w:rsidR="001B0ED0" w:rsidRPr="003F4FCF">
          <w:rPr>
            <w:rStyle w:val="Hyperlink"/>
          </w:rPr>
          <w:t>2.1.1</w:t>
        </w:r>
        <w:r w:rsidR="001B0ED0">
          <w:rPr>
            <w:spacing w:val="0"/>
            <w:sz w:val="22"/>
            <w:szCs w:val="22"/>
            <w:lang w:eastAsia="en-AU"/>
          </w:rPr>
          <w:tab/>
        </w:r>
        <w:r w:rsidR="001B0ED0" w:rsidRPr="003F4FCF">
          <w:rPr>
            <w:rStyle w:val="Hyperlink"/>
          </w:rPr>
          <w:t>The Victorian Government Chart of Accounts</w:t>
        </w:r>
        <w:r w:rsidR="001B0ED0">
          <w:rPr>
            <w:webHidden/>
          </w:rPr>
          <w:tab/>
        </w:r>
        <w:r w:rsidR="001B0ED0">
          <w:rPr>
            <w:webHidden/>
          </w:rPr>
          <w:fldChar w:fldCharType="begin"/>
        </w:r>
        <w:r w:rsidR="001B0ED0">
          <w:rPr>
            <w:webHidden/>
          </w:rPr>
          <w:instrText xml:space="preserve"> PAGEREF _Toc785474 \h </w:instrText>
        </w:r>
        <w:r w:rsidR="001B0ED0">
          <w:rPr>
            <w:webHidden/>
          </w:rPr>
        </w:r>
        <w:r w:rsidR="001B0ED0">
          <w:rPr>
            <w:webHidden/>
          </w:rPr>
          <w:fldChar w:fldCharType="separate"/>
        </w:r>
        <w:r w:rsidR="003D4CD6">
          <w:rPr>
            <w:webHidden/>
          </w:rPr>
          <w:t>20</w:t>
        </w:r>
        <w:r w:rsidR="001B0ED0">
          <w:rPr>
            <w:webHidden/>
          </w:rPr>
          <w:fldChar w:fldCharType="end"/>
        </w:r>
      </w:hyperlink>
    </w:p>
    <w:p w:rsidR="001B0ED0" w:rsidRDefault="00A23E4C">
      <w:pPr>
        <w:pStyle w:val="TOC6"/>
        <w:tabs>
          <w:tab w:val="left" w:pos="1800"/>
        </w:tabs>
        <w:rPr>
          <w:spacing w:val="0"/>
          <w:sz w:val="22"/>
          <w:szCs w:val="22"/>
          <w:lang w:eastAsia="en-AU"/>
        </w:rPr>
      </w:pPr>
      <w:hyperlink w:anchor="_Toc785475" w:history="1">
        <w:r w:rsidR="001B0ED0" w:rsidRPr="003F4FCF">
          <w:rPr>
            <w:rStyle w:val="Hyperlink"/>
          </w:rPr>
          <w:t>2.1.2</w:t>
        </w:r>
        <w:r w:rsidR="001B0ED0">
          <w:rPr>
            <w:spacing w:val="0"/>
            <w:sz w:val="22"/>
            <w:szCs w:val="22"/>
            <w:lang w:eastAsia="en-AU"/>
          </w:rPr>
          <w:tab/>
        </w:r>
        <w:r w:rsidR="001B0ED0" w:rsidRPr="003F4FCF">
          <w:rPr>
            <w:rStyle w:val="Hyperlink"/>
          </w:rPr>
          <w:t>Mandated segments for direct mapping to the new Victorian Government Chart of Accounts in SRIMS</w:t>
        </w:r>
        <w:r w:rsidR="001B0ED0">
          <w:rPr>
            <w:webHidden/>
          </w:rPr>
          <w:tab/>
        </w:r>
        <w:r w:rsidR="001B0ED0">
          <w:rPr>
            <w:webHidden/>
          </w:rPr>
          <w:fldChar w:fldCharType="begin"/>
        </w:r>
        <w:r w:rsidR="001B0ED0">
          <w:rPr>
            <w:webHidden/>
          </w:rPr>
          <w:instrText xml:space="preserve"> PAGEREF _Toc785475 \h </w:instrText>
        </w:r>
        <w:r w:rsidR="001B0ED0">
          <w:rPr>
            <w:webHidden/>
          </w:rPr>
        </w:r>
        <w:r w:rsidR="001B0ED0">
          <w:rPr>
            <w:webHidden/>
          </w:rPr>
          <w:fldChar w:fldCharType="separate"/>
        </w:r>
        <w:r w:rsidR="003D4CD6">
          <w:rPr>
            <w:webHidden/>
          </w:rPr>
          <w:t>20</w:t>
        </w:r>
        <w:r w:rsidR="001B0ED0">
          <w:rPr>
            <w:webHidden/>
          </w:rPr>
          <w:fldChar w:fldCharType="end"/>
        </w:r>
      </w:hyperlink>
    </w:p>
    <w:p w:rsidR="001B0ED0" w:rsidRDefault="00A23E4C">
      <w:pPr>
        <w:pStyle w:val="TOC4"/>
        <w:rPr>
          <w:spacing w:val="0"/>
          <w:sz w:val="22"/>
          <w:szCs w:val="22"/>
          <w:lang w:eastAsia="en-AU"/>
        </w:rPr>
      </w:pPr>
      <w:hyperlink w:anchor="_Toc785476" w:history="1">
        <w:r w:rsidR="001B0ED0" w:rsidRPr="003F4FCF">
          <w:rPr>
            <w:rStyle w:val="Hyperlink"/>
          </w:rPr>
          <w:t>3.</w:t>
        </w:r>
        <w:r w:rsidR="001B0ED0">
          <w:rPr>
            <w:spacing w:val="0"/>
            <w:sz w:val="22"/>
            <w:szCs w:val="22"/>
            <w:lang w:eastAsia="en-AU"/>
          </w:rPr>
          <w:tab/>
        </w:r>
        <w:r w:rsidR="001B0ED0" w:rsidRPr="003F4FCF">
          <w:rPr>
            <w:rStyle w:val="Hyperlink"/>
          </w:rPr>
          <w:t>Machinery of government</w:t>
        </w:r>
        <w:r w:rsidR="001B0ED0">
          <w:rPr>
            <w:webHidden/>
          </w:rPr>
          <w:tab/>
        </w:r>
        <w:r w:rsidR="001B0ED0">
          <w:rPr>
            <w:webHidden/>
          </w:rPr>
          <w:fldChar w:fldCharType="begin"/>
        </w:r>
        <w:r w:rsidR="001B0ED0">
          <w:rPr>
            <w:webHidden/>
          </w:rPr>
          <w:instrText xml:space="preserve"> PAGEREF _Toc785476 \h </w:instrText>
        </w:r>
        <w:r w:rsidR="001B0ED0">
          <w:rPr>
            <w:webHidden/>
          </w:rPr>
        </w:r>
        <w:r w:rsidR="001B0ED0">
          <w:rPr>
            <w:webHidden/>
          </w:rPr>
          <w:fldChar w:fldCharType="separate"/>
        </w:r>
        <w:r w:rsidR="003D4CD6">
          <w:rPr>
            <w:webHidden/>
          </w:rPr>
          <w:t>21</w:t>
        </w:r>
        <w:r w:rsidR="001B0ED0">
          <w:rPr>
            <w:webHidden/>
          </w:rPr>
          <w:fldChar w:fldCharType="end"/>
        </w:r>
      </w:hyperlink>
    </w:p>
    <w:p w:rsidR="001B0ED0" w:rsidRDefault="00A23E4C">
      <w:pPr>
        <w:pStyle w:val="TOC1"/>
        <w:rPr>
          <w:noProof/>
          <w:spacing w:val="0"/>
          <w:sz w:val="22"/>
          <w:szCs w:val="22"/>
        </w:rPr>
      </w:pPr>
      <w:hyperlink w:anchor="_Toc785477" w:history="1">
        <w:r w:rsidR="001B0ED0" w:rsidRPr="003F4FCF">
          <w:rPr>
            <w:rStyle w:val="Hyperlink"/>
            <w:noProof/>
          </w:rPr>
          <w:t>Attachments</w:t>
        </w:r>
        <w:r w:rsidR="001B0ED0">
          <w:rPr>
            <w:noProof/>
            <w:webHidden/>
          </w:rPr>
          <w:tab/>
        </w:r>
        <w:r w:rsidR="001B0ED0">
          <w:rPr>
            <w:noProof/>
            <w:webHidden/>
          </w:rPr>
          <w:fldChar w:fldCharType="begin"/>
        </w:r>
        <w:r w:rsidR="001B0ED0">
          <w:rPr>
            <w:noProof/>
            <w:webHidden/>
          </w:rPr>
          <w:instrText xml:space="preserve"> PAGEREF _Toc785477 \h </w:instrText>
        </w:r>
        <w:r w:rsidR="001B0ED0">
          <w:rPr>
            <w:noProof/>
            <w:webHidden/>
          </w:rPr>
        </w:r>
        <w:r w:rsidR="001B0ED0">
          <w:rPr>
            <w:noProof/>
            <w:webHidden/>
          </w:rPr>
          <w:fldChar w:fldCharType="separate"/>
        </w:r>
        <w:r w:rsidR="003D4CD6">
          <w:rPr>
            <w:noProof/>
            <w:webHidden/>
          </w:rPr>
          <w:t>22</w:t>
        </w:r>
        <w:r w:rsidR="001B0ED0">
          <w:rPr>
            <w:noProof/>
            <w:webHidden/>
          </w:rPr>
          <w:fldChar w:fldCharType="end"/>
        </w:r>
      </w:hyperlink>
    </w:p>
    <w:p w:rsidR="001B0ED0" w:rsidRDefault="00A23E4C">
      <w:pPr>
        <w:pStyle w:val="TOC2"/>
        <w:rPr>
          <w:spacing w:val="0"/>
          <w:sz w:val="22"/>
          <w:szCs w:val="22"/>
        </w:rPr>
      </w:pPr>
      <w:hyperlink w:anchor="_Toc785478" w:history="1">
        <w:r w:rsidR="001B0ED0" w:rsidRPr="003F4FCF">
          <w:rPr>
            <w:rStyle w:val="Hyperlink"/>
          </w:rPr>
          <w:t>Attachment 1: Contributed capital scenarios and examples</w:t>
        </w:r>
        <w:r w:rsidR="001B0ED0">
          <w:rPr>
            <w:webHidden/>
          </w:rPr>
          <w:tab/>
        </w:r>
        <w:r w:rsidR="001B0ED0">
          <w:rPr>
            <w:webHidden/>
          </w:rPr>
          <w:fldChar w:fldCharType="begin"/>
        </w:r>
        <w:r w:rsidR="001B0ED0">
          <w:rPr>
            <w:webHidden/>
          </w:rPr>
          <w:instrText xml:space="preserve"> PAGEREF _Toc785478 \h </w:instrText>
        </w:r>
        <w:r w:rsidR="001B0ED0">
          <w:rPr>
            <w:webHidden/>
          </w:rPr>
        </w:r>
        <w:r w:rsidR="001B0ED0">
          <w:rPr>
            <w:webHidden/>
          </w:rPr>
          <w:fldChar w:fldCharType="separate"/>
        </w:r>
        <w:r w:rsidR="003D4CD6">
          <w:rPr>
            <w:webHidden/>
          </w:rPr>
          <w:t>22</w:t>
        </w:r>
        <w:r w:rsidR="001B0ED0">
          <w:rPr>
            <w:webHidden/>
          </w:rPr>
          <w:fldChar w:fldCharType="end"/>
        </w:r>
      </w:hyperlink>
    </w:p>
    <w:p w:rsidR="001B0ED0" w:rsidRDefault="00A23E4C">
      <w:pPr>
        <w:pStyle w:val="TOC2"/>
        <w:rPr>
          <w:spacing w:val="0"/>
          <w:sz w:val="22"/>
          <w:szCs w:val="22"/>
        </w:rPr>
      </w:pPr>
      <w:hyperlink w:anchor="_Toc785479" w:history="1">
        <w:r w:rsidR="001B0ED0" w:rsidRPr="003F4FCF">
          <w:rPr>
            <w:rStyle w:val="Hyperlink"/>
          </w:rPr>
          <w:t>Attachment 2: VicFleet lease accounting transactions</w:t>
        </w:r>
        <w:r w:rsidR="001B0ED0">
          <w:rPr>
            <w:webHidden/>
          </w:rPr>
          <w:tab/>
        </w:r>
        <w:r w:rsidR="001B0ED0">
          <w:rPr>
            <w:webHidden/>
          </w:rPr>
          <w:fldChar w:fldCharType="begin"/>
        </w:r>
        <w:r w:rsidR="001B0ED0">
          <w:rPr>
            <w:webHidden/>
          </w:rPr>
          <w:instrText xml:space="preserve"> PAGEREF _Toc785479 \h </w:instrText>
        </w:r>
        <w:r w:rsidR="001B0ED0">
          <w:rPr>
            <w:webHidden/>
          </w:rPr>
        </w:r>
        <w:r w:rsidR="001B0ED0">
          <w:rPr>
            <w:webHidden/>
          </w:rPr>
          <w:fldChar w:fldCharType="separate"/>
        </w:r>
        <w:r w:rsidR="003D4CD6">
          <w:rPr>
            <w:webHidden/>
          </w:rPr>
          <w:t>28</w:t>
        </w:r>
        <w:r w:rsidR="001B0ED0">
          <w:rPr>
            <w:webHidden/>
          </w:rPr>
          <w:fldChar w:fldCharType="end"/>
        </w:r>
      </w:hyperlink>
    </w:p>
    <w:p w:rsidR="001B0ED0" w:rsidRDefault="00A23E4C">
      <w:pPr>
        <w:pStyle w:val="TOC2"/>
        <w:rPr>
          <w:spacing w:val="0"/>
          <w:sz w:val="22"/>
          <w:szCs w:val="22"/>
        </w:rPr>
      </w:pPr>
      <w:hyperlink w:anchor="_Toc785480" w:history="1">
        <w:r w:rsidR="001B0ED0" w:rsidRPr="003F4FCF">
          <w:rPr>
            <w:rStyle w:val="Hyperlink"/>
          </w:rPr>
          <w:t>Attachment 3: Sample journal entries for the sale of departmental assets</w:t>
        </w:r>
        <w:r w:rsidR="001B0ED0">
          <w:rPr>
            <w:webHidden/>
          </w:rPr>
          <w:tab/>
        </w:r>
        <w:r w:rsidR="001B0ED0">
          <w:rPr>
            <w:webHidden/>
          </w:rPr>
          <w:fldChar w:fldCharType="begin"/>
        </w:r>
        <w:r w:rsidR="001B0ED0">
          <w:rPr>
            <w:webHidden/>
          </w:rPr>
          <w:instrText xml:space="preserve"> PAGEREF _Toc785480 \h </w:instrText>
        </w:r>
        <w:r w:rsidR="001B0ED0">
          <w:rPr>
            <w:webHidden/>
          </w:rPr>
        </w:r>
        <w:r w:rsidR="001B0ED0">
          <w:rPr>
            <w:webHidden/>
          </w:rPr>
          <w:fldChar w:fldCharType="separate"/>
        </w:r>
        <w:r w:rsidR="003D4CD6">
          <w:rPr>
            <w:webHidden/>
          </w:rPr>
          <w:t>31</w:t>
        </w:r>
        <w:r w:rsidR="001B0ED0">
          <w:rPr>
            <w:webHidden/>
          </w:rPr>
          <w:fldChar w:fldCharType="end"/>
        </w:r>
      </w:hyperlink>
    </w:p>
    <w:p w:rsidR="00FF4E99" w:rsidRDefault="00CD3D1B" w:rsidP="00D2312F">
      <w:r>
        <w:rPr>
          <w:noProof/>
          <w:color w:val="404040"/>
          <w:sz w:val="28"/>
          <w:szCs w:val="28"/>
          <w:lang w:eastAsia="en-US"/>
        </w:rPr>
        <w:fldChar w:fldCharType="end"/>
      </w:r>
    </w:p>
    <w:p w:rsidR="00FF4E99" w:rsidRDefault="00FF4E99" w:rsidP="00D2312F">
      <w:pPr>
        <w:sectPr w:rsidR="00FF4E99" w:rsidSect="00CD3D1B">
          <w:headerReference w:type="even" r:id="rId18"/>
          <w:headerReference w:type="default" r:id="rId19"/>
          <w:footerReference w:type="even" r:id="rId20"/>
          <w:footerReference w:type="default" r:id="rId21"/>
          <w:headerReference w:type="first" r:id="rId22"/>
          <w:type w:val="oddPage"/>
          <w:pgSz w:w="11906" w:h="16838" w:code="9"/>
          <w:pgMar w:top="2160" w:right="1440" w:bottom="1440" w:left="1440" w:header="706" w:footer="461" w:gutter="0"/>
          <w:pgNumType w:fmt="lowerRoman" w:start="1"/>
          <w:cols w:space="708"/>
          <w:docGrid w:linePitch="360"/>
        </w:sectPr>
      </w:pPr>
    </w:p>
    <w:p w:rsidR="00FF4E99" w:rsidRPr="00BF6584" w:rsidRDefault="00BF6584" w:rsidP="00BF6584">
      <w:pPr>
        <w:pStyle w:val="Heading1"/>
      </w:pPr>
      <w:bookmarkStart w:id="1" w:name="_Toc445470184"/>
      <w:bookmarkStart w:id="2" w:name="_Toc785439"/>
      <w:r>
        <w:t>Introduction</w:t>
      </w:r>
      <w:bookmarkEnd w:id="1"/>
      <w:bookmarkEnd w:id="2"/>
    </w:p>
    <w:p w:rsidR="005476DA" w:rsidRPr="00BF6584" w:rsidRDefault="00BF6584" w:rsidP="00BF6584">
      <w:pPr>
        <w:pStyle w:val="Heading2"/>
      </w:pPr>
      <w:bookmarkStart w:id="3" w:name="_Toc445470185"/>
      <w:bookmarkStart w:id="4" w:name="_Toc785440"/>
      <w:r>
        <w:t>Purpose and context</w:t>
      </w:r>
      <w:bookmarkEnd w:id="3"/>
      <w:bookmarkEnd w:id="4"/>
    </w:p>
    <w:p w:rsidR="005476DA" w:rsidRDefault="00BF6584" w:rsidP="0060329E">
      <w:r w:rsidRPr="00972714">
        <w:t>T</w:t>
      </w:r>
      <w:r>
        <w:t>he</w:t>
      </w:r>
      <w:r w:rsidRPr="00972714">
        <w:t xml:space="preserve"> </w:t>
      </w:r>
      <w:r>
        <w:t xml:space="preserve">Financial Reporting Operations Framework (FROF) serves </w:t>
      </w:r>
      <w:r w:rsidRPr="00972714">
        <w:t xml:space="preserve">to </w:t>
      </w:r>
      <w:r>
        <w:t>assist</w:t>
      </w:r>
      <w:r w:rsidRPr="00972714">
        <w:t xml:space="preserve"> Victorian </w:t>
      </w:r>
      <w:r>
        <w:t xml:space="preserve">Government </w:t>
      </w:r>
      <w:r w:rsidR="008B11FB">
        <w:t>department</w:t>
      </w:r>
      <w:r>
        <w:t xml:space="preserve">s, by providing supporting information and guidance on the financial data submission requirements outlined in </w:t>
      </w:r>
      <w:r w:rsidR="008B11FB">
        <w:t>Department</w:t>
      </w:r>
      <w:r>
        <w:t xml:space="preserve"> of Treasury and Finance Information Requests (DTFIRs)</w:t>
      </w:r>
      <w:r w:rsidR="00504EE7">
        <w:t>,</w:t>
      </w:r>
      <w:r>
        <w:t xml:space="preserve"> and specific technical guidance to assist accounting and reporting practices.</w:t>
      </w:r>
    </w:p>
    <w:p w:rsidR="005476DA" w:rsidRDefault="00BF6584" w:rsidP="0060329E">
      <w:r w:rsidRPr="005F75A6">
        <w:t xml:space="preserve">The </w:t>
      </w:r>
      <w:r>
        <w:t xml:space="preserve">FROF </w:t>
      </w:r>
      <w:r w:rsidRPr="005F75A6">
        <w:t xml:space="preserve">includes mandatory requirements for </w:t>
      </w:r>
      <w:r w:rsidR="008B11FB">
        <w:t>d</w:t>
      </w:r>
      <w:r w:rsidRPr="005F75A6">
        <w:t xml:space="preserve">epartments </w:t>
      </w:r>
      <w:r>
        <w:t xml:space="preserve">on </w:t>
      </w:r>
      <w:r w:rsidRPr="005F75A6">
        <w:t xml:space="preserve">matters </w:t>
      </w:r>
      <w:r>
        <w:t>including</w:t>
      </w:r>
      <w:r>
        <w:rPr>
          <w:b/>
        </w:rPr>
        <w:t xml:space="preserve"> </w:t>
      </w:r>
      <w:r w:rsidRPr="004C07C4">
        <w:t>financial reporting requirements, specific accounting issues and machinery of government changes. It also includes extensive guidance material.</w:t>
      </w:r>
    </w:p>
    <w:p w:rsidR="005476DA" w:rsidRDefault="005476DA" w:rsidP="0060329E">
      <w:pPr>
        <w:pStyle w:val="Heading2"/>
      </w:pPr>
      <w:bookmarkStart w:id="5" w:name="_Toc445459709"/>
      <w:bookmarkStart w:id="6" w:name="_Toc785441"/>
      <w:r>
        <w:t>Legal status</w:t>
      </w:r>
      <w:bookmarkEnd w:id="5"/>
      <w:bookmarkEnd w:id="6"/>
    </w:p>
    <w:p w:rsidR="005476DA" w:rsidRDefault="00BF6584" w:rsidP="0060329E">
      <w:r>
        <w:t>The FROF is issued by the Deputy Secretary, Budget and Finance Division at the Department of Treasury and Finance (DTF)</w:t>
      </w:r>
      <w:r w:rsidR="003010E6">
        <w:t>. The FROF is</w:t>
      </w:r>
      <w:r>
        <w:t xml:space="preserve"> mandated for </w:t>
      </w:r>
      <w:r w:rsidR="008B11FB">
        <w:t>d</w:t>
      </w:r>
      <w:r>
        <w:t xml:space="preserve">epartments by direction of the </w:t>
      </w:r>
      <w:r w:rsidR="0025725A">
        <w:t xml:space="preserve">Assistant Treasurer </w:t>
      </w:r>
      <w:r>
        <w:t xml:space="preserve">in the </w:t>
      </w:r>
      <w:r w:rsidR="00CC6E40" w:rsidRPr="000E61AC">
        <w:rPr>
          <w:rFonts w:ascii="Helv" w:hAnsi="Helv" w:cs="Helv"/>
          <w:i/>
          <w:color w:val="000000"/>
          <w:spacing w:val="0"/>
        </w:rPr>
        <w:t>Standing Directions 2018 under the Financial Management Act 1994</w:t>
      </w:r>
      <w:r w:rsidR="00CC6E40" w:rsidRPr="007C5620" w:rsidDel="00DC41CC">
        <w:rPr>
          <w:i/>
        </w:rPr>
        <w:t xml:space="preserve"> </w:t>
      </w:r>
      <w:r w:rsidR="00CC6E40">
        <w:t>(Standing Directions)</w:t>
      </w:r>
      <w:r>
        <w:t>.</w:t>
      </w:r>
      <w:r>
        <w:rPr>
          <w:rStyle w:val="FootnoteReference"/>
        </w:rPr>
        <w:footnoteReference w:id="1"/>
      </w:r>
    </w:p>
    <w:p w:rsidR="00BF6584" w:rsidRDefault="00BF6584" w:rsidP="0060329E">
      <w:r>
        <w:t>The following diagram illustrates where the FROF fits into the broader financial management framework for Victorian public sector agencies</w:t>
      </w:r>
      <w:r w:rsidR="00135DF2">
        <w:t>.</w:t>
      </w:r>
    </w:p>
    <w:p w:rsidR="000E2696" w:rsidRPr="00BF6584" w:rsidRDefault="00BF6584" w:rsidP="00BF6584">
      <w:pPr>
        <w:pStyle w:val="Caption"/>
        <w:rPr>
          <w:rFonts w:eastAsiaTheme="minorHAnsi"/>
        </w:rPr>
      </w:pPr>
      <w:r w:rsidRPr="00EE1A45">
        <w:t xml:space="preserve">Figure </w:t>
      </w:r>
      <w:r w:rsidR="00B15666">
        <w:rPr>
          <w:noProof/>
        </w:rPr>
        <w:fldChar w:fldCharType="begin"/>
      </w:r>
      <w:r w:rsidR="00B15666">
        <w:rPr>
          <w:noProof/>
        </w:rPr>
        <w:instrText xml:space="preserve"> SEQ Figure \* ARABIC </w:instrText>
      </w:r>
      <w:r w:rsidR="00B15666">
        <w:rPr>
          <w:noProof/>
        </w:rPr>
        <w:fldChar w:fldCharType="separate"/>
      </w:r>
      <w:r w:rsidR="003D4CD6">
        <w:rPr>
          <w:noProof/>
        </w:rPr>
        <w:t>1</w:t>
      </w:r>
      <w:r w:rsidR="00B15666">
        <w:rPr>
          <w:noProof/>
        </w:rPr>
        <w:fldChar w:fldCharType="end"/>
      </w:r>
      <w:r w:rsidRPr="00EE1A45">
        <w:t xml:space="preserve">: The </w:t>
      </w:r>
      <w:r>
        <w:t>Financial Reporting</w:t>
      </w:r>
      <w:r w:rsidRPr="00EE1A45">
        <w:t xml:space="preserve"> Operations Framework within Victoria's Financial Management Framework</w:t>
      </w:r>
    </w:p>
    <w:p w:rsidR="005476DA" w:rsidRDefault="00804202" w:rsidP="000E2696">
      <w:pPr>
        <w:pStyle w:val="NormalIndent"/>
      </w:pPr>
      <w:r w:rsidRPr="00804202">
        <w:rPr>
          <w:noProof/>
        </w:rPr>
        <w:t xml:space="preserve"> </w:t>
      </w:r>
      <w:r>
        <w:rPr>
          <w:noProof/>
        </w:rPr>
        <w:drawing>
          <wp:inline distT="0" distB="0" distL="0" distR="0" wp14:anchorId="2B55176E">
            <wp:extent cx="4743450" cy="292355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49823" cy="2927486"/>
                    </a:xfrm>
                    <a:prstGeom prst="rect">
                      <a:avLst/>
                    </a:prstGeom>
                    <a:noFill/>
                  </pic:spPr>
                </pic:pic>
              </a:graphicData>
            </a:graphic>
          </wp:inline>
        </w:drawing>
      </w:r>
    </w:p>
    <w:p w:rsidR="005476DA" w:rsidRDefault="00BF6584" w:rsidP="0060329E">
      <w:pPr>
        <w:pStyle w:val="Heading2"/>
      </w:pPr>
      <w:bookmarkStart w:id="7" w:name="_Toc445470187"/>
      <w:bookmarkStart w:id="8" w:name="_Toc785442"/>
      <w:r>
        <w:t>Application and compliance</w:t>
      </w:r>
      <w:bookmarkEnd w:id="7"/>
      <w:bookmarkEnd w:id="8"/>
    </w:p>
    <w:p w:rsidR="00B81007" w:rsidRDefault="00B81007" w:rsidP="00B81007">
      <w:pPr>
        <w:rPr>
          <w:lang w:eastAsia="en-US"/>
        </w:rPr>
      </w:pPr>
      <w:r>
        <w:rPr>
          <w:lang w:eastAsia="en-US"/>
        </w:rPr>
        <w:t>The FROF applies to all Victorian departments.</w:t>
      </w:r>
      <w:r>
        <w:rPr>
          <w:rStyle w:val="FootnoteReference"/>
          <w:lang w:eastAsia="en-US"/>
        </w:rPr>
        <w:footnoteReference w:id="2"/>
      </w:r>
      <w:r>
        <w:rPr>
          <w:lang w:eastAsia="en-US"/>
        </w:rPr>
        <w:t xml:space="preserve"> </w:t>
      </w:r>
      <w:r w:rsidRPr="00FB0DE7">
        <w:rPr>
          <w:lang w:eastAsia="en-US"/>
        </w:rPr>
        <w:t xml:space="preserve">The </w:t>
      </w:r>
      <w:r w:rsidR="007C6CCA">
        <w:rPr>
          <w:lang w:eastAsia="en-US"/>
        </w:rPr>
        <w:t>FROF</w:t>
      </w:r>
      <w:r w:rsidRPr="00FB0DE7">
        <w:rPr>
          <w:lang w:eastAsia="en-US"/>
        </w:rPr>
        <w:t xml:space="preserve"> also applies where, on a department’s behalf, service delivery is undertaken by a portfolio </w:t>
      </w:r>
      <w:r>
        <w:rPr>
          <w:lang w:eastAsia="en-US"/>
        </w:rPr>
        <w:t>agency</w:t>
      </w:r>
      <w:r w:rsidRPr="00FB0DE7">
        <w:rPr>
          <w:lang w:eastAsia="en-US"/>
        </w:rPr>
        <w:t xml:space="preserve">. </w:t>
      </w:r>
    </w:p>
    <w:p w:rsidR="00B81007" w:rsidRDefault="00B81007" w:rsidP="00B81007">
      <w:pPr>
        <w:rPr>
          <w:lang w:eastAsia="en-US"/>
        </w:rPr>
      </w:pPr>
      <w:r w:rsidRPr="0045413F">
        <w:rPr>
          <w:lang w:eastAsia="en-US"/>
        </w:rPr>
        <w:t xml:space="preserve">The </w:t>
      </w:r>
      <w:r w:rsidRPr="000F010F">
        <w:rPr>
          <w:i/>
          <w:lang w:eastAsia="en-US"/>
        </w:rPr>
        <w:t>Financial Management Act 1994</w:t>
      </w:r>
      <w:r>
        <w:rPr>
          <w:lang w:eastAsia="en-US"/>
        </w:rPr>
        <w:t xml:space="preserve"> (FMA)</w:t>
      </w:r>
      <w:r w:rsidRPr="0045413F">
        <w:rPr>
          <w:lang w:eastAsia="en-US"/>
        </w:rPr>
        <w:t xml:space="preserve"> requires </w:t>
      </w:r>
      <w:r>
        <w:rPr>
          <w:lang w:eastAsia="en-US"/>
        </w:rPr>
        <w:t>department</w:t>
      </w:r>
      <w:r w:rsidRPr="0045413F">
        <w:rPr>
          <w:lang w:eastAsia="en-US"/>
        </w:rPr>
        <w:t xml:space="preserve">s and Victorian public sector </w:t>
      </w:r>
      <w:r>
        <w:rPr>
          <w:lang w:eastAsia="en-US"/>
        </w:rPr>
        <w:t>agencies</w:t>
      </w:r>
      <w:r w:rsidRPr="0045413F">
        <w:rPr>
          <w:lang w:eastAsia="en-US"/>
        </w:rPr>
        <w:t xml:space="preserve"> to comply with requirements </w:t>
      </w:r>
      <w:r>
        <w:rPr>
          <w:lang w:eastAsia="en-US"/>
        </w:rPr>
        <w:t>regarding</w:t>
      </w:r>
      <w:r w:rsidRPr="0045413F">
        <w:rPr>
          <w:lang w:eastAsia="en-US"/>
        </w:rPr>
        <w:t xml:space="preserve"> financial management. While the Standin</w:t>
      </w:r>
      <w:r>
        <w:rPr>
          <w:lang w:eastAsia="en-US"/>
        </w:rPr>
        <w:t>g Directions only mandate the FROF</w:t>
      </w:r>
      <w:r w:rsidRPr="0045413F">
        <w:rPr>
          <w:lang w:eastAsia="en-US"/>
        </w:rPr>
        <w:t xml:space="preserve"> for </w:t>
      </w:r>
      <w:r>
        <w:rPr>
          <w:lang w:eastAsia="en-US"/>
        </w:rPr>
        <w:t>department</w:t>
      </w:r>
      <w:r w:rsidRPr="0045413F">
        <w:rPr>
          <w:lang w:eastAsia="en-US"/>
        </w:rPr>
        <w:t xml:space="preserve">s, other </w:t>
      </w:r>
      <w:r>
        <w:rPr>
          <w:lang w:eastAsia="en-US"/>
        </w:rPr>
        <w:t>agencies</w:t>
      </w:r>
      <w:r w:rsidRPr="0045413F">
        <w:rPr>
          <w:lang w:eastAsia="en-US"/>
        </w:rPr>
        <w:t xml:space="preserve"> subject to aspects of the FMA are expected to comply with </w:t>
      </w:r>
      <w:r>
        <w:rPr>
          <w:lang w:eastAsia="en-US"/>
        </w:rPr>
        <w:t>its</w:t>
      </w:r>
      <w:r w:rsidRPr="0045413F">
        <w:rPr>
          <w:lang w:eastAsia="en-US"/>
        </w:rPr>
        <w:t xml:space="preserve"> related requirements</w:t>
      </w:r>
      <w:r>
        <w:rPr>
          <w:lang w:eastAsia="en-US"/>
        </w:rPr>
        <w:t>.</w:t>
      </w:r>
    </w:p>
    <w:p w:rsidR="00B81007" w:rsidRDefault="00B81007" w:rsidP="00B81007">
      <w:pPr>
        <w:rPr>
          <w:lang w:eastAsia="en-US"/>
        </w:rPr>
      </w:pPr>
      <w:r>
        <w:rPr>
          <w:lang w:eastAsia="en-US"/>
        </w:rPr>
        <w:t xml:space="preserve">The Accountable Officer of each department must ensure the FROF is applied by </w:t>
      </w:r>
      <w:r w:rsidRPr="00FB4003">
        <w:rPr>
          <w:lang w:eastAsia="en-US"/>
        </w:rPr>
        <w:t>comply</w:t>
      </w:r>
      <w:r>
        <w:rPr>
          <w:lang w:eastAsia="en-US"/>
        </w:rPr>
        <w:t>ing</w:t>
      </w:r>
      <w:r w:rsidRPr="00FB4003">
        <w:rPr>
          <w:lang w:eastAsia="en-US"/>
        </w:rPr>
        <w:t xml:space="preserve"> with </w:t>
      </w:r>
      <w:r>
        <w:rPr>
          <w:lang w:eastAsia="en-US"/>
        </w:rPr>
        <w:t>the mandatory requirements (see ‘Structure’).</w:t>
      </w:r>
      <w:r>
        <w:rPr>
          <w:rStyle w:val="FootnoteReference"/>
          <w:lang w:eastAsia="en-US"/>
        </w:rPr>
        <w:footnoteReference w:id="3"/>
      </w:r>
      <w:r>
        <w:rPr>
          <w:lang w:eastAsia="en-US"/>
        </w:rPr>
        <w:t xml:space="preserve"> </w:t>
      </w:r>
    </w:p>
    <w:p w:rsidR="00B81007" w:rsidRDefault="00B81007" w:rsidP="00B81007">
      <w:pPr>
        <w:rPr>
          <w:lang w:eastAsia="en-US"/>
        </w:rPr>
      </w:pPr>
      <w:r w:rsidRPr="002B5B89">
        <w:rPr>
          <w:lang w:eastAsia="en-US"/>
        </w:rPr>
        <w:t xml:space="preserve">The Accountable Officer may delegate implementation of certain </w:t>
      </w:r>
      <w:r>
        <w:rPr>
          <w:lang w:eastAsia="en-US"/>
        </w:rPr>
        <w:t>FROF</w:t>
      </w:r>
      <w:r w:rsidRPr="002B5B89">
        <w:rPr>
          <w:lang w:eastAsia="en-US"/>
        </w:rPr>
        <w:t xml:space="preserve"> requirements to departmental officers (unless otherwise instructed in the requirement). However, departments should note that ultimate accountability for any delegated requirements </w:t>
      </w:r>
      <w:proofErr w:type="gramStart"/>
      <w:r w:rsidRPr="002B5B89">
        <w:rPr>
          <w:lang w:eastAsia="en-US"/>
        </w:rPr>
        <w:t>still remains</w:t>
      </w:r>
      <w:proofErr w:type="gramEnd"/>
      <w:r w:rsidRPr="002B5B89">
        <w:rPr>
          <w:lang w:eastAsia="en-US"/>
        </w:rPr>
        <w:t xml:space="preserve"> with the Accountable Officer.</w:t>
      </w:r>
    </w:p>
    <w:p w:rsidR="00B81007" w:rsidRDefault="00B81007" w:rsidP="00B81007">
      <w:pPr>
        <w:rPr>
          <w:lang w:eastAsia="en-US"/>
        </w:rPr>
      </w:pPr>
      <w:r>
        <w:rPr>
          <w:lang w:eastAsia="en-US"/>
        </w:rPr>
        <w:t xml:space="preserve">Departments are subject to the compliance requirements of the Standing Directions regarding the FROF. This includes public attestation of compliance in annual reports. Refer to Standing Directions 4.1 and 5.1 for more information. </w:t>
      </w:r>
    </w:p>
    <w:p w:rsidR="00B81007" w:rsidRDefault="00B81007" w:rsidP="00B81007">
      <w:pPr>
        <w:rPr>
          <w:lang w:eastAsia="en-US"/>
        </w:rPr>
      </w:pPr>
      <w:r>
        <w:rPr>
          <w:lang w:eastAsia="en-US"/>
        </w:rPr>
        <w:t xml:space="preserve">It is expected </w:t>
      </w:r>
      <w:r w:rsidRPr="0045413F">
        <w:rPr>
          <w:lang w:eastAsia="en-US"/>
        </w:rPr>
        <w:t>agencies using public resources should manage and account for those resources transparently</w:t>
      </w:r>
      <w:r>
        <w:rPr>
          <w:lang w:eastAsia="en-US"/>
        </w:rPr>
        <w:t>, consistently with stated Government policies,</w:t>
      </w:r>
      <w:r w:rsidRPr="0045413F">
        <w:rPr>
          <w:lang w:eastAsia="en-US"/>
        </w:rPr>
        <w:t xml:space="preserve"> and, as far as possible, consistently with other agencies.</w:t>
      </w:r>
    </w:p>
    <w:p w:rsidR="00B81007" w:rsidRDefault="00B81007" w:rsidP="00B81007">
      <w:pPr>
        <w:rPr>
          <w:lang w:eastAsia="en-US"/>
        </w:rPr>
      </w:pPr>
      <w:r>
        <w:rPr>
          <w:lang w:eastAsia="en-US"/>
        </w:rPr>
        <w:t>The FROF should be read in conjunction with the FMA, Ministerial Directions, Financial Reporting Directions, and any DTFIRs issued, where relevant.</w:t>
      </w:r>
    </w:p>
    <w:p w:rsidR="00B81007" w:rsidRDefault="00B81007" w:rsidP="00B81007">
      <w:pPr>
        <w:rPr>
          <w:lang w:eastAsia="en-US"/>
        </w:rPr>
      </w:pPr>
      <w:r>
        <w:rPr>
          <w:lang w:eastAsia="en-US"/>
        </w:rPr>
        <w:t xml:space="preserve">Other agencies are not bound by the </w:t>
      </w:r>
      <w:proofErr w:type="gramStart"/>
      <w:r>
        <w:rPr>
          <w:lang w:eastAsia="en-US"/>
        </w:rPr>
        <w:t>FROF, but</w:t>
      </w:r>
      <w:proofErr w:type="gramEnd"/>
      <w:r>
        <w:rPr>
          <w:lang w:eastAsia="en-US"/>
        </w:rPr>
        <w:t xml:space="preserve"> may voluntarily adopt it where relevant.</w:t>
      </w:r>
    </w:p>
    <w:p w:rsidR="005476DA" w:rsidRDefault="00BF6584" w:rsidP="0060329E">
      <w:pPr>
        <w:pStyle w:val="Heading2"/>
      </w:pPr>
      <w:bookmarkStart w:id="9" w:name="_Toc445470188"/>
      <w:bookmarkStart w:id="10" w:name="_Toc785443"/>
      <w:r>
        <w:t>Commencement, DTF role and currency</w:t>
      </w:r>
      <w:bookmarkEnd w:id="9"/>
      <w:bookmarkEnd w:id="10"/>
    </w:p>
    <w:p w:rsidR="00BF6584" w:rsidRDefault="00BF3B80" w:rsidP="00BF6584">
      <w:pPr>
        <w:rPr>
          <w:lang w:eastAsia="en-US"/>
        </w:rPr>
      </w:pPr>
      <w:bookmarkStart w:id="11" w:name="_Toc440958654"/>
      <w:bookmarkStart w:id="12" w:name="_Toc445459712"/>
      <w:r>
        <w:rPr>
          <w:lang w:eastAsia="en-US"/>
        </w:rPr>
        <w:t xml:space="preserve">This updated version of the FROF is effective from </w:t>
      </w:r>
      <w:r w:rsidRPr="00BF3B80">
        <w:rPr>
          <w:b/>
          <w:lang w:eastAsia="en-US"/>
        </w:rPr>
        <w:t>1 July 201</w:t>
      </w:r>
      <w:r w:rsidR="00CC6E40">
        <w:rPr>
          <w:b/>
          <w:lang w:eastAsia="en-US"/>
        </w:rPr>
        <w:t>9</w:t>
      </w:r>
      <w:r>
        <w:rPr>
          <w:lang w:eastAsia="en-US"/>
        </w:rPr>
        <w:t>.</w:t>
      </w:r>
    </w:p>
    <w:p w:rsidR="00BF6584" w:rsidRPr="007B55B1" w:rsidRDefault="00BF6584" w:rsidP="00BF6584">
      <w:r>
        <w:t>DTF manages and implements the FROF on behalf of the Deputy Secretary, Budget and Finance</w:t>
      </w:r>
      <w:r w:rsidR="00A94229">
        <w:t> </w:t>
      </w:r>
      <w:r>
        <w:t>Division</w:t>
      </w:r>
      <w:r w:rsidRPr="007B55B1">
        <w:t>.</w:t>
      </w:r>
      <w:r>
        <w:t xml:space="preserve"> To ask a question or provide feedback on the FROF, email </w:t>
      </w:r>
      <w:hyperlink r:id="rId24" w:history="1">
        <w:r w:rsidR="00A94229" w:rsidRPr="00B32746">
          <w:rPr>
            <w:rStyle w:val="Hyperlink"/>
          </w:rPr>
          <w:t>financial.frameworks</w:t>
        </w:r>
        <w:r w:rsidRPr="00B32746">
          <w:rPr>
            <w:rStyle w:val="Hyperlink"/>
          </w:rPr>
          <w:t>@dtf.vic.gov.au</w:t>
        </w:r>
      </w:hyperlink>
      <w:r>
        <w:t xml:space="preserve">. </w:t>
      </w:r>
    </w:p>
    <w:p w:rsidR="008C452E" w:rsidRPr="00A94229" w:rsidRDefault="00BF6584" w:rsidP="00E26733">
      <w:r>
        <w:t>The FROF may be amended and re-issued from time to time. Please check the DTF website to</w:t>
      </w:r>
      <w:r w:rsidR="00A94229">
        <w:t> </w:t>
      </w:r>
      <w:r>
        <w:t xml:space="preserve">ensure you are working with the latest </w:t>
      </w:r>
      <w:r w:rsidRPr="00A94229">
        <w:t xml:space="preserve">version. </w:t>
      </w:r>
      <w:bookmarkStart w:id="13" w:name="_Toc445470189"/>
      <w:bookmarkEnd w:id="11"/>
      <w:bookmarkEnd w:id="12"/>
    </w:p>
    <w:p w:rsidR="00A94229" w:rsidRDefault="00A94229">
      <w:pPr>
        <w:spacing w:before="0" w:after="200"/>
        <w:rPr>
          <w:rFonts w:asciiTheme="majorHAnsi" w:eastAsiaTheme="majorEastAsia" w:hAnsiTheme="majorHAnsi" w:cstheme="majorBidi"/>
          <w:b/>
          <w:bCs/>
          <w:color w:val="0063A6" w:themeColor="accent1"/>
          <w:sz w:val="28"/>
          <w:szCs w:val="26"/>
        </w:rPr>
      </w:pPr>
      <w:r>
        <w:br w:type="page"/>
      </w:r>
    </w:p>
    <w:p w:rsidR="005476DA" w:rsidRDefault="00BF6584" w:rsidP="0060329E">
      <w:pPr>
        <w:pStyle w:val="Heading2"/>
      </w:pPr>
      <w:bookmarkStart w:id="14" w:name="_Toc785444"/>
      <w:r>
        <w:t>Structure</w:t>
      </w:r>
      <w:bookmarkEnd w:id="13"/>
      <w:bookmarkEnd w:id="14"/>
    </w:p>
    <w:p w:rsidR="005476DA" w:rsidRDefault="00297111" w:rsidP="0060329E">
      <w:r>
        <w:t>Each element of the</w:t>
      </w:r>
      <w:r w:rsidR="00BF6584">
        <w:t xml:space="preserve"> FROF</w:t>
      </w:r>
      <w:r w:rsidR="00BF6584" w:rsidRPr="00726846">
        <w:t xml:space="preserve"> consists of two components</w:t>
      </w:r>
      <w:r w:rsidR="00BF6584">
        <w:t>:</w:t>
      </w:r>
    </w:p>
    <w:p w:rsidR="005476DA" w:rsidRDefault="005476DA" w:rsidP="006926C1">
      <w:pPr>
        <w:pStyle w:val="Bullet1"/>
      </w:pPr>
      <w:r>
        <w:t>mandatory</w:t>
      </w:r>
      <w:r w:rsidRPr="00726846">
        <w:t xml:space="preserve"> section</w:t>
      </w:r>
      <w:r>
        <w:t>s; and</w:t>
      </w:r>
    </w:p>
    <w:p w:rsidR="005476DA" w:rsidRDefault="005476DA" w:rsidP="006926C1">
      <w:pPr>
        <w:pStyle w:val="Bullet1"/>
      </w:pPr>
      <w:r>
        <w:t>non-mandatory guidance material.</w:t>
      </w:r>
    </w:p>
    <w:p w:rsidR="005476DA" w:rsidRDefault="00BF6584" w:rsidP="0060329E">
      <w:r>
        <w:t>This document is divided into the following chapters:</w:t>
      </w:r>
    </w:p>
    <w:p w:rsidR="008E7200" w:rsidRDefault="00BF6584" w:rsidP="006926C1">
      <w:pPr>
        <w:pStyle w:val="Numpara"/>
      </w:pPr>
      <w:r>
        <w:t>Specific accounting issues;</w:t>
      </w:r>
    </w:p>
    <w:p w:rsidR="005476DA" w:rsidRDefault="00623130" w:rsidP="006926C1">
      <w:pPr>
        <w:pStyle w:val="Numpara"/>
      </w:pPr>
      <w:r>
        <w:t>The Victorian Government chart of accounts;</w:t>
      </w:r>
      <w:r w:rsidR="00BF6584">
        <w:t xml:space="preserve"> and</w:t>
      </w:r>
    </w:p>
    <w:p w:rsidR="005476DA" w:rsidRDefault="00BF6584" w:rsidP="006926C1">
      <w:pPr>
        <w:pStyle w:val="Numpara"/>
      </w:pPr>
      <w:r>
        <w:t xml:space="preserve">Machinery of </w:t>
      </w:r>
      <w:r w:rsidR="00413A48">
        <w:t>government</w:t>
      </w:r>
      <w:r>
        <w:t>.</w:t>
      </w:r>
    </w:p>
    <w:p w:rsidR="005476DA" w:rsidRDefault="00BF6584" w:rsidP="0060329E">
      <w:r>
        <w:t>Relevant attachments are also provided.</w:t>
      </w:r>
    </w:p>
    <w:p w:rsidR="005476DA" w:rsidRDefault="00BF6584" w:rsidP="0060329E">
      <w:r>
        <w:t>The chapters are presented as follows:</w:t>
      </w:r>
    </w:p>
    <w:p w:rsidR="00C92091" w:rsidRDefault="00D870A6" w:rsidP="00C92091">
      <w:pPr>
        <w:pStyle w:val="NormalIndent"/>
      </w:pPr>
      <w:r>
        <w:rPr>
          <w:noProof/>
        </w:rPr>
        <w:drawing>
          <wp:inline distT="0" distB="0" distL="0" distR="0">
            <wp:extent cx="4661448" cy="3508744"/>
            <wp:effectExtent l="0" t="0" r="6350" b="0"/>
            <wp:docPr id="19722" name="Picture 19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81751" cy="3524027"/>
                    </a:xfrm>
                    <a:prstGeom prst="rect">
                      <a:avLst/>
                    </a:prstGeom>
                    <a:noFill/>
                    <a:ln>
                      <a:noFill/>
                    </a:ln>
                  </pic:spPr>
                </pic:pic>
              </a:graphicData>
            </a:graphic>
          </wp:inline>
        </w:drawing>
      </w:r>
    </w:p>
    <w:p w:rsidR="00F74523" w:rsidRPr="008037F0" w:rsidRDefault="00F74523" w:rsidP="008037F0">
      <w:pPr>
        <w:pStyle w:val="NormalIndenthanging"/>
        <w:ind w:left="2088"/>
        <w:rPr>
          <w:sz w:val="16"/>
        </w:rPr>
      </w:pPr>
      <w:r w:rsidRPr="008037F0">
        <w:rPr>
          <w:noProof/>
          <w:position w:val="-14"/>
          <w:sz w:val="16"/>
        </w:rPr>
        <w:drawing>
          <wp:inline distT="0" distB="0" distL="0" distR="0" wp14:anchorId="4CD3922B" wp14:editId="6B9B4F63">
            <wp:extent cx="284480" cy="284480"/>
            <wp:effectExtent l="0" t="0" r="1270" b="1270"/>
            <wp:docPr id="51" name="Graphic 5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8037F0">
        <w:rPr>
          <w:sz w:val="16"/>
        </w:rPr>
        <w:tab/>
      </w:r>
      <w:r w:rsidRPr="008037F0">
        <w:rPr>
          <w:sz w:val="16"/>
        </w:rPr>
        <w:t>More information can be found here</w:t>
      </w:r>
    </w:p>
    <w:p w:rsidR="00F74523" w:rsidRDefault="00F74523" w:rsidP="00C92091">
      <w:pPr>
        <w:pStyle w:val="NormalIndent"/>
      </w:pPr>
    </w:p>
    <w:p w:rsidR="008C452E" w:rsidRDefault="008C452E">
      <w:pPr>
        <w:spacing w:before="0" w:after="200"/>
        <w:rPr>
          <w:rFonts w:asciiTheme="majorHAnsi" w:eastAsiaTheme="majorEastAsia" w:hAnsiTheme="majorHAnsi" w:cstheme="majorBidi"/>
          <w:b/>
          <w:bCs/>
          <w:color w:val="201547"/>
          <w:spacing w:val="-1"/>
          <w:sz w:val="36"/>
          <w:szCs w:val="28"/>
        </w:rPr>
      </w:pPr>
      <w:bookmarkStart w:id="15" w:name="_Toc445470190"/>
      <w:r>
        <w:br w:type="page"/>
      </w:r>
    </w:p>
    <w:p w:rsidR="00BF6584" w:rsidRDefault="00BF6584" w:rsidP="00BF6584">
      <w:pPr>
        <w:pStyle w:val="Heading1"/>
      </w:pPr>
      <w:bookmarkStart w:id="16" w:name="_Toc785445"/>
      <w:r>
        <w:t>Definitions</w:t>
      </w:r>
      <w:bookmarkEnd w:id="15"/>
      <w:bookmarkEnd w:id="16"/>
    </w:p>
    <w:tbl>
      <w:tblPr>
        <w:tblStyle w:val="DTFtexttable"/>
        <w:tblW w:w="9335" w:type="dxa"/>
        <w:tblBorders>
          <w:top w:val="single" w:sz="6" w:space="0" w:color="0063A6" w:themeColor="accent1"/>
          <w:insideH w:val="single" w:sz="6" w:space="0" w:color="0063A6" w:themeColor="accent1"/>
        </w:tblBorders>
        <w:tblLook w:val="06A0" w:firstRow="1" w:lastRow="0" w:firstColumn="1" w:lastColumn="0" w:noHBand="1" w:noVBand="1"/>
      </w:tblPr>
      <w:tblGrid>
        <w:gridCol w:w="2531"/>
        <w:gridCol w:w="6804"/>
      </w:tblGrid>
      <w:tr w:rsidR="009D23FB" w:rsidRPr="00C408AF" w:rsidTr="008037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31" w:type="dxa"/>
          </w:tcPr>
          <w:p w:rsidR="009D23FB" w:rsidRPr="00C408AF" w:rsidRDefault="009D23FB" w:rsidP="00A94229">
            <w:pPr>
              <w:pStyle w:val="Tableheader"/>
            </w:pPr>
            <w:bookmarkStart w:id="17" w:name="_Toc445459714"/>
            <w:r w:rsidRPr="00C408AF">
              <w:t>Term</w:t>
            </w:r>
          </w:p>
        </w:tc>
        <w:tc>
          <w:tcPr>
            <w:tcW w:w="6804" w:type="dxa"/>
          </w:tcPr>
          <w:p w:rsidR="009D23FB" w:rsidRPr="00C408AF" w:rsidRDefault="009D23FB" w:rsidP="00A94229">
            <w:pPr>
              <w:pStyle w:val="Tableheader"/>
              <w:cnfStyle w:val="100000000000" w:firstRow="1" w:lastRow="0" w:firstColumn="0" w:lastColumn="0" w:oddVBand="0" w:evenVBand="0" w:oddHBand="0" w:evenHBand="0" w:firstRowFirstColumn="0" w:firstRowLastColumn="0" w:lastRowFirstColumn="0" w:lastRowLastColumn="0"/>
            </w:pPr>
            <w:r w:rsidRPr="00C408AF">
              <w:t>Definition</w:t>
            </w:r>
          </w:p>
        </w:tc>
      </w:tr>
      <w:tr w:rsidR="009D23FB" w:rsidRPr="00C408AF" w:rsidTr="008037F0">
        <w:tc>
          <w:tcPr>
            <w:cnfStyle w:val="001000000000" w:firstRow="0" w:lastRow="0" w:firstColumn="1" w:lastColumn="0" w:oddVBand="0" w:evenVBand="0" w:oddHBand="0" w:evenHBand="0" w:firstRowFirstColumn="0" w:firstRowLastColumn="0" w:lastRowFirstColumn="0" w:lastRowLastColumn="0"/>
            <w:tcW w:w="2531" w:type="dxa"/>
          </w:tcPr>
          <w:p w:rsidR="009D23FB" w:rsidRDefault="009D23FB" w:rsidP="009D23FB">
            <w:pPr>
              <w:rPr>
                <w:b/>
              </w:rPr>
            </w:pPr>
            <w:r w:rsidRPr="000E2696">
              <w:rPr>
                <w:b/>
              </w:rPr>
              <w:t>Additions to the Net Assets Base (ATNAB)</w:t>
            </w:r>
          </w:p>
        </w:tc>
        <w:tc>
          <w:tcPr>
            <w:tcW w:w="6804" w:type="dxa"/>
          </w:tcPr>
          <w:p w:rsidR="009D23FB" w:rsidRPr="00C408AF" w:rsidRDefault="009D23FB" w:rsidP="009D23FB">
            <w:pPr>
              <w:cnfStyle w:val="000000000000" w:firstRow="0" w:lastRow="0" w:firstColumn="0" w:lastColumn="0" w:oddVBand="0" w:evenVBand="0" w:oddHBand="0" w:evenHBand="0" w:firstRowFirstColumn="0" w:firstRowLastColumn="0" w:lastRowFirstColumn="0" w:lastRowLastColumn="0"/>
            </w:pPr>
            <w:r>
              <w:t>A</w:t>
            </w:r>
            <w:r w:rsidRPr="00DD0531">
              <w:t xml:space="preserve">n appropriation </w:t>
            </w:r>
            <w:r>
              <w:t>that</w:t>
            </w:r>
            <w:r w:rsidRPr="00DD0531">
              <w:t xml:space="preserve"> provides for an increase in the </w:t>
            </w:r>
            <w:r>
              <w:t>assets</w:t>
            </w:r>
            <w:r w:rsidRPr="00DD0531">
              <w:t xml:space="preserve"> of a </w:t>
            </w:r>
            <w:r>
              <w:t>department</w:t>
            </w:r>
            <w:r w:rsidRPr="00DD0531">
              <w:t>’s statement of financial position.</w:t>
            </w:r>
          </w:p>
        </w:tc>
      </w:tr>
      <w:tr w:rsidR="009D23FB" w:rsidRPr="003D1BE7" w:rsidTr="008037F0">
        <w:tc>
          <w:tcPr>
            <w:cnfStyle w:val="001000000000" w:firstRow="0" w:lastRow="0" w:firstColumn="1" w:lastColumn="0" w:oddVBand="0" w:evenVBand="0" w:oddHBand="0" w:evenHBand="0" w:firstRowFirstColumn="0" w:firstRowLastColumn="0" w:lastRowFirstColumn="0" w:lastRowLastColumn="0"/>
            <w:tcW w:w="2531" w:type="dxa"/>
          </w:tcPr>
          <w:p w:rsidR="009D23FB" w:rsidRDefault="009D23FB" w:rsidP="009D23FB">
            <w:pPr>
              <w:rPr>
                <w:b/>
              </w:rPr>
            </w:pPr>
            <w:r w:rsidRPr="000E2696">
              <w:rPr>
                <w:b/>
                <w:iCs/>
              </w:rPr>
              <w:t xml:space="preserve">Administered </w:t>
            </w:r>
            <w:r>
              <w:rPr>
                <w:b/>
              </w:rPr>
              <w:t>item</w:t>
            </w:r>
          </w:p>
        </w:tc>
        <w:tc>
          <w:tcPr>
            <w:tcW w:w="6804" w:type="dxa"/>
          </w:tcPr>
          <w:p w:rsidR="009D23FB" w:rsidRPr="003D1BE7" w:rsidRDefault="009D23FB" w:rsidP="009D23FB">
            <w:pPr>
              <w:cnfStyle w:val="000000000000" w:firstRow="0" w:lastRow="0" w:firstColumn="0" w:lastColumn="0" w:oddVBand="0" w:evenVBand="0" w:oddHBand="0" w:evenHBand="0" w:firstRowFirstColumn="0" w:firstRowLastColumn="0" w:lastRowFirstColumn="0" w:lastRowLastColumn="0"/>
            </w:pPr>
            <w:r>
              <w:t>An item that will generally be characterised by the relevant department</w:t>
            </w:r>
            <w:r w:rsidRPr="00731E39">
              <w:t xml:space="preserve"> lacking the capacity to benefit from that item in the pursuit of the </w:t>
            </w:r>
            <w:r>
              <w:t>department’</w:t>
            </w:r>
            <w:r w:rsidRPr="00731E39">
              <w:t>s objectives</w:t>
            </w:r>
            <w:r>
              <w:t>,</w:t>
            </w:r>
            <w:r w:rsidRPr="00731E39">
              <w:t xml:space="preserve"> and </w:t>
            </w:r>
            <w:r>
              <w:t xml:space="preserve">the department </w:t>
            </w:r>
            <w:r w:rsidRPr="00731E39">
              <w:t>lacking the capacity to deny or regulate access of others to that benefit.</w:t>
            </w:r>
          </w:p>
        </w:tc>
      </w:tr>
      <w:tr w:rsidR="009D23FB" w:rsidRPr="003D1BE7" w:rsidTr="008037F0">
        <w:tc>
          <w:tcPr>
            <w:cnfStyle w:val="001000000000" w:firstRow="0" w:lastRow="0" w:firstColumn="1" w:lastColumn="0" w:oddVBand="0" w:evenVBand="0" w:oddHBand="0" w:evenHBand="0" w:firstRowFirstColumn="0" w:firstRowLastColumn="0" w:lastRowFirstColumn="0" w:lastRowLastColumn="0"/>
            <w:tcW w:w="2531" w:type="dxa"/>
          </w:tcPr>
          <w:p w:rsidR="009D23FB" w:rsidRDefault="009D23FB" w:rsidP="009D23FB">
            <w:pPr>
              <w:rPr>
                <w:b/>
              </w:rPr>
            </w:pPr>
            <w:r w:rsidRPr="000E2696">
              <w:rPr>
                <w:b/>
              </w:rPr>
              <w:t>Appropriation</w:t>
            </w:r>
          </w:p>
        </w:tc>
        <w:tc>
          <w:tcPr>
            <w:tcW w:w="6804" w:type="dxa"/>
          </w:tcPr>
          <w:p w:rsidR="009D23FB" w:rsidRPr="003D1BE7" w:rsidRDefault="009D23FB" w:rsidP="009D23FB">
            <w:pPr>
              <w:cnfStyle w:val="000000000000" w:firstRow="0" w:lastRow="0" w:firstColumn="0" w:lastColumn="0" w:oddVBand="0" w:evenVBand="0" w:oddHBand="0" w:evenHBand="0" w:firstRowFirstColumn="0" w:firstRowLastColumn="0" w:lastRowFirstColumn="0" w:lastRowLastColumn="0"/>
            </w:pPr>
            <w:r>
              <w:t xml:space="preserve">An authority given by an Act of Parliament to draw certain sums out of the Consolidated Fund, now or at some future point in time, for the purposes stated, up to the limit (if any) of the amount in the </w:t>
            </w:r>
            <w:proofErr w:type="gramStart"/>
            <w:r>
              <w:t>particular Act</w:t>
            </w:r>
            <w:proofErr w:type="gramEnd"/>
            <w:r>
              <w:t xml:space="preserve">. </w:t>
            </w:r>
          </w:p>
        </w:tc>
      </w:tr>
      <w:tr w:rsidR="009D23FB" w:rsidRPr="003D1BE7" w:rsidTr="008037F0">
        <w:tc>
          <w:tcPr>
            <w:cnfStyle w:val="001000000000" w:firstRow="0" w:lastRow="0" w:firstColumn="1" w:lastColumn="0" w:oddVBand="0" w:evenVBand="0" w:oddHBand="0" w:evenHBand="0" w:firstRowFirstColumn="0" w:firstRowLastColumn="0" w:lastRowFirstColumn="0" w:lastRowLastColumn="0"/>
            <w:tcW w:w="2531" w:type="dxa"/>
          </w:tcPr>
          <w:p w:rsidR="009D23FB" w:rsidRPr="000E2696" w:rsidRDefault="009D23FB" w:rsidP="009D23FB">
            <w:pPr>
              <w:rPr>
                <w:b/>
              </w:rPr>
            </w:pPr>
            <w:r>
              <w:rPr>
                <w:b/>
              </w:rPr>
              <w:t>Assets</w:t>
            </w:r>
          </w:p>
        </w:tc>
        <w:tc>
          <w:tcPr>
            <w:tcW w:w="6804" w:type="dxa"/>
          </w:tcPr>
          <w:p w:rsidR="009D23FB" w:rsidRDefault="009D23FB" w:rsidP="009D23FB">
            <w:pPr>
              <w:cnfStyle w:val="000000000000" w:firstRow="0" w:lastRow="0" w:firstColumn="0" w:lastColumn="0" w:oddVBand="0" w:evenVBand="0" w:oddHBand="0" w:evenHBand="0" w:firstRowFirstColumn="0" w:firstRowLastColumn="0" w:lastRowFirstColumn="0" w:lastRowLastColumn="0"/>
            </w:pPr>
            <w:r>
              <w:rPr>
                <w:iCs/>
              </w:rPr>
              <w:t>S</w:t>
            </w:r>
            <w:r w:rsidRPr="004F3FF5">
              <w:rPr>
                <w:iCs/>
              </w:rPr>
              <w:t>ervice</w:t>
            </w:r>
            <w:r>
              <w:rPr>
                <w:iCs/>
              </w:rPr>
              <w:t xml:space="preserve"> potential or future economic benefits controlled by an entity (e.g. a department) </w:t>
            </w:r>
            <w:proofErr w:type="gramStart"/>
            <w:r>
              <w:rPr>
                <w:iCs/>
              </w:rPr>
              <w:t>as a result of</w:t>
            </w:r>
            <w:proofErr w:type="gramEnd"/>
            <w:r>
              <w:rPr>
                <w:iCs/>
              </w:rPr>
              <w:t xml:space="preserve"> past transactions or other past events. Assets may be physical (e.g. plant, equipment, buildings, trains, information technology systems) or non-physical (e.g. intellectual property, intangible assets). Assets may also be current (one year or less) or non-current </w:t>
            </w:r>
            <w:r>
              <w:t>(having service potential that is consumed over a period of more than one year)</w:t>
            </w:r>
            <w:r>
              <w:rPr>
                <w:iCs/>
              </w:rPr>
              <w:t>.</w:t>
            </w:r>
          </w:p>
        </w:tc>
      </w:tr>
      <w:tr w:rsidR="009D23FB" w:rsidRPr="003D1BE7" w:rsidTr="008037F0">
        <w:tc>
          <w:tcPr>
            <w:cnfStyle w:val="001000000000" w:firstRow="0" w:lastRow="0" w:firstColumn="1" w:lastColumn="0" w:oddVBand="0" w:evenVBand="0" w:oddHBand="0" w:evenHBand="0" w:firstRowFirstColumn="0" w:firstRowLastColumn="0" w:lastRowFirstColumn="0" w:lastRowLastColumn="0"/>
            <w:tcW w:w="2531" w:type="dxa"/>
          </w:tcPr>
          <w:p w:rsidR="009D23FB" w:rsidRDefault="009D23FB" w:rsidP="009D23FB">
            <w:pPr>
              <w:rPr>
                <w:b/>
              </w:rPr>
            </w:pPr>
            <w:r w:rsidRPr="000E2696">
              <w:rPr>
                <w:b/>
              </w:rPr>
              <w:t>Capital Assets Charge (CAC)</w:t>
            </w:r>
          </w:p>
        </w:tc>
        <w:tc>
          <w:tcPr>
            <w:tcW w:w="6804" w:type="dxa"/>
          </w:tcPr>
          <w:p w:rsidR="009D23FB" w:rsidRPr="003D1BE7" w:rsidRDefault="009D23FB" w:rsidP="009D23FB">
            <w:pPr>
              <w:cnfStyle w:val="000000000000" w:firstRow="0" w:lastRow="0" w:firstColumn="0" w:lastColumn="0" w:oddVBand="0" w:evenVBand="0" w:oddHBand="0" w:evenHBand="0" w:firstRowFirstColumn="0" w:firstRowLastColumn="0" w:lastRowFirstColumn="0" w:lastRowLastColumn="0"/>
            </w:pPr>
            <w:r>
              <w:t xml:space="preserve">A charge levied on the written-down value of controlled non-current physical assets in a department’s balance sheet, which aims to attribute to agency outputs the opportunity cost of capital used in service delivery. </w:t>
            </w:r>
          </w:p>
        </w:tc>
      </w:tr>
      <w:tr w:rsidR="009D23FB" w:rsidRPr="003D1BE7" w:rsidTr="008037F0">
        <w:tc>
          <w:tcPr>
            <w:cnfStyle w:val="001000000000" w:firstRow="0" w:lastRow="0" w:firstColumn="1" w:lastColumn="0" w:oddVBand="0" w:evenVBand="0" w:oddHBand="0" w:evenHBand="0" w:firstRowFirstColumn="0" w:firstRowLastColumn="0" w:lastRowFirstColumn="0" w:lastRowLastColumn="0"/>
            <w:tcW w:w="2531" w:type="dxa"/>
          </w:tcPr>
          <w:p w:rsidR="009D23FB" w:rsidRPr="000E2696" w:rsidRDefault="009D23FB" w:rsidP="009D23FB">
            <w:pPr>
              <w:rPr>
                <w:b/>
              </w:rPr>
            </w:pPr>
            <w:r>
              <w:rPr>
                <w:b/>
              </w:rPr>
              <w:t>Carrying over/value</w:t>
            </w:r>
          </w:p>
        </w:tc>
        <w:tc>
          <w:tcPr>
            <w:tcW w:w="6804" w:type="dxa"/>
          </w:tcPr>
          <w:p w:rsidR="009D23FB" w:rsidRDefault="009D23FB" w:rsidP="009D23FB">
            <w:pPr>
              <w:cnfStyle w:val="000000000000" w:firstRow="0" w:lastRow="0" w:firstColumn="0" w:lastColumn="0" w:oddVBand="0" w:evenVBand="0" w:oddHBand="0" w:evenHBand="0" w:firstRowFirstColumn="0" w:firstRowLastColumn="0" w:lastRowFirstColumn="0" w:lastRowLastColumn="0"/>
            </w:pPr>
            <w:r>
              <w:t>The amount/value at which an asset is recognised after deducting any accumulated depreciation and accumulated impairment losses</w:t>
            </w:r>
            <w:r w:rsidRPr="00914ABA">
              <w:t>.</w:t>
            </w:r>
          </w:p>
        </w:tc>
      </w:tr>
      <w:tr w:rsidR="009D23FB" w:rsidRPr="00A63ED1" w:rsidTr="008037F0">
        <w:tc>
          <w:tcPr>
            <w:cnfStyle w:val="001000000000" w:firstRow="0" w:lastRow="0" w:firstColumn="1" w:lastColumn="0" w:oddVBand="0" w:evenVBand="0" w:oddHBand="0" w:evenHBand="0" w:firstRowFirstColumn="0" w:firstRowLastColumn="0" w:lastRowFirstColumn="0" w:lastRowLastColumn="0"/>
            <w:tcW w:w="2531" w:type="dxa"/>
          </w:tcPr>
          <w:p w:rsidR="009D23FB" w:rsidRDefault="009D23FB" w:rsidP="009D23FB">
            <w:pPr>
              <w:rPr>
                <w:b/>
              </w:rPr>
            </w:pPr>
            <w:r>
              <w:rPr>
                <w:b/>
              </w:rPr>
              <w:t>Consolidated Fund</w:t>
            </w:r>
          </w:p>
        </w:tc>
        <w:tc>
          <w:tcPr>
            <w:tcW w:w="6804" w:type="dxa"/>
          </w:tcPr>
          <w:p w:rsidR="009D23FB" w:rsidRPr="00A63ED1" w:rsidRDefault="009D23FB" w:rsidP="009D23FB">
            <w:pPr>
              <w:cnfStyle w:val="000000000000" w:firstRow="0" w:lastRow="0" w:firstColumn="0" w:lastColumn="0" w:oddVBand="0" w:evenVBand="0" w:oddHBand="0" w:evenHBand="0" w:firstRowFirstColumn="0" w:firstRowLastColumn="0" w:lastRowFirstColumn="0" w:lastRowLastColumn="0"/>
            </w:pPr>
            <w:r w:rsidRPr="00E71593">
              <w:t xml:space="preserve">The Government’s primary financial account, established by the FMA, that receives all Consolidated Revenue under the </w:t>
            </w:r>
            <w:r w:rsidRPr="00195572">
              <w:rPr>
                <w:i/>
              </w:rPr>
              <w:t>Constitution Act 1975</w:t>
            </w:r>
            <w:r w:rsidRPr="00E71593">
              <w:t xml:space="preserve"> and other </w:t>
            </w:r>
            <w:r>
              <w:t>moneys</w:t>
            </w:r>
            <w:r w:rsidRPr="00E71593">
              <w:t xml:space="preserve"> as defined in section 9 of the FMA.</w:t>
            </w:r>
          </w:p>
        </w:tc>
      </w:tr>
      <w:tr w:rsidR="009D23FB" w:rsidRPr="00A63ED1" w:rsidTr="008037F0">
        <w:tc>
          <w:tcPr>
            <w:cnfStyle w:val="001000000000" w:firstRow="0" w:lastRow="0" w:firstColumn="1" w:lastColumn="0" w:oddVBand="0" w:evenVBand="0" w:oddHBand="0" w:evenHBand="0" w:firstRowFirstColumn="0" w:firstRowLastColumn="0" w:lastRowFirstColumn="0" w:lastRowLastColumn="0"/>
            <w:tcW w:w="2531" w:type="dxa"/>
          </w:tcPr>
          <w:p w:rsidR="009D23FB" w:rsidRDefault="009D23FB" w:rsidP="009D23FB">
            <w:pPr>
              <w:rPr>
                <w:b/>
              </w:rPr>
            </w:pPr>
            <w:r>
              <w:rPr>
                <w:b/>
              </w:rPr>
              <w:t xml:space="preserve">Contributed </w:t>
            </w:r>
            <w:r w:rsidR="008B7164">
              <w:rPr>
                <w:b/>
              </w:rPr>
              <w:t>c</w:t>
            </w:r>
            <w:r>
              <w:rPr>
                <w:b/>
              </w:rPr>
              <w:t>apital</w:t>
            </w:r>
          </w:p>
        </w:tc>
        <w:tc>
          <w:tcPr>
            <w:tcW w:w="6804" w:type="dxa"/>
          </w:tcPr>
          <w:p w:rsidR="009D23FB" w:rsidRPr="00A63ED1" w:rsidRDefault="009D23FB" w:rsidP="009D23FB">
            <w:pPr>
              <w:cnfStyle w:val="000000000000" w:firstRow="0" w:lastRow="0" w:firstColumn="0" w:lastColumn="0" w:oddVBand="0" w:evenVBand="0" w:oddHBand="0" w:evenHBand="0" w:firstRowFirstColumn="0" w:firstRowLastColumn="0" w:lastRowFirstColumn="0" w:lastRowLastColumn="0"/>
            </w:pPr>
            <w:r>
              <w:t>The recognition and reporting of the investment by the State in departments and their portfolio agencies, as reflected in a department’s financial statements.</w:t>
            </w:r>
          </w:p>
        </w:tc>
      </w:tr>
      <w:tr w:rsidR="009D23FB" w:rsidRPr="00A63ED1" w:rsidTr="008037F0">
        <w:tc>
          <w:tcPr>
            <w:cnfStyle w:val="001000000000" w:firstRow="0" w:lastRow="0" w:firstColumn="1" w:lastColumn="0" w:oddVBand="0" w:evenVBand="0" w:oddHBand="0" w:evenHBand="0" w:firstRowFirstColumn="0" w:firstRowLastColumn="0" w:lastRowFirstColumn="0" w:lastRowLastColumn="0"/>
            <w:tcW w:w="2531" w:type="dxa"/>
          </w:tcPr>
          <w:p w:rsidR="009D23FB" w:rsidRDefault="009D23FB" w:rsidP="009D23FB">
            <w:pPr>
              <w:rPr>
                <w:b/>
              </w:rPr>
            </w:pPr>
            <w:r w:rsidRPr="000E2696">
              <w:rPr>
                <w:b/>
              </w:rPr>
              <w:t>Cont</w:t>
            </w:r>
            <w:r>
              <w:rPr>
                <w:b/>
              </w:rPr>
              <w:t>rolled item</w:t>
            </w:r>
          </w:p>
        </w:tc>
        <w:tc>
          <w:tcPr>
            <w:tcW w:w="6804" w:type="dxa"/>
          </w:tcPr>
          <w:p w:rsidR="009D23FB" w:rsidRPr="00A63ED1" w:rsidRDefault="009D23FB" w:rsidP="009D23FB">
            <w:pPr>
              <w:cnfStyle w:val="000000000000" w:firstRow="0" w:lastRow="0" w:firstColumn="0" w:lastColumn="0" w:oddVBand="0" w:evenVBand="0" w:oddHBand="0" w:evenHBand="0" w:firstRowFirstColumn="0" w:firstRowLastColumn="0" w:lastRowFirstColumn="0" w:lastRowLastColumn="0"/>
            </w:pPr>
            <w:proofErr w:type="gramStart"/>
            <w:r>
              <w:t>G</w:t>
            </w:r>
            <w:r w:rsidRPr="00B77452">
              <w:t>enerally</w:t>
            </w:r>
            <w:proofErr w:type="gramEnd"/>
            <w:r w:rsidRPr="00B77452">
              <w:t xml:space="preserve"> refers to the capacity of a </w:t>
            </w:r>
            <w:r>
              <w:t>department</w:t>
            </w:r>
            <w:r w:rsidRPr="00B77452">
              <w:t xml:space="preserve"> to benefit from that item in the pursuit of </w:t>
            </w:r>
            <w:r>
              <w:t>its</w:t>
            </w:r>
            <w:r w:rsidRPr="00B77452">
              <w:t xml:space="preserve"> objectives and to deny or regulate the access of others to that benefit</w:t>
            </w:r>
            <w:r>
              <w:t>.</w:t>
            </w:r>
          </w:p>
        </w:tc>
      </w:tr>
      <w:tr w:rsidR="009D23FB" w:rsidRPr="00A63ED1" w:rsidTr="008037F0">
        <w:tc>
          <w:tcPr>
            <w:cnfStyle w:val="001000000000" w:firstRow="0" w:lastRow="0" w:firstColumn="1" w:lastColumn="0" w:oddVBand="0" w:evenVBand="0" w:oddHBand="0" w:evenHBand="0" w:firstRowFirstColumn="0" w:firstRowLastColumn="0" w:lastRowFirstColumn="0" w:lastRowLastColumn="0"/>
            <w:tcW w:w="2531" w:type="dxa"/>
          </w:tcPr>
          <w:p w:rsidR="009D23FB" w:rsidRDefault="009D23FB" w:rsidP="009D23FB">
            <w:pPr>
              <w:rPr>
                <w:b/>
              </w:rPr>
            </w:pPr>
            <w:r>
              <w:rPr>
                <w:b/>
              </w:rPr>
              <w:t>Department</w:t>
            </w:r>
          </w:p>
        </w:tc>
        <w:tc>
          <w:tcPr>
            <w:tcW w:w="6804" w:type="dxa"/>
          </w:tcPr>
          <w:p w:rsidR="009D23FB" w:rsidRPr="00A63ED1" w:rsidRDefault="009D23FB" w:rsidP="009D23FB">
            <w:pPr>
              <w:cnfStyle w:val="000000000000" w:firstRow="0" w:lastRow="0" w:firstColumn="0" w:lastColumn="0" w:oddVBand="0" w:evenVBand="0" w:oddHBand="0" w:evenHBand="0" w:firstRowFirstColumn="0" w:firstRowLastColumn="0" w:lastRowFirstColumn="0" w:lastRowLastColumn="0"/>
            </w:pPr>
            <w:r>
              <w:t xml:space="preserve">Has the same meaning as para (a) of </w:t>
            </w:r>
            <w:r>
              <w:rPr>
                <w:i/>
              </w:rPr>
              <w:t xml:space="preserve">department </w:t>
            </w:r>
            <w:r>
              <w:t xml:space="preserve">in section 3 of the </w:t>
            </w:r>
            <w:proofErr w:type="gramStart"/>
            <w:r>
              <w:t>FMA.</w:t>
            </w:r>
            <w:proofErr w:type="gramEnd"/>
            <w:r>
              <w:t xml:space="preserve"> </w:t>
            </w:r>
          </w:p>
        </w:tc>
      </w:tr>
      <w:tr w:rsidR="009D23FB" w:rsidRPr="00A63ED1" w:rsidTr="008037F0">
        <w:tc>
          <w:tcPr>
            <w:cnfStyle w:val="001000000000" w:firstRow="0" w:lastRow="0" w:firstColumn="1" w:lastColumn="0" w:oddVBand="0" w:evenVBand="0" w:oddHBand="0" w:evenHBand="0" w:firstRowFirstColumn="0" w:firstRowLastColumn="0" w:lastRowFirstColumn="0" w:lastRowLastColumn="0"/>
            <w:tcW w:w="2531" w:type="dxa"/>
          </w:tcPr>
          <w:p w:rsidR="009D23FB" w:rsidRDefault="009D23FB" w:rsidP="009D23FB">
            <w:pPr>
              <w:rPr>
                <w:b/>
              </w:rPr>
            </w:pPr>
            <w:r>
              <w:rPr>
                <w:b/>
              </w:rPr>
              <w:t>Depreciation</w:t>
            </w:r>
          </w:p>
        </w:tc>
        <w:tc>
          <w:tcPr>
            <w:tcW w:w="6804" w:type="dxa"/>
          </w:tcPr>
          <w:p w:rsidR="009D23FB" w:rsidRPr="00A63ED1" w:rsidRDefault="009D23FB" w:rsidP="009D23FB">
            <w:pPr>
              <w:cnfStyle w:val="000000000000" w:firstRow="0" w:lastRow="0" w:firstColumn="0" w:lastColumn="0" w:oddVBand="0" w:evenVBand="0" w:oddHBand="0" w:evenHBand="0" w:firstRowFirstColumn="0" w:firstRowLastColumn="0" w:lastRowFirstColumn="0" w:lastRowLastColumn="0"/>
            </w:pPr>
            <w:r>
              <w:t xml:space="preserve">The systematic allocation of the cost or fair value of a tangible asset over its useful life. </w:t>
            </w:r>
          </w:p>
        </w:tc>
      </w:tr>
      <w:tr w:rsidR="009D23FB" w:rsidRPr="00A63ED1" w:rsidTr="008037F0">
        <w:tc>
          <w:tcPr>
            <w:cnfStyle w:val="001000000000" w:firstRow="0" w:lastRow="0" w:firstColumn="1" w:lastColumn="0" w:oddVBand="0" w:evenVBand="0" w:oddHBand="0" w:evenHBand="0" w:firstRowFirstColumn="0" w:firstRowLastColumn="0" w:lastRowFirstColumn="0" w:lastRowLastColumn="0"/>
            <w:tcW w:w="2531" w:type="dxa"/>
          </w:tcPr>
          <w:p w:rsidR="009D23FB" w:rsidRDefault="009D23FB" w:rsidP="009D23FB">
            <w:pPr>
              <w:rPr>
                <w:b/>
              </w:rPr>
            </w:pPr>
            <w:r w:rsidRPr="000E2696">
              <w:rPr>
                <w:b/>
              </w:rPr>
              <w:t>Equity in</w:t>
            </w:r>
            <w:r>
              <w:rPr>
                <w:b/>
              </w:rPr>
              <w:t>vestment in controlled agencies</w:t>
            </w:r>
          </w:p>
        </w:tc>
        <w:tc>
          <w:tcPr>
            <w:tcW w:w="6804" w:type="dxa"/>
          </w:tcPr>
          <w:p w:rsidR="009D23FB" w:rsidRPr="00A63ED1" w:rsidRDefault="009D23FB" w:rsidP="009D23FB">
            <w:pPr>
              <w:cnfStyle w:val="000000000000" w:firstRow="0" w:lastRow="0" w:firstColumn="0" w:lastColumn="0" w:oddVBand="0" w:evenVBand="0" w:oddHBand="0" w:evenHBand="0" w:firstRowFirstColumn="0" w:firstRowLastColumn="0" w:lastRowFirstColumn="0" w:lastRowLastColumn="0"/>
            </w:pPr>
            <w:r>
              <w:t>Refers to the Government’s equity investment in a department and other controlled agencies of the State, in its capacity as owner (</w:t>
            </w:r>
            <w:r w:rsidR="003562F9">
              <w:t xml:space="preserve">see </w:t>
            </w:r>
            <w:r w:rsidRPr="003562F9">
              <w:rPr>
                <w:i/>
              </w:rPr>
              <w:t>Contributed Capital</w:t>
            </w:r>
            <w:r>
              <w:t xml:space="preserve"> definition).</w:t>
            </w:r>
          </w:p>
        </w:tc>
      </w:tr>
      <w:tr w:rsidR="009D23FB" w:rsidRPr="00A63ED1" w:rsidTr="008037F0">
        <w:tc>
          <w:tcPr>
            <w:cnfStyle w:val="001000000000" w:firstRow="0" w:lastRow="0" w:firstColumn="1" w:lastColumn="0" w:oddVBand="0" w:evenVBand="0" w:oddHBand="0" w:evenHBand="0" w:firstRowFirstColumn="0" w:firstRowLastColumn="0" w:lastRowFirstColumn="0" w:lastRowLastColumn="0"/>
            <w:tcW w:w="2531" w:type="dxa"/>
          </w:tcPr>
          <w:p w:rsidR="009D23FB" w:rsidRPr="000E2696" w:rsidRDefault="009D23FB" w:rsidP="009D23FB">
            <w:pPr>
              <w:rPr>
                <w:b/>
              </w:rPr>
            </w:pPr>
            <w:r>
              <w:rPr>
                <w:b/>
              </w:rPr>
              <w:t>Finance lease</w:t>
            </w:r>
          </w:p>
        </w:tc>
        <w:tc>
          <w:tcPr>
            <w:tcW w:w="6804" w:type="dxa"/>
          </w:tcPr>
          <w:p w:rsidR="008B7164" w:rsidRDefault="009D23FB" w:rsidP="009D23FB">
            <w:pPr>
              <w:cnfStyle w:val="000000000000" w:firstRow="0" w:lastRow="0" w:firstColumn="0" w:lastColumn="0" w:oddVBand="0" w:evenVBand="0" w:oddHBand="0" w:evenHBand="0" w:firstRowFirstColumn="0" w:firstRowLastColumn="0" w:lastRowFirstColumn="0" w:lastRowLastColumn="0"/>
            </w:pPr>
            <w:r>
              <w:t>A</w:t>
            </w:r>
            <w:r w:rsidRPr="00731E39">
              <w:t xml:space="preserve"> lease under which the lessor </w:t>
            </w:r>
            <w:r>
              <w:t xml:space="preserve">effectively </w:t>
            </w:r>
            <w:r w:rsidRPr="00731E39">
              <w:t xml:space="preserve">transfers to the lessee substantially all the risks and benefits incidental to the lease and where legal ownership may or may not be </w:t>
            </w:r>
            <w:proofErr w:type="gramStart"/>
            <w:r w:rsidRPr="00731E39">
              <w:t>actually transferred</w:t>
            </w:r>
            <w:proofErr w:type="gramEnd"/>
            <w:r w:rsidRPr="00731E39">
              <w:t>.</w:t>
            </w:r>
          </w:p>
        </w:tc>
      </w:tr>
      <w:tr w:rsidR="009D23FB" w:rsidRPr="00A63ED1" w:rsidTr="008037F0">
        <w:tc>
          <w:tcPr>
            <w:cnfStyle w:val="001000000000" w:firstRow="0" w:lastRow="0" w:firstColumn="1" w:lastColumn="0" w:oddVBand="0" w:evenVBand="0" w:oddHBand="0" w:evenHBand="0" w:firstRowFirstColumn="0" w:firstRowLastColumn="0" w:lastRowFirstColumn="0" w:lastRowLastColumn="0"/>
            <w:tcW w:w="2531" w:type="dxa"/>
          </w:tcPr>
          <w:p w:rsidR="009D23FB" w:rsidRPr="00A94229" w:rsidRDefault="009D23FB" w:rsidP="008B7164">
            <w:pPr>
              <w:rPr>
                <w:b/>
              </w:rPr>
            </w:pPr>
            <w:r w:rsidRPr="00A94229">
              <w:rPr>
                <w:b/>
                <w:i/>
              </w:rPr>
              <w:t>Financial Management Act 1994</w:t>
            </w:r>
            <w:r w:rsidRPr="00A94229">
              <w:rPr>
                <w:b/>
              </w:rPr>
              <w:t xml:space="preserve"> (FMA)</w:t>
            </w:r>
          </w:p>
        </w:tc>
        <w:tc>
          <w:tcPr>
            <w:tcW w:w="6804" w:type="dxa"/>
          </w:tcPr>
          <w:p w:rsidR="009D23FB" w:rsidRPr="008B7164" w:rsidRDefault="009D23FB" w:rsidP="009D23FB">
            <w:pPr>
              <w:cnfStyle w:val="000000000000" w:firstRow="0" w:lastRow="0" w:firstColumn="0" w:lastColumn="0" w:oddVBand="0" w:evenVBand="0" w:oddHBand="0" w:evenHBand="0" w:firstRowFirstColumn="0" w:firstRowLastColumn="0" w:lastRowFirstColumn="0" w:lastRowLastColumn="0"/>
              <w:rPr>
                <w:b/>
              </w:rPr>
            </w:pPr>
            <w:r w:rsidRPr="008B7164">
              <w:t xml:space="preserve">One of the key pieces of legislation underpinning the financial management framework of Victoria. The purposes of this Act are: </w:t>
            </w:r>
          </w:p>
          <w:p w:rsidR="009D23FB" w:rsidRPr="00A94229" w:rsidRDefault="009D23FB" w:rsidP="00A94229">
            <w:pPr>
              <w:pStyle w:val="Listnum"/>
              <w:contextualSpacing/>
              <w:cnfStyle w:val="000000000000" w:firstRow="0" w:lastRow="0" w:firstColumn="0" w:lastColumn="0" w:oddVBand="0" w:evenVBand="0" w:oddHBand="0" w:evenHBand="0" w:firstRowFirstColumn="0" w:firstRowLastColumn="0" w:lastRowFirstColumn="0" w:lastRowLastColumn="0"/>
            </w:pPr>
            <w:r w:rsidRPr="008B7164">
              <w:t xml:space="preserve">to </w:t>
            </w:r>
            <w:r w:rsidRPr="00A94229">
              <w:t xml:space="preserve">improve financial administration of the public sector; </w:t>
            </w:r>
          </w:p>
          <w:p w:rsidR="009D23FB" w:rsidRPr="00A94229" w:rsidRDefault="009D23FB" w:rsidP="00A94229">
            <w:pPr>
              <w:pStyle w:val="Listnum"/>
              <w:contextualSpacing/>
              <w:cnfStyle w:val="000000000000" w:firstRow="0" w:lastRow="0" w:firstColumn="0" w:lastColumn="0" w:oddVBand="0" w:evenVBand="0" w:oddHBand="0" w:evenHBand="0" w:firstRowFirstColumn="0" w:firstRowLastColumn="0" w:lastRowFirstColumn="0" w:lastRowLastColumn="0"/>
            </w:pPr>
            <w:r w:rsidRPr="00A94229">
              <w:t>to make better provision for the accountability of the public sector; and</w:t>
            </w:r>
          </w:p>
          <w:p w:rsidR="009D23FB" w:rsidRPr="008B7164" w:rsidRDefault="009D23FB" w:rsidP="00A94229">
            <w:pPr>
              <w:pStyle w:val="Listnum"/>
              <w:contextualSpacing/>
              <w:cnfStyle w:val="000000000000" w:firstRow="0" w:lastRow="0" w:firstColumn="0" w:lastColumn="0" w:oddVBand="0" w:evenVBand="0" w:oddHBand="0" w:evenHBand="0" w:firstRowFirstColumn="0" w:firstRowLastColumn="0" w:lastRowFirstColumn="0" w:lastRowLastColumn="0"/>
            </w:pPr>
            <w:r w:rsidRPr="00A94229">
              <w:t>to provide for annual reporting to the Parliament by departments and public sector</w:t>
            </w:r>
            <w:r w:rsidRPr="008B7164">
              <w:t xml:space="preserve"> agencies. </w:t>
            </w:r>
          </w:p>
        </w:tc>
      </w:tr>
      <w:tr w:rsidR="009D23FB" w:rsidRPr="00A63ED1" w:rsidTr="008037F0">
        <w:tc>
          <w:tcPr>
            <w:cnfStyle w:val="001000000000" w:firstRow="0" w:lastRow="0" w:firstColumn="1" w:lastColumn="0" w:oddVBand="0" w:evenVBand="0" w:oddHBand="0" w:evenHBand="0" w:firstRowFirstColumn="0" w:firstRowLastColumn="0" w:lastRowFirstColumn="0" w:lastRowLastColumn="0"/>
            <w:tcW w:w="2531" w:type="dxa"/>
          </w:tcPr>
          <w:p w:rsidR="009D23FB" w:rsidRPr="009D23FB" w:rsidRDefault="009D23FB" w:rsidP="009D23FB">
            <w:pPr>
              <w:rPr>
                <w:b/>
              </w:rPr>
            </w:pPr>
            <w:r w:rsidRPr="009D23FB">
              <w:rPr>
                <w:b/>
              </w:rPr>
              <w:t>Physical assets</w:t>
            </w:r>
          </w:p>
        </w:tc>
        <w:tc>
          <w:tcPr>
            <w:tcW w:w="6804" w:type="dxa"/>
          </w:tcPr>
          <w:p w:rsidR="009D23FB" w:rsidRDefault="008B7164" w:rsidP="009D23FB">
            <w:pPr>
              <w:cnfStyle w:val="000000000000" w:firstRow="0" w:lastRow="0" w:firstColumn="0" w:lastColumn="0" w:oddVBand="0" w:evenVBand="0" w:oddHBand="0" w:evenHBand="0" w:firstRowFirstColumn="0" w:firstRowLastColumn="0" w:lastRowFirstColumn="0" w:lastRowLastColumn="0"/>
            </w:pPr>
            <w:r>
              <w:t>A</w:t>
            </w:r>
            <w:r w:rsidR="009D23FB">
              <w:t>pplies to non-financial assets such as property, plant and equipment other than inventories and consumables.</w:t>
            </w:r>
          </w:p>
        </w:tc>
      </w:tr>
      <w:tr w:rsidR="009D23FB" w:rsidRPr="00A63ED1" w:rsidTr="008037F0">
        <w:tc>
          <w:tcPr>
            <w:cnfStyle w:val="001000000000" w:firstRow="0" w:lastRow="0" w:firstColumn="1" w:lastColumn="0" w:oddVBand="0" w:evenVBand="0" w:oddHBand="0" w:evenHBand="0" w:firstRowFirstColumn="0" w:firstRowLastColumn="0" w:lastRowFirstColumn="0" w:lastRowLastColumn="0"/>
            <w:tcW w:w="2531" w:type="dxa"/>
          </w:tcPr>
          <w:p w:rsidR="009D23FB" w:rsidRDefault="009D23FB" w:rsidP="009D23FB">
            <w:pPr>
              <w:rPr>
                <w:b/>
              </w:rPr>
            </w:pPr>
            <w:r>
              <w:rPr>
                <w:b/>
              </w:rPr>
              <w:t>Public Account</w:t>
            </w:r>
          </w:p>
        </w:tc>
        <w:tc>
          <w:tcPr>
            <w:tcW w:w="6804" w:type="dxa"/>
          </w:tcPr>
          <w:p w:rsidR="009D23FB" w:rsidRPr="00A63ED1" w:rsidRDefault="009D23FB" w:rsidP="009D23FB">
            <w:pPr>
              <w:cnfStyle w:val="000000000000" w:firstRow="0" w:lastRow="0" w:firstColumn="0" w:lastColumn="0" w:oddVBand="0" w:evenVBand="0" w:oddHBand="0" w:evenHBand="0" w:firstRowFirstColumn="0" w:firstRowLastColumn="0" w:lastRowFirstColumn="0" w:lastRowLastColumn="0"/>
            </w:pPr>
            <w:r>
              <w:t>T</w:t>
            </w:r>
            <w:r w:rsidRPr="00B25264">
              <w:t xml:space="preserve">he Government’s principal bank account. All </w:t>
            </w:r>
            <w:r>
              <w:t xml:space="preserve">cash </w:t>
            </w:r>
            <w:r w:rsidRPr="00B25264">
              <w:t xml:space="preserve">transactions relating to the Consolidated Fund, the Trust Fund and Advances under </w:t>
            </w:r>
            <w:r>
              <w:t>s</w:t>
            </w:r>
            <w:r w:rsidRPr="00B25264">
              <w:t>ection</w:t>
            </w:r>
            <w:r>
              <w:t xml:space="preserve">s </w:t>
            </w:r>
            <w:r w:rsidRPr="00B25264">
              <w:t xml:space="preserve">36 </w:t>
            </w:r>
            <w:r>
              <w:t>and</w:t>
            </w:r>
            <w:r w:rsidRPr="00B25264">
              <w:t xml:space="preserve"> 37 </w:t>
            </w:r>
            <w:r>
              <w:t xml:space="preserve">of the FMA </w:t>
            </w:r>
            <w:r w:rsidRPr="00B25264">
              <w:t>are proces</w:t>
            </w:r>
            <w:r>
              <w:t>sed through the Public Account.</w:t>
            </w:r>
          </w:p>
        </w:tc>
      </w:tr>
      <w:tr w:rsidR="009D23FB" w:rsidRPr="00A63ED1" w:rsidTr="008037F0">
        <w:tc>
          <w:tcPr>
            <w:cnfStyle w:val="001000000000" w:firstRow="0" w:lastRow="0" w:firstColumn="1" w:lastColumn="0" w:oddVBand="0" w:evenVBand="0" w:oddHBand="0" w:evenHBand="0" w:firstRowFirstColumn="0" w:firstRowLastColumn="0" w:lastRowFirstColumn="0" w:lastRowLastColumn="0"/>
            <w:tcW w:w="2531" w:type="dxa"/>
          </w:tcPr>
          <w:p w:rsidR="009D23FB" w:rsidRDefault="00BB44A9" w:rsidP="009D23FB">
            <w:pPr>
              <w:rPr>
                <w:b/>
              </w:rPr>
            </w:pPr>
            <w:r w:rsidRPr="00F149CD">
              <w:rPr>
                <w:b/>
              </w:rPr>
              <w:t>State Resource Information Management System (SRIMS</w:t>
            </w:r>
            <w:r>
              <w:rPr>
                <w:b/>
              </w:rPr>
              <w:t>)</w:t>
            </w:r>
          </w:p>
        </w:tc>
        <w:tc>
          <w:tcPr>
            <w:tcW w:w="6804" w:type="dxa"/>
          </w:tcPr>
          <w:p w:rsidR="009D23FB" w:rsidRDefault="008B7164" w:rsidP="009D23FB">
            <w:pPr>
              <w:cnfStyle w:val="000000000000" w:firstRow="0" w:lastRow="0" w:firstColumn="0" w:lastColumn="0" w:oddVBand="0" w:evenVBand="0" w:oddHBand="0" w:evenHBand="0" w:firstRowFirstColumn="0" w:firstRowLastColumn="0" w:lastRowFirstColumn="0" w:lastRowLastColumn="0"/>
            </w:pPr>
            <w:r>
              <w:rPr>
                <w:color w:val="000000"/>
              </w:rPr>
              <w:t>SRIMS is the State’s central ledger, which supports DTF in its ‘head office’ role in being able to provide the Government with financial and performance information from departments and agencies to support whole of government decision-making and accountability obligations.</w:t>
            </w:r>
          </w:p>
        </w:tc>
      </w:tr>
      <w:tr w:rsidR="009D23FB" w:rsidRPr="003A10F5" w:rsidTr="008037F0">
        <w:tc>
          <w:tcPr>
            <w:cnfStyle w:val="001000000000" w:firstRow="0" w:lastRow="0" w:firstColumn="1" w:lastColumn="0" w:oddVBand="0" w:evenVBand="0" w:oddHBand="0" w:evenHBand="0" w:firstRowFirstColumn="0" w:firstRowLastColumn="0" w:lastRowFirstColumn="0" w:lastRowLastColumn="0"/>
            <w:tcW w:w="2531" w:type="dxa"/>
          </w:tcPr>
          <w:p w:rsidR="009D23FB" w:rsidRDefault="009D23FB" w:rsidP="009D23FB">
            <w:pPr>
              <w:rPr>
                <w:b/>
              </w:rPr>
            </w:pPr>
            <w:r>
              <w:rPr>
                <w:b/>
              </w:rPr>
              <w:t>State Administration Unit (SAU)</w:t>
            </w:r>
          </w:p>
        </w:tc>
        <w:tc>
          <w:tcPr>
            <w:tcW w:w="6804" w:type="dxa"/>
          </w:tcPr>
          <w:p w:rsidR="009D23FB" w:rsidRDefault="009D23FB" w:rsidP="009D23FB">
            <w:pPr>
              <w:cnfStyle w:val="000000000000" w:firstRow="0" w:lastRow="0" w:firstColumn="0" w:lastColumn="0" w:oddVBand="0" w:evenVBand="0" w:oddHBand="0" w:evenHBand="0" w:firstRowFirstColumn="0" w:firstRowLastColumn="0" w:lastRowFirstColumn="0" w:lastRowLastColumn="0"/>
            </w:pPr>
            <w:r w:rsidRPr="00BA3E42">
              <w:t xml:space="preserve">The SAU serves two primary functions: </w:t>
            </w:r>
          </w:p>
          <w:p w:rsidR="009D23FB" w:rsidRPr="00A94229" w:rsidRDefault="009D23FB" w:rsidP="00A94229">
            <w:pPr>
              <w:pStyle w:val="Listnum"/>
              <w:numPr>
                <w:ilvl w:val="0"/>
                <w:numId w:val="29"/>
              </w:numPr>
              <w:contextualSpacing/>
              <w:cnfStyle w:val="000000000000" w:firstRow="0" w:lastRow="0" w:firstColumn="0" w:lastColumn="0" w:oddVBand="0" w:evenVBand="0" w:oddHBand="0" w:evenHBand="0" w:firstRowFirstColumn="0" w:firstRowLastColumn="0" w:lastRowFirstColumn="0" w:lastRowLastColumn="0"/>
            </w:pPr>
            <w:r w:rsidRPr="00A94229">
              <w:t xml:space="preserve">as a mechanism for recording transaction flows and balances in the Public Account; and </w:t>
            </w:r>
          </w:p>
          <w:p w:rsidR="009D23FB" w:rsidRPr="009D23FB" w:rsidRDefault="009D23FB" w:rsidP="00A94229">
            <w:pPr>
              <w:pStyle w:val="Listnum"/>
              <w:contextualSpacing/>
              <w:cnfStyle w:val="000000000000" w:firstRow="0" w:lastRow="0" w:firstColumn="0" w:lastColumn="0" w:oddVBand="0" w:evenVBand="0" w:oddHBand="0" w:evenHBand="0" w:firstRowFirstColumn="0" w:firstRowLastColumn="0" w:lastRowFirstColumn="0" w:lastRowLastColumn="0"/>
            </w:pPr>
            <w:r w:rsidRPr="009D23FB">
              <w:t>a means of capturing certain relationships and balances between the Government (with DTF as the ‘corporate head office’) and departments (such as Contributed Capital balances).</w:t>
            </w:r>
          </w:p>
        </w:tc>
      </w:tr>
      <w:tr w:rsidR="009D23FB" w:rsidRPr="00A63ED1" w:rsidTr="008037F0">
        <w:tc>
          <w:tcPr>
            <w:cnfStyle w:val="001000000000" w:firstRow="0" w:lastRow="0" w:firstColumn="1" w:lastColumn="0" w:oddVBand="0" w:evenVBand="0" w:oddHBand="0" w:evenHBand="0" w:firstRowFirstColumn="0" w:firstRowLastColumn="0" w:lastRowFirstColumn="0" w:lastRowLastColumn="0"/>
            <w:tcW w:w="2531" w:type="dxa"/>
          </w:tcPr>
          <w:p w:rsidR="009D23FB" w:rsidRDefault="009D23FB" w:rsidP="009D23FB">
            <w:pPr>
              <w:rPr>
                <w:b/>
              </w:rPr>
            </w:pPr>
            <w:r>
              <w:rPr>
                <w:b/>
              </w:rPr>
              <w:t>Trust accounts</w:t>
            </w:r>
          </w:p>
        </w:tc>
        <w:tc>
          <w:tcPr>
            <w:tcW w:w="6804" w:type="dxa"/>
          </w:tcPr>
          <w:p w:rsidR="009D23FB" w:rsidRPr="00A63ED1" w:rsidRDefault="009D23FB" w:rsidP="009D23FB">
            <w:pPr>
              <w:cnfStyle w:val="000000000000" w:firstRow="0" w:lastRow="0" w:firstColumn="0" w:lastColumn="0" w:oddVBand="0" w:evenVBand="0" w:oddHBand="0" w:evenHBand="0" w:firstRowFirstColumn="0" w:firstRowLastColumn="0" w:lastRowFirstColumn="0" w:lastRowLastColumn="0"/>
            </w:pPr>
            <w:r>
              <w:t xml:space="preserve">Separate accounts </w:t>
            </w:r>
            <w:r w:rsidRPr="00731E39">
              <w:t>in the Trust Fund, w</w:t>
            </w:r>
            <w:r>
              <w:t>hich contain moneys set aside for specific purposes.</w:t>
            </w:r>
            <w:r w:rsidRPr="00731E39">
              <w:t xml:space="preserve"> The specific purpose for the establishment of each </w:t>
            </w:r>
            <w:r>
              <w:t>t</w:t>
            </w:r>
            <w:r w:rsidRPr="00731E39">
              <w:t xml:space="preserve">rust </w:t>
            </w:r>
            <w:r>
              <w:t>a</w:t>
            </w:r>
            <w:r w:rsidRPr="00731E39">
              <w:t xml:space="preserve">ccount is defined by the Minister, pursuant to </w:t>
            </w:r>
            <w:r>
              <w:t>s</w:t>
            </w:r>
            <w:r w:rsidRPr="00731E39">
              <w:t>ection</w:t>
            </w:r>
            <w:r>
              <w:t>s</w:t>
            </w:r>
            <w:r w:rsidRPr="00731E39">
              <w:t xml:space="preserve"> 19 </w:t>
            </w:r>
            <w:r>
              <w:t xml:space="preserve">or 23 </w:t>
            </w:r>
            <w:r w:rsidRPr="00731E39">
              <w:t xml:space="preserve">of the </w:t>
            </w:r>
            <w:r>
              <w:t>FMA</w:t>
            </w:r>
            <w:r w:rsidRPr="00731E39">
              <w:t>, or is c</w:t>
            </w:r>
            <w:r>
              <w:t>ontained in a separate statute.</w:t>
            </w:r>
          </w:p>
        </w:tc>
      </w:tr>
    </w:tbl>
    <w:p w:rsidR="009D23FB" w:rsidRDefault="009D23FB" w:rsidP="00BF6584">
      <w:pPr>
        <w:rPr>
          <w:b/>
        </w:rPr>
      </w:pPr>
    </w:p>
    <w:bookmarkEnd w:id="17"/>
    <w:p w:rsidR="00BF6584" w:rsidRDefault="00BF6584" w:rsidP="00904771">
      <w:pPr>
        <w:spacing w:before="0" w:after="200"/>
      </w:pPr>
      <w:r>
        <w:br w:type="page"/>
      </w:r>
    </w:p>
    <w:p w:rsidR="007D065F" w:rsidRDefault="007D065F" w:rsidP="008037F0">
      <w:pPr>
        <w:pStyle w:val="Heading1numbered"/>
      </w:pPr>
      <w:bookmarkStart w:id="18" w:name="_Toc532889981"/>
      <w:bookmarkStart w:id="19" w:name="_Toc532896810"/>
      <w:bookmarkStart w:id="20" w:name="_Toc532905131"/>
      <w:bookmarkStart w:id="21" w:name="_Toc535935146"/>
      <w:bookmarkStart w:id="22" w:name="_Toc535936756"/>
      <w:bookmarkStart w:id="23" w:name="_Toc535938969"/>
      <w:bookmarkStart w:id="24" w:name="_Toc535939127"/>
      <w:bookmarkStart w:id="25" w:name="_Toc532889997"/>
      <w:bookmarkStart w:id="26" w:name="_Toc532896825"/>
      <w:bookmarkStart w:id="27" w:name="_Toc532905147"/>
      <w:bookmarkStart w:id="28" w:name="_Toc535935162"/>
      <w:bookmarkStart w:id="29" w:name="_Toc535936772"/>
      <w:bookmarkStart w:id="30" w:name="_Toc535938985"/>
      <w:bookmarkStart w:id="31" w:name="_Toc535939143"/>
      <w:bookmarkStart w:id="32" w:name="_Toc532889998"/>
      <w:bookmarkStart w:id="33" w:name="_Toc532896826"/>
      <w:bookmarkStart w:id="34" w:name="_Toc532905148"/>
      <w:bookmarkStart w:id="35" w:name="_Toc535935163"/>
      <w:bookmarkStart w:id="36" w:name="_Toc535936773"/>
      <w:bookmarkStart w:id="37" w:name="_Toc535938986"/>
      <w:bookmarkStart w:id="38" w:name="_Toc535939144"/>
      <w:bookmarkStart w:id="39" w:name="_Toc532889999"/>
      <w:bookmarkStart w:id="40" w:name="_Toc532896827"/>
      <w:bookmarkStart w:id="41" w:name="_Toc532905149"/>
      <w:bookmarkStart w:id="42" w:name="_Toc535935164"/>
      <w:bookmarkStart w:id="43" w:name="_Toc535936774"/>
      <w:bookmarkStart w:id="44" w:name="_Toc535938987"/>
      <w:bookmarkStart w:id="45" w:name="_Toc535939145"/>
      <w:bookmarkStart w:id="46" w:name="_Toc532890000"/>
      <w:bookmarkStart w:id="47" w:name="_Toc532896828"/>
      <w:bookmarkStart w:id="48" w:name="_Toc532905150"/>
      <w:bookmarkStart w:id="49" w:name="_Toc535935165"/>
      <w:bookmarkStart w:id="50" w:name="_Toc535936775"/>
      <w:bookmarkStart w:id="51" w:name="_Toc535938988"/>
      <w:bookmarkStart w:id="52" w:name="_Toc535939146"/>
      <w:bookmarkStart w:id="53" w:name="_Toc532890001"/>
      <w:bookmarkStart w:id="54" w:name="_Toc532896829"/>
      <w:bookmarkStart w:id="55" w:name="_Toc532905151"/>
      <w:bookmarkStart w:id="56" w:name="_Toc535935166"/>
      <w:bookmarkStart w:id="57" w:name="_Toc535936776"/>
      <w:bookmarkStart w:id="58" w:name="_Toc535938989"/>
      <w:bookmarkStart w:id="59" w:name="_Toc535939147"/>
      <w:bookmarkStart w:id="60" w:name="_Toc532896830"/>
      <w:bookmarkStart w:id="61" w:name="_Toc532905152"/>
      <w:bookmarkStart w:id="62" w:name="_Toc535935167"/>
      <w:bookmarkStart w:id="63" w:name="_Toc535936777"/>
      <w:bookmarkStart w:id="64" w:name="_Toc535938990"/>
      <w:bookmarkStart w:id="65" w:name="_Toc535939148"/>
      <w:bookmarkStart w:id="66" w:name="_Toc532896831"/>
      <w:bookmarkStart w:id="67" w:name="_Toc532905153"/>
      <w:bookmarkStart w:id="68" w:name="_Toc535935168"/>
      <w:bookmarkStart w:id="69" w:name="_Toc535936778"/>
      <w:bookmarkStart w:id="70" w:name="_Toc535938991"/>
      <w:bookmarkStart w:id="71" w:name="_Toc535939149"/>
      <w:bookmarkStart w:id="72" w:name="_Toc532896832"/>
      <w:bookmarkStart w:id="73" w:name="_Toc532905154"/>
      <w:bookmarkStart w:id="74" w:name="_Toc535935169"/>
      <w:bookmarkStart w:id="75" w:name="_Toc535936779"/>
      <w:bookmarkStart w:id="76" w:name="_Toc535938992"/>
      <w:bookmarkStart w:id="77" w:name="_Toc535939150"/>
      <w:bookmarkStart w:id="78" w:name="_Toc532896833"/>
      <w:bookmarkStart w:id="79" w:name="_Toc532905155"/>
      <w:bookmarkStart w:id="80" w:name="_Toc535935170"/>
      <w:bookmarkStart w:id="81" w:name="_Toc535936780"/>
      <w:bookmarkStart w:id="82" w:name="_Toc535938993"/>
      <w:bookmarkStart w:id="83" w:name="_Toc535939151"/>
      <w:bookmarkStart w:id="84" w:name="_Toc532896834"/>
      <w:bookmarkStart w:id="85" w:name="_Toc532905156"/>
      <w:bookmarkStart w:id="86" w:name="_Toc535935171"/>
      <w:bookmarkStart w:id="87" w:name="_Toc535936781"/>
      <w:bookmarkStart w:id="88" w:name="_Toc535938994"/>
      <w:bookmarkStart w:id="89" w:name="_Toc535939152"/>
      <w:bookmarkStart w:id="90" w:name="_Toc532896835"/>
      <w:bookmarkStart w:id="91" w:name="_Toc532905157"/>
      <w:bookmarkStart w:id="92" w:name="_Toc535935172"/>
      <w:bookmarkStart w:id="93" w:name="_Toc535936782"/>
      <w:bookmarkStart w:id="94" w:name="_Toc535938995"/>
      <w:bookmarkStart w:id="95" w:name="_Toc535939153"/>
      <w:bookmarkStart w:id="96" w:name="_Toc532896836"/>
      <w:bookmarkStart w:id="97" w:name="_Toc532905158"/>
      <w:bookmarkStart w:id="98" w:name="_Toc535935173"/>
      <w:bookmarkStart w:id="99" w:name="_Toc535936783"/>
      <w:bookmarkStart w:id="100" w:name="_Toc535938996"/>
      <w:bookmarkStart w:id="101" w:name="_Toc535939154"/>
      <w:bookmarkStart w:id="102" w:name="_Toc532896837"/>
      <w:bookmarkStart w:id="103" w:name="_Toc532905159"/>
      <w:bookmarkStart w:id="104" w:name="_Toc535935174"/>
      <w:bookmarkStart w:id="105" w:name="_Toc535936784"/>
      <w:bookmarkStart w:id="106" w:name="_Toc535938997"/>
      <w:bookmarkStart w:id="107" w:name="_Toc535939155"/>
      <w:bookmarkStart w:id="108" w:name="_Toc532896838"/>
      <w:bookmarkStart w:id="109" w:name="_Toc532905160"/>
      <w:bookmarkStart w:id="110" w:name="_Toc535935175"/>
      <w:bookmarkStart w:id="111" w:name="_Toc535936785"/>
      <w:bookmarkStart w:id="112" w:name="_Toc535938998"/>
      <w:bookmarkStart w:id="113" w:name="_Toc535939156"/>
      <w:bookmarkStart w:id="114" w:name="_Toc532896839"/>
      <w:bookmarkStart w:id="115" w:name="_Toc532905161"/>
      <w:bookmarkStart w:id="116" w:name="_Toc535935176"/>
      <w:bookmarkStart w:id="117" w:name="_Toc535936786"/>
      <w:bookmarkStart w:id="118" w:name="_Toc535938999"/>
      <w:bookmarkStart w:id="119" w:name="_Toc535939157"/>
      <w:bookmarkStart w:id="120" w:name="_Toc532896840"/>
      <w:bookmarkStart w:id="121" w:name="_Toc532905162"/>
      <w:bookmarkStart w:id="122" w:name="_Toc535935177"/>
      <w:bookmarkStart w:id="123" w:name="_Toc535936787"/>
      <w:bookmarkStart w:id="124" w:name="_Toc535939000"/>
      <w:bookmarkStart w:id="125" w:name="_Toc535939158"/>
      <w:bookmarkStart w:id="126" w:name="_Toc532896841"/>
      <w:bookmarkStart w:id="127" w:name="_Toc532905163"/>
      <w:bookmarkStart w:id="128" w:name="_Toc535935178"/>
      <w:bookmarkStart w:id="129" w:name="_Toc535936788"/>
      <w:bookmarkStart w:id="130" w:name="_Toc535939001"/>
      <w:bookmarkStart w:id="131" w:name="_Toc535939159"/>
      <w:bookmarkStart w:id="132" w:name="_Toc532896842"/>
      <w:bookmarkStart w:id="133" w:name="_Toc532905164"/>
      <w:bookmarkStart w:id="134" w:name="_Toc535935179"/>
      <w:bookmarkStart w:id="135" w:name="_Toc535936789"/>
      <w:bookmarkStart w:id="136" w:name="_Toc535939002"/>
      <w:bookmarkStart w:id="137" w:name="_Toc535939160"/>
      <w:bookmarkStart w:id="138" w:name="_Toc532896843"/>
      <w:bookmarkStart w:id="139" w:name="_Toc532905165"/>
      <w:bookmarkStart w:id="140" w:name="_Toc535935180"/>
      <w:bookmarkStart w:id="141" w:name="_Toc535936790"/>
      <w:bookmarkStart w:id="142" w:name="_Toc535939003"/>
      <w:bookmarkStart w:id="143" w:name="_Toc535939161"/>
      <w:bookmarkStart w:id="144" w:name="_Toc532896844"/>
      <w:bookmarkStart w:id="145" w:name="_Toc532905166"/>
      <w:bookmarkStart w:id="146" w:name="_Toc535935181"/>
      <w:bookmarkStart w:id="147" w:name="_Toc535936791"/>
      <w:bookmarkStart w:id="148" w:name="_Toc535939004"/>
      <w:bookmarkStart w:id="149" w:name="_Toc535939162"/>
      <w:bookmarkStart w:id="150" w:name="_Toc532896845"/>
      <w:bookmarkStart w:id="151" w:name="_Toc532905167"/>
      <w:bookmarkStart w:id="152" w:name="_Toc535935182"/>
      <w:bookmarkStart w:id="153" w:name="_Toc535936792"/>
      <w:bookmarkStart w:id="154" w:name="_Toc535939005"/>
      <w:bookmarkStart w:id="155" w:name="_Toc535939163"/>
      <w:bookmarkStart w:id="156" w:name="_Toc532896846"/>
      <w:bookmarkStart w:id="157" w:name="_Toc532905168"/>
      <w:bookmarkStart w:id="158" w:name="_Toc535935183"/>
      <w:bookmarkStart w:id="159" w:name="_Toc535936793"/>
      <w:bookmarkStart w:id="160" w:name="_Toc535939006"/>
      <w:bookmarkStart w:id="161" w:name="_Toc535939164"/>
      <w:bookmarkStart w:id="162" w:name="_Toc532896847"/>
      <w:bookmarkStart w:id="163" w:name="_Toc532905169"/>
      <w:bookmarkStart w:id="164" w:name="_Toc535935184"/>
      <w:bookmarkStart w:id="165" w:name="_Toc535936794"/>
      <w:bookmarkStart w:id="166" w:name="_Toc535939007"/>
      <w:bookmarkStart w:id="167" w:name="_Toc535939165"/>
      <w:bookmarkStart w:id="168" w:name="_Toc532896848"/>
      <w:bookmarkStart w:id="169" w:name="_Toc532905170"/>
      <w:bookmarkStart w:id="170" w:name="_Toc535935185"/>
      <w:bookmarkStart w:id="171" w:name="_Toc535936795"/>
      <w:bookmarkStart w:id="172" w:name="_Toc535939008"/>
      <w:bookmarkStart w:id="173" w:name="_Toc535939166"/>
      <w:bookmarkStart w:id="174" w:name="_Toc532896849"/>
      <w:bookmarkStart w:id="175" w:name="_Toc532905171"/>
      <w:bookmarkStart w:id="176" w:name="_Toc535935186"/>
      <w:bookmarkStart w:id="177" w:name="_Toc535936796"/>
      <w:bookmarkStart w:id="178" w:name="_Toc535939009"/>
      <w:bookmarkStart w:id="179" w:name="_Toc535939167"/>
      <w:bookmarkStart w:id="180" w:name="_Toc532896850"/>
      <w:bookmarkStart w:id="181" w:name="_Toc532905172"/>
      <w:bookmarkStart w:id="182" w:name="_Toc535935187"/>
      <w:bookmarkStart w:id="183" w:name="_Toc535936797"/>
      <w:bookmarkStart w:id="184" w:name="_Toc535939010"/>
      <w:bookmarkStart w:id="185" w:name="_Toc535939168"/>
      <w:bookmarkStart w:id="186" w:name="_Toc532896851"/>
      <w:bookmarkStart w:id="187" w:name="_Toc532905173"/>
      <w:bookmarkStart w:id="188" w:name="_Toc535935188"/>
      <w:bookmarkStart w:id="189" w:name="_Toc535936798"/>
      <w:bookmarkStart w:id="190" w:name="_Toc535939011"/>
      <w:bookmarkStart w:id="191" w:name="_Toc535939169"/>
      <w:bookmarkStart w:id="192" w:name="_Toc532896852"/>
      <w:bookmarkStart w:id="193" w:name="_Toc532905174"/>
      <w:bookmarkStart w:id="194" w:name="_Toc535935189"/>
      <w:bookmarkStart w:id="195" w:name="_Toc535936799"/>
      <w:bookmarkStart w:id="196" w:name="_Toc535939012"/>
      <w:bookmarkStart w:id="197" w:name="_Toc535939170"/>
      <w:bookmarkStart w:id="198" w:name="_Toc532896853"/>
      <w:bookmarkStart w:id="199" w:name="_Toc532905175"/>
      <w:bookmarkStart w:id="200" w:name="_Toc535935190"/>
      <w:bookmarkStart w:id="201" w:name="_Toc535936800"/>
      <w:bookmarkStart w:id="202" w:name="_Toc535939013"/>
      <w:bookmarkStart w:id="203" w:name="_Toc535939171"/>
      <w:bookmarkStart w:id="204" w:name="_Toc532896854"/>
      <w:bookmarkStart w:id="205" w:name="_Toc532905176"/>
      <w:bookmarkStart w:id="206" w:name="_Toc535935191"/>
      <w:bookmarkStart w:id="207" w:name="_Toc535936801"/>
      <w:bookmarkStart w:id="208" w:name="_Toc535939014"/>
      <w:bookmarkStart w:id="209" w:name="_Toc535939172"/>
      <w:bookmarkStart w:id="210" w:name="_Toc532896855"/>
      <w:bookmarkStart w:id="211" w:name="_Toc532905177"/>
      <w:bookmarkStart w:id="212" w:name="_Toc535935192"/>
      <w:bookmarkStart w:id="213" w:name="_Toc535936802"/>
      <w:bookmarkStart w:id="214" w:name="_Toc535939015"/>
      <w:bookmarkStart w:id="215" w:name="_Toc535939173"/>
      <w:bookmarkStart w:id="216" w:name="_Toc532896856"/>
      <w:bookmarkStart w:id="217" w:name="_Toc532905178"/>
      <w:bookmarkStart w:id="218" w:name="_Toc535935193"/>
      <w:bookmarkStart w:id="219" w:name="_Toc535936803"/>
      <w:bookmarkStart w:id="220" w:name="_Toc535939016"/>
      <w:bookmarkStart w:id="221" w:name="_Toc535939174"/>
      <w:bookmarkStart w:id="222" w:name="_Toc532896857"/>
      <w:bookmarkStart w:id="223" w:name="_Toc532905179"/>
      <w:bookmarkStart w:id="224" w:name="_Toc535935194"/>
      <w:bookmarkStart w:id="225" w:name="_Toc535936804"/>
      <w:bookmarkStart w:id="226" w:name="_Toc535939017"/>
      <w:bookmarkStart w:id="227" w:name="_Toc535939175"/>
      <w:bookmarkStart w:id="228" w:name="_Toc532896858"/>
      <w:bookmarkStart w:id="229" w:name="_Toc532905180"/>
      <w:bookmarkStart w:id="230" w:name="_Toc535935195"/>
      <w:bookmarkStart w:id="231" w:name="_Toc535936805"/>
      <w:bookmarkStart w:id="232" w:name="_Toc535939018"/>
      <w:bookmarkStart w:id="233" w:name="_Toc535939176"/>
      <w:bookmarkStart w:id="234" w:name="_Toc532890003"/>
      <w:bookmarkStart w:id="235" w:name="_Toc532896859"/>
      <w:bookmarkStart w:id="236" w:name="_Toc532905181"/>
      <w:bookmarkStart w:id="237" w:name="_Toc535935196"/>
      <w:bookmarkStart w:id="238" w:name="_Toc535936806"/>
      <w:bookmarkStart w:id="239" w:name="_Toc535939019"/>
      <w:bookmarkStart w:id="240" w:name="_Toc535939177"/>
      <w:bookmarkStart w:id="241" w:name="_Toc532890016"/>
      <w:bookmarkStart w:id="242" w:name="_Toc532896872"/>
      <w:bookmarkStart w:id="243" w:name="_Toc532905194"/>
      <w:bookmarkStart w:id="244" w:name="_Toc535935209"/>
      <w:bookmarkStart w:id="245" w:name="_Toc535936819"/>
      <w:bookmarkStart w:id="246" w:name="_Toc535939032"/>
      <w:bookmarkStart w:id="247" w:name="_Toc535939190"/>
      <w:bookmarkStart w:id="248" w:name="_Toc532890017"/>
      <w:bookmarkStart w:id="249" w:name="_Toc532896873"/>
      <w:bookmarkStart w:id="250" w:name="_Toc532905195"/>
      <w:bookmarkStart w:id="251" w:name="_Toc535935210"/>
      <w:bookmarkStart w:id="252" w:name="_Toc535936820"/>
      <w:bookmarkStart w:id="253" w:name="_Toc535939033"/>
      <w:bookmarkStart w:id="254" w:name="_Toc535939191"/>
      <w:bookmarkStart w:id="255" w:name="_Toc532890018"/>
      <w:bookmarkStart w:id="256" w:name="_Toc532896874"/>
      <w:bookmarkStart w:id="257" w:name="_Toc532905196"/>
      <w:bookmarkStart w:id="258" w:name="_Toc535935211"/>
      <w:bookmarkStart w:id="259" w:name="_Toc535936821"/>
      <w:bookmarkStart w:id="260" w:name="_Toc535939034"/>
      <w:bookmarkStart w:id="261" w:name="_Toc535939192"/>
      <w:bookmarkStart w:id="262" w:name="_Toc532890019"/>
      <w:bookmarkStart w:id="263" w:name="_Toc532896875"/>
      <w:bookmarkStart w:id="264" w:name="_Toc532905197"/>
      <w:bookmarkStart w:id="265" w:name="_Toc535935212"/>
      <w:bookmarkStart w:id="266" w:name="_Toc535936822"/>
      <w:bookmarkStart w:id="267" w:name="_Toc535939035"/>
      <w:bookmarkStart w:id="268" w:name="_Toc535939193"/>
      <w:bookmarkStart w:id="269" w:name="_Toc532890020"/>
      <w:bookmarkStart w:id="270" w:name="_Toc532896876"/>
      <w:bookmarkStart w:id="271" w:name="_Toc532905198"/>
      <w:bookmarkStart w:id="272" w:name="_Toc535935213"/>
      <w:bookmarkStart w:id="273" w:name="_Toc535936823"/>
      <w:bookmarkStart w:id="274" w:name="_Toc535939036"/>
      <w:bookmarkStart w:id="275" w:name="_Toc535939194"/>
      <w:bookmarkStart w:id="276" w:name="_Toc532890021"/>
      <w:bookmarkStart w:id="277" w:name="_Toc532896877"/>
      <w:bookmarkStart w:id="278" w:name="_Toc532905199"/>
      <w:bookmarkStart w:id="279" w:name="_Toc535935214"/>
      <w:bookmarkStart w:id="280" w:name="_Toc535936824"/>
      <w:bookmarkStart w:id="281" w:name="_Toc535939037"/>
      <w:bookmarkStart w:id="282" w:name="_Toc535939195"/>
      <w:bookmarkStart w:id="283" w:name="_Toc532890022"/>
      <w:bookmarkStart w:id="284" w:name="_Toc532896878"/>
      <w:bookmarkStart w:id="285" w:name="_Toc532905200"/>
      <w:bookmarkStart w:id="286" w:name="_Toc535935215"/>
      <w:bookmarkStart w:id="287" w:name="_Toc535936825"/>
      <w:bookmarkStart w:id="288" w:name="_Toc535939038"/>
      <w:bookmarkStart w:id="289" w:name="_Toc535939196"/>
      <w:bookmarkStart w:id="290" w:name="_Toc532890023"/>
      <w:bookmarkStart w:id="291" w:name="_Toc532896879"/>
      <w:bookmarkStart w:id="292" w:name="_Toc532905201"/>
      <w:bookmarkStart w:id="293" w:name="_Toc535935216"/>
      <w:bookmarkStart w:id="294" w:name="_Toc535936826"/>
      <w:bookmarkStart w:id="295" w:name="_Toc535939039"/>
      <w:bookmarkStart w:id="296" w:name="_Toc535939197"/>
      <w:bookmarkStart w:id="297" w:name="_Toc532890034"/>
      <w:bookmarkStart w:id="298" w:name="_Toc532896890"/>
      <w:bookmarkStart w:id="299" w:name="_Toc532905212"/>
      <w:bookmarkStart w:id="300" w:name="_Toc535935227"/>
      <w:bookmarkStart w:id="301" w:name="_Toc535936837"/>
      <w:bookmarkStart w:id="302" w:name="_Toc535939050"/>
      <w:bookmarkStart w:id="303" w:name="_Toc535939208"/>
      <w:bookmarkStart w:id="304" w:name="_Toc532890035"/>
      <w:bookmarkStart w:id="305" w:name="_Toc532896891"/>
      <w:bookmarkStart w:id="306" w:name="_Toc532905213"/>
      <w:bookmarkStart w:id="307" w:name="_Toc535935228"/>
      <w:bookmarkStart w:id="308" w:name="_Toc535936838"/>
      <w:bookmarkStart w:id="309" w:name="_Toc535939051"/>
      <w:bookmarkStart w:id="310" w:name="_Toc535939209"/>
      <w:bookmarkStart w:id="311" w:name="_Toc532890036"/>
      <w:bookmarkStart w:id="312" w:name="_Toc532896892"/>
      <w:bookmarkStart w:id="313" w:name="_Toc532905214"/>
      <w:bookmarkStart w:id="314" w:name="_Toc535935229"/>
      <w:bookmarkStart w:id="315" w:name="_Toc535936839"/>
      <w:bookmarkStart w:id="316" w:name="_Toc535939052"/>
      <w:bookmarkStart w:id="317" w:name="_Toc535939210"/>
      <w:bookmarkStart w:id="318" w:name="_Toc532890037"/>
      <w:bookmarkStart w:id="319" w:name="_Toc532896893"/>
      <w:bookmarkStart w:id="320" w:name="_Toc532905215"/>
      <w:bookmarkStart w:id="321" w:name="_Toc535935230"/>
      <w:bookmarkStart w:id="322" w:name="_Toc535936840"/>
      <w:bookmarkStart w:id="323" w:name="_Toc535939053"/>
      <w:bookmarkStart w:id="324" w:name="_Toc535939211"/>
      <w:bookmarkStart w:id="325" w:name="_Toc532890038"/>
      <w:bookmarkStart w:id="326" w:name="_Toc532896894"/>
      <w:bookmarkStart w:id="327" w:name="_Toc532905216"/>
      <w:bookmarkStart w:id="328" w:name="_Toc535935231"/>
      <w:bookmarkStart w:id="329" w:name="_Toc535936841"/>
      <w:bookmarkStart w:id="330" w:name="_Toc535939054"/>
      <w:bookmarkStart w:id="331" w:name="_Toc535939212"/>
      <w:bookmarkStart w:id="332" w:name="_Toc532890039"/>
      <w:bookmarkStart w:id="333" w:name="_Toc532896895"/>
      <w:bookmarkStart w:id="334" w:name="_Toc532905217"/>
      <w:bookmarkStart w:id="335" w:name="_Toc535935232"/>
      <w:bookmarkStart w:id="336" w:name="_Toc535936842"/>
      <w:bookmarkStart w:id="337" w:name="_Toc535939055"/>
      <w:bookmarkStart w:id="338" w:name="_Toc535939213"/>
      <w:bookmarkStart w:id="339" w:name="_Toc445470202"/>
      <w:bookmarkStart w:id="340" w:name="_Toc78544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t>Specific accounting issues</w:t>
      </w:r>
      <w:bookmarkEnd w:id="339"/>
      <w:bookmarkEnd w:id="340"/>
    </w:p>
    <w:p w:rsidR="007D065F" w:rsidRPr="007D065F" w:rsidRDefault="007D065F" w:rsidP="007D065F">
      <w:pPr>
        <w:pStyle w:val="Heading2numbered"/>
      </w:pPr>
      <w:bookmarkStart w:id="341" w:name="_Toc445470203"/>
      <w:bookmarkStart w:id="342" w:name="_Toc785447"/>
      <w:r>
        <w:t>The classification and treatment of controlled and administered items</w:t>
      </w:r>
      <w:bookmarkEnd w:id="341"/>
      <w:bookmarkEnd w:id="342"/>
    </w:p>
    <w:tbl>
      <w:tblPr>
        <w:tblStyle w:val="Mandatory"/>
        <w:tblW w:w="7483" w:type="dxa"/>
        <w:tblLook w:val="0620" w:firstRow="1" w:lastRow="0" w:firstColumn="0" w:lastColumn="0" w:noHBand="1" w:noVBand="1"/>
      </w:tblPr>
      <w:tblGrid>
        <w:gridCol w:w="7483"/>
      </w:tblGrid>
      <w:tr w:rsidR="007D065F" w:rsidRPr="008D7E41" w:rsidTr="008037F0">
        <w:trPr>
          <w:cnfStyle w:val="100000000000" w:firstRow="1" w:lastRow="0" w:firstColumn="0" w:lastColumn="0" w:oddVBand="0" w:evenVBand="0" w:oddHBand="0" w:evenHBand="0" w:firstRowFirstColumn="0" w:firstRowLastColumn="0" w:lastRowFirstColumn="0" w:lastRowLastColumn="0"/>
        </w:trPr>
        <w:tc>
          <w:tcPr>
            <w:tcW w:w="7483" w:type="dxa"/>
          </w:tcPr>
          <w:p w:rsidR="007D065F" w:rsidRPr="00326EEF" w:rsidRDefault="007D065F" w:rsidP="00326EEF">
            <w:pPr>
              <w:pStyle w:val="Tableheader"/>
              <w:jc w:val="center"/>
              <w:rPr>
                <w:b/>
                <w:sz w:val="17"/>
                <w:szCs w:val="17"/>
              </w:rPr>
            </w:pPr>
            <w:r w:rsidRPr="00326EEF">
              <w:rPr>
                <w:b/>
                <w:sz w:val="17"/>
                <w:szCs w:val="17"/>
              </w:rPr>
              <w:t>Mandatory requirements</w:t>
            </w:r>
          </w:p>
        </w:tc>
      </w:tr>
      <w:tr w:rsidR="007D065F" w:rsidRPr="008D7E41" w:rsidTr="008037F0">
        <w:trPr>
          <w:trHeight w:val="2553"/>
        </w:trPr>
        <w:tc>
          <w:tcPr>
            <w:tcW w:w="7483" w:type="dxa"/>
          </w:tcPr>
          <w:p w:rsidR="007D065F" w:rsidRDefault="007D065F" w:rsidP="007D065F">
            <w:pPr>
              <w:pStyle w:val="Heading3numbered"/>
            </w:pPr>
            <w:bookmarkStart w:id="343" w:name="_Toc445470204"/>
            <w:bookmarkStart w:id="344" w:name="_Toc785448"/>
            <w:r>
              <w:t>Treatment of controlled items</w:t>
            </w:r>
            <w:bookmarkEnd w:id="343"/>
            <w:bookmarkEnd w:id="344"/>
          </w:p>
          <w:p w:rsidR="007D065F" w:rsidRPr="006216A6" w:rsidRDefault="007D065F" w:rsidP="00A94229">
            <w:pPr>
              <w:pStyle w:val="Tabletextindent"/>
              <w:ind w:left="760"/>
            </w:pPr>
            <w:r>
              <w:t xml:space="preserve">A </w:t>
            </w:r>
            <w:r w:rsidR="008B11FB">
              <w:t>d</w:t>
            </w:r>
            <w:r>
              <w:t>epartment must classify all items</w:t>
            </w:r>
            <w:r>
              <w:rPr>
                <w:rStyle w:val="FootnoteReference"/>
              </w:rPr>
              <w:footnoteReference w:id="4"/>
            </w:r>
            <w:r>
              <w:t xml:space="preserve"> as ‘controlled’ unless they clearly meet the criteria for classification as ‘administered’ as per </w:t>
            </w:r>
            <w:r w:rsidRPr="00146C0C">
              <w:rPr>
                <w:i/>
              </w:rPr>
              <w:t xml:space="preserve">Accounting Standard </w:t>
            </w:r>
            <w:r w:rsidR="003562F9">
              <w:rPr>
                <w:i/>
              </w:rPr>
              <w:t>AASB </w:t>
            </w:r>
            <w:r w:rsidRPr="00146C0C">
              <w:rPr>
                <w:i/>
              </w:rPr>
              <w:t>1050</w:t>
            </w:r>
            <w:r w:rsidR="0025621E">
              <w:t xml:space="preserve"> </w:t>
            </w:r>
            <w:r w:rsidR="0025621E">
              <w:rPr>
                <w:i/>
              </w:rPr>
              <w:t>Administered</w:t>
            </w:r>
            <w:r w:rsidR="008A73C2">
              <w:rPr>
                <w:i/>
              </w:rPr>
              <w:t xml:space="preserve"> I</w:t>
            </w:r>
            <w:r w:rsidR="0025621E">
              <w:rPr>
                <w:i/>
              </w:rPr>
              <w:t>tems</w:t>
            </w:r>
            <w:r>
              <w:t>.</w:t>
            </w:r>
          </w:p>
          <w:p w:rsidR="007D065F" w:rsidRPr="003C4819" w:rsidRDefault="007D065F" w:rsidP="007D065F">
            <w:pPr>
              <w:pStyle w:val="Heading3numbered"/>
            </w:pPr>
            <w:bookmarkStart w:id="345" w:name="_Toc445470205"/>
            <w:bookmarkStart w:id="346" w:name="_Toc785449"/>
            <w:r>
              <w:t>Treatment of a</w:t>
            </w:r>
            <w:r w:rsidRPr="00731E39">
              <w:t xml:space="preserve">dministered </w:t>
            </w:r>
            <w:r>
              <w:t>items</w:t>
            </w:r>
            <w:bookmarkEnd w:id="345"/>
            <w:bookmarkEnd w:id="346"/>
          </w:p>
          <w:p w:rsidR="007D065F" w:rsidRDefault="007D065F" w:rsidP="007D065F">
            <w:pPr>
              <w:pStyle w:val="Tabletextnum"/>
            </w:pPr>
            <w:r>
              <w:t xml:space="preserve">Unless contributing to output delivery, an item must be classified as administered where an Act or binding agreement means the </w:t>
            </w:r>
            <w:r w:rsidR="008B11FB">
              <w:t>d</w:t>
            </w:r>
            <w:r>
              <w:t>epartment has no influence on any of the following:</w:t>
            </w:r>
          </w:p>
          <w:p w:rsidR="007D065F" w:rsidRDefault="007D065F" w:rsidP="007D065F">
            <w:pPr>
              <w:pStyle w:val="TableBulletindent"/>
            </w:pPr>
            <w:r>
              <w:t xml:space="preserve">eligibility; </w:t>
            </w:r>
          </w:p>
          <w:p w:rsidR="007D065F" w:rsidRDefault="007D065F" w:rsidP="007D065F">
            <w:pPr>
              <w:pStyle w:val="TableBulletindent"/>
            </w:pPr>
            <w:r>
              <w:t>timing; or</w:t>
            </w:r>
          </w:p>
          <w:p w:rsidR="007D065F" w:rsidRDefault="007D065F" w:rsidP="007D065F">
            <w:pPr>
              <w:pStyle w:val="TableBulletindent"/>
            </w:pPr>
            <w:r>
              <w:t>amount of the item.</w:t>
            </w:r>
          </w:p>
          <w:p w:rsidR="007D065F" w:rsidRDefault="007D065F" w:rsidP="007D065F">
            <w:pPr>
              <w:pStyle w:val="Tabletextnum"/>
            </w:pPr>
            <w:r w:rsidRPr="00731E39">
              <w:t>Transactions relating to</w:t>
            </w:r>
            <w:r>
              <w:t xml:space="preserve"> items of an</w:t>
            </w:r>
            <w:r w:rsidRPr="00731E39">
              <w:t xml:space="preserve"> administered </w:t>
            </w:r>
            <w:r>
              <w:t>nature, must</w:t>
            </w:r>
            <w:r w:rsidRPr="00731E39">
              <w:t xml:space="preserve"> be posted to the </w:t>
            </w:r>
            <w:r>
              <w:t>administered entity (</w:t>
            </w:r>
            <w:r w:rsidRPr="00731E39">
              <w:t>SAU branch</w:t>
            </w:r>
            <w:r>
              <w:t>)</w:t>
            </w:r>
            <w:r w:rsidRPr="00731E39">
              <w:t xml:space="preserve"> of the </w:t>
            </w:r>
            <w:r w:rsidR="008B11FB">
              <w:t>d</w:t>
            </w:r>
            <w:r w:rsidRPr="00731E39">
              <w:t>epartment</w:t>
            </w:r>
            <w:r>
              <w:t>’</w:t>
            </w:r>
            <w:r w:rsidRPr="00731E39">
              <w:t xml:space="preserve">s ledger. </w:t>
            </w:r>
          </w:p>
          <w:p w:rsidR="007D065F" w:rsidRDefault="007D065F" w:rsidP="007D065F">
            <w:pPr>
              <w:pStyle w:val="Tabletextnum"/>
            </w:pPr>
            <w:r w:rsidRPr="00731E39">
              <w:t xml:space="preserve">Administered items </w:t>
            </w:r>
            <w:r>
              <w:t>must</w:t>
            </w:r>
            <w:r w:rsidRPr="00731E39">
              <w:t xml:space="preserve"> be:</w:t>
            </w:r>
          </w:p>
          <w:p w:rsidR="007D065F" w:rsidRDefault="007D065F" w:rsidP="007D065F">
            <w:pPr>
              <w:pStyle w:val="TableBulletindent"/>
            </w:pPr>
            <w:r w:rsidRPr="008E7D4B">
              <w:t>included</w:t>
            </w:r>
            <w:r>
              <w:t xml:space="preserve"> in the financial </w:t>
            </w:r>
            <w:r w:rsidR="0025621E">
              <w:t>statements</w:t>
            </w:r>
            <w:r>
              <w:t xml:space="preserve">; and </w:t>
            </w:r>
          </w:p>
          <w:p w:rsidR="007D065F" w:rsidRPr="008D7E41" w:rsidRDefault="007D065F" w:rsidP="007D065F">
            <w:pPr>
              <w:pStyle w:val="TableBulletindent"/>
            </w:pPr>
            <w:r w:rsidRPr="00B7644D">
              <w:t>disclosed</w:t>
            </w:r>
            <w:r>
              <w:t xml:space="preserve"> </w:t>
            </w:r>
            <w:r w:rsidRPr="00B7644D">
              <w:t>separately</w:t>
            </w:r>
            <w:r>
              <w:t xml:space="preserve"> in Budget documents and in a </w:t>
            </w:r>
            <w:r w:rsidR="008B11FB">
              <w:t>d</w:t>
            </w:r>
            <w:r>
              <w:t xml:space="preserve">epartment’s financial and output reports. </w:t>
            </w:r>
          </w:p>
        </w:tc>
      </w:tr>
    </w:tbl>
    <w:p w:rsidR="007D065F" w:rsidRDefault="007D065F" w:rsidP="00435EE9">
      <w:pPr>
        <w:pStyle w:val="Spacer"/>
      </w:pPr>
    </w:p>
    <w:p w:rsidR="00435EE9" w:rsidRDefault="00435EE9" w:rsidP="00435EE9">
      <w:pPr>
        <w:pStyle w:val="Heading4indent"/>
      </w:pPr>
      <w:r>
        <w:t>Guidance</w:t>
      </w:r>
    </w:p>
    <w:p w:rsidR="00435EE9" w:rsidRDefault="00435EE9" w:rsidP="007D065F">
      <w:pPr>
        <w:pStyle w:val="NormalIndent"/>
      </w:pPr>
      <w:r>
        <w:t>D</w:t>
      </w:r>
      <w:r w:rsidRPr="00731E39">
        <w:t xml:space="preserve">epartments </w:t>
      </w:r>
      <w:r>
        <w:t xml:space="preserve">are required </w:t>
      </w:r>
      <w:r w:rsidRPr="00731E39">
        <w:t xml:space="preserve">to classify revenues, expenses, assets and liabilities as either </w:t>
      </w:r>
      <w:r>
        <w:t>‘</w:t>
      </w:r>
      <w:r w:rsidRPr="00731E39">
        <w:t>controlled</w:t>
      </w:r>
      <w:r>
        <w:t>’</w:t>
      </w:r>
      <w:r w:rsidRPr="00731E39">
        <w:t xml:space="preserve"> or </w:t>
      </w:r>
      <w:r>
        <w:t>‘</w:t>
      </w:r>
      <w:r w:rsidRPr="00731E39">
        <w:t>administered</w:t>
      </w:r>
      <w:r>
        <w:t>’</w:t>
      </w:r>
      <w:r w:rsidRPr="00731E39">
        <w:t xml:space="preserve">. </w:t>
      </w:r>
      <w:r>
        <w:t>U</w:t>
      </w:r>
      <w:r w:rsidRPr="00731E39">
        <w:t xml:space="preserve">nder </w:t>
      </w:r>
      <w:r>
        <w:t xml:space="preserve">Accounting Standard </w:t>
      </w:r>
      <w:r w:rsidR="003562F9">
        <w:t>AASB </w:t>
      </w:r>
      <w:r>
        <w:t>1050</w:t>
      </w:r>
      <w:r w:rsidR="0025621E">
        <w:t xml:space="preserve"> </w:t>
      </w:r>
      <w:r w:rsidR="0025621E">
        <w:rPr>
          <w:i/>
        </w:rPr>
        <w:t xml:space="preserve">Administered </w:t>
      </w:r>
      <w:r w:rsidR="008A73C2">
        <w:rPr>
          <w:i/>
        </w:rPr>
        <w:t>I</w:t>
      </w:r>
      <w:r w:rsidR="0025621E">
        <w:rPr>
          <w:i/>
        </w:rPr>
        <w:t>tems</w:t>
      </w:r>
      <w:r w:rsidRPr="00731E39">
        <w:t xml:space="preserve">, </w:t>
      </w:r>
      <w:r>
        <w:t xml:space="preserve">Government </w:t>
      </w:r>
      <w:r w:rsidR="008B11FB">
        <w:t>d</w:t>
      </w:r>
      <w:r w:rsidRPr="00731E39">
        <w:t xml:space="preserve">epartments are required to report separately on their controlled and administered items. </w:t>
      </w:r>
      <w:r w:rsidRPr="003C4819">
        <w:t>Administered revenue and expenses are shown as ‘Receipts on behalf of the State’ and ‘Payments made on behalf of the State’ in financial statements and Appropriation Bills.</w:t>
      </w:r>
    </w:p>
    <w:p w:rsidR="00435EE9" w:rsidRDefault="00435EE9" w:rsidP="007D065F">
      <w:pPr>
        <w:pStyle w:val="NormalIndent"/>
      </w:pPr>
      <w:r w:rsidRPr="00731E39">
        <w:t xml:space="preserve">Administered items do not form part of a </w:t>
      </w:r>
      <w:r w:rsidR="008B11FB">
        <w:t>d</w:t>
      </w:r>
      <w:r w:rsidRPr="00731E39">
        <w:t>epartment</w:t>
      </w:r>
      <w:r>
        <w:t>’</w:t>
      </w:r>
      <w:r w:rsidRPr="00731E39">
        <w:t xml:space="preserve">s outputs, and in the case of administered expenses, funding is provided under a separate </w:t>
      </w:r>
      <w:hyperlink r:id="rId28" w:history="1">
        <w:r w:rsidRPr="00045C2D">
          <w:t>appropriation</w:t>
        </w:r>
      </w:hyperlink>
      <w:r w:rsidRPr="00731E39">
        <w:t>.</w:t>
      </w:r>
    </w:p>
    <w:p w:rsidR="00435EE9" w:rsidRDefault="00435EE9" w:rsidP="007D065F">
      <w:pPr>
        <w:pStyle w:val="NormalIndent"/>
      </w:pPr>
      <w:r w:rsidRPr="00731E39">
        <w:t xml:space="preserve">The decision to classify an asset or liability as </w:t>
      </w:r>
      <w:r>
        <w:t>‘</w:t>
      </w:r>
      <w:r w:rsidRPr="00731E39">
        <w:t>administered</w:t>
      </w:r>
      <w:r>
        <w:t>’</w:t>
      </w:r>
      <w:r w:rsidRPr="00731E39">
        <w:t xml:space="preserve"> rather than </w:t>
      </w:r>
      <w:r>
        <w:t>‘</w:t>
      </w:r>
      <w:r w:rsidRPr="00731E39">
        <w:t>controlled</w:t>
      </w:r>
      <w:r>
        <w:t>’</w:t>
      </w:r>
      <w:r w:rsidRPr="00731E39">
        <w:t xml:space="preserve"> will affect the impact of items such as the </w:t>
      </w:r>
      <w:r>
        <w:t>Capital Asset Charge (</w:t>
      </w:r>
      <w:hyperlink r:id="rId29" w:history="1">
        <w:r w:rsidRPr="008118F8">
          <w:t>CAC</w:t>
        </w:r>
      </w:hyperlink>
      <w:r>
        <w:t xml:space="preserve">) </w:t>
      </w:r>
      <w:r w:rsidRPr="00731E39">
        <w:t xml:space="preserve">on the </w:t>
      </w:r>
      <w:r w:rsidR="008B11FB">
        <w:t>d</w:t>
      </w:r>
      <w:r w:rsidRPr="00731E39">
        <w:t>epartment</w:t>
      </w:r>
      <w:r>
        <w:t>’</w:t>
      </w:r>
      <w:r w:rsidRPr="00731E39">
        <w:t>s operations, and the way in which the asset or liability is present</w:t>
      </w:r>
      <w:r>
        <w:t xml:space="preserve">ed in the Budget </w:t>
      </w:r>
      <w:r w:rsidR="00DB6F4C">
        <w:t>p</w:t>
      </w:r>
      <w:r>
        <w:t xml:space="preserve">apers (refer to </w:t>
      </w:r>
      <w:r w:rsidR="009F12D3">
        <w:t xml:space="preserve">Resource Management Framework </w:t>
      </w:r>
      <w:r w:rsidR="00623130">
        <w:t xml:space="preserve">(RMF) </w:t>
      </w:r>
      <w:r w:rsidR="009F12D3">
        <w:t>Section 7.1 on CAC</w:t>
      </w:r>
      <w:r w:rsidRPr="00731E39">
        <w:t>).</w:t>
      </w:r>
    </w:p>
    <w:p w:rsidR="00435EE9" w:rsidRDefault="00435EE9" w:rsidP="00435EE9">
      <w:pPr>
        <w:pStyle w:val="Heading5"/>
      </w:pPr>
      <w:r>
        <w:t>Further guidance on definitions of controlled vs administered</w:t>
      </w:r>
    </w:p>
    <w:p w:rsidR="00435EE9" w:rsidRDefault="00435EE9" w:rsidP="00A94229">
      <w:pPr>
        <w:pStyle w:val="NormalIndent"/>
        <w:keepLines/>
      </w:pPr>
      <w:r>
        <w:t xml:space="preserve">Some administered transactions are straightforward in recognition – for example, </w:t>
      </w:r>
      <w:r w:rsidRPr="00731E39">
        <w:t>crime compensation payments</w:t>
      </w:r>
      <w:r>
        <w:t>,</w:t>
      </w:r>
      <w:r w:rsidRPr="00731E39">
        <w:t xml:space="preserve"> awarded by a </w:t>
      </w:r>
      <w:r w:rsidR="00DB6F4C">
        <w:t>c</w:t>
      </w:r>
      <w:r w:rsidRPr="00731E39">
        <w:t xml:space="preserve">ourt or </w:t>
      </w:r>
      <w:r w:rsidR="00DB6F4C">
        <w:t>t</w:t>
      </w:r>
      <w:r w:rsidRPr="00731E39">
        <w:t>ribunal</w:t>
      </w:r>
      <w:r>
        <w:t>,</w:t>
      </w:r>
      <w:r w:rsidRPr="00731E39">
        <w:t xml:space="preserve"> or revenues or taxes collected by a </w:t>
      </w:r>
      <w:r w:rsidR="008B11FB">
        <w:t>d</w:t>
      </w:r>
      <w:r w:rsidRPr="00731E39">
        <w:t>epartment on behalf of the State</w:t>
      </w:r>
      <w:r>
        <w:t>,</w:t>
      </w:r>
      <w:r w:rsidRPr="00731E39">
        <w:t xml:space="preserve"> would normally be classified as administered items.</w:t>
      </w:r>
      <w:r w:rsidRPr="00435EE9">
        <w:t xml:space="preserve"> </w:t>
      </w:r>
      <w:r>
        <w:t>Sometimes, t</w:t>
      </w:r>
      <w:r w:rsidRPr="00731E39">
        <w:t xml:space="preserve">he way an </w:t>
      </w:r>
      <w:hyperlink r:id="rId30" w:history="1">
        <w:r w:rsidRPr="00045C2D">
          <w:t>output</w:t>
        </w:r>
      </w:hyperlink>
      <w:r w:rsidRPr="00731E39">
        <w:t xml:space="preserve"> is defined can affect the classification of a revenue or expense between the adminis</w:t>
      </w:r>
      <w:r>
        <w:t>tered or controlled categories (see examples below):</w:t>
      </w:r>
    </w:p>
    <w:p w:rsidR="00435EE9" w:rsidRDefault="00435EE9" w:rsidP="00435EE9">
      <w:pPr>
        <w:pStyle w:val="Bulletindent"/>
      </w:pPr>
      <w:r>
        <w:t>T</w:t>
      </w:r>
      <w:r w:rsidRPr="00731E39">
        <w:t xml:space="preserve">he administrative process of making </w:t>
      </w:r>
      <w:r>
        <w:t xml:space="preserve">grant </w:t>
      </w:r>
      <w:r w:rsidRPr="00731E39">
        <w:t xml:space="preserve">payments is part of an output of the </w:t>
      </w:r>
      <w:r w:rsidR="008B11FB">
        <w:t>d</w:t>
      </w:r>
      <w:r w:rsidRPr="00731E39">
        <w:t xml:space="preserve">epartment and must be classified as a controlled </w:t>
      </w:r>
      <w:r w:rsidRPr="00910CAF">
        <w:t xml:space="preserve">expense. However, the actual grants being paid to the recipients could be classified as an administered item if they meet the criteria for administered items stated in </w:t>
      </w:r>
      <w:r w:rsidR="004C2812">
        <w:t>M</w:t>
      </w:r>
      <w:r w:rsidRPr="00910CAF">
        <w:t xml:space="preserve">andatory requirement </w:t>
      </w:r>
      <w:r w:rsidR="00910CAF" w:rsidRPr="00E26733">
        <w:t>1</w:t>
      </w:r>
      <w:r w:rsidRPr="00910CAF">
        <w:t>.1.2(a);</w:t>
      </w:r>
      <w:r>
        <w:t xml:space="preserve"> and</w:t>
      </w:r>
    </w:p>
    <w:p w:rsidR="00435EE9" w:rsidRDefault="00435EE9" w:rsidP="00435EE9">
      <w:pPr>
        <w:pStyle w:val="Bulletindent"/>
      </w:pPr>
      <w:r>
        <w:t>R</w:t>
      </w:r>
      <w:r w:rsidRPr="00731E39">
        <w:t>evenues, expenses, assets or liabilities arising in connection with the discharge of the function of making crime compensation payments (as distinct from the payments themselves) or collecting revenues (as distinct from the revenues themselves) on behalf of the State would normally be classified as controlled.</w:t>
      </w:r>
    </w:p>
    <w:p w:rsidR="00435EE9" w:rsidRDefault="00435EE9" w:rsidP="007D065F">
      <w:pPr>
        <w:pStyle w:val="NormalIndent"/>
      </w:pPr>
      <w:r>
        <w:t>A</w:t>
      </w:r>
      <w:r w:rsidRPr="00731E39">
        <w:t xml:space="preserve">n item </w:t>
      </w:r>
      <w:r>
        <w:t xml:space="preserve">classified </w:t>
      </w:r>
      <w:r w:rsidRPr="00731E39">
        <w:t xml:space="preserve">as </w:t>
      </w:r>
      <w:r>
        <w:t>‘</w:t>
      </w:r>
      <w:r w:rsidRPr="00731E39">
        <w:t>administered</w:t>
      </w:r>
      <w:r>
        <w:t>’</w:t>
      </w:r>
      <w:r w:rsidRPr="00731E39">
        <w:t xml:space="preserve"> does not diminish in any way the management responsibility of the </w:t>
      </w:r>
      <w:r w:rsidR="008B11FB">
        <w:t>d</w:t>
      </w:r>
      <w:r w:rsidRPr="00731E39">
        <w:t>epartment which administers it to manage the transaction</w:t>
      </w:r>
      <w:r>
        <w:t>.</w:t>
      </w:r>
      <w:r w:rsidRPr="00731E39">
        <w:t xml:space="preserve"> </w:t>
      </w:r>
      <w:r>
        <w:t>This includes</w:t>
      </w:r>
      <w:r w:rsidRPr="00731E39">
        <w:t xml:space="preserve"> maintain</w:t>
      </w:r>
      <w:r>
        <w:t>ing</w:t>
      </w:r>
      <w:r w:rsidRPr="00731E39">
        <w:t xml:space="preserve"> proper ledger entries and other accounting records in relation to the item. The classification only changes th</w:t>
      </w:r>
      <w:r>
        <w:t xml:space="preserve">e way in which the item will be </w:t>
      </w:r>
      <w:r w:rsidRPr="00731E39">
        <w:t>disclosed for budgeting and reporting purposes.</w:t>
      </w:r>
    </w:p>
    <w:p w:rsidR="00435EE9" w:rsidRDefault="00435EE9" w:rsidP="00435EE9">
      <w:pPr>
        <w:pStyle w:val="Heading4indent"/>
      </w:pPr>
      <w:r>
        <w:t>Relevant materials</w:t>
      </w:r>
    </w:p>
    <w:p w:rsidR="00435EE9" w:rsidRDefault="00435EE9" w:rsidP="00435EE9">
      <w:pPr>
        <w:pStyle w:val="Heading5"/>
      </w:pPr>
      <w:r>
        <w:t>Accounting standards</w:t>
      </w:r>
    </w:p>
    <w:p w:rsidR="00435EE9" w:rsidRDefault="00D30F9E" w:rsidP="008037F0">
      <w:pPr>
        <w:pStyle w:val="NormalIndenthanging"/>
      </w:pPr>
      <w:r w:rsidRPr="00A94229">
        <w:rPr>
          <w:noProof/>
          <w:position w:val="-14"/>
          <w:sz w:val="16"/>
        </w:rPr>
        <w:drawing>
          <wp:inline distT="0" distB="0" distL="0" distR="0" wp14:anchorId="724094BA" wp14:editId="32969CA8">
            <wp:extent cx="284480" cy="284480"/>
            <wp:effectExtent l="0" t="0" r="1270" b="1270"/>
            <wp:docPr id="19723" name="Graphic 1972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3562F9">
        <w:tab/>
        <w:t>AASB </w:t>
      </w:r>
      <w:r w:rsidR="005457A4">
        <w:t xml:space="preserve">1050 </w:t>
      </w:r>
      <w:r w:rsidR="00435EE9" w:rsidRPr="008037F0">
        <w:rPr>
          <w:i/>
        </w:rPr>
        <w:t>Administered Items</w:t>
      </w:r>
    </w:p>
    <w:p w:rsidR="00435EE9" w:rsidRDefault="009F12D3" w:rsidP="00435EE9">
      <w:pPr>
        <w:pStyle w:val="Heading5"/>
      </w:pPr>
      <w:r>
        <w:t>Resource Management Framework</w:t>
      </w:r>
    </w:p>
    <w:p w:rsidR="00435EE9" w:rsidRDefault="00D30F9E" w:rsidP="008037F0">
      <w:pPr>
        <w:pStyle w:val="NormalIndenthanging"/>
      </w:pPr>
      <w:r w:rsidRPr="00A94229">
        <w:rPr>
          <w:noProof/>
          <w:position w:val="-14"/>
          <w:sz w:val="16"/>
        </w:rPr>
        <w:drawing>
          <wp:inline distT="0" distB="0" distL="0" distR="0" wp14:anchorId="724094BA" wp14:editId="32969CA8">
            <wp:extent cx="284480" cy="284480"/>
            <wp:effectExtent l="0" t="0" r="1270" b="1270"/>
            <wp:docPr id="19724" name="Graphic 1972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3562F9">
        <w:tab/>
      </w:r>
      <w:r w:rsidR="009F12D3">
        <w:t>RMF</w:t>
      </w:r>
      <w:r w:rsidR="009F12D3" w:rsidRPr="00B63969">
        <w:t xml:space="preserve"> </w:t>
      </w:r>
      <w:r w:rsidR="00B63969" w:rsidRPr="00B63969">
        <w:t xml:space="preserve">section </w:t>
      </w:r>
      <w:r w:rsidR="00B63969" w:rsidRPr="008037F0">
        <w:rPr>
          <w:i/>
        </w:rPr>
        <w:t>The State’s Appropriation Framework</w:t>
      </w:r>
    </w:p>
    <w:p w:rsidR="00435EE9" w:rsidRDefault="00D30F9E" w:rsidP="008037F0">
      <w:pPr>
        <w:pStyle w:val="NormalIndenthanging"/>
      </w:pPr>
      <w:r w:rsidRPr="00A94229">
        <w:rPr>
          <w:noProof/>
          <w:position w:val="-14"/>
          <w:sz w:val="16"/>
        </w:rPr>
        <w:drawing>
          <wp:inline distT="0" distB="0" distL="0" distR="0" wp14:anchorId="724094BA" wp14:editId="32969CA8">
            <wp:extent cx="284480" cy="284480"/>
            <wp:effectExtent l="0" t="0" r="1270" b="1270"/>
            <wp:docPr id="19725" name="Graphic 1972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3562F9">
        <w:tab/>
      </w:r>
      <w:r w:rsidR="009F12D3">
        <w:t xml:space="preserve">RMF </w:t>
      </w:r>
      <w:r w:rsidR="00A00CA4">
        <w:t>S</w:t>
      </w:r>
      <w:r w:rsidR="00435EE9">
        <w:t xml:space="preserve">ection </w:t>
      </w:r>
      <w:r w:rsidR="009F12D3">
        <w:t>7.1</w:t>
      </w:r>
      <w:r w:rsidR="00435EE9">
        <w:t xml:space="preserve"> – </w:t>
      </w:r>
      <w:r w:rsidR="00435EE9" w:rsidRPr="008037F0">
        <w:rPr>
          <w:i/>
        </w:rPr>
        <w:t>Capital Assets Charge</w:t>
      </w:r>
    </w:p>
    <w:p w:rsidR="008359F6" w:rsidRDefault="008359F6">
      <w:pPr>
        <w:spacing w:before="0" w:after="200"/>
        <w:rPr>
          <w:rFonts w:asciiTheme="majorHAnsi" w:eastAsiaTheme="majorEastAsia" w:hAnsiTheme="majorHAnsi" w:cstheme="majorBidi"/>
          <w:b/>
          <w:bCs/>
          <w:color w:val="0063A6" w:themeColor="accent1"/>
          <w:sz w:val="28"/>
          <w:szCs w:val="26"/>
        </w:rPr>
      </w:pPr>
      <w:bookmarkStart w:id="347" w:name="_Toc445470206"/>
      <w:r>
        <w:br w:type="page"/>
      </w:r>
    </w:p>
    <w:p w:rsidR="00435EE9" w:rsidRDefault="005457A4" w:rsidP="005457A4">
      <w:pPr>
        <w:pStyle w:val="Heading2numbered"/>
      </w:pPr>
      <w:bookmarkStart w:id="348" w:name="_Toc785450"/>
      <w:r>
        <w:t>Materiality and other thresholds</w:t>
      </w:r>
      <w:bookmarkEnd w:id="347"/>
      <w:bookmarkEnd w:id="348"/>
    </w:p>
    <w:p w:rsidR="005457A4" w:rsidRDefault="005457A4" w:rsidP="005457A4">
      <w:pPr>
        <w:pStyle w:val="Heading3"/>
        <w:ind w:left="792"/>
      </w:pPr>
      <w:r>
        <w:t>Indicative materiality thresholds</w:t>
      </w:r>
    </w:p>
    <w:p w:rsidR="005457A4" w:rsidRDefault="005457A4" w:rsidP="007D065F">
      <w:pPr>
        <w:pStyle w:val="NormalIndent"/>
      </w:pPr>
      <w:r>
        <w:t xml:space="preserve">The determination of materiality in </w:t>
      </w:r>
      <w:r w:rsidR="008B11FB">
        <w:t>d</w:t>
      </w:r>
      <w:r>
        <w:t xml:space="preserve">epartmental and </w:t>
      </w:r>
      <w:r w:rsidR="00DB6F4C">
        <w:t>w</w:t>
      </w:r>
      <w:r>
        <w:t xml:space="preserve">hole of </w:t>
      </w:r>
      <w:r w:rsidR="000532B0">
        <w:t>g</w:t>
      </w:r>
      <w:r>
        <w:t>overnment budgeting and reporting is often subjective.</w:t>
      </w:r>
      <w:r w:rsidR="00413A48">
        <w:t xml:space="preserve"> </w:t>
      </w:r>
      <w:r>
        <w:t xml:space="preserve">In some cases, </w:t>
      </w:r>
      <w:proofErr w:type="gramStart"/>
      <w:r>
        <w:t>particular items</w:t>
      </w:r>
      <w:proofErr w:type="gramEnd"/>
      <w:r>
        <w:t xml:space="preserve"> </w:t>
      </w:r>
      <w:r w:rsidR="00DB6F4C">
        <w:t>that</w:t>
      </w:r>
      <w:r w:rsidR="000532B0">
        <w:t xml:space="preserve"> </w:t>
      </w:r>
      <w:r>
        <w:t>are not material in a financial sense may be significant in political or strategic terms (i.e. the item may be material by nature rather than amount). Departments should exercise careful judgement in these cases.</w:t>
      </w:r>
    </w:p>
    <w:p w:rsidR="005457A4" w:rsidRDefault="005457A4" w:rsidP="007D065F">
      <w:pPr>
        <w:pStyle w:val="NormalIndent"/>
      </w:pPr>
      <w:r>
        <w:t xml:space="preserve">An item may </w:t>
      </w:r>
      <w:proofErr w:type="gramStart"/>
      <w:r>
        <w:t>be seen as</w:t>
      </w:r>
      <w:proofErr w:type="gramEnd"/>
      <w:r>
        <w:t xml:space="preserve"> being m</w:t>
      </w:r>
      <w:r w:rsidRPr="001125FB">
        <w:t xml:space="preserve">aterial </w:t>
      </w:r>
      <w:r>
        <w:t xml:space="preserve">if a </w:t>
      </w:r>
      <w:r w:rsidRPr="001125FB">
        <w:t xml:space="preserve">reasonable person would consider </w:t>
      </w:r>
      <w:r>
        <w:t>that the item has a significant</w:t>
      </w:r>
      <w:r w:rsidRPr="001125FB">
        <w:t xml:space="preserve"> impact on the </w:t>
      </w:r>
      <w:r w:rsidR="008B11FB">
        <w:t>d</w:t>
      </w:r>
      <w:r>
        <w:t>epartment’s</w:t>
      </w:r>
      <w:r w:rsidRPr="001125FB">
        <w:t xml:space="preserve"> or the State's reputation, financial </w:t>
      </w:r>
      <w:r>
        <w:t xml:space="preserve">performance or </w:t>
      </w:r>
      <w:r w:rsidRPr="001125FB">
        <w:t>position</w:t>
      </w:r>
      <w:r>
        <w:t>,</w:t>
      </w:r>
      <w:r w:rsidRPr="001125FB">
        <w:t xml:space="preserve"> or financial management.</w:t>
      </w:r>
    </w:p>
    <w:p w:rsidR="005457A4" w:rsidRDefault="005457A4" w:rsidP="007D065F">
      <w:pPr>
        <w:pStyle w:val="NormalIndent"/>
      </w:pPr>
      <w:r>
        <w:t xml:space="preserve">While it is difficult to set specific quantifiable targets for deciding </w:t>
      </w:r>
      <w:proofErr w:type="gramStart"/>
      <w:r>
        <w:t>whether or not</w:t>
      </w:r>
      <w:proofErr w:type="gramEnd"/>
      <w:r>
        <w:t xml:space="preserve"> an item is material, the following quantitative thresholds may be used as</w:t>
      </w:r>
      <w:r w:rsidR="0061303B">
        <w:t xml:space="preserve"> initial</w:t>
      </w:r>
      <w:r>
        <w:t xml:space="preserve"> guidance in considering the materiality of an item:</w:t>
      </w:r>
    </w:p>
    <w:p w:rsidR="005457A4" w:rsidRDefault="005457A4" w:rsidP="005457A4">
      <w:pPr>
        <w:pStyle w:val="Bulletindent"/>
      </w:pPr>
      <w:r>
        <w:t>an amount equal to or greater than 10</w:t>
      </w:r>
      <w:r w:rsidR="00A94229">
        <w:t> per cent</w:t>
      </w:r>
      <w:r>
        <w:t xml:space="preserve"> of the appropriate base amount</w:t>
      </w:r>
      <w:r w:rsidR="002A28F7">
        <w:rPr>
          <w:rStyle w:val="FootnoteReference"/>
        </w:rPr>
        <w:footnoteReference w:id="5"/>
      </w:r>
      <w:r>
        <w:t xml:space="preserve"> may be presumed to be material unless there is evidence or convincing arguments to the contrary; </w:t>
      </w:r>
    </w:p>
    <w:p w:rsidR="005457A4" w:rsidRDefault="005457A4" w:rsidP="005457A4">
      <w:pPr>
        <w:pStyle w:val="Bulletindent"/>
      </w:pPr>
      <w:r>
        <w:t>an amount between 5</w:t>
      </w:r>
      <w:r w:rsidR="00A94229">
        <w:t> per cent</w:t>
      </w:r>
      <w:r>
        <w:t xml:space="preserve"> and 10</w:t>
      </w:r>
      <w:r w:rsidR="00A94229">
        <w:t> per cent</w:t>
      </w:r>
      <w:r>
        <w:t xml:space="preserve"> of the appropriate base amount</w:t>
      </w:r>
      <w:r w:rsidR="001466BE">
        <w:t xml:space="preserve"> – the</w:t>
      </w:r>
      <w:r>
        <w:t xml:space="preserve"> decision on whether to include or omit it should be carefully assessed; </w:t>
      </w:r>
    </w:p>
    <w:p w:rsidR="005457A4" w:rsidRDefault="005457A4" w:rsidP="005457A4">
      <w:pPr>
        <w:pStyle w:val="Bulletindent"/>
      </w:pPr>
      <w:r>
        <w:t>an amount equal to or less than 5</w:t>
      </w:r>
      <w:r w:rsidR="00A94229">
        <w:t> per cent</w:t>
      </w:r>
      <w:r>
        <w:t xml:space="preserve"> of the appropriate base amount may be presumed not to be material unless there is evidence, or convincing argument, to the contrary; and </w:t>
      </w:r>
    </w:p>
    <w:p w:rsidR="005457A4" w:rsidRDefault="005457A4" w:rsidP="005457A4">
      <w:pPr>
        <w:pStyle w:val="Bulletindent"/>
      </w:pPr>
      <w:r>
        <w:t xml:space="preserve">transactions with a person in authority (e.g. a board member or a Minister) would normally be considered material unless </w:t>
      </w:r>
      <w:r w:rsidR="0061303B">
        <w:t>they are</w:t>
      </w:r>
      <w:r>
        <w:t xml:space="preserve"> for routine business such as out</w:t>
      </w:r>
      <w:r w:rsidR="0061303B">
        <w:noBreakHyphen/>
      </w:r>
      <w:r>
        <w:t>of-pocket expenses.</w:t>
      </w:r>
    </w:p>
    <w:p w:rsidR="005457A4" w:rsidRDefault="005457A4" w:rsidP="005457A4">
      <w:pPr>
        <w:pStyle w:val="Heading3"/>
        <w:ind w:left="792"/>
      </w:pPr>
      <w:r>
        <w:t>Non-current physical asset capitalisation thresholds</w:t>
      </w:r>
    </w:p>
    <w:p w:rsidR="005457A4" w:rsidRDefault="005457A4" w:rsidP="005457A4">
      <w:pPr>
        <w:pStyle w:val="Bulletindent"/>
      </w:pPr>
      <w:r>
        <w:t xml:space="preserve">Accounting Standard </w:t>
      </w:r>
      <w:r w:rsidR="003562F9">
        <w:t>AASB </w:t>
      </w:r>
      <w:r>
        <w:t xml:space="preserve">116 </w:t>
      </w:r>
      <w:r w:rsidRPr="005457A4">
        <w:rPr>
          <w:i/>
        </w:rPr>
        <w:t>Property, Plant and Equipment</w:t>
      </w:r>
      <w:r>
        <w:t xml:space="preserve"> does not prescribe an asset capitalisation threshold. </w:t>
      </w:r>
      <w:r w:rsidR="0025621E">
        <w:t xml:space="preserve">Departments </w:t>
      </w:r>
      <w:r>
        <w:t xml:space="preserve">may establish a threshold for practical financial reporting purposes </w:t>
      </w:r>
      <w:proofErr w:type="gramStart"/>
      <w:r>
        <w:t>on the basis of</w:t>
      </w:r>
      <w:proofErr w:type="gramEnd"/>
      <w:r>
        <w:t xml:space="preserve"> materiality. As guidance, most </w:t>
      </w:r>
      <w:r w:rsidR="008B11FB">
        <w:t>d</w:t>
      </w:r>
      <w:r>
        <w:t>epartments are using a threshold of $5 000 for the capitalisation of assets.</w:t>
      </w:r>
    </w:p>
    <w:p w:rsidR="005457A4" w:rsidRDefault="005457A4" w:rsidP="005457A4">
      <w:pPr>
        <w:pStyle w:val="Bulletindent"/>
      </w:pPr>
      <w:r>
        <w:t>Portable</w:t>
      </w:r>
      <w:r w:rsidR="0061303B">
        <w:t xml:space="preserve"> computers</w:t>
      </w:r>
      <w:r>
        <w:t xml:space="preserve"> </w:t>
      </w:r>
      <w:r w:rsidR="00DB6F4C">
        <w:t xml:space="preserve">that </w:t>
      </w:r>
      <w:r>
        <w:t xml:space="preserve">may be subject to risk of loss/theft, but are below a </w:t>
      </w:r>
      <w:r w:rsidR="008B11FB">
        <w:t>d</w:t>
      </w:r>
      <w:r w:rsidR="0025621E">
        <w:t xml:space="preserve">epartment's </w:t>
      </w:r>
      <w:r>
        <w:t>recognition threshold, should be recorded on an asset register but not recognised as an asset in the financial statements.</w:t>
      </w:r>
    </w:p>
    <w:p w:rsidR="005457A4" w:rsidRDefault="005457A4" w:rsidP="005457A4">
      <w:pPr>
        <w:pStyle w:val="Bulletindent"/>
      </w:pPr>
      <w:r>
        <w:t xml:space="preserve">An item held by the </w:t>
      </w:r>
      <w:r w:rsidR="008B11FB">
        <w:t>d</w:t>
      </w:r>
      <w:r w:rsidR="0025621E">
        <w:t xml:space="preserve">epartment </w:t>
      </w:r>
      <w:r>
        <w:t>for which it is currently assessed that there is no service potential should continue to be recorded on an asset register despite being attributed a value of zero.</w:t>
      </w:r>
    </w:p>
    <w:p w:rsidR="005457A4" w:rsidRDefault="005457A4" w:rsidP="005457A4">
      <w:pPr>
        <w:pStyle w:val="Heading4indent"/>
      </w:pPr>
      <w:r>
        <w:t>Relevant materials</w:t>
      </w:r>
    </w:p>
    <w:p w:rsidR="005457A4" w:rsidRDefault="005457A4" w:rsidP="005457A4">
      <w:pPr>
        <w:pStyle w:val="Heading5"/>
      </w:pPr>
      <w:r>
        <w:t>Accounting Standards</w:t>
      </w:r>
    </w:p>
    <w:p w:rsidR="007D065F" w:rsidRDefault="00D30F9E" w:rsidP="008037F0">
      <w:pPr>
        <w:pStyle w:val="NormalIndenthanging"/>
      </w:pPr>
      <w:r w:rsidRPr="00A94229">
        <w:rPr>
          <w:noProof/>
          <w:position w:val="-14"/>
          <w:sz w:val="16"/>
        </w:rPr>
        <w:drawing>
          <wp:inline distT="0" distB="0" distL="0" distR="0" wp14:anchorId="724094BA" wp14:editId="32969CA8">
            <wp:extent cx="284480" cy="284480"/>
            <wp:effectExtent l="0" t="0" r="1270" b="1270"/>
            <wp:docPr id="19731" name="Graphic 1973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8037F0">
        <w:tab/>
      </w:r>
      <w:r w:rsidR="003562F9">
        <w:t>AASB </w:t>
      </w:r>
      <w:r w:rsidR="005457A4">
        <w:t xml:space="preserve">116 </w:t>
      </w:r>
      <w:r w:rsidR="005457A4" w:rsidRPr="008037F0">
        <w:rPr>
          <w:i/>
        </w:rPr>
        <w:t>Property, Plant and Equipment</w:t>
      </w:r>
    </w:p>
    <w:p w:rsidR="005162CD" w:rsidRDefault="005162CD" w:rsidP="005162CD">
      <w:pPr>
        <w:pStyle w:val="Heading2numbered"/>
      </w:pPr>
      <w:bookmarkStart w:id="349" w:name="_Toc445470207"/>
      <w:bookmarkStart w:id="350" w:name="_Toc785451"/>
      <w:r>
        <w:t>Contributed capital</w:t>
      </w:r>
      <w:bookmarkEnd w:id="349"/>
      <w:bookmarkEnd w:id="350"/>
    </w:p>
    <w:tbl>
      <w:tblPr>
        <w:tblStyle w:val="Mandatory"/>
        <w:tblW w:w="7606" w:type="dxa"/>
        <w:tblLook w:val="0620" w:firstRow="1" w:lastRow="0" w:firstColumn="0" w:lastColumn="0" w:noHBand="1" w:noVBand="1"/>
      </w:tblPr>
      <w:tblGrid>
        <w:gridCol w:w="7606"/>
      </w:tblGrid>
      <w:tr w:rsidR="005162CD" w:rsidRPr="008037F0" w:rsidTr="008037F0">
        <w:trPr>
          <w:cnfStyle w:val="100000000000" w:firstRow="1" w:lastRow="0" w:firstColumn="0" w:lastColumn="0" w:oddVBand="0" w:evenVBand="0" w:oddHBand="0" w:evenHBand="0" w:firstRowFirstColumn="0" w:firstRowLastColumn="0" w:lastRowFirstColumn="0" w:lastRowLastColumn="0"/>
        </w:trPr>
        <w:tc>
          <w:tcPr>
            <w:tcW w:w="7606" w:type="dxa"/>
          </w:tcPr>
          <w:p w:rsidR="005162CD" w:rsidRPr="00326EEF" w:rsidRDefault="005162CD" w:rsidP="00326EEF">
            <w:pPr>
              <w:pStyle w:val="Tableheader"/>
              <w:jc w:val="center"/>
              <w:rPr>
                <w:b/>
                <w:sz w:val="17"/>
                <w:szCs w:val="17"/>
              </w:rPr>
            </w:pPr>
            <w:r w:rsidRPr="00326EEF">
              <w:rPr>
                <w:b/>
                <w:sz w:val="17"/>
                <w:szCs w:val="17"/>
              </w:rPr>
              <w:t>Mandatory requirements</w:t>
            </w:r>
          </w:p>
        </w:tc>
      </w:tr>
      <w:tr w:rsidR="005162CD" w:rsidRPr="008D7E41" w:rsidTr="008037F0">
        <w:tc>
          <w:tcPr>
            <w:tcW w:w="7606" w:type="dxa"/>
          </w:tcPr>
          <w:p w:rsidR="005162CD" w:rsidRPr="00343BA7" w:rsidRDefault="005162CD" w:rsidP="005162CD">
            <w:pPr>
              <w:pStyle w:val="Heading3numbered"/>
            </w:pPr>
            <w:bookmarkStart w:id="351" w:name="_Toc445470208"/>
            <w:bookmarkStart w:id="352" w:name="_Toc785452"/>
            <w:r>
              <w:t>Contributed capital reconciliation requirements and time frames</w:t>
            </w:r>
            <w:r w:rsidR="00413A48">
              <w:t xml:space="preserve"> – </w:t>
            </w:r>
            <w:r>
              <w:t>actuals</w:t>
            </w:r>
            <w:bookmarkEnd w:id="351"/>
            <w:bookmarkEnd w:id="352"/>
          </w:p>
          <w:p w:rsidR="005162CD" w:rsidRPr="00685D21" w:rsidRDefault="005162CD" w:rsidP="005162CD">
            <w:pPr>
              <w:pStyle w:val="Tabletextnum"/>
            </w:pPr>
            <w:r>
              <w:t xml:space="preserve">A </w:t>
            </w:r>
            <w:r w:rsidR="008B11FB">
              <w:t>d</w:t>
            </w:r>
            <w:r>
              <w:t>epartment must reconcile t</w:t>
            </w:r>
            <w:r w:rsidRPr="00685D21">
              <w:t xml:space="preserve">he </w:t>
            </w:r>
            <w:r w:rsidR="00285213">
              <w:t>c</w:t>
            </w:r>
            <w:r w:rsidRPr="00685D21">
              <w:t xml:space="preserve">ontributed </w:t>
            </w:r>
            <w:r>
              <w:t>c</w:t>
            </w:r>
            <w:r w:rsidRPr="00685D21">
              <w:t>apital/</w:t>
            </w:r>
            <w:r>
              <w:t>e</w:t>
            </w:r>
            <w:r w:rsidRPr="00685D21">
              <w:t xml:space="preserve">quity </w:t>
            </w:r>
            <w:r>
              <w:t>i</w:t>
            </w:r>
            <w:r w:rsidRPr="00685D21">
              <w:t xml:space="preserve">nvestment </w:t>
            </w:r>
            <w:r>
              <w:t>balances twice a year</w:t>
            </w:r>
            <w:r w:rsidRPr="00685D21">
              <w:t>.</w:t>
            </w:r>
            <w:r>
              <w:rPr>
                <w:rStyle w:val="FootnoteReference"/>
              </w:rPr>
              <w:footnoteReference w:id="6"/>
            </w:r>
            <w:r w:rsidRPr="00685D21">
              <w:t xml:space="preserve"> </w:t>
            </w:r>
          </w:p>
          <w:p w:rsidR="005162CD" w:rsidRDefault="005162CD" w:rsidP="005162CD">
            <w:pPr>
              <w:pStyle w:val="Tabletextnum"/>
            </w:pPr>
            <w:r w:rsidRPr="00685D21">
              <w:t xml:space="preserve">The </w:t>
            </w:r>
            <w:r>
              <w:t>c</w:t>
            </w:r>
            <w:r w:rsidRPr="00685D21">
              <w:t xml:space="preserve">ontributed </w:t>
            </w:r>
            <w:r>
              <w:t>c</w:t>
            </w:r>
            <w:r w:rsidRPr="00685D21">
              <w:t>apita</w:t>
            </w:r>
            <w:r>
              <w:t>l</w:t>
            </w:r>
            <w:r w:rsidRPr="00685D21">
              <w:t>/</w:t>
            </w:r>
            <w:r>
              <w:t>e</w:t>
            </w:r>
            <w:r w:rsidRPr="00685D21">
              <w:t xml:space="preserve">quity </w:t>
            </w:r>
            <w:r>
              <w:t>i</w:t>
            </w:r>
            <w:r w:rsidRPr="00685D21">
              <w:t>nvestment reconciliations must be certified by the relevant</w:t>
            </w:r>
            <w:r w:rsidR="00DB6B4B">
              <w:t xml:space="preserve"> Chief Financ</w:t>
            </w:r>
            <w:r w:rsidR="004C2812">
              <w:t>e</w:t>
            </w:r>
            <w:r w:rsidR="00DB6B4B">
              <w:t xml:space="preserve"> Officer (</w:t>
            </w:r>
            <w:r>
              <w:t>CFO</w:t>
            </w:r>
            <w:r w:rsidR="00DB6B4B">
              <w:t>)</w:t>
            </w:r>
            <w:r>
              <w:t xml:space="preserve"> and provided</w:t>
            </w:r>
            <w:r w:rsidRPr="00685D21">
              <w:t xml:space="preserve"> to DTF </w:t>
            </w:r>
            <w:r>
              <w:t xml:space="preserve">as per the instructions in the relevant </w:t>
            </w:r>
            <w:r w:rsidR="00DB6B4B">
              <w:t>DTFIR</w:t>
            </w:r>
            <w:r>
              <w:t>.</w:t>
            </w:r>
            <w:r>
              <w:rPr>
                <w:rStyle w:val="FootnoteReference"/>
              </w:rPr>
              <w:footnoteReference w:id="7"/>
            </w:r>
          </w:p>
          <w:p w:rsidR="005162CD" w:rsidRDefault="005162CD" w:rsidP="005162CD">
            <w:pPr>
              <w:pStyle w:val="Heading3numbered"/>
            </w:pPr>
            <w:bookmarkStart w:id="353" w:name="_Toc445470209"/>
            <w:bookmarkStart w:id="354" w:name="_Toc785453"/>
            <w:r>
              <w:t>Contributed capital journal entry reconciliation requirements</w:t>
            </w:r>
            <w:r w:rsidR="00413A48">
              <w:t xml:space="preserve"> – </w:t>
            </w:r>
            <w:r>
              <w:t>e</w:t>
            </w:r>
            <w:r w:rsidRPr="00685D21">
              <w:t>s</w:t>
            </w:r>
            <w:r>
              <w:t>timates</w:t>
            </w:r>
            <w:bookmarkEnd w:id="353"/>
            <w:bookmarkEnd w:id="354"/>
          </w:p>
          <w:p w:rsidR="005162CD" w:rsidRPr="00731E39" w:rsidRDefault="005162CD" w:rsidP="005162CD">
            <w:pPr>
              <w:pStyle w:val="Tabletextnum"/>
            </w:pPr>
            <w:r>
              <w:t xml:space="preserve">A </w:t>
            </w:r>
            <w:r w:rsidR="008B11FB">
              <w:t>d</w:t>
            </w:r>
            <w:r>
              <w:t xml:space="preserve">epartment must ensure that if </w:t>
            </w:r>
            <w:r w:rsidR="007F257F">
              <w:t>it</w:t>
            </w:r>
            <w:r>
              <w:t xml:space="preserve"> submit</w:t>
            </w:r>
            <w:r w:rsidR="007F257F">
              <w:t>s</w:t>
            </w:r>
            <w:r>
              <w:t xml:space="preserve"> any estimate variations that require the recognition of </w:t>
            </w:r>
            <w:r w:rsidR="00285213">
              <w:t>c</w:t>
            </w:r>
            <w:r>
              <w:t>ontributed capital, then the corresponding matching journal entries are also undertaken by the agency in which they are recognising the contributed capital.</w:t>
            </w:r>
            <w:r>
              <w:rPr>
                <w:rStyle w:val="FootnoteReference"/>
              </w:rPr>
              <w:footnoteReference w:id="8"/>
            </w:r>
          </w:p>
          <w:p w:rsidR="005162CD" w:rsidRDefault="005162CD" w:rsidP="005162CD">
            <w:pPr>
              <w:pStyle w:val="Heading3numbered"/>
            </w:pPr>
            <w:bookmarkStart w:id="355" w:name="_Toc445470210"/>
            <w:bookmarkStart w:id="356" w:name="_Toc785454"/>
            <w:r>
              <w:t xml:space="preserve">Treatment of contributed capital entries in </w:t>
            </w:r>
            <w:r w:rsidR="008B11FB">
              <w:t>d</w:t>
            </w:r>
            <w:r>
              <w:t>epartmental and portfolio agency accounts</w:t>
            </w:r>
            <w:bookmarkEnd w:id="355"/>
            <w:bookmarkEnd w:id="356"/>
          </w:p>
          <w:p w:rsidR="005162CD" w:rsidRDefault="005162CD" w:rsidP="005162CD">
            <w:pPr>
              <w:pStyle w:val="Tabletextnum"/>
            </w:pPr>
            <w:r w:rsidRPr="00FB1868">
              <w:t>All equity investments i</w:t>
            </w:r>
            <w:r>
              <w:t xml:space="preserve">n controlled agencies, including cash and other assets, must </w:t>
            </w:r>
            <w:r w:rsidRPr="00FB1868">
              <w:t xml:space="preserve">be recognised as </w:t>
            </w:r>
            <w:r>
              <w:t>c</w:t>
            </w:r>
            <w:r w:rsidRPr="00FB1868">
              <w:t xml:space="preserve">ontributed </w:t>
            </w:r>
            <w:r>
              <w:t>c</w:t>
            </w:r>
            <w:r w:rsidRPr="00FB1868">
              <w:t xml:space="preserve">apital in the </w:t>
            </w:r>
            <w:r w:rsidR="008B11FB">
              <w:t>d</w:t>
            </w:r>
            <w:r w:rsidRPr="00FB1868">
              <w:t>epartment’s administered entity.</w:t>
            </w:r>
          </w:p>
          <w:p w:rsidR="005162CD" w:rsidRPr="00685D21" w:rsidRDefault="005162CD" w:rsidP="005162CD">
            <w:pPr>
              <w:pStyle w:val="Tabletextnum"/>
            </w:pPr>
            <w:r w:rsidRPr="00685D21">
              <w:t>Equity transfers reflected in the controlled entities (accounts 50110 to 50127) must:</w:t>
            </w:r>
          </w:p>
          <w:p w:rsidR="005162CD" w:rsidRPr="00685D21" w:rsidRDefault="005162CD" w:rsidP="005162CD">
            <w:pPr>
              <w:pStyle w:val="Listnumindent2"/>
            </w:pPr>
            <w:r w:rsidRPr="00685D21">
              <w:t>flow to the relevant entity at the carrying value recorded by the originating entity;</w:t>
            </w:r>
          </w:p>
          <w:p w:rsidR="005162CD" w:rsidRPr="00685D21" w:rsidRDefault="005162CD" w:rsidP="005162CD">
            <w:pPr>
              <w:pStyle w:val="Listnumindent2"/>
            </w:pPr>
            <w:r w:rsidRPr="00685D21">
              <w:t xml:space="preserve">be recognised in the </w:t>
            </w:r>
            <w:r w:rsidR="008B11FB">
              <w:t>d</w:t>
            </w:r>
            <w:r w:rsidRPr="00685D21">
              <w:t xml:space="preserve">epartmental administered entity as an equity investment (accounts 21205, 21207, 21400, 21410, 21450 </w:t>
            </w:r>
            <w:r>
              <w:t>or 21460) in accordance with relevant accounting policies; and</w:t>
            </w:r>
          </w:p>
          <w:p w:rsidR="005162CD" w:rsidRDefault="005162CD" w:rsidP="005162CD">
            <w:pPr>
              <w:pStyle w:val="Listnumindent2"/>
            </w:pPr>
            <w:r w:rsidRPr="00685D21">
              <w:t>flow through to t</w:t>
            </w:r>
            <w:r>
              <w:t>he portfolio agency.</w:t>
            </w:r>
          </w:p>
          <w:p w:rsidR="005162CD" w:rsidRDefault="005162CD" w:rsidP="005162CD">
            <w:pPr>
              <w:pStyle w:val="Heading3numbered"/>
            </w:pPr>
            <w:bookmarkStart w:id="357" w:name="_Toc445470211"/>
            <w:bookmarkStart w:id="358" w:name="_Toc785455"/>
            <w:r>
              <w:t>Recognition of appropriation for contributed capital</w:t>
            </w:r>
            <w:bookmarkEnd w:id="357"/>
            <w:bookmarkEnd w:id="358"/>
          </w:p>
          <w:p w:rsidR="005162CD" w:rsidRDefault="005162CD" w:rsidP="008037F0">
            <w:pPr>
              <w:pStyle w:val="Tabletextindent"/>
              <w:ind w:left="792"/>
            </w:pPr>
            <w:r>
              <w:t xml:space="preserve">A </w:t>
            </w:r>
            <w:r w:rsidR="008B11FB">
              <w:t>d</w:t>
            </w:r>
            <w:r>
              <w:t>epartment must recognise a</w:t>
            </w:r>
            <w:r w:rsidRPr="00731E39">
              <w:t xml:space="preserve">ll appropriations for </w:t>
            </w:r>
            <w:r w:rsidR="00285213">
              <w:t>c</w:t>
            </w:r>
            <w:r>
              <w:t>ontributed capital</w:t>
            </w:r>
            <w:r w:rsidRPr="00731E39">
              <w:t xml:space="preserve"> in the </w:t>
            </w:r>
            <w:r w:rsidR="008B11FB">
              <w:t>d</w:t>
            </w:r>
            <w:r w:rsidRPr="00731E39">
              <w:t>epartment</w:t>
            </w:r>
            <w:r>
              <w:t>’</w:t>
            </w:r>
            <w:r w:rsidRPr="00731E39">
              <w:t xml:space="preserve">s controlled </w:t>
            </w:r>
            <w:r w:rsidR="008B11FB" w:rsidRPr="008037F0">
              <w:t>d</w:t>
            </w:r>
            <w:r w:rsidRPr="008037F0">
              <w:t>epartmental</w:t>
            </w:r>
            <w:r w:rsidRPr="00731E39">
              <w:t xml:space="preserve"> entity.</w:t>
            </w:r>
          </w:p>
          <w:p w:rsidR="005162CD" w:rsidRDefault="005162CD" w:rsidP="005162CD">
            <w:pPr>
              <w:pStyle w:val="Heading3numbered"/>
            </w:pPr>
            <w:bookmarkStart w:id="359" w:name="_Toc445470212"/>
            <w:bookmarkStart w:id="360" w:name="_Toc785456"/>
            <w:r>
              <w:t>Treatment of reductions in, or returns of, contributed capital</w:t>
            </w:r>
            <w:bookmarkEnd w:id="359"/>
            <w:bookmarkEnd w:id="360"/>
          </w:p>
          <w:p w:rsidR="005162CD" w:rsidRPr="008D7E41" w:rsidRDefault="005162CD" w:rsidP="008037F0">
            <w:pPr>
              <w:pStyle w:val="Tabletextnum"/>
              <w:numPr>
                <w:ilvl w:val="0"/>
                <w:numId w:val="0"/>
              </w:numPr>
              <w:ind w:left="792"/>
            </w:pPr>
            <w:r>
              <w:t xml:space="preserve">A </w:t>
            </w:r>
            <w:r w:rsidR="008B11FB">
              <w:t>d</w:t>
            </w:r>
            <w:r>
              <w:t>epartment must record a</w:t>
            </w:r>
            <w:r w:rsidRPr="00731E39">
              <w:t xml:space="preserve">ll returns of capital to the Consolidated Fund </w:t>
            </w:r>
            <w:r>
              <w:t>(</w:t>
            </w:r>
            <w:r w:rsidRPr="00731E39">
              <w:t>e.g. asset sales</w:t>
            </w:r>
            <w:r>
              <w:t>)</w:t>
            </w:r>
            <w:r w:rsidRPr="00731E39">
              <w:t xml:space="preserve"> in the administered entity of the </w:t>
            </w:r>
            <w:r w:rsidR="008B11FB">
              <w:t>d</w:t>
            </w:r>
            <w:r w:rsidRPr="00731E39">
              <w:t xml:space="preserve">epartment to reflect the return of the asset back to </w:t>
            </w:r>
            <w:r>
              <w:t>Government (i.e. DTF)</w:t>
            </w:r>
            <w:r w:rsidRPr="00731E39">
              <w:t>.</w:t>
            </w:r>
            <w:r>
              <w:rPr>
                <w:rStyle w:val="FootnoteReference"/>
              </w:rPr>
              <w:footnoteReference w:id="9"/>
            </w:r>
            <w:r w:rsidRPr="00731E39">
              <w:t xml:space="preserve"> </w:t>
            </w:r>
          </w:p>
        </w:tc>
      </w:tr>
      <w:tr w:rsidR="008037F0" w:rsidRPr="008D7E41" w:rsidTr="008037F0">
        <w:trPr>
          <w:cantSplit/>
        </w:trPr>
        <w:tc>
          <w:tcPr>
            <w:tcW w:w="7606" w:type="dxa"/>
          </w:tcPr>
          <w:p w:rsidR="008037F0" w:rsidRDefault="008037F0" w:rsidP="008037F0">
            <w:pPr>
              <w:pStyle w:val="Heading3numbered"/>
              <w:keepNext w:val="0"/>
            </w:pPr>
            <w:bookmarkStart w:id="361" w:name="_Toc445470213"/>
            <w:bookmarkStart w:id="362" w:name="_Toc785457"/>
            <w:r>
              <w:t>Recording of equity investments in entities</w:t>
            </w:r>
            <w:bookmarkEnd w:id="361"/>
            <w:bookmarkEnd w:id="362"/>
          </w:p>
          <w:p w:rsidR="008037F0" w:rsidRDefault="008037F0" w:rsidP="008037F0">
            <w:pPr>
              <w:pStyle w:val="Tabletextnum"/>
            </w:pPr>
            <w:r>
              <w:t>A d</w:t>
            </w:r>
            <w:r w:rsidRPr="00731E39">
              <w:t xml:space="preserve">epartment </w:t>
            </w:r>
            <w:r>
              <w:t>must</w:t>
            </w:r>
            <w:r w:rsidRPr="00731E39">
              <w:t xml:space="preserve"> record equity investments in their own portfolio agencies.</w:t>
            </w:r>
            <w:r>
              <w:t xml:space="preserve"> </w:t>
            </w:r>
          </w:p>
          <w:p w:rsidR="008037F0" w:rsidRPr="00731E39" w:rsidRDefault="008037F0" w:rsidP="008037F0">
            <w:pPr>
              <w:pStyle w:val="Tabletextnum"/>
            </w:pPr>
            <w:r w:rsidRPr="00731E39">
              <w:t xml:space="preserve">A </w:t>
            </w:r>
            <w:r>
              <w:t>d</w:t>
            </w:r>
            <w:r w:rsidRPr="00731E39">
              <w:t xml:space="preserve">epartment </w:t>
            </w:r>
            <w:r>
              <w:t>must not</w:t>
            </w:r>
            <w:r w:rsidRPr="00731E39">
              <w:t xml:space="preserve"> </w:t>
            </w:r>
            <w:r>
              <w:t>recognise</w:t>
            </w:r>
            <w:r w:rsidRPr="00731E39">
              <w:t xml:space="preserve"> </w:t>
            </w:r>
            <w:r>
              <w:t>c</w:t>
            </w:r>
            <w:r w:rsidRPr="00731E39">
              <w:t xml:space="preserve">ontributed </w:t>
            </w:r>
            <w:r>
              <w:t>c</w:t>
            </w:r>
            <w:r w:rsidRPr="00731E39">
              <w:t xml:space="preserve">apital in another </w:t>
            </w:r>
            <w:r>
              <w:t>d</w:t>
            </w:r>
            <w:r w:rsidRPr="00731E39">
              <w:t>epartment</w:t>
            </w:r>
            <w:r>
              <w:t xml:space="preserve"> or another department’s portfolio agencies.</w:t>
            </w:r>
          </w:p>
          <w:p w:rsidR="008037F0" w:rsidRPr="00731E39" w:rsidRDefault="008037F0" w:rsidP="008037F0">
            <w:pPr>
              <w:pStyle w:val="Tabletextnum"/>
            </w:pPr>
            <w:r>
              <w:t>T</w:t>
            </w:r>
            <w:r w:rsidRPr="00731E39">
              <w:t xml:space="preserve">ransfers of assets between </w:t>
            </w:r>
            <w:r>
              <w:t>d</w:t>
            </w:r>
            <w:r w:rsidRPr="00731E39">
              <w:t xml:space="preserve">epartments must be shown as adjustments to </w:t>
            </w:r>
            <w:r>
              <w:t>c</w:t>
            </w:r>
            <w:r w:rsidRPr="00731E39">
              <w:t xml:space="preserve">ontributed </w:t>
            </w:r>
            <w:r w:rsidRPr="008037F0">
              <w:t>capital</w:t>
            </w:r>
            <w:r>
              <w:t>, unless otherwise determined by the relevant Minister</w:t>
            </w:r>
            <w:r w:rsidRPr="00731E39">
              <w:t>.</w:t>
            </w:r>
            <w:r>
              <w:rPr>
                <w:rStyle w:val="FootnoteReference"/>
              </w:rPr>
              <w:footnoteReference w:id="10"/>
            </w:r>
          </w:p>
          <w:p w:rsidR="008037F0" w:rsidRDefault="008037F0" w:rsidP="008037F0">
            <w:pPr>
              <w:pStyle w:val="Tabletextnum"/>
            </w:pPr>
            <w:r>
              <w:t>Departments must not recognise</w:t>
            </w:r>
            <w:r w:rsidRPr="00731E39">
              <w:t xml:space="preserve"> equity investments, funded from appropriation in organisations external to their </w:t>
            </w:r>
            <w:r>
              <w:t>d</w:t>
            </w:r>
            <w:r w:rsidRPr="00731E39">
              <w:t>epartmental portfolio agencies</w:t>
            </w:r>
            <w:r>
              <w:t>,</w:t>
            </w:r>
            <w:r w:rsidRPr="00731E39">
              <w:t xml:space="preserve"> such as local </w:t>
            </w:r>
            <w:r>
              <w:t>g</w:t>
            </w:r>
            <w:r w:rsidRPr="00731E39">
              <w:t>overnment, universities or denominational hospitals.</w:t>
            </w:r>
          </w:p>
        </w:tc>
      </w:tr>
    </w:tbl>
    <w:p w:rsidR="005162CD" w:rsidRDefault="005162CD" w:rsidP="005162CD">
      <w:pPr>
        <w:pStyle w:val="Heading4indent"/>
      </w:pPr>
      <w:r>
        <w:t>Guidance</w:t>
      </w:r>
    </w:p>
    <w:p w:rsidR="005162CD" w:rsidRDefault="005162CD" w:rsidP="005162CD">
      <w:pPr>
        <w:pStyle w:val="Heading5"/>
      </w:pPr>
      <w:r>
        <w:t>What is contributed capital?</w:t>
      </w:r>
    </w:p>
    <w:p w:rsidR="005162CD" w:rsidRDefault="005162CD" w:rsidP="005162CD">
      <w:pPr>
        <w:pStyle w:val="NormalIndent"/>
      </w:pPr>
      <w:r>
        <w:t xml:space="preserve">Contributed capital is the recognition and reporting of the ‘investment’ made in a portfolio agency or sector of Government, which is reflected in a </w:t>
      </w:r>
      <w:r w:rsidR="008B11FB">
        <w:t>d</w:t>
      </w:r>
      <w:r>
        <w:t>epartment’s set of accounts.</w:t>
      </w:r>
    </w:p>
    <w:p w:rsidR="005162CD" w:rsidRDefault="005162CD" w:rsidP="005162CD">
      <w:pPr>
        <w:pStyle w:val="NormalIndent"/>
      </w:pPr>
      <w:r>
        <w:t xml:space="preserve">More specifically, </w:t>
      </w:r>
      <w:r w:rsidR="002F4151">
        <w:t>c</w:t>
      </w:r>
      <w:r>
        <w:t>ontributed capital arrangements may arise from the following situations:</w:t>
      </w:r>
    </w:p>
    <w:p w:rsidR="005162CD" w:rsidRDefault="00C93AD6" w:rsidP="009C70DB">
      <w:pPr>
        <w:pStyle w:val="Listnumindent"/>
        <w:numPr>
          <w:ilvl w:val="6"/>
          <w:numId w:val="14"/>
        </w:numPr>
      </w:pPr>
      <w:r>
        <w:t>a</w:t>
      </w:r>
      <w:r w:rsidR="005162CD">
        <w:t xml:space="preserve">dministrative restructures (such as </w:t>
      </w:r>
      <w:r w:rsidR="00413A48">
        <w:t>machinery of government</w:t>
      </w:r>
      <w:r w:rsidR="005162CD">
        <w:t xml:space="preserve"> changes) pursuant to FRD 119A</w:t>
      </w:r>
      <w:r w:rsidR="00690ADE">
        <w:t xml:space="preserve"> </w:t>
      </w:r>
      <w:r w:rsidR="00690ADE" w:rsidRPr="00B61B92">
        <w:rPr>
          <w:i/>
        </w:rPr>
        <w:t xml:space="preserve">Transfers through </w:t>
      </w:r>
      <w:r w:rsidR="002F4151">
        <w:rPr>
          <w:i/>
        </w:rPr>
        <w:t>C</w:t>
      </w:r>
      <w:r w:rsidR="00690ADE" w:rsidRPr="00B61B92">
        <w:rPr>
          <w:i/>
        </w:rPr>
        <w:t xml:space="preserve">ontributed </w:t>
      </w:r>
      <w:r w:rsidR="002F4151">
        <w:rPr>
          <w:i/>
        </w:rPr>
        <w:t>C</w:t>
      </w:r>
      <w:r w:rsidR="00690ADE" w:rsidRPr="00B61B92">
        <w:rPr>
          <w:i/>
        </w:rPr>
        <w:t>apital</w:t>
      </w:r>
      <w:r w:rsidR="005162CD">
        <w:t>;</w:t>
      </w:r>
    </w:p>
    <w:p w:rsidR="005162CD" w:rsidRDefault="00C93AD6" w:rsidP="005162CD">
      <w:pPr>
        <w:pStyle w:val="Listnumindent"/>
      </w:pPr>
      <w:r>
        <w:t>o</w:t>
      </w:r>
      <w:r w:rsidR="005162CD">
        <w:t>ther arrangements pursuant to FRD 119A; and</w:t>
      </w:r>
    </w:p>
    <w:p w:rsidR="005162CD" w:rsidRDefault="00C93AD6" w:rsidP="005162CD">
      <w:pPr>
        <w:pStyle w:val="Listnumindent"/>
      </w:pPr>
      <w:r>
        <w:t>i</w:t>
      </w:r>
      <w:r w:rsidR="005162CD">
        <w:t>ncreases to the following parliamentary appropriations:</w:t>
      </w:r>
    </w:p>
    <w:p w:rsidR="005162CD" w:rsidRDefault="005162CD" w:rsidP="008037F0">
      <w:pPr>
        <w:pStyle w:val="Bulletindent"/>
        <w:tabs>
          <w:tab w:val="clear" w:pos="1152"/>
          <w:tab w:val="num" w:pos="1656"/>
        </w:tabs>
        <w:spacing w:line="252" w:lineRule="auto"/>
        <w:ind w:left="1656"/>
      </w:pPr>
      <w:r>
        <w:t>Annual Appropriation Increase in ATNAB (account 50010);</w:t>
      </w:r>
    </w:p>
    <w:p w:rsidR="005162CD" w:rsidRDefault="005162CD" w:rsidP="008037F0">
      <w:pPr>
        <w:pStyle w:val="Bulletindent"/>
        <w:spacing w:line="252" w:lineRule="auto"/>
        <w:ind w:left="1656"/>
      </w:pPr>
      <w:r>
        <w:t>Annual Appropr</w:t>
      </w:r>
      <w:r w:rsidR="00EF430B">
        <w:t>iation Increase in ATNAB under s</w:t>
      </w:r>
      <w:r>
        <w:t>ection 32 of the FMA (account 50015);</w:t>
      </w:r>
    </w:p>
    <w:p w:rsidR="005162CD" w:rsidRDefault="005162CD" w:rsidP="008037F0">
      <w:pPr>
        <w:pStyle w:val="Bulletindent"/>
        <w:spacing w:line="252" w:lineRule="auto"/>
        <w:ind w:left="1656"/>
      </w:pPr>
      <w:r>
        <w:t>Annual Appropr</w:t>
      </w:r>
      <w:r w:rsidR="00EF430B">
        <w:t>iation Increase in ATNAB under s</w:t>
      </w:r>
      <w:r>
        <w:t>ection 29 of the FMA (account 50020); and</w:t>
      </w:r>
    </w:p>
    <w:p w:rsidR="005162CD" w:rsidRDefault="005162CD" w:rsidP="008037F0">
      <w:pPr>
        <w:pStyle w:val="Bulletindent"/>
        <w:spacing w:line="252" w:lineRule="auto"/>
        <w:ind w:left="1656"/>
      </w:pPr>
      <w:r>
        <w:t>Special Appropriation – ATNAB</w:t>
      </w:r>
      <w:r w:rsidR="00413A48">
        <w:t xml:space="preserve"> </w:t>
      </w:r>
      <w:r>
        <w:t>(account 50030).</w:t>
      </w:r>
    </w:p>
    <w:p w:rsidR="005162CD" w:rsidRDefault="005162CD" w:rsidP="005162CD">
      <w:pPr>
        <w:pStyle w:val="NormalIndent"/>
      </w:pPr>
      <w:r>
        <w:t>Paragraphs 48 to 5</w:t>
      </w:r>
      <w:r w:rsidR="002F4151">
        <w:t>9</w:t>
      </w:r>
      <w:r>
        <w:t xml:space="preserve"> of the Accounting Standard </w:t>
      </w:r>
      <w:r w:rsidR="003562F9">
        <w:t>AASB </w:t>
      </w:r>
      <w:r>
        <w:t>1004</w:t>
      </w:r>
      <w:r w:rsidR="0025621E">
        <w:t xml:space="preserve"> </w:t>
      </w:r>
      <w:r w:rsidR="0025621E">
        <w:rPr>
          <w:i/>
        </w:rPr>
        <w:t>Contributions</w:t>
      </w:r>
      <w:r>
        <w:t xml:space="preserve"> provides specific guidance on when it is appropriate to recogn</w:t>
      </w:r>
      <w:r w:rsidR="00727C2A">
        <w:t>ise contributions by owners by g</w:t>
      </w:r>
      <w:r>
        <w:t xml:space="preserve">overnment </w:t>
      </w:r>
      <w:r w:rsidR="008B11FB">
        <w:t>d</w:t>
      </w:r>
      <w:r>
        <w:t>epartments.</w:t>
      </w:r>
    </w:p>
    <w:p w:rsidR="005162CD" w:rsidRDefault="005162CD" w:rsidP="005162CD">
      <w:pPr>
        <w:pStyle w:val="Heading5"/>
      </w:pPr>
      <w:r>
        <w:t>When is contributed capital recognised?</w:t>
      </w:r>
    </w:p>
    <w:p w:rsidR="005162CD" w:rsidRDefault="005162CD" w:rsidP="005162CD">
      <w:pPr>
        <w:pStyle w:val="NormalIndent"/>
      </w:pPr>
      <w:r>
        <w:t xml:space="preserve">Primarily, when funding for assets or working capital is provided to an agency in a </w:t>
      </w:r>
      <w:r w:rsidR="008B11FB">
        <w:t>d</w:t>
      </w:r>
      <w:r>
        <w:t xml:space="preserve">epartment’s portfolio, funds are initially appropriated to the </w:t>
      </w:r>
      <w:r w:rsidR="008B11FB">
        <w:t>d</w:t>
      </w:r>
      <w:r>
        <w:t xml:space="preserve">epartment in the form of ATNAB appropriation, which the </w:t>
      </w:r>
      <w:r w:rsidR="008B11FB">
        <w:t>d</w:t>
      </w:r>
      <w:r>
        <w:t>epartment recognises in its controlled entity.</w:t>
      </w:r>
      <w:r w:rsidR="00413A48">
        <w:t xml:space="preserve"> </w:t>
      </w:r>
    </w:p>
    <w:p w:rsidR="005162CD" w:rsidRDefault="005162CD" w:rsidP="005162CD">
      <w:pPr>
        <w:pStyle w:val="NormalIndent"/>
      </w:pPr>
      <w:r>
        <w:t xml:space="preserve">A journal entry is then created which transfers the funding through to its administered entity, and an equity investment in the agency is recognised in the administered balance sheet. The agency itself also will record an ‘equity injection’ (recognising the </w:t>
      </w:r>
      <w:r w:rsidR="00816903">
        <w:t>c</w:t>
      </w:r>
      <w:r>
        <w:t>ontributed capital) from the</w:t>
      </w:r>
      <w:r w:rsidR="008B11FB">
        <w:t xml:space="preserve"> d</w:t>
      </w:r>
      <w:r>
        <w:t>epartment.</w:t>
      </w:r>
    </w:p>
    <w:p w:rsidR="00A85967" w:rsidRDefault="00A85967">
      <w:pPr>
        <w:spacing w:before="0" w:after="200"/>
      </w:pPr>
      <w:r>
        <w:br w:type="page"/>
      </w:r>
    </w:p>
    <w:p w:rsidR="005162CD" w:rsidRDefault="005162CD" w:rsidP="005162CD">
      <w:pPr>
        <w:pStyle w:val="NormalIndent"/>
      </w:pPr>
      <w:r>
        <w:t>Non</w:t>
      </w:r>
      <w:r w:rsidR="00FE5D7B">
        <w:t>-</w:t>
      </w:r>
      <w:r>
        <w:t xml:space="preserve">financial assets may also be transferred between the </w:t>
      </w:r>
      <w:r w:rsidR="008B11FB">
        <w:t>d</w:t>
      </w:r>
      <w:r>
        <w:t xml:space="preserve">epartment and its agencies as adjustments to </w:t>
      </w:r>
      <w:r w:rsidR="00690ADE">
        <w:t>c</w:t>
      </w:r>
      <w:r>
        <w:t xml:space="preserve">ontributed capital. These transfers are also reflected as an increase or decrease in the equity investment in the </w:t>
      </w:r>
      <w:r w:rsidR="008B11FB">
        <w:t>d</w:t>
      </w:r>
      <w:r>
        <w:t>epartment’s administered entity.</w:t>
      </w:r>
    </w:p>
    <w:p w:rsidR="005162CD" w:rsidRDefault="005162CD" w:rsidP="005162CD">
      <w:pPr>
        <w:pStyle w:val="NormalIndent"/>
      </w:pPr>
      <w:r>
        <w:t xml:space="preserve">In DTF, the central SAU carries an investment </w:t>
      </w:r>
      <w:r w:rsidR="00DB6F4C">
        <w:t xml:space="preserve">that </w:t>
      </w:r>
      <w:r>
        <w:t xml:space="preserve">reflects the aggregation of </w:t>
      </w:r>
      <w:r w:rsidR="008B11FB">
        <w:t>d</w:t>
      </w:r>
      <w:r>
        <w:t xml:space="preserve">epartmental </w:t>
      </w:r>
      <w:r w:rsidR="00816903">
        <w:t>c</w:t>
      </w:r>
      <w:r>
        <w:t>ontributed capital balances for both controlled and administered entities.</w:t>
      </w:r>
    </w:p>
    <w:p w:rsidR="005162CD" w:rsidRDefault="005162CD" w:rsidP="005162CD">
      <w:pPr>
        <w:pStyle w:val="Heading5"/>
      </w:pPr>
      <w:r>
        <w:t>Accounts used in the recognition and treatment of contributed capital</w:t>
      </w:r>
    </w:p>
    <w:p w:rsidR="005162CD" w:rsidRDefault="005162CD" w:rsidP="005162CD">
      <w:pPr>
        <w:pStyle w:val="Heading4"/>
        <w:ind w:left="792"/>
      </w:pPr>
      <w:r>
        <w:t>1. Contributed capital recognition:</w:t>
      </w:r>
    </w:p>
    <w:p w:rsidR="005162CD" w:rsidRDefault="005162CD" w:rsidP="005162CD">
      <w:pPr>
        <w:pStyle w:val="NormalIndent"/>
      </w:pPr>
      <w:r>
        <w:t xml:space="preserve">Transfers of contributed capital between </w:t>
      </w:r>
      <w:r w:rsidR="008B11FB">
        <w:t>d</w:t>
      </w:r>
      <w:r>
        <w:t>epartments and their portfolio agencies are facilitated by the following accounts:</w:t>
      </w:r>
    </w:p>
    <w:p w:rsidR="005162CD" w:rsidRDefault="005162CD" w:rsidP="009C70DB">
      <w:pPr>
        <w:pStyle w:val="Listnumindent"/>
        <w:numPr>
          <w:ilvl w:val="6"/>
          <w:numId w:val="15"/>
        </w:numPr>
      </w:pPr>
      <w:r>
        <w:t xml:space="preserve">Equity </w:t>
      </w:r>
      <w:r w:rsidR="00DB6F4C">
        <w:t>t</w:t>
      </w:r>
      <w:r>
        <w:t xml:space="preserve">ransfers from other </w:t>
      </w:r>
      <w:r w:rsidR="00DB6F4C">
        <w:t>g</w:t>
      </w:r>
      <w:r>
        <w:t>overnment entities (Fixed Assets) – account 50110;</w:t>
      </w:r>
    </w:p>
    <w:p w:rsidR="005162CD" w:rsidRDefault="005162CD" w:rsidP="005162CD">
      <w:pPr>
        <w:pStyle w:val="Listnumindent"/>
      </w:pPr>
      <w:r>
        <w:t xml:space="preserve">Equity </w:t>
      </w:r>
      <w:r w:rsidR="00DB6F4C">
        <w:t>t</w:t>
      </w:r>
      <w:r>
        <w:t xml:space="preserve">ransfers from other </w:t>
      </w:r>
      <w:r w:rsidR="00DB6F4C">
        <w:t>g</w:t>
      </w:r>
      <w:r>
        <w:t xml:space="preserve">overnment entities (Other Net Assets) – account 50115; </w:t>
      </w:r>
    </w:p>
    <w:p w:rsidR="005162CD" w:rsidRDefault="005162CD" w:rsidP="005162CD">
      <w:pPr>
        <w:pStyle w:val="Listnumindent"/>
      </w:pPr>
      <w:r>
        <w:t xml:space="preserve">Equity </w:t>
      </w:r>
      <w:r w:rsidR="00DB6F4C">
        <w:t>t</w:t>
      </w:r>
      <w:r>
        <w:t xml:space="preserve">ransfers to other </w:t>
      </w:r>
      <w:r w:rsidR="00DB6F4C">
        <w:t>g</w:t>
      </w:r>
      <w:r>
        <w:t xml:space="preserve">overnment entities (Fixed Assets) – account 50120; </w:t>
      </w:r>
    </w:p>
    <w:p w:rsidR="005162CD" w:rsidRDefault="005162CD" w:rsidP="005162CD">
      <w:pPr>
        <w:pStyle w:val="Listnumindent"/>
      </w:pPr>
      <w:r>
        <w:t xml:space="preserve">Equity </w:t>
      </w:r>
      <w:r w:rsidR="00DB6F4C">
        <w:t>t</w:t>
      </w:r>
      <w:r>
        <w:t xml:space="preserve">ransfers to other </w:t>
      </w:r>
      <w:r w:rsidR="00DB6F4C">
        <w:t>g</w:t>
      </w:r>
      <w:r>
        <w:t xml:space="preserve">overnment entities (Other Net Assets) – account 50125; and </w:t>
      </w:r>
    </w:p>
    <w:p w:rsidR="005162CD" w:rsidRDefault="005162CD" w:rsidP="005162CD">
      <w:pPr>
        <w:pStyle w:val="Listnumindent"/>
      </w:pPr>
      <w:r>
        <w:t xml:space="preserve">Equity </w:t>
      </w:r>
      <w:r w:rsidR="00DB6F4C">
        <w:t>t</w:t>
      </w:r>
      <w:r>
        <w:t>ransfers to Central SAU – account 50127.</w:t>
      </w:r>
    </w:p>
    <w:p w:rsidR="005162CD" w:rsidRDefault="005162CD" w:rsidP="005162CD">
      <w:pPr>
        <w:pStyle w:val="Heading4"/>
        <w:ind w:left="792"/>
      </w:pPr>
      <w:r>
        <w:t>2. Equity investments arising from equity transfers</w:t>
      </w:r>
    </w:p>
    <w:p w:rsidR="005162CD" w:rsidRDefault="005162CD" w:rsidP="005162CD">
      <w:pPr>
        <w:pStyle w:val="NormalIndent"/>
      </w:pPr>
      <w:r>
        <w:t xml:space="preserve">Equity investments in </w:t>
      </w:r>
      <w:r w:rsidR="008B11FB">
        <w:t>d</w:t>
      </w:r>
      <w:r>
        <w:t xml:space="preserve">epartmental controlled entities arising from equity transfers are recognised in the </w:t>
      </w:r>
      <w:r w:rsidR="008B11FB">
        <w:t>d</w:t>
      </w:r>
      <w:r>
        <w:t>epartment’s administered entity reflecting the sector of government in which the investment lies, utilising the following accounts:</w:t>
      </w:r>
    </w:p>
    <w:p w:rsidR="005162CD" w:rsidRDefault="005162CD" w:rsidP="009C70DB">
      <w:pPr>
        <w:pStyle w:val="Listnumindent"/>
        <w:numPr>
          <w:ilvl w:val="6"/>
          <w:numId w:val="16"/>
        </w:numPr>
      </w:pPr>
      <w:r>
        <w:t xml:space="preserve">Equity </w:t>
      </w:r>
      <w:r w:rsidR="00DB6F4C">
        <w:t>i</w:t>
      </w:r>
      <w:r>
        <w:t xml:space="preserve">nvestment in </w:t>
      </w:r>
      <w:r w:rsidR="00DB6F4C">
        <w:t>g</w:t>
      </w:r>
      <w:r>
        <w:t xml:space="preserve">eneral </w:t>
      </w:r>
      <w:r w:rsidR="00DB6F4C">
        <w:t>g</w:t>
      </w:r>
      <w:r>
        <w:t xml:space="preserve">overnment (GG) </w:t>
      </w:r>
      <w:r w:rsidR="00DB6F4C">
        <w:t>c</w:t>
      </w:r>
      <w:r>
        <w:t xml:space="preserve">ontrolled </w:t>
      </w:r>
      <w:r w:rsidR="00DB6F4C">
        <w:t>e</w:t>
      </w:r>
      <w:r>
        <w:t>ntities – account 21205;</w:t>
      </w:r>
    </w:p>
    <w:p w:rsidR="005162CD" w:rsidRDefault="005162CD" w:rsidP="005162CD">
      <w:pPr>
        <w:pStyle w:val="Listnumindent"/>
      </w:pPr>
      <w:r>
        <w:t xml:space="preserve">Equity </w:t>
      </w:r>
      <w:r w:rsidR="00DB6F4C">
        <w:t>i</w:t>
      </w:r>
      <w:r>
        <w:t xml:space="preserve">nvestment in </w:t>
      </w:r>
      <w:r w:rsidR="00DB6F4C">
        <w:t>g</w:t>
      </w:r>
      <w:r>
        <w:t xml:space="preserve">eneral </w:t>
      </w:r>
      <w:r w:rsidR="00DB6F4C">
        <w:t>g</w:t>
      </w:r>
      <w:r>
        <w:t xml:space="preserve">overnment (GG) </w:t>
      </w:r>
      <w:r w:rsidR="00DB6F4C">
        <w:t>c</w:t>
      </w:r>
      <w:r>
        <w:t xml:space="preserve">ontrolled </w:t>
      </w:r>
      <w:r w:rsidR="00DB6F4C">
        <w:t>e</w:t>
      </w:r>
      <w:r>
        <w:t xml:space="preserve">ntities (Fixed Asset Transfers) – account 21207; </w:t>
      </w:r>
    </w:p>
    <w:p w:rsidR="005162CD" w:rsidRDefault="005162CD" w:rsidP="005162CD">
      <w:pPr>
        <w:pStyle w:val="Listnumindent"/>
      </w:pPr>
      <w:r>
        <w:t xml:space="preserve">Equity </w:t>
      </w:r>
      <w:r w:rsidR="00DB6F4C">
        <w:t>i</w:t>
      </w:r>
      <w:r>
        <w:t xml:space="preserve">nvestment in </w:t>
      </w:r>
      <w:r w:rsidR="00DB6F4C">
        <w:t>p</w:t>
      </w:r>
      <w:r>
        <w:t xml:space="preserve">ublic </w:t>
      </w:r>
      <w:r w:rsidR="00DB6F4C">
        <w:t>n</w:t>
      </w:r>
      <w:r>
        <w:t>on-</w:t>
      </w:r>
      <w:r w:rsidR="00DB6F4C">
        <w:t>f</w:t>
      </w:r>
      <w:r>
        <w:t xml:space="preserve">inancial </w:t>
      </w:r>
      <w:r w:rsidR="00DB6F4C">
        <w:t>c</w:t>
      </w:r>
      <w:r>
        <w:t xml:space="preserve">orporations </w:t>
      </w:r>
      <w:r w:rsidR="00DB6F4C">
        <w:t xml:space="preserve">(PNFC) </w:t>
      </w:r>
      <w:r>
        <w:t>– account 21400;</w:t>
      </w:r>
    </w:p>
    <w:p w:rsidR="005162CD" w:rsidRDefault="005162CD" w:rsidP="005162CD">
      <w:pPr>
        <w:pStyle w:val="Listnumindent"/>
      </w:pPr>
      <w:r>
        <w:t xml:space="preserve">Equity </w:t>
      </w:r>
      <w:r w:rsidR="00DB6F4C">
        <w:t>i</w:t>
      </w:r>
      <w:r>
        <w:t xml:space="preserve">nvestment in </w:t>
      </w:r>
      <w:r w:rsidR="00DB6F4C">
        <w:t>p</w:t>
      </w:r>
      <w:r>
        <w:t xml:space="preserve">ublic </w:t>
      </w:r>
      <w:r w:rsidR="00DB6F4C">
        <w:t>n</w:t>
      </w:r>
      <w:r>
        <w:t>on-</w:t>
      </w:r>
      <w:r w:rsidR="00DB6F4C">
        <w:t>f</w:t>
      </w:r>
      <w:r>
        <w:t xml:space="preserve">inancial </w:t>
      </w:r>
      <w:r w:rsidR="00DB6F4C">
        <w:t>c</w:t>
      </w:r>
      <w:r>
        <w:t xml:space="preserve">orporations </w:t>
      </w:r>
      <w:r w:rsidR="00DB6F4C">
        <w:t xml:space="preserve">(PNFC) </w:t>
      </w:r>
      <w:r>
        <w:t>(Fixed Asset Transfers) – account 21410;</w:t>
      </w:r>
    </w:p>
    <w:p w:rsidR="005162CD" w:rsidRDefault="005162CD" w:rsidP="005162CD">
      <w:pPr>
        <w:pStyle w:val="Listnumindent"/>
      </w:pPr>
      <w:r>
        <w:t xml:space="preserve">Equity </w:t>
      </w:r>
      <w:r w:rsidR="00DB6F4C">
        <w:t>i</w:t>
      </w:r>
      <w:r>
        <w:t xml:space="preserve">nvestment in </w:t>
      </w:r>
      <w:r w:rsidR="00DB6F4C">
        <w:t>p</w:t>
      </w:r>
      <w:r>
        <w:t xml:space="preserve">ublic </w:t>
      </w:r>
      <w:r w:rsidR="00DB6F4C">
        <w:t>f</w:t>
      </w:r>
      <w:r>
        <w:t xml:space="preserve">inancial </w:t>
      </w:r>
      <w:r w:rsidR="00DB6F4C">
        <w:t>c</w:t>
      </w:r>
      <w:r>
        <w:t>orporations</w:t>
      </w:r>
      <w:r w:rsidR="00413A48">
        <w:t xml:space="preserve"> </w:t>
      </w:r>
      <w:r w:rsidR="00DB6F4C">
        <w:t xml:space="preserve">(PFC) </w:t>
      </w:r>
      <w:r>
        <w:t>– account 21450; and</w:t>
      </w:r>
    </w:p>
    <w:p w:rsidR="005457A4" w:rsidRDefault="005162CD" w:rsidP="005162CD">
      <w:pPr>
        <w:pStyle w:val="Listnumindent"/>
      </w:pPr>
      <w:r>
        <w:t xml:space="preserve">Equity Investment in </w:t>
      </w:r>
      <w:r w:rsidR="00DB6F4C">
        <w:t>p</w:t>
      </w:r>
      <w:r>
        <w:t xml:space="preserve">ublic </w:t>
      </w:r>
      <w:r w:rsidR="00DB6F4C">
        <w:t>f</w:t>
      </w:r>
      <w:r>
        <w:t xml:space="preserve">inancial </w:t>
      </w:r>
      <w:r w:rsidR="00DB6F4C">
        <w:t>c</w:t>
      </w:r>
      <w:r>
        <w:t xml:space="preserve">orporations </w:t>
      </w:r>
      <w:r w:rsidR="00DB6F4C">
        <w:t xml:space="preserve">(PFC) </w:t>
      </w:r>
      <w:r>
        <w:t>(Fixed Asset Transfers) – account 21460.</w:t>
      </w:r>
    </w:p>
    <w:p w:rsidR="00DB6F4C" w:rsidRDefault="00DB6F4C">
      <w:pPr>
        <w:spacing w:before="0" w:after="200"/>
        <w:rPr>
          <w:rFonts w:asciiTheme="majorHAnsi" w:eastAsiaTheme="majorEastAsia" w:hAnsiTheme="majorHAnsi" w:cstheme="majorBidi"/>
          <w:b/>
          <w:bCs/>
          <w:iCs/>
          <w:color w:val="53565A"/>
          <w:sz w:val="21"/>
        </w:rPr>
      </w:pPr>
      <w:r>
        <w:br w:type="page"/>
      </w:r>
    </w:p>
    <w:p w:rsidR="005162CD" w:rsidRDefault="005162CD" w:rsidP="005162CD">
      <w:pPr>
        <w:pStyle w:val="Heading4indent"/>
      </w:pPr>
      <w:r>
        <w:t xml:space="preserve">Outline of contributed capital </w:t>
      </w:r>
      <w:r w:rsidR="001602DF">
        <w:t>r</w:t>
      </w:r>
      <w:r>
        <w:t>econciliation process</w:t>
      </w:r>
    </w:p>
    <w:p w:rsidR="005162CD" w:rsidRDefault="005162CD" w:rsidP="005162CD">
      <w:pPr>
        <w:pStyle w:val="Heading5"/>
      </w:pPr>
      <w:r>
        <w:t>Departmental</w:t>
      </w:r>
    </w:p>
    <w:p w:rsidR="005457A4" w:rsidRDefault="005162CD" w:rsidP="005162CD">
      <w:pPr>
        <w:pStyle w:val="NormalIndent"/>
      </w:pPr>
      <w:r>
        <w:t>The contributed capital/equity investment outflows to agencies must reconcile as per below:</w:t>
      </w:r>
    </w:p>
    <w:tbl>
      <w:tblPr>
        <w:tblW w:w="7999"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599"/>
        <w:gridCol w:w="1600"/>
        <w:gridCol w:w="1600"/>
        <w:gridCol w:w="1600"/>
        <w:gridCol w:w="1600"/>
      </w:tblGrid>
      <w:tr w:rsidR="005162CD" w:rsidRPr="00731E39" w:rsidTr="005162CD">
        <w:trPr>
          <w:trHeight w:val="1838"/>
        </w:trPr>
        <w:tc>
          <w:tcPr>
            <w:tcW w:w="1599" w:type="dxa"/>
            <w:vAlign w:val="center"/>
          </w:tcPr>
          <w:p w:rsidR="005162CD" w:rsidRPr="00731E39" w:rsidRDefault="005162CD" w:rsidP="005162CD">
            <w:pPr>
              <w:pStyle w:val="Tabletext"/>
              <w:jc w:val="center"/>
            </w:pPr>
            <w:r w:rsidRPr="00731E39">
              <w:t>Department</w:t>
            </w:r>
            <w:r>
              <w:t>’</w:t>
            </w:r>
            <w:r w:rsidRPr="00731E39">
              <w:t xml:space="preserve">s </w:t>
            </w:r>
            <w:r w:rsidR="00285213">
              <w:t>c</w:t>
            </w:r>
            <w:r w:rsidRPr="00731E39">
              <w:t xml:space="preserve">ontrolled </w:t>
            </w:r>
            <w:r>
              <w:t>contributed capital</w:t>
            </w:r>
            <w:r w:rsidRPr="00731E39">
              <w:t xml:space="preserve"> </w:t>
            </w:r>
            <w:r w:rsidR="00285213">
              <w:t>t</w:t>
            </w:r>
            <w:r w:rsidRPr="00731E39">
              <w:t>ransferred to/from Agencies</w:t>
            </w:r>
          </w:p>
        </w:tc>
        <w:tc>
          <w:tcPr>
            <w:tcW w:w="1600" w:type="dxa"/>
            <w:vAlign w:val="center"/>
          </w:tcPr>
          <w:p w:rsidR="005162CD" w:rsidRPr="005162CD" w:rsidRDefault="005162CD" w:rsidP="005162CD">
            <w:pPr>
              <w:pStyle w:val="Tabletext"/>
              <w:jc w:val="center"/>
              <w:rPr>
                <w:b/>
                <w:sz w:val="24"/>
                <w:szCs w:val="24"/>
              </w:rPr>
            </w:pPr>
            <w:r w:rsidRPr="005162CD">
              <w:rPr>
                <w:b/>
                <w:sz w:val="24"/>
                <w:szCs w:val="24"/>
              </w:rPr>
              <w:t>Must agree</w:t>
            </w:r>
          </w:p>
          <w:p w:rsidR="005162CD" w:rsidRPr="00731E39" w:rsidRDefault="005162CD" w:rsidP="005162CD">
            <w:pPr>
              <w:pStyle w:val="Tabletext"/>
              <w:jc w:val="center"/>
            </w:pPr>
            <w:r w:rsidRPr="005162CD">
              <w:rPr>
                <w:noProof/>
              </w:rPr>
              <mc:AlternateContent>
                <mc:Choice Requires="wps">
                  <w:drawing>
                    <wp:inline distT="0" distB="0" distL="0" distR="0" wp14:anchorId="5983C9E4" wp14:editId="2FE502C6">
                      <wp:extent cx="713232" cy="0"/>
                      <wp:effectExtent l="0" t="133350" r="0" b="133350"/>
                      <wp:docPr id="19715" name="Straight Arrow Connector 13"/>
                      <wp:cNvGraphicFramePr/>
                      <a:graphic xmlns:a="http://schemas.openxmlformats.org/drawingml/2006/main">
                        <a:graphicData uri="http://schemas.microsoft.com/office/word/2010/wordprocessingShape">
                          <wps:wsp>
                            <wps:cNvCnPr/>
                            <wps:spPr>
                              <a:xfrm>
                                <a:off x="0" y="0"/>
                                <a:ext cx="713232" cy="0"/>
                              </a:xfrm>
                              <a:prstGeom prst="straightConnector1">
                                <a:avLst/>
                              </a:prstGeom>
                              <a:ln w="28575">
                                <a:headEnd type="stealth"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4EC0C0FB" id="_x0000_t32" coordsize="21600,21600" o:spt="32" o:oned="t" path="m,l21600,21600e" filled="f">
                      <v:path arrowok="t" fillok="f" o:connecttype="none"/>
                      <o:lock v:ext="edit" shapetype="t"/>
                    </v:shapetype>
                    <v:shape id="Straight Arrow Connector 13" o:spid="_x0000_s1026" type="#_x0000_t32" style="width:56.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" strokecolor="#005d9d [3044]" strokeweight="2.25pt">
                      <v:stroke startarrow="classic" startarrowwidth="wide" startarrowlength="long" endarrow="classic" endarrowwidth="wide" endarrowlength="long"/>
                      <w10:anchorlock/>
                    </v:shape>
                  </w:pict>
                </mc:Fallback>
              </mc:AlternateContent>
            </w:r>
          </w:p>
        </w:tc>
        <w:tc>
          <w:tcPr>
            <w:tcW w:w="1600" w:type="dxa"/>
            <w:vAlign w:val="center"/>
          </w:tcPr>
          <w:p w:rsidR="005162CD" w:rsidRPr="00731E39" w:rsidRDefault="005162CD" w:rsidP="005162CD">
            <w:pPr>
              <w:pStyle w:val="Tabletext"/>
              <w:jc w:val="center"/>
            </w:pPr>
            <w:r w:rsidRPr="00731E39">
              <w:t xml:space="preserve">Departments </w:t>
            </w:r>
            <w:r w:rsidR="00285213">
              <w:t>a</w:t>
            </w:r>
            <w:r w:rsidRPr="00731E39">
              <w:t xml:space="preserve">dministered </w:t>
            </w:r>
            <w:r w:rsidR="00285213">
              <w:t>e</w:t>
            </w:r>
            <w:r w:rsidRPr="00731E39">
              <w:t xml:space="preserve">quity </w:t>
            </w:r>
            <w:r w:rsidR="00285213">
              <w:t>i</w:t>
            </w:r>
            <w:r w:rsidRPr="00731E39">
              <w:t>nvestment in the Agency</w:t>
            </w:r>
          </w:p>
        </w:tc>
        <w:tc>
          <w:tcPr>
            <w:tcW w:w="1600" w:type="dxa"/>
            <w:vAlign w:val="center"/>
          </w:tcPr>
          <w:p w:rsidR="005162CD" w:rsidRPr="005162CD" w:rsidRDefault="005162CD" w:rsidP="00004E80">
            <w:pPr>
              <w:pStyle w:val="Tabletext"/>
              <w:jc w:val="center"/>
              <w:rPr>
                <w:b/>
                <w:sz w:val="24"/>
                <w:szCs w:val="24"/>
              </w:rPr>
            </w:pPr>
            <w:r w:rsidRPr="005162CD">
              <w:rPr>
                <w:b/>
                <w:sz w:val="24"/>
                <w:szCs w:val="24"/>
              </w:rPr>
              <w:t>Must agree</w:t>
            </w:r>
          </w:p>
          <w:p w:rsidR="005162CD" w:rsidRPr="00731E39" w:rsidRDefault="005162CD" w:rsidP="00004E80">
            <w:pPr>
              <w:pStyle w:val="Tabletext"/>
              <w:jc w:val="center"/>
            </w:pPr>
            <w:r w:rsidRPr="005162CD">
              <w:rPr>
                <w:noProof/>
              </w:rPr>
              <mc:AlternateContent>
                <mc:Choice Requires="wps">
                  <w:drawing>
                    <wp:inline distT="0" distB="0" distL="0" distR="0" wp14:anchorId="7FA842B0" wp14:editId="75135531">
                      <wp:extent cx="713232" cy="0"/>
                      <wp:effectExtent l="0" t="133350" r="0" b="133350"/>
                      <wp:docPr id="19716" name="Straight Arrow Connector 13"/>
                      <wp:cNvGraphicFramePr/>
                      <a:graphic xmlns:a="http://schemas.openxmlformats.org/drawingml/2006/main">
                        <a:graphicData uri="http://schemas.microsoft.com/office/word/2010/wordprocessingShape">
                          <wps:wsp>
                            <wps:cNvCnPr/>
                            <wps:spPr>
                              <a:xfrm>
                                <a:off x="0" y="0"/>
                                <a:ext cx="713232" cy="0"/>
                              </a:xfrm>
                              <a:prstGeom prst="straightConnector1">
                                <a:avLst/>
                              </a:prstGeom>
                              <a:ln w="28575">
                                <a:headEnd type="stealth"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6E27BDA9" id="Straight Arrow Connector 13" o:spid="_x0000_s1026" type="#_x0000_t32" style="width:56.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" strokecolor="#005d9d [3044]" strokeweight="2.25pt">
                      <v:stroke startarrow="classic" startarrowwidth="wide" startarrowlength="long" endarrow="classic" endarrowwidth="wide" endarrowlength="long"/>
                      <w10:anchorlock/>
                    </v:shape>
                  </w:pict>
                </mc:Fallback>
              </mc:AlternateContent>
            </w:r>
          </w:p>
        </w:tc>
        <w:tc>
          <w:tcPr>
            <w:tcW w:w="1600" w:type="dxa"/>
            <w:vAlign w:val="center"/>
          </w:tcPr>
          <w:p w:rsidR="005162CD" w:rsidRPr="00731E39" w:rsidRDefault="005162CD" w:rsidP="005162CD">
            <w:pPr>
              <w:pStyle w:val="Tabletext"/>
              <w:jc w:val="center"/>
            </w:pPr>
            <w:r w:rsidRPr="00731E39">
              <w:t>Agency</w:t>
            </w:r>
            <w:r>
              <w:t>’</w:t>
            </w:r>
            <w:r w:rsidRPr="00731E39">
              <w:t xml:space="preserve">s </w:t>
            </w:r>
            <w:r w:rsidR="00924B0F">
              <w:t>contributed capital received/</w:t>
            </w:r>
            <w:r>
              <w:t>returned</w:t>
            </w:r>
          </w:p>
        </w:tc>
      </w:tr>
    </w:tbl>
    <w:p w:rsidR="005162CD" w:rsidRDefault="005162CD" w:rsidP="005162CD">
      <w:pPr>
        <w:pStyle w:val="Spacer"/>
      </w:pPr>
    </w:p>
    <w:p w:rsidR="005162CD" w:rsidRDefault="005162CD" w:rsidP="005162CD">
      <w:pPr>
        <w:pStyle w:val="Heading5"/>
      </w:pPr>
      <w:r>
        <w:t>Transaction flows</w:t>
      </w:r>
    </w:p>
    <w:p w:rsidR="005162CD" w:rsidRDefault="005162CD" w:rsidP="005162CD">
      <w:pPr>
        <w:pStyle w:val="NormalIndent"/>
      </w:pPr>
      <w:r>
        <w:t>The contributed capital transactions flow through the following statements:</w:t>
      </w:r>
    </w:p>
    <w:p w:rsidR="005162CD" w:rsidRDefault="00573FF9" w:rsidP="009C70DB">
      <w:pPr>
        <w:pStyle w:val="Listnumindent"/>
        <w:numPr>
          <w:ilvl w:val="6"/>
          <w:numId w:val="17"/>
        </w:numPr>
      </w:pPr>
      <w:r>
        <w:t>d</w:t>
      </w:r>
      <w:r w:rsidR="005162CD">
        <w:t>epartmental administered items note (note this part is not reported);</w:t>
      </w:r>
    </w:p>
    <w:p w:rsidR="005162CD" w:rsidRDefault="005162CD" w:rsidP="005162CD">
      <w:pPr>
        <w:pStyle w:val="Listnumindent"/>
      </w:pPr>
      <w:r>
        <w:t xml:space="preserve">Administered Items – on </w:t>
      </w:r>
      <w:r w:rsidR="00DB6F4C">
        <w:t>b</w:t>
      </w:r>
      <w:r>
        <w:t xml:space="preserve">ehalf of the State (DTF Annual Report). DTF reports the State’s investment in all its controlled entities, as an </w:t>
      </w:r>
      <w:r w:rsidR="00DB6F4C">
        <w:t>a</w:t>
      </w:r>
      <w:r>
        <w:t>dministered asset;</w:t>
      </w:r>
    </w:p>
    <w:p w:rsidR="005162CD" w:rsidRDefault="00573FF9" w:rsidP="005162CD">
      <w:pPr>
        <w:pStyle w:val="Listnumindent"/>
      </w:pPr>
      <w:r>
        <w:t>g</w:t>
      </w:r>
      <w:r w:rsidR="005162CD">
        <w:t xml:space="preserve">eneral </w:t>
      </w:r>
      <w:r w:rsidR="00DB6F4C">
        <w:t>g</w:t>
      </w:r>
      <w:r w:rsidR="005162CD">
        <w:t xml:space="preserve">overnment </w:t>
      </w:r>
      <w:r w:rsidR="00DB6F4C">
        <w:t>c</w:t>
      </w:r>
      <w:r w:rsidR="005162CD">
        <w:t xml:space="preserve">ash </w:t>
      </w:r>
      <w:r w:rsidR="00DB6F4C">
        <w:t>f</w:t>
      </w:r>
      <w:r w:rsidR="005162CD">
        <w:t xml:space="preserve">low </w:t>
      </w:r>
      <w:r w:rsidR="00DB6F4C">
        <w:t>s</w:t>
      </w:r>
      <w:r w:rsidR="005162CD">
        <w:t xml:space="preserve">tatement shown as a net contribution to other </w:t>
      </w:r>
      <w:r w:rsidR="00DB6F4C">
        <w:t>s</w:t>
      </w:r>
      <w:r w:rsidR="005162CD">
        <w:t xml:space="preserve">ectors of Government </w:t>
      </w:r>
      <w:r w:rsidR="00DB6F4C">
        <w:t>b</w:t>
      </w:r>
      <w:r w:rsidR="005162CD">
        <w:t xml:space="preserve">alance </w:t>
      </w:r>
      <w:r w:rsidR="00DB6F4C">
        <w:t>s</w:t>
      </w:r>
      <w:r w:rsidR="005162CD">
        <w:t>heet; and</w:t>
      </w:r>
    </w:p>
    <w:p w:rsidR="005162CD" w:rsidRDefault="005162CD" w:rsidP="005162CD">
      <w:pPr>
        <w:pStyle w:val="Listnumindent"/>
      </w:pPr>
      <w:r>
        <w:t>Annual Financial Report (</w:t>
      </w:r>
      <w:r w:rsidR="00B83528">
        <w:t>w</w:t>
      </w:r>
      <w:r>
        <w:t>hole of State) – eliminated.</w:t>
      </w:r>
    </w:p>
    <w:p w:rsidR="00CE0437" w:rsidRDefault="005162CD" w:rsidP="00E26733">
      <w:pPr>
        <w:pStyle w:val="NormalIndent"/>
      </w:pPr>
      <w:r>
        <w:t xml:space="preserve">Refer </w:t>
      </w:r>
      <w:r w:rsidRPr="00910CAF">
        <w:t xml:space="preserve">to Attachment </w:t>
      </w:r>
      <w:r w:rsidR="00623130">
        <w:t>1</w:t>
      </w:r>
      <w:r w:rsidR="00CE0437" w:rsidRPr="00910CAF">
        <w:t>:</w:t>
      </w:r>
      <w:r w:rsidRPr="00910CAF">
        <w:t xml:space="preserve"> </w:t>
      </w:r>
      <w:r w:rsidR="00CE0437" w:rsidRPr="00910CAF">
        <w:rPr>
          <w:i/>
        </w:rPr>
        <w:t>C</w:t>
      </w:r>
      <w:r w:rsidRPr="00910CAF">
        <w:rPr>
          <w:i/>
        </w:rPr>
        <w:t>ontri</w:t>
      </w:r>
      <w:r w:rsidRPr="00314B6A">
        <w:rPr>
          <w:i/>
        </w:rPr>
        <w:t>buted capital</w:t>
      </w:r>
      <w:r w:rsidR="00CE0437" w:rsidRPr="00314B6A">
        <w:rPr>
          <w:i/>
        </w:rPr>
        <w:t xml:space="preserve"> scenarios and examples</w:t>
      </w:r>
      <w:r w:rsidR="00CE0437">
        <w:t xml:space="preserve"> for further guidance.</w:t>
      </w:r>
    </w:p>
    <w:p w:rsidR="005162CD" w:rsidRDefault="005162CD" w:rsidP="005162CD">
      <w:pPr>
        <w:pStyle w:val="Heading4indent"/>
      </w:pPr>
      <w:r>
        <w:t>Relevant materials</w:t>
      </w:r>
    </w:p>
    <w:p w:rsidR="005162CD" w:rsidRDefault="005162CD" w:rsidP="005162CD">
      <w:pPr>
        <w:pStyle w:val="Heading5"/>
      </w:pPr>
      <w:r>
        <w:t>Accounting standards</w:t>
      </w:r>
    </w:p>
    <w:p w:rsidR="005162CD" w:rsidRDefault="00D30F9E" w:rsidP="008037F0">
      <w:pPr>
        <w:pStyle w:val="NormalIndenthanging"/>
      </w:pPr>
      <w:r w:rsidRPr="00A94229">
        <w:rPr>
          <w:noProof/>
          <w:position w:val="-14"/>
          <w:sz w:val="16"/>
        </w:rPr>
        <w:drawing>
          <wp:inline distT="0" distB="0" distL="0" distR="0" wp14:anchorId="724094BA" wp14:editId="32969CA8">
            <wp:extent cx="284480" cy="284480"/>
            <wp:effectExtent l="0" t="0" r="1270" b="1270"/>
            <wp:docPr id="19732" name="Graphic 1973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8037F0">
        <w:tab/>
      </w:r>
      <w:r w:rsidR="003562F9">
        <w:t>AASB </w:t>
      </w:r>
      <w:r w:rsidR="005162CD">
        <w:t xml:space="preserve">1004 </w:t>
      </w:r>
      <w:r w:rsidR="005162CD" w:rsidRPr="008037F0">
        <w:rPr>
          <w:i/>
        </w:rPr>
        <w:t>Contributions</w:t>
      </w:r>
    </w:p>
    <w:p w:rsidR="005162CD" w:rsidRDefault="00D30F9E" w:rsidP="008037F0">
      <w:pPr>
        <w:pStyle w:val="NormalIndenthanging"/>
      </w:pPr>
      <w:r w:rsidRPr="00A94229">
        <w:rPr>
          <w:noProof/>
          <w:position w:val="-14"/>
          <w:sz w:val="16"/>
        </w:rPr>
        <w:drawing>
          <wp:inline distT="0" distB="0" distL="0" distR="0" wp14:anchorId="724094BA" wp14:editId="32969CA8">
            <wp:extent cx="284480" cy="284480"/>
            <wp:effectExtent l="0" t="0" r="1270" b="1270"/>
            <wp:docPr id="19733" name="Graphic 1973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8037F0">
        <w:tab/>
      </w:r>
      <w:r w:rsidR="005162CD">
        <w:t xml:space="preserve">Interpretation 1038 </w:t>
      </w:r>
      <w:r w:rsidR="005162CD" w:rsidRPr="008037F0">
        <w:rPr>
          <w:i/>
        </w:rPr>
        <w:t>Contributions by Owners Made to Wholly-Owned Public Sector Entities</w:t>
      </w:r>
    </w:p>
    <w:p w:rsidR="005162CD" w:rsidRDefault="005162CD" w:rsidP="005162CD">
      <w:pPr>
        <w:pStyle w:val="Heading5"/>
      </w:pPr>
      <w:r>
        <w:t>Financial reporting directions</w:t>
      </w:r>
    </w:p>
    <w:p w:rsidR="005162CD" w:rsidRPr="005162CD" w:rsidRDefault="00D30F9E" w:rsidP="008037F0">
      <w:pPr>
        <w:pStyle w:val="NormalIndenthanging"/>
      </w:pPr>
      <w:r w:rsidRPr="00A94229">
        <w:rPr>
          <w:noProof/>
          <w:position w:val="-14"/>
          <w:sz w:val="16"/>
        </w:rPr>
        <w:drawing>
          <wp:inline distT="0" distB="0" distL="0" distR="0" wp14:anchorId="724094BA" wp14:editId="32969CA8">
            <wp:extent cx="284480" cy="284480"/>
            <wp:effectExtent l="0" t="0" r="1270" b="1270"/>
            <wp:docPr id="19734" name="Graphic 1973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8037F0">
        <w:tab/>
      </w:r>
      <w:r w:rsidR="005162CD">
        <w:t xml:space="preserve">FRD 119A </w:t>
      </w:r>
      <w:r w:rsidR="005162CD" w:rsidRPr="008037F0">
        <w:rPr>
          <w:i/>
        </w:rPr>
        <w:t>Transfers through Contributed Capital</w:t>
      </w:r>
      <w:r w:rsidR="005162CD" w:rsidRPr="005162CD">
        <w:t xml:space="preserve"> </w:t>
      </w:r>
    </w:p>
    <w:p w:rsidR="005162CD" w:rsidRPr="005162CD" w:rsidRDefault="00904771" w:rsidP="007D0366">
      <w:pPr>
        <w:pStyle w:val="Heading5"/>
      </w:pPr>
      <w:r>
        <w:t>Resource Management Framework</w:t>
      </w:r>
    </w:p>
    <w:p w:rsidR="005162CD" w:rsidRDefault="00D30F9E" w:rsidP="008037F0">
      <w:pPr>
        <w:pStyle w:val="NormalIndenthanging"/>
      </w:pPr>
      <w:r w:rsidRPr="00A94229">
        <w:rPr>
          <w:noProof/>
          <w:position w:val="-14"/>
          <w:sz w:val="16"/>
        </w:rPr>
        <w:drawing>
          <wp:inline distT="0" distB="0" distL="0" distR="0" wp14:anchorId="724094BA" wp14:editId="32969CA8">
            <wp:extent cx="284480" cy="284480"/>
            <wp:effectExtent l="0" t="0" r="1270" b="1270"/>
            <wp:docPr id="19735" name="Graphic 1973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8037F0">
        <w:tab/>
      </w:r>
      <w:r w:rsidR="00910CAF">
        <w:t xml:space="preserve">RMF </w:t>
      </w:r>
      <w:r w:rsidR="00A00CA4">
        <w:t>S</w:t>
      </w:r>
      <w:r w:rsidR="00A83426">
        <w:t>ection 3</w:t>
      </w:r>
      <w:r w:rsidR="005162CD">
        <w:t>.</w:t>
      </w:r>
      <w:r w:rsidR="00904771">
        <w:t>5</w:t>
      </w:r>
      <w:r w:rsidR="005162CD">
        <w:t xml:space="preserve"> – </w:t>
      </w:r>
      <w:r w:rsidR="00904771">
        <w:rPr>
          <w:i/>
        </w:rPr>
        <w:t>Funding Assets</w:t>
      </w:r>
    </w:p>
    <w:p w:rsidR="005162CD" w:rsidRDefault="005162CD" w:rsidP="00C36AA2">
      <w:pPr>
        <w:pStyle w:val="Heading5"/>
      </w:pPr>
      <w:r>
        <w:t>Financial Reporting Operations Framework</w:t>
      </w:r>
    </w:p>
    <w:p w:rsidR="005162CD" w:rsidRPr="00910CAF" w:rsidRDefault="00D30F9E" w:rsidP="008037F0">
      <w:pPr>
        <w:pStyle w:val="NormalIndenthanging"/>
        <w:spacing w:before="160"/>
      </w:pPr>
      <w:r w:rsidRPr="00A94229">
        <w:rPr>
          <w:noProof/>
          <w:position w:val="-14"/>
          <w:sz w:val="16"/>
        </w:rPr>
        <w:drawing>
          <wp:inline distT="0" distB="0" distL="0" distR="0" wp14:anchorId="724094BA" wp14:editId="32969CA8">
            <wp:extent cx="284480" cy="284480"/>
            <wp:effectExtent l="0" t="0" r="1270" b="1270"/>
            <wp:docPr id="19739" name="Graphic 1973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8037F0">
        <w:tab/>
      </w:r>
      <w:r w:rsidR="00A83426" w:rsidRPr="00910CAF">
        <w:t xml:space="preserve">FROF </w:t>
      </w:r>
      <w:r w:rsidR="00A00CA4" w:rsidRPr="00910CAF">
        <w:t>S</w:t>
      </w:r>
      <w:r w:rsidR="00A83426" w:rsidRPr="00910CAF">
        <w:t xml:space="preserve">ection </w:t>
      </w:r>
      <w:r w:rsidR="00910CAF" w:rsidRPr="00E26733">
        <w:t>1</w:t>
      </w:r>
      <w:r w:rsidR="005162CD" w:rsidRPr="00910CAF">
        <w:t xml:space="preserve">.1 – </w:t>
      </w:r>
      <w:r w:rsidR="005162CD" w:rsidRPr="008037F0">
        <w:rPr>
          <w:i/>
        </w:rPr>
        <w:t>The classification and treatment of controlled and administered items</w:t>
      </w:r>
    </w:p>
    <w:p w:rsidR="005162CD" w:rsidRPr="00013786" w:rsidRDefault="00D30F9E" w:rsidP="008037F0">
      <w:pPr>
        <w:pStyle w:val="NormalIndenthanging"/>
      </w:pPr>
      <w:r w:rsidRPr="00A94229">
        <w:rPr>
          <w:noProof/>
          <w:position w:val="-14"/>
          <w:sz w:val="16"/>
        </w:rPr>
        <w:drawing>
          <wp:inline distT="0" distB="0" distL="0" distR="0" wp14:anchorId="724094BA" wp14:editId="32969CA8">
            <wp:extent cx="284480" cy="284480"/>
            <wp:effectExtent l="0" t="0" r="1270" b="1270"/>
            <wp:docPr id="19738" name="Graphic 1973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8037F0">
        <w:tab/>
      </w:r>
      <w:r w:rsidR="00A83426" w:rsidRPr="00910CAF">
        <w:t xml:space="preserve">FROF </w:t>
      </w:r>
      <w:r w:rsidR="00A00CA4" w:rsidRPr="00910CAF">
        <w:t>S</w:t>
      </w:r>
      <w:r w:rsidR="00A83426" w:rsidRPr="00910CAF">
        <w:t xml:space="preserve">ection </w:t>
      </w:r>
      <w:r w:rsidR="00910CAF" w:rsidRPr="00E26733">
        <w:t>1</w:t>
      </w:r>
      <w:r w:rsidR="005162CD" w:rsidRPr="00910CAF">
        <w:t xml:space="preserve">.5 – </w:t>
      </w:r>
      <w:r w:rsidR="005162CD" w:rsidRPr="008037F0">
        <w:rPr>
          <w:i/>
        </w:rPr>
        <w:t xml:space="preserve">Accounting for the sale of </w:t>
      </w:r>
      <w:r w:rsidR="008B11FB" w:rsidRPr="008037F0">
        <w:rPr>
          <w:i/>
        </w:rPr>
        <w:t>d</w:t>
      </w:r>
      <w:r w:rsidR="0025725A" w:rsidRPr="008037F0">
        <w:rPr>
          <w:i/>
        </w:rPr>
        <w:t>epartmental</w:t>
      </w:r>
      <w:r w:rsidR="005162CD" w:rsidRPr="008037F0">
        <w:rPr>
          <w:i/>
        </w:rPr>
        <w:t xml:space="preserve"> assets</w:t>
      </w:r>
    </w:p>
    <w:p w:rsidR="005162CD" w:rsidRDefault="005162CD" w:rsidP="00C36AA2">
      <w:pPr>
        <w:pStyle w:val="Heading5"/>
      </w:pPr>
      <w:r>
        <w:t xml:space="preserve">VPS </w:t>
      </w:r>
      <w:r w:rsidR="00C36AA2">
        <w:t>manuals</w:t>
      </w:r>
    </w:p>
    <w:p w:rsidR="005162CD" w:rsidRDefault="00D30F9E" w:rsidP="008037F0">
      <w:pPr>
        <w:pStyle w:val="NormalIndenthanging"/>
      </w:pPr>
      <w:r w:rsidRPr="00A94229">
        <w:rPr>
          <w:noProof/>
          <w:position w:val="-14"/>
          <w:sz w:val="16"/>
        </w:rPr>
        <w:drawing>
          <wp:inline distT="0" distB="0" distL="0" distR="0" wp14:anchorId="724094BA" wp14:editId="32969CA8">
            <wp:extent cx="284480" cy="284480"/>
            <wp:effectExtent l="0" t="0" r="1270" b="1270"/>
            <wp:docPr id="19736" name="Graphic 1973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8037F0">
        <w:tab/>
      </w:r>
      <w:r w:rsidR="005162CD" w:rsidRPr="008037F0">
        <w:rPr>
          <w:i/>
        </w:rPr>
        <w:t>Model Report for Victorian Government Departments</w:t>
      </w:r>
    </w:p>
    <w:p w:rsidR="003B6A70" w:rsidRDefault="00D30F9E" w:rsidP="008037F0">
      <w:pPr>
        <w:pStyle w:val="NormalIndenthanging"/>
      </w:pPr>
      <w:r w:rsidRPr="00A94229">
        <w:rPr>
          <w:noProof/>
          <w:position w:val="-14"/>
          <w:sz w:val="16"/>
        </w:rPr>
        <w:drawing>
          <wp:inline distT="0" distB="0" distL="0" distR="0" wp14:anchorId="724094BA" wp14:editId="32969CA8">
            <wp:extent cx="284480" cy="284480"/>
            <wp:effectExtent l="0" t="0" r="1270" b="1270"/>
            <wp:docPr id="19737" name="Graphic 1973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8037F0">
        <w:tab/>
      </w:r>
      <w:r w:rsidR="003B6A70" w:rsidRPr="008037F0">
        <w:rPr>
          <w:i/>
        </w:rPr>
        <w:t>Victorian public sector operating manual on machinery of government changes</w:t>
      </w:r>
    </w:p>
    <w:p w:rsidR="005162CD" w:rsidRDefault="00C36AA2" w:rsidP="00C36AA2">
      <w:pPr>
        <w:pStyle w:val="Heading2numbered"/>
      </w:pPr>
      <w:bookmarkStart w:id="363" w:name="_Toc445470214"/>
      <w:bookmarkStart w:id="364" w:name="_Toc785458"/>
      <w:r>
        <w:t xml:space="preserve">Accounting for </w:t>
      </w:r>
      <w:r w:rsidRPr="00051A81">
        <w:t>motor vehicle leasing</w:t>
      </w:r>
      <w:bookmarkEnd w:id="363"/>
      <w:bookmarkEnd w:id="364"/>
    </w:p>
    <w:tbl>
      <w:tblPr>
        <w:tblStyle w:val="Mandatory"/>
        <w:tblW w:w="7483" w:type="dxa"/>
        <w:tblLook w:val="0620" w:firstRow="1" w:lastRow="0" w:firstColumn="0" w:lastColumn="0" w:noHBand="1" w:noVBand="1"/>
      </w:tblPr>
      <w:tblGrid>
        <w:gridCol w:w="7483"/>
      </w:tblGrid>
      <w:tr w:rsidR="00C36AA2" w:rsidRPr="008D7E41" w:rsidTr="00C36AA2">
        <w:trPr>
          <w:cnfStyle w:val="100000000000" w:firstRow="1" w:lastRow="0" w:firstColumn="0" w:lastColumn="0" w:oddVBand="0" w:evenVBand="0" w:oddHBand="0" w:evenHBand="0" w:firstRowFirstColumn="0" w:firstRowLastColumn="0" w:lastRowFirstColumn="0" w:lastRowLastColumn="0"/>
        </w:trPr>
        <w:tc>
          <w:tcPr>
            <w:tcW w:w="7483" w:type="dxa"/>
          </w:tcPr>
          <w:p w:rsidR="00C36AA2" w:rsidRPr="00326EEF" w:rsidRDefault="00C36AA2" w:rsidP="00326EEF">
            <w:pPr>
              <w:pStyle w:val="Tableheader"/>
              <w:jc w:val="center"/>
              <w:rPr>
                <w:b/>
                <w:sz w:val="17"/>
                <w:szCs w:val="17"/>
              </w:rPr>
            </w:pPr>
            <w:r w:rsidRPr="00326EEF">
              <w:rPr>
                <w:b/>
                <w:sz w:val="17"/>
                <w:szCs w:val="17"/>
              </w:rPr>
              <w:t>Mandatory requirement</w:t>
            </w:r>
            <w:r w:rsidR="00EF0537" w:rsidRPr="00326EEF">
              <w:rPr>
                <w:b/>
                <w:sz w:val="17"/>
                <w:szCs w:val="17"/>
              </w:rPr>
              <w:t>s</w:t>
            </w:r>
          </w:p>
        </w:tc>
      </w:tr>
      <w:tr w:rsidR="00C36AA2" w:rsidRPr="008D7E41" w:rsidTr="00C36AA2">
        <w:tc>
          <w:tcPr>
            <w:tcW w:w="7483" w:type="dxa"/>
          </w:tcPr>
          <w:p w:rsidR="00C36AA2" w:rsidRDefault="00C36AA2" w:rsidP="00C36AA2">
            <w:pPr>
              <w:pStyle w:val="Heading3numbered"/>
            </w:pPr>
            <w:bookmarkStart w:id="365" w:name="_Toc445470215"/>
            <w:bookmarkStart w:id="366" w:name="_Toc785459"/>
            <w:r>
              <w:t xml:space="preserve">Recording of </w:t>
            </w:r>
            <w:proofErr w:type="spellStart"/>
            <w:r>
              <w:t>VicFleet</w:t>
            </w:r>
            <w:proofErr w:type="spellEnd"/>
            <w:r>
              <w:t xml:space="preserve"> journal entries</w:t>
            </w:r>
            <w:bookmarkEnd w:id="365"/>
            <w:bookmarkEnd w:id="366"/>
          </w:p>
          <w:p w:rsidR="00C36AA2" w:rsidRDefault="00C36AA2" w:rsidP="00C36AA2">
            <w:pPr>
              <w:pStyle w:val="Tabletextnum"/>
            </w:pPr>
            <w:r>
              <w:t xml:space="preserve">Journal entries provided to </w:t>
            </w:r>
            <w:r w:rsidR="008B11FB">
              <w:t>d</w:t>
            </w:r>
            <w:r>
              <w:t xml:space="preserve">epartments by the DTF </w:t>
            </w:r>
            <w:proofErr w:type="spellStart"/>
            <w:r>
              <w:t>VicFleet</w:t>
            </w:r>
            <w:proofErr w:type="spellEnd"/>
            <w:r>
              <w:t xml:space="preserve"> area must be recorded in </w:t>
            </w:r>
            <w:r w:rsidR="008B11FB">
              <w:t>d</w:t>
            </w:r>
            <w:r>
              <w:t>epartmental accounting ledgers.</w:t>
            </w:r>
            <w:r w:rsidR="00413A48">
              <w:t xml:space="preserve"> </w:t>
            </w:r>
          </w:p>
          <w:p w:rsidR="00C36AA2" w:rsidRDefault="00C36AA2" w:rsidP="00C36AA2">
            <w:pPr>
              <w:pStyle w:val="Tabletextnum"/>
            </w:pPr>
            <w:r>
              <w:t xml:space="preserve">Journal entries must follow the appropriate rules pertaining to the account codes and authority codes in SRIMS. </w:t>
            </w:r>
          </w:p>
          <w:p w:rsidR="00C36AA2" w:rsidRDefault="00C36AA2" w:rsidP="00C36AA2">
            <w:pPr>
              <w:pStyle w:val="Heading3numbered"/>
            </w:pPr>
            <w:bookmarkStart w:id="367" w:name="_Toc445470216"/>
            <w:bookmarkStart w:id="368" w:name="_Toc785460"/>
            <w:proofErr w:type="spellStart"/>
            <w:r>
              <w:t>VicFleet</w:t>
            </w:r>
            <w:proofErr w:type="spellEnd"/>
            <w:r>
              <w:t xml:space="preserve"> trust multi-user account</w:t>
            </w:r>
            <w:bookmarkEnd w:id="367"/>
            <w:bookmarkEnd w:id="368"/>
            <w:r>
              <w:t xml:space="preserve"> </w:t>
            </w:r>
          </w:p>
          <w:p w:rsidR="00C36AA2" w:rsidRDefault="00C36AA2" w:rsidP="00C36AA2">
            <w:pPr>
              <w:pStyle w:val="Tabletextnum"/>
            </w:pPr>
            <w:r>
              <w:t xml:space="preserve">Departments may access the </w:t>
            </w:r>
            <w:proofErr w:type="spellStart"/>
            <w:r>
              <w:t>VicFleet</w:t>
            </w:r>
            <w:proofErr w:type="spellEnd"/>
            <w:r>
              <w:t xml:space="preserve"> trust account through a multi-user account (Trust sub-account), to process vehicle sale transactions.</w:t>
            </w:r>
            <w:r w:rsidR="00413A48">
              <w:t xml:space="preserve"> </w:t>
            </w:r>
          </w:p>
          <w:p w:rsidR="00C36AA2" w:rsidRDefault="00C36AA2" w:rsidP="00C36AA2">
            <w:pPr>
              <w:pStyle w:val="Tabletextnum"/>
            </w:pPr>
            <w:r>
              <w:t>Any surplus in the Trust may be used to fund ongoing vehicle expenses, however any deficit must be immediately reimbursed.</w:t>
            </w:r>
          </w:p>
          <w:p w:rsidR="00C36AA2" w:rsidRDefault="00C36AA2" w:rsidP="00C36AA2">
            <w:pPr>
              <w:pStyle w:val="Heading3numbered"/>
            </w:pPr>
            <w:bookmarkStart w:id="369" w:name="_Toc445470217"/>
            <w:bookmarkStart w:id="370" w:name="_Toc785461"/>
            <w:r>
              <w:t>Application of C</w:t>
            </w:r>
            <w:r w:rsidRPr="00731E39">
              <w:t xml:space="preserve">apital </w:t>
            </w:r>
            <w:r>
              <w:t>A</w:t>
            </w:r>
            <w:r w:rsidRPr="00731E39">
              <w:t>sset</w:t>
            </w:r>
            <w:r>
              <w:t>s</w:t>
            </w:r>
            <w:r w:rsidRPr="00731E39">
              <w:t xml:space="preserve"> </w:t>
            </w:r>
            <w:r>
              <w:t>Charge (CAC)</w:t>
            </w:r>
            <w:bookmarkEnd w:id="369"/>
            <w:bookmarkEnd w:id="370"/>
          </w:p>
          <w:p w:rsidR="00C36AA2" w:rsidRPr="008D7E41" w:rsidRDefault="00C36AA2" w:rsidP="00326EEF">
            <w:pPr>
              <w:pStyle w:val="Tabletextindent"/>
              <w:ind w:left="792"/>
            </w:pPr>
            <w:r>
              <w:t>The CAC</w:t>
            </w:r>
            <w:r w:rsidRPr="00731E39">
              <w:t xml:space="preserve"> is </w:t>
            </w:r>
            <w:r w:rsidRPr="00EA0428">
              <w:rPr>
                <w:b/>
              </w:rPr>
              <w:t>not</w:t>
            </w:r>
            <w:r w:rsidRPr="00731E39">
              <w:t xml:space="preserve"> applicable to leased vehicles covered by this </w:t>
            </w:r>
            <w:r>
              <w:t xml:space="preserve">section. </w:t>
            </w:r>
          </w:p>
        </w:tc>
      </w:tr>
    </w:tbl>
    <w:p w:rsidR="005162CD" w:rsidRDefault="005162CD" w:rsidP="00C36AA2">
      <w:pPr>
        <w:pStyle w:val="Spacer"/>
      </w:pPr>
    </w:p>
    <w:p w:rsidR="00C36AA2" w:rsidRDefault="00C36AA2" w:rsidP="00C36AA2">
      <w:pPr>
        <w:pStyle w:val="Heading4indent"/>
      </w:pPr>
      <w:r>
        <w:t>Guidance</w:t>
      </w:r>
    </w:p>
    <w:p w:rsidR="00C36AA2" w:rsidRDefault="00C36AA2" w:rsidP="00C36AA2">
      <w:pPr>
        <w:pStyle w:val="NormalIndent"/>
      </w:pPr>
      <w:r>
        <w:t>Motor vehicles in the Victorian Government are governed by the Standard Motor Vehicle Policy (SMVP), which is a whole of Victorian Government framework to optimise the management and use of Government vehicle assets.</w:t>
      </w:r>
      <w:r w:rsidR="00413A48">
        <w:t xml:space="preserve"> </w:t>
      </w:r>
      <w:r>
        <w:t xml:space="preserve">This section outlines the accounting treatment for motor vehicles held under the </w:t>
      </w:r>
      <w:proofErr w:type="spellStart"/>
      <w:r>
        <w:t>VicFleet</w:t>
      </w:r>
      <w:proofErr w:type="spellEnd"/>
      <w:r>
        <w:t xml:space="preserve"> finance lease arrangement.</w:t>
      </w:r>
    </w:p>
    <w:p w:rsidR="00C36AA2" w:rsidRDefault="00C36AA2" w:rsidP="00C36AA2">
      <w:pPr>
        <w:pStyle w:val="Heading5"/>
      </w:pPr>
      <w:r>
        <w:t>Core accounting treatment</w:t>
      </w:r>
    </w:p>
    <w:p w:rsidR="00C36AA2" w:rsidRDefault="00C36AA2" w:rsidP="00C36AA2">
      <w:pPr>
        <w:pStyle w:val="NormalIndent"/>
      </w:pPr>
      <w:r>
        <w:t>Motor vehicle leases are accounted for as a finance lease.</w:t>
      </w:r>
    </w:p>
    <w:p w:rsidR="00C36AA2" w:rsidRDefault="00C36AA2" w:rsidP="00C36AA2">
      <w:pPr>
        <w:pStyle w:val="NormalIndent"/>
      </w:pPr>
      <w:r>
        <w:t>The accounting entries, broadly summarised, are as follows:</w:t>
      </w:r>
    </w:p>
    <w:p w:rsidR="00C36AA2" w:rsidRDefault="00C36AA2" w:rsidP="00C36AA2">
      <w:pPr>
        <w:pStyle w:val="Bulletindent"/>
      </w:pPr>
      <w:r>
        <w:t xml:space="preserve">DTF – </w:t>
      </w:r>
      <w:proofErr w:type="spellStart"/>
      <w:r>
        <w:t>VicFleet</w:t>
      </w:r>
      <w:proofErr w:type="spellEnd"/>
      <w:r>
        <w:t>, as lessor, records a lease receivable for the capital value of the vehicle.</w:t>
      </w:r>
      <w:r w:rsidR="00413A48">
        <w:t xml:space="preserve"> </w:t>
      </w:r>
      <w:r>
        <w:t xml:space="preserve">The </w:t>
      </w:r>
      <w:r w:rsidR="008B11FB">
        <w:t>d</w:t>
      </w:r>
      <w:r>
        <w:t xml:space="preserve">epartment/agency, as lessee, records a corresponding lease liability for the amount owed. Both the lease receivable and the lease liability reduce each month as lease repayments are generated. </w:t>
      </w:r>
    </w:p>
    <w:p w:rsidR="00C36AA2" w:rsidRDefault="00C36AA2" w:rsidP="00C36AA2">
      <w:pPr>
        <w:pStyle w:val="Bulletindent"/>
      </w:pPr>
      <w:r>
        <w:t xml:space="preserve">DTF – </w:t>
      </w:r>
      <w:proofErr w:type="spellStart"/>
      <w:r>
        <w:t>VicFleet</w:t>
      </w:r>
      <w:proofErr w:type="spellEnd"/>
      <w:r>
        <w:t xml:space="preserve"> arranges payment of the lease operating costs (e.g. annual vehicle insurance and registration renewal, end of life costs, interest etc.) and recoups these through the lease repayments during the lease period.</w:t>
      </w:r>
      <w:r w:rsidR="00413A48">
        <w:t xml:space="preserve"> </w:t>
      </w:r>
      <w:r>
        <w:t xml:space="preserve">The </w:t>
      </w:r>
      <w:r w:rsidR="008B11FB">
        <w:t>d</w:t>
      </w:r>
      <w:r>
        <w:t>epartment/agency records the lease operating costs as expenses incurred each month.</w:t>
      </w:r>
      <w:r w:rsidR="00413A48">
        <w:t xml:space="preserve"> </w:t>
      </w:r>
    </w:p>
    <w:p w:rsidR="00C36AA2" w:rsidRDefault="00C36AA2" w:rsidP="00C36AA2">
      <w:pPr>
        <w:pStyle w:val="Bulletindent"/>
      </w:pPr>
      <w:r>
        <w:t xml:space="preserve">As the arrangement is a finance lease, Accounting Standard </w:t>
      </w:r>
      <w:r w:rsidR="003562F9">
        <w:t>AASB </w:t>
      </w:r>
      <w:r>
        <w:t xml:space="preserve">117 </w:t>
      </w:r>
      <w:r w:rsidR="0025621E">
        <w:rPr>
          <w:i/>
        </w:rPr>
        <w:t xml:space="preserve">Leases </w:t>
      </w:r>
      <w:r>
        <w:t xml:space="preserve">requires the capital value of the vehicle also be accounted for as an asset in the </w:t>
      </w:r>
      <w:r w:rsidR="008B11FB">
        <w:t>d</w:t>
      </w:r>
      <w:r>
        <w:t>epartment/agency’s books.</w:t>
      </w:r>
    </w:p>
    <w:p w:rsidR="00C36AA2" w:rsidRDefault="00C36AA2" w:rsidP="00C36AA2">
      <w:pPr>
        <w:pStyle w:val="Bulletindent"/>
      </w:pPr>
      <w:r>
        <w:t xml:space="preserve">Transactions between </w:t>
      </w:r>
      <w:r w:rsidR="008B11FB">
        <w:t>d</w:t>
      </w:r>
      <w:r>
        <w:t xml:space="preserve">epartments/agencies and </w:t>
      </w:r>
      <w:proofErr w:type="spellStart"/>
      <w:r>
        <w:t>VicFleet</w:t>
      </w:r>
      <w:proofErr w:type="spellEnd"/>
      <w:r>
        <w:t xml:space="preserve"> must mirror each other. This will be monitored by DTF at a whole of government level as part of the consolidation in SRIMS of the State’s accounts.</w:t>
      </w:r>
    </w:p>
    <w:p w:rsidR="00C36AA2" w:rsidRDefault="00C36AA2" w:rsidP="00C36AA2">
      <w:pPr>
        <w:pStyle w:val="Bulletindent"/>
      </w:pPr>
      <w:r>
        <w:t>SRIMS transactions should balance to zero within each entity and within each entity the authority should also balance to zero.</w:t>
      </w:r>
    </w:p>
    <w:p w:rsidR="00C36AA2" w:rsidRDefault="00C36AA2" w:rsidP="00C36AA2">
      <w:pPr>
        <w:pStyle w:val="Bulletindent"/>
      </w:pPr>
      <w:r>
        <w:t>Accounting Standard</w:t>
      </w:r>
      <w:r w:rsidR="00690ADE">
        <w:t xml:space="preserve"> </w:t>
      </w:r>
      <w:r w:rsidR="003562F9">
        <w:t>AASB </w:t>
      </w:r>
      <w:r w:rsidR="00690ADE">
        <w:t xml:space="preserve">117 </w:t>
      </w:r>
      <w:r w:rsidR="00690ADE" w:rsidRPr="00DE62B5">
        <w:rPr>
          <w:i/>
        </w:rPr>
        <w:t>Lease</w:t>
      </w:r>
      <w:r w:rsidRPr="00DE62B5">
        <w:rPr>
          <w:i/>
        </w:rPr>
        <w:t>s</w:t>
      </w:r>
      <w:r>
        <w:t xml:space="preserve"> require</w:t>
      </w:r>
      <w:r w:rsidR="00690ADE">
        <w:t>s</w:t>
      </w:r>
      <w:r>
        <w:t xml:space="preserve"> the lease liability be split between current and non-current, for financial reporting purposes.</w:t>
      </w:r>
      <w:r w:rsidR="00413A48">
        <w:t xml:space="preserve"> </w:t>
      </w:r>
      <w:r>
        <w:t xml:space="preserve">The split is provided by </w:t>
      </w:r>
      <w:proofErr w:type="spellStart"/>
      <w:r>
        <w:t>VicFleet</w:t>
      </w:r>
      <w:proofErr w:type="spellEnd"/>
      <w:r>
        <w:t xml:space="preserve"> to the client </w:t>
      </w:r>
      <w:r w:rsidR="008B11FB">
        <w:t>d</w:t>
      </w:r>
      <w:r>
        <w:t xml:space="preserve">epartments </w:t>
      </w:r>
      <w:proofErr w:type="gramStart"/>
      <w:r>
        <w:t>on a monthly basis</w:t>
      </w:r>
      <w:proofErr w:type="gramEnd"/>
      <w:r>
        <w:t>.</w:t>
      </w:r>
    </w:p>
    <w:p w:rsidR="00C36AA2" w:rsidRDefault="00C36AA2" w:rsidP="00C36AA2">
      <w:pPr>
        <w:pStyle w:val="Heading5"/>
      </w:pPr>
      <w:r>
        <w:t>Accounting transactions</w:t>
      </w:r>
    </w:p>
    <w:p w:rsidR="00FC11DA" w:rsidRDefault="00C36AA2" w:rsidP="00FC11DA">
      <w:pPr>
        <w:pStyle w:val="NormalIndent"/>
      </w:pPr>
      <w:r>
        <w:t xml:space="preserve">Details relating to the substantiation behind the accounting treatment and journals are identified in </w:t>
      </w:r>
      <w:r w:rsidRPr="006B4663">
        <w:t xml:space="preserve">Attachment </w:t>
      </w:r>
      <w:r w:rsidR="00623130">
        <w:t>2</w:t>
      </w:r>
      <w:r w:rsidRPr="006B4663">
        <w:t>.</w:t>
      </w:r>
      <w:r w:rsidR="00FC11DA" w:rsidRPr="006B4663">
        <w:t xml:space="preserve"> Note t</w:t>
      </w:r>
      <w:r w:rsidR="00FC11DA">
        <w:t>hat authority coding, inter-entity account and inter-fund transactions do not apply to agencies operating outside of the Public Account.</w:t>
      </w:r>
    </w:p>
    <w:p w:rsidR="00C36AA2" w:rsidRDefault="00C36AA2" w:rsidP="00C36AA2">
      <w:pPr>
        <w:pStyle w:val="Heading5"/>
      </w:pPr>
      <w:r>
        <w:t>Under/over variance transactions</w:t>
      </w:r>
    </w:p>
    <w:p w:rsidR="00C36AA2" w:rsidRDefault="00303406" w:rsidP="00C36AA2">
      <w:pPr>
        <w:pStyle w:val="NormalIndent"/>
      </w:pPr>
      <w:r w:rsidRPr="00303406">
        <w:t xml:space="preserve">‘Under/over variance’ of lease liability – is the difference between the total cost of asset against lease liability and accumulated </w:t>
      </w:r>
      <w:r w:rsidRPr="006B4663">
        <w:t xml:space="preserve">depreciation. This variance </w:t>
      </w:r>
      <w:proofErr w:type="gramStart"/>
      <w:r w:rsidRPr="006B4663">
        <w:t>has to</w:t>
      </w:r>
      <w:proofErr w:type="gramEnd"/>
      <w:r w:rsidRPr="006B4663">
        <w:t xml:space="preserve"> be manually calculated and included in the disposal journal (Attachment </w:t>
      </w:r>
      <w:r w:rsidR="00623130">
        <w:t>2</w:t>
      </w:r>
      <w:r w:rsidRPr="006B4663">
        <w:t>) from</w:t>
      </w:r>
      <w:r w:rsidRPr="00303406">
        <w:t xml:space="preserve"> the disposal client file.</w:t>
      </w:r>
    </w:p>
    <w:p w:rsidR="00303406" w:rsidRDefault="00303406" w:rsidP="00C36AA2">
      <w:pPr>
        <w:pStyle w:val="NormalIndent"/>
      </w:pPr>
      <w:r w:rsidRPr="00303406">
        <w:t xml:space="preserve">‘Under/over variance’ of lease operating costs – is the difference between the total budgeted amount charged to the </w:t>
      </w:r>
      <w:r w:rsidR="008B11FB">
        <w:t>d</w:t>
      </w:r>
      <w:r w:rsidRPr="00303406">
        <w:t xml:space="preserve">epartment/agency during the life of the lease and the actual amount incurred.  </w:t>
      </w:r>
    </w:p>
    <w:p w:rsidR="00C36AA2" w:rsidRDefault="00C36AA2" w:rsidP="00C36AA2">
      <w:pPr>
        <w:pStyle w:val="NormalIndent"/>
      </w:pPr>
      <w:r>
        <w:t xml:space="preserve">The variance results in an adjustment that is either reimbursed to the lessee or charged to the lessee, in the </w:t>
      </w:r>
      <w:r w:rsidR="00303406">
        <w:t>disposal client file</w:t>
      </w:r>
      <w:r>
        <w:t xml:space="preserve">. The </w:t>
      </w:r>
      <w:proofErr w:type="spellStart"/>
      <w:r>
        <w:t>unders</w:t>
      </w:r>
      <w:proofErr w:type="spellEnd"/>
      <w:r w:rsidR="00303406">
        <w:t xml:space="preserve"> and </w:t>
      </w:r>
      <w:r>
        <w:t xml:space="preserve">overs relating to </w:t>
      </w:r>
      <w:r w:rsidR="00303406">
        <w:t>lease operating expenses are transacted in the appropriation accounts</w:t>
      </w:r>
      <w:r>
        <w:t>.</w:t>
      </w:r>
    </w:p>
    <w:p w:rsidR="00C36AA2" w:rsidRDefault="00C36AA2" w:rsidP="00326EEF">
      <w:pPr>
        <w:pStyle w:val="NormalIndent"/>
      </w:pPr>
      <w:proofErr w:type="spellStart"/>
      <w:r>
        <w:t>Unders</w:t>
      </w:r>
      <w:proofErr w:type="spellEnd"/>
      <w:r>
        <w:t>/overs</w:t>
      </w:r>
      <w:r w:rsidR="00E05155">
        <w:t xml:space="preserve"> of lease operating costs</w:t>
      </w:r>
      <w:r>
        <w:t xml:space="preserve"> incurred throughout the life of the lease and after the lease has been finalised are made up of </w:t>
      </w:r>
      <w:r w:rsidR="00E05155">
        <w:t>three</w:t>
      </w:r>
      <w:r w:rsidR="00BF5437">
        <w:t xml:space="preserve"> </w:t>
      </w:r>
      <w:r>
        <w:t xml:space="preserve">components: </w:t>
      </w:r>
    </w:p>
    <w:p w:rsidR="00C36AA2" w:rsidRDefault="00E91E6B" w:rsidP="00C36AA2">
      <w:pPr>
        <w:pStyle w:val="Listnumindent2"/>
      </w:pPr>
      <w:r>
        <w:t>c</w:t>
      </w:r>
      <w:r w:rsidR="00C36AA2">
        <w:t xml:space="preserve">osts incurred during vehicle usage – e.g. fuel, insurance, vehicle registration, driver training, roadside assistance, scheduled servicing (prepaid); </w:t>
      </w:r>
    </w:p>
    <w:p w:rsidR="00C36AA2" w:rsidRDefault="00E91E6B" w:rsidP="00C36AA2">
      <w:pPr>
        <w:pStyle w:val="Listnumindent2"/>
      </w:pPr>
      <w:r>
        <w:t>c</w:t>
      </w:r>
      <w:r w:rsidR="00C36AA2">
        <w:t>osts incurred on selling the vehicle (end of life costs);</w:t>
      </w:r>
    </w:p>
    <w:p w:rsidR="00C36AA2" w:rsidRDefault="00E91E6B" w:rsidP="00C36AA2">
      <w:pPr>
        <w:pStyle w:val="Listnumindent2"/>
      </w:pPr>
      <w:r>
        <w:t>l</w:t>
      </w:r>
      <w:r w:rsidR="00C36AA2">
        <w:t>ease financing cost (</w:t>
      </w:r>
      <w:proofErr w:type="spellStart"/>
      <w:r w:rsidR="00C36AA2">
        <w:t>VicFleet</w:t>
      </w:r>
      <w:proofErr w:type="spellEnd"/>
      <w:r w:rsidR="00C36AA2">
        <w:t xml:space="preserve"> borrowings wit</w:t>
      </w:r>
      <w:r w:rsidR="009D23FB">
        <w:t>h Treasury Corporation of Victoria</w:t>
      </w:r>
      <w:r w:rsidR="00C36AA2">
        <w:t>) less lease interest cost recovered during the lease.</w:t>
      </w:r>
    </w:p>
    <w:p w:rsidR="005162CD" w:rsidRDefault="00C36AA2" w:rsidP="00C36AA2">
      <w:pPr>
        <w:pStyle w:val="NormalIndent"/>
      </w:pPr>
      <w:proofErr w:type="gramStart"/>
      <w:r>
        <w:t>Sufficient</w:t>
      </w:r>
      <w:proofErr w:type="gramEnd"/>
      <w:r>
        <w:t xml:space="preserve"> funding should be set aside by </w:t>
      </w:r>
      <w:r w:rsidR="008B11FB">
        <w:t>d</w:t>
      </w:r>
      <w:r>
        <w:t>epartments to fund any shortfalls in vehicle under/over expenditure.</w:t>
      </w:r>
    </w:p>
    <w:p w:rsidR="00C36AA2" w:rsidRDefault="00FC11DA" w:rsidP="00C36AA2">
      <w:pPr>
        <w:pStyle w:val="Heading4indent"/>
      </w:pPr>
      <w:r>
        <w:t xml:space="preserve">The </w:t>
      </w:r>
      <w:proofErr w:type="spellStart"/>
      <w:r w:rsidR="00C36AA2">
        <w:t>VicFleet</w:t>
      </w:r>
      <w:proofErr w:type="spellEnd"/>
      <w:r w:rsidR="00C36AA2">
        <w:t xml:space="preserve"> </w:t>
      </w:r>
      <w:r w:rsidR="000532B0">
        <w:t>trust a</w:t>
      </w:r>
      <w:r w:rsidR="00C36AA2">
        <w:t>ccount</w:t>
      </w:r>
    </w:p>
    <w:p w:rsidR="00C36AA2" w:rsidRDefault="00C36AA2" w:rsidP="00C36AA2">
      <w:pPr>
        <w:pStyle w:val="NormalIndent"/>
      </w:pPr>
      <w:r>
        <w:t xml:space="preserve">Departments </w:t>
      </w:r>
      <w:proofErr w:type="gramStart"/>
      <w:r>
        <w:t>are able to</w:t>
      </w:r>
      <w:proofErr w:type="gramEnd"/>
      <w:r>
        <w:t xml:space="preserve"> access the </w:t>
      </w:r>
      <w:proofErr w:type="spellStart"/>
      <w:r>
        <w:t>VicFleet</w:t>
      </w:r>
      <w:proofErr w:type="spellEnd"/>
      <w:r>
        <w:t xml:space="preserve"> </w:t>
      </w:r>
      <w:r w:rsidR="00DE0A4E">
        <w:t>t</w:t>
      </w:r>
      <w:r>
        <w:t xml:space="preserve">rust </w:t>
      </w:r>
      <w:r w:rsidR="00DE0A4E">
        <w:t>a</w:t>
      </w:r>
      <w:r>
        <w:t xml:space="preserve">ccount through the use of a separate multi-user account, which is one of a number of sub-accounts within the </w:t>
      </w:r>
      <w:r w:rsidR="00DE0A4E">
        <w:t>t</w:t>
      </w:r>
      <w:r>
        <w:t>rust. These multi-user accounts should only be utilised</w:t>
      </w:r>
      <w:r w:rsidR="00413A48">
        <w:t xml:space="preserve"> </w:t>
      </w:r>
      <w:proofErr w:type="gramStart"/>
      <w:r>
        <w:t>for the purpose of</w:t>
      </w:r>
      <w:proofErr w:type="gramEnd"/>
      <w:r>
        <w:t xml:space="preserve"> processing vehicle sale transactions. </w:t>
      </w:r>
      <w:r w:rsidR="002D02F5" w:rsidRPr="002D02F5">
        <w:t xml:space="preserve">Should a deficit arise in the </w:t>
      </w:r>
      <w:proofErr w:type="spellStart"/>
      <w:r w:rsidR="002D02F5" w:rsidRPr="002D02F5">
        <w:t>VicFleet</w:t>
      </w:r>
      <w:proofErr w:type="spellEnd"/>
      <w:r w:rsidR="002D02F5" w:rsidRPr="002D02F5">
        <w:t xml:space="preserve"> </w:t>
      </w:r>
      <w:r w:rsidR="00DE0A4E">
        <w:t>t</w:t>
      </w:r>
      <w:r w:rsidR="002D02F5" w:rsidRPr="002D02F5">
        <w:t xml:space="preserve">rust </w:t>
      </w:r>
      <w:r w:rsidR="00DE0A4E">
        <w:t>a</w:t>
      </w:r>
      <w:r w:rsidR="002D02F5" w:rsidRPr="002D02F5">
        <w:t>ccount, this should be reimbursed immediately from appropriation.</w:t>
      </w:r>
    </w:p>
    <w:p w:rsidR="00C36AA2" w:rsidRDefault="00C36AA2" w:rsidP="00C36AA2">
      <w:pPr>
        <w:pStyle w:val="NormalIndent"/>
      </w:pPr>
      <w:r>
        <w:t xml:space="preserve">Proceeds from the sale of vehicles under the </w:t>
      </w:r>
      <w:proofErr w:type="spellStart"/>
      <w:r>
        <w:t>VicFleet</w:t>
      </w:r>
      <w:proofErr w:type="spellEnd"/>
      <w:r>
        <w:t xml:space="preserve"> lease are paid directly into the </w:t>
      </w:r>
      <w:r w:rsidR="00DE0A4E">
        <w:t>t</w:t>
      </w:r>
      <w:r>
        <w:t xml:space="preserve">rust </w:t>
      </w:r>
      <w:r w:rsidR="00DE0A4E">
        <w:t>a</w:t>
      </w:r>
      <w:r>
        <w:t>ccount.</w:t>
      </w:r>
    </w:p>
    <w:p w:rsidR="00C36AA2" w:rsidRDefault="00C36AA2" w:rsidP="00C36AA2">
      <w:pPr>
        <w:pStyle w:val="Heading4indent"/>
      </w:pPr>
      <w:r>
        <w:t>Relevant materials</w:t>
      </w:r>
    </w:p>
    <w:p w:rsidR="00C36AA2" w:rsidRDefault="00C36AA2" w:rsidP="00C36AA2">
      <w:pPr>
        <w:pStyle w:val="Heading5"/>
      </w:pPr>
      <w:r>
        <w:t>Accounting standards</w:t>
      </w:r>
    </w:p>
    <w:p w:rsidR="00C36AA2" w:rsidRDefault="00D30F9E" w:rsidP="008037F0">
      <w:pPr>
        <w:pStyle w:val="NormalIndenthanging"/>
      </w:pPr>
      <w:r w:rsidRPr="00A94229">
        <w:rPr>
          <w:noProof/>
          <w:position w:val="-14"/>
          <w:sz w:val="16"/>
        </w:rPr>
        <w:drawing>
          <wp:inline distT="0" distB="0" distL="0" distR="0" wp14:anchorId="724094BA" wp14:editId="32969CA8">
            <wp:extent cx="284480" cy="284480"/>
            <wp:effectExtent l="0" t="0" r="1270" b="1270"/>
            <wp:docPr id="19740" name="Graphic 1974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8037F0">
        <w:tab/>
      </w:r>
      <w:r w:rsidR="003562F9">
        <w:t>AASB </w:t>
      </w:r>
      <w:r w:rsidR="00C36AA2">
        <w:t xml:space="preserve">117 </w:t>
      </w:r>
      <w:r w:rsidR="00C36AA2" w:rsidRPr="00DE62B5">
        <w:rPr>
          <w:i/>
        </w:rPr>
        <w:t>Leases</w:t>
      </w:r>
    </w:p>
    <w:p w:rsidR="00C36AA2" w:rsidRDefault="00C36AA2" w:rsidP="00C36AA2">
      <w:pPr>
        <w:pStyle w:val="Heading5"/>
      </w:pPr>
      <w:r>
        <w:t>Financial Reporting Directions</w:t>
      </w:r>
    </w:p>
    <w:p w:rsidR="00C36AA2" w:rsidRDefault="00D30F9E" w:rsidP="008037F0">
      <w:pPr>
        <w:pStyle w:val="NormalIndenthanging"/>
      </w:pPr>
      <w:r w:rsidRPr="00A94229">
        <w:rPr>
          <w:noProof/>
          <w:position w:val="-14"/>
          <w:sz w:val="16"/>
        </w:rPr>
        <w:drawing>
          <wp:inline distT="0" distB="0" distL="0" distR="0" wp14:anchorId="724094BA" wp14:editId="32969CA8">
            <wp:extent cx="284480" cy="284480"/>
            <wp:effectExtent l="0" t="0" r="1270" b="1270"/>
            <wp:docPr id="19741" name="Graphic 1974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8037F0">
        <w:tab/>
      </w:r>
      <w:r w:rsidR="00C36AA2">
        <w:t xml:space="preserve">FRD 26A – </w:t>
      </w:r>
      <w:r w:rsidR="00C36AA2" w:rsidRPr="008037F0">
        <w:rPr>
          <w:i/>
        </w:rPr>
        <w:t xml:space="preserve">Accounting for </w:t>
      </w:r>
      <w:proofErr w:type="spellStart"/>
      <w:r w:rsidR="00C36AA2" w:rsidRPr="008037F0">
        <w:rPr>
          <w:i/>
        </w:rPr>
        <w:t>VicFleet</w:t>
      </w:r>
      <w:proofErr w:type="spellEnd"/>
      <w:r w:rsidR="00C36AA2" w:rsidRPr="008037F0">
        <w:rPr>
          <w:i/>
        </w:rPr>
        <w:t xml:space="preserve"> Motor Vehicle Lease Arrangements on or after 1</w:t>
      </w:r>
      <w:r w:rsidR="00BF5437" w:rsidRPr="008037F0">
        <w:rPr>
          <w:i/>
        </w:rPr>
        <w:t> </w:t>
      </w:r>
      <w:r w:rsidR="00C36AA2" w:rsidRPr="008037F0">
        <w:rPr>
          <w:i/>
        </w:rPr>
        <w:t>February 2004</w:t>
      </w:r>
    </w:p>
    <w:p w:rsidR="00C36AA2" w:rsidRDefault="00904771" w:rsidP="00C36AA2">
      <w:pPr>
        <w:pStyle w:val="Heading5"/>
      </w:pPr>
      <w:r>
        <w:t>Resource Management Framework</w:t>
      </w:r>
    </w:p>
    <w:p w:rsidR="0025361C" w:rsidRDefault="00D30F9E" w:rsidP="008037F0">
      <w:pPr>
        <w:pStyle w:val="NormalIndenthanging"/>
        <w:rPr>
          <w:rFonts w:eastAsiaTheme="majorEastAsia"/>
        </w:rPr>
      </w:pPr>
      <w:r w:rsidRPr="00A94229">
        <w:rPr>
          <w:noProof/>
          <w:position w:val="-14"/>
          <w:sz w:val="16"/>
        </w:rPr>
        <w:drawing>
          <wp:inline distT="0" distB="0" distL="0" distR="0" wp14:anchorId="724094BA" wp14:editId="32969CA8">
            <wp:extent cx="284480" cy="284480"/>
            <wp:effectExtent l="0" t="0" r="1270" b="1270"/>
            <wp:docPr id="19742" name="Graphic 1974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8037F0">
        <w:tab/>
      </w:r>
      <w:r w:rsidR="00904771">
        <w:t xml:space="preserve">RMF </w:t>
      </w:r>
      <w:r w:rsidR="00A00CA4">
        <w:t>S</w:t>
      </w:r>
      <w:r w:rsidR="00C36AA2">
        <w:t xml:space="preserve">ection </w:t>
      </w:r>
      <w:r w:rsidR="00904771">
        <w:t>4.3</w:t>
      </w:r>
      <w:r w:rsidR="00C36AA2">
        <w:t xml:space="preserve"> – </w:t>
      </w:r>
      <w:r w:rsidR="00DE62B5" w:rsidRPr="0010781C">
        <w:rPr>
          <w:i/>
        </w:rPr>
        <w:t xml:space="preserve">The </w:t>
      </w:r>
      <w:r w:rsidR="00C36AA2" w:rsidRPr="0010781C">
        <w:rPr>
          <w:i/>
        </w:rPr>
        <w:t>Trust</w:t>
      </w:r>
      <w:r w:rsidR="00DE62B5" w:rsidRPr="0010781C">
        <w:rPr>
          <w:i/>
        </w:rPr>
        <w:t xml:space="preserve"> Fund and </w:t>
      </w:r>
      <w:r w:rsidR="00CE0437" w:rsidRPr="0010781C">
        <w:rPr>
          <w:i/>
        </w:rPr>
        <w:t>t</w:t>
      </w:r>
      <w:r w:rsidR="00DE62B5" w:rsidRPr="0010781C">
        <w:rPr>
          <w:i/>
        </w:rPr>
        <w:t>rust account</w:t>
      </w:r>
      <w:r w:rsidR="00C36AA2" w:rsidRPr="0010781C">
        <w:rPr>
          <w:i/>
        </w:rPr>
        <w:t>s</w:t>
      </w:r>
      <w:r w:rsidR="00C36AA2">
        <w:t xml:space="preserve"> </w:t>
      </w:r>
      <w:bookmarkStart w:id="371" w:name="_Toc445470218"/>
    </w:p>
    <w:p w:rsidR="00C36AA2" w:rsidRDefault="00547CEA" w:rsidP="00547CEA">
      <w:pPr>
        <w:pStyle w:val="Heading2numbered"/>
      </w:pPr>
      <w:bookmarkStart w:id="372" w:name="_Toc785462"/>
      <w:r>
        <w:t xml:space="preserve">Accounting for the sale of </w:t>
      </w:r>
      <w:r w:rsidR="008B11FB">
        <w:t>d</w:t>
      </w:r>
      <w:r w:rsidR="00C93AD6">
        <w:t>epartment</w:t>
      </w:r>
      <w:r w:rsidR="00DE62B5">
        <w:t>al</w:t>
      </w:r>
      <w:r>
        <w:t xml:space="preserve"> assets</w:t>
      </w:r>
      <w:bookmarkEnd w:id="371"/>
      <w:bookmarkEnd w:id="372"/>
    </w:p>
    <w:tbl>
      <w:tblPr>
        <w:tblStyle w:val="Mandatory"/>
        <w:tblW w:w="7483" w:type="dxa"/>
        <w:tblLook w:val="0620" w:firstRow="1" w:lastRow="0" w:firstColumn="0" w:lastColumn="0" w:noHBand="1" w:noVBand="1"/>
      </w:tblPr>
      <w:tblGrid>
        <w:gridCol w:w="7483"/>
      </w:tblGrid>
      <w:tr w:rsidR="00547CEA" w:rsidRPr="008D7E41" w:rsidTr="001659F2">
        <w:trPr>
          <w:cnfStyle w:val="100000000000" w:firstRow="1" w:lastRow="0" w:firstColumn="0" w:lastColumn="0" w:oddVBand="0" w:evenVBand="0" w:oddHBand="0" w:evenHBand="0" w:firstRowFirstColumn="0" w:firstRowLastColumn="0" w:lastRowFirstColumn="0" w:lastRowLastColumn="0"/>
        </w:trPr>
        <w:tc>
          <w:tcPr>
            <w:tcW w:w="7483" w:type="dxa"/>
          </w:tcPr>
          <w:p w:rsidR="00547CEA" w:rsidRPr="00326EEF" w:rsidRDefault="00547CEA" w:rsidP="00326EEF">
            <w:pPr>
              <w:pStyle w:val="Tableheader"/>
              <w:jc w:val="center"/>
              <w:rPr>
                <w:b/>
                <w:color w:val="auto"/>
                <w:sz w:val="17"/>
                <w:szCs w:val="17"/>
              </w:rPr>
            </w:pPr>
            <w:r w:rsidRPr="00326EEF">
              <w:rPr>
                <w:b/>
                <w:sz w:val="17"/>
                <w:szCs w:val="17"/>
              </w:rPr>
              <w:t>Mandatory requirements</w:t>
            </w:r>
          </w:p>
        </w:tc>
      </w:tr>
      <w:tr w:rsidR="00547CEA" w:rsidRPr="008D7E41" w:rsidTr="001659F2">
        <w:tc>
          <w:tcPr>
            <w:tcW w:w="7483" w:type="dxa"/>
          </w:tcPr>
          <w:p w:rsidR="00547CEA" w:rsidRDefault="00547CEA" w:rsidP="001659F2">
            <w:pPr>
              <w:pStyle w:val="Heading3numbered"/>
            </w:pPr>
            <w:bookmarkStart w:id="373" w:name="_Toc445470219"/>
            <w:bookmarkStart w:id="374" w:name="_Toc785463"/>
            <w:r>
              <w:t xml:space="preserve">Treatment of the sale of </w:t>
            </w:r>
            <w:r w:rsidR="008B11FB">
              <w:t>d</w:t>
            </w:r>
            <w:r>
              <w:t>epartmental assets</w:t>
            </w:r>
            <w:bookmarkEnd w:id="373"/>
            <w:bookmarkEnd w:id="374"/>
          </w:p>
          <w:p w:rsidR="00547CEA" w:rsidRPr="008D7E41" w:rsidRDefault="00547CEA" w:rsidP="00326EEF">
            <w:pPr>
              <w:pStyle w:val="Tabletextindent"/>
              <w:ind w:left="792"/>
            </w:pPr>
            <w:r>
              <w:t xml:space="preserve">A </w:t>
            </w:r>
            <w:r w:rsidR="008B11FB">
              <w:t>d</w:t>
            </w:r>
            <w:r>
              <w:t xml:space="preserve">epartment must record the </w:t>
            </w:r>
            <w:r w:rsidRPr="00731E39">
              <w:t xml:space="preserve">sale </w:t>
            </w:r>
            <w:r>
              <w:t xml:space="preserve">of a </w:t>
            </w:r>
            <w:r w:rsidR="008B11FB">
              <w:t>d</w:t>
            </w:r>
            <w:r>
              <w:t xml:space="preserve">epartmental asset (unless otherwise advised by DTF) in its </w:t>
            </w:r>
            <w:r w:rsidRPr="00731E39">
              <w:t>adminis</w:t>
            </w:r>
            <w:r>
              <w:t>tered accounts.</w:t>
            </w:r>
          </w:p>
        </w:tc>
      </w:tr>
    </w:tbl>
    <w:p w:rsidR="00547CEA" w:rsidRDefault="00547CEA" w:rsidP="00326EEF">
      <w:pPr>
        <w:pStyle w:val="Heading4indent"/>
      </w:pPr>
      <w:r>
        <w:t>Guidance</w:t>
      </w:r>
    </w:p>
    <w:p w:rsidR="00547CEA" w:rsidRDefault="00547CEA">
      <w:pPr>
        <w:pStyle w:val="NormalIndent"/>
      </w:pPr>
      <w:r>
        <w:t xml:space="preserve">This section applies to all asset sales of a </w:t>
      </w:r>
      <w:r w:rsidR="008B11FB">
        <w:t>d</w:t>
      </w:r>
      <w:r>
        <w:t xml:space="preserve">epartment (other than inventory and consumables) where the sales proceeds are required to be paid into the Consolidated Fund. It does </w:t>
      </w:r>
      <w:r w:rsidRPr="00387A01">
        <w:rPr>
          <w:b/>
        </w:rPr>
        <w:t>not</w:t>
      </w:r>
      <w:r>
        <w:t xml:space="preserve"> apply to </w:t>
      </w:r>
      <w:r w:rsidR="00450FD9">
        <w:t xml:space="preserve">the </w:t>
      </w:r>
      <w:r>
        <w:t>asset sales of</w:t>
      </w:r>
      <w:r w:rsidR="008B11FB">
        <w:t xml:space="preserve"> d</w:t>
      </w:r>
      <w:r>
        <w:t xml:space="preserve">epartments </w:t>
      </w:r>
      <w:r w:rsidR="00450FD9">
        <w:t>where</w:t>
      </w:r>
      <w:r>
        <w:t xml:space="preserve"> </w:t>
      </w:r>
      <w:r w:rsidR="00450FD9">
        <w:t xml:space="preserve">the </w:t>
      </w:r>
      <w:r>
        <w:t xml:space="preserve">funds are legally able to be retained in a </w:t>
      </w:r>
      <w:r w:rsidR="008B11FB">
        <w:t>d</w:t>
      </w:r>
      <w:r>
        <w:t xml:space="preserve">epartmental </w:t>
      </w:r>
      <w:r w:rsidR="0003100F">
        <w:t>t</w:t>
      </w:r>
      <w:r>
        <w:t xml:space="preserve">rust </w:t>
      </w:r>
      <w:r w:rsidR="0003100F">
        <w:t>a</w:t>
      </w:r>
      <w:r>
        <w:t>ccount.</w:t>
      </w:r>
    </w:p>
    <w:p w:rsidR="00547CEA" w:rsidRDefault="00547CEA" w:rsidP="00547CEA">
      <w:pPr>
        <w:pStyle w:val="NormalIndent"/>
      </w:pPr>
      <w:r>
        <w:t xml:space="preserve">The acquisition and recording of assets by a </w:t>
      </w:r>
      <w:r w:rsidR="008B11FB">
        <w:t>d</w:t>
      </w:r>
      <w:r>
        <w:t>epartment for use in the delivery of services, is treated as a controlled transaction.</w:t>
      </w:r>
    </w:p>
    <w:p w:rsidR="00547CEA" w:rsidRDefault="00547CEA" w:rsidP="00547CEA">
      <w:pPr>
        <w:pStyle w:val="NormalIndent"/>
      </w:pPr>
      <w:r>
        <w:t xml:space="preserve">When a departmental asset is sold however, the transaction is viewed as a sale by the State (i.e. it is an administered transaction). To reflect this, a </w:t>
      </w:r>
      <w:r w:rsidR="008B11FB">
        <w:t>d</w:t>
      </w:r>
      <w:r>
        <w:t>epartment is required to transfer the assets being sold out of its controlled accounts into its administered accounts, at the assets’ carrying value.</w:t>
      </w:r>
    </w:p>
    <w:p w:rsidR="00547CEA" w:rsidRDefault="00547CEA" w:rsidP="00547CEA">
      <w:pPr>
        <w:pStyle w:val="NormalIndent"/>
      </w:pPr>
      <w:r>
        <w:t xml:space="preserve">The sale of the asset is then </w:t>
      </w:r>
      <w:proofErr w:type="gramStart"/>
      <w:r>
        <w:t>effected</w:t>
      </w:r>
      <w:proofErr w:type="gramEnd"/>
      <w:r>
        <w:t xml:space="preserve"> in the administered accounts, where the proceeds from the disposal and the gain/loss on disposal on the assets are recorded. The cash proceeds are then remitted by the </w:t>
      </w:r>
      <w:r w:rsidR="008B11FB">
        <w:t>d</w:t>
      </w:r>
      <w:r>
        <w:t xml:space="preserve">epartment to Consolidated Fund (via the </w:t>
      </w:r>
      <w:r w:rsidR="002A27C5">
        <w:t>r</w:t>
      </w:r>
      <w:r>
        <w:t>eallocation of revenue to central SAU account), with the corresponding reduction in contributed capital (matching the carrying value of the assets sold).</w:t>
      </w:r>
    </w:p>
    <w:p w:rsidR="00547CEA" w:rsidRDefault="00547CEA" w:rsidP="00547CEA">
      <w:pPr>
        <w:pStyle w:val="NormalIndent"/>
      </w:pPr>
      <w:r>
        <w:t>The central agency’s SAU recognises the cash from the sale into Consolidated Fund, and a corresponding reduction in the State’s investment in its controlled entities.</w:t>
      </w:r>
    </w:p>
    <w:p w:rsidR="0003100F" w:rsidRDefault="0003100F" w:rsidP="00547CEA">
      <w:pPr>
        <w:pStyle w:val="NormalIndent"/>
      </w:pPr>
      <w:r w:rsidRPr="0003100F">
        <w:t xml:space="preserve">All returns of capital from agencies must be recognised as a reduction in their investment in controlled entities in the administered entity of the </w:t>
      </w:r>
      <w:r w:rsidR="008B11FB">
        <w:t>d</w:t>
      </w:r>
      <w:r w:rsidRPr="0003100F">
        <w:t>epartment.</w:t>
      </w:r>
    </w:p>
    <w:p w:rsidR="00547CEA" w:rsidRDefault="00547CEA" w:rsidP="00547CEA">
      <w:pPr>
        <w:pStyle w:val="NormalIndent"/>
      </w:pPr>
      <w:r>
        <w:t xml:space="preserve">Attachment </w:t>
      </w:r>
      <w:r w:rsidR="00910CAF">
        <w:t>3</w:t>
      </w:r>
      <w:r w:rsidR="00A35D5E">
        <w:t xml:space="preserve">: </w:t>
      </w:r>
      <w:r w:rsidR="00A35D5E" w:rsidRPr="00A35D5E">
        <w:rPr>
          <w:i/>
        </w:rPr>
        <w:t xml:space="preserve">Sample journal entries for the sale of </w:t>
      </w:r>
      <w:r w:rsidR="008B11FB">
        <w:rPr>
          <w:i/>
        </w:rPr>
        <w:t>d</w:t>
      </w:r>
      <w:r w:rsidR="00A35D5E" w:rsidRPr="00A35D5E">
        <w:rPr>
          <w:i/>
        </w:rPr>
        <w:t>epartmental assets</w:t>
      </w:r>
      <w:r>
        <w:t xml:space="preserve"> provides sample journal entries required to account for asset sales paid to the Consolidated Fund and the return of contributed capital, where there is either a gain or loss on the sale of an asset.</w:t>
      </w:r>
      <w:r w:rsidR="0083708B">
        <w:t xml:space="preserve"> </w:t>
      </w:r>
      <w:r w:rsidR="0083708B" w:rsidRPr="0083708B">
        <w:t xml:space="preserve">Additional sample journal entries have been included for assets received or given away free of charge.  </w:t>
      </w:r>
    </w:p>
    <w:p w:rsidR="00547CEA" w:rsidRDefault="00547CEA" w:rsidP="001659F2">
      <w:pPr>
        <w:pStyle w:val="Heading5"/>
      </w:pPr>
      <w:r>
        <w:t>Section 29 arrangements</w:t>
      </w:r>
    </w:p>
    <w:p w:rsidR="00547CEA" w:rsidRDefault="008303F3" w:rsidP="00547CEA">
      <w:pPr>
        <w:pStyle w:val="NormalIndent"/>
      </w:pPr>
      <w:r>
        <w:t>If there is an associated FMA s</w:t>
      </w:r>
      <w:r w:rsidR="00547CEA">
        <w:t>ection 29 annotated receipts arrangement, the amount recognised is the proceeds remitted to Consolidated Fund from the sale.</w:t>
      </w:r>
      <w:r w:rsidR="00413A48">
        <w:t xml:space="preserve"> </w:t>
      </w:r>
      <w:r w:rsidR="00547CEA">
        <w:t xml:space="preserve">There is also a corresponding increase in the </w:t>
      </w:r>
      <w:r w:rsidR="008B11FB">
        <w:t>d</w:t>
      </w:r>
      <w:r w:rsidR="00547CEA">
        <w:t xml:space="preserve">epartment’s ATNAB appropriation authority limit. </w:t>
      </w:r>
      <w:r w:rsidR="00690ADE">
        <w:t>R</w:t>
      </w:r>
      <w:r w:rsidR="00547CEA">
        <w:t xml:space="preserve">efer to the </w:t>
      </w:r>
      <w:r w:rsidR="00910CAF">
        <w:t>Resource Management</w:t>
      </w:r>
      <w:r w:rsidR="000E3AB2">
        <w:t xml:space="preserve"> Framework S</w:t>
      </w:r>
      <w:r w:rsidR="00547CEA">
        <w:t xml:space="preserve">ection </w:t>
      </w:r>
      <w:r w:rsidR="00910CAF">
        <w:t>4</w:t>
      </w:r>
      <w:r w:rsidR="00547CEA">
        <w:t>.</w:t>
      </w:r>
      <w:r w:rsidR="00DE62B5">
        <w:t>1</w:t>
      </w:r>
      <w:r w:rsidR="00547CEA">
        <w:t xml:space="preserve"> for further guidance.</w:t>
      </w:r>
    </w:p>
    <w:p w:rsidR="00547CEA" w:rsidRDefault="00547CEA" w:rsidP="001659F2">
      <w:pPr>
        <w:pStyle w:val="Heading5"/>
      </w:pPr>
      <w:r>
        <w:t>Impact of correct accounting entries for DTF</w:t>
      </w:r>
    </w:p>
    <w:p w:rsidR="00547CEA" w:rsidRDefault="00547CEA" w:rsidP="00547CEA">
      <w:pPr>
        <w:pStyle w:val="NormalIndent"/>
      </w:pPr>
      <w:r>
        <w:t xml:space="preserve">It is important for </w:t>
      </w:r>
      <w:r w:rsidR="008B11FB">
        <w:t>d</w:t>
      </w:r>
      <w:r>
        <w:t>epartments to follow this guidance closely in its accounting for asset sales, as the correct treatment will minimise the potential risk of material mis</w:t>
      </w:r>
      <w:r w:rsidR="00450FD9">
        <w:t>-</w:t>
      </w:r>
      <w:r>
        <w:t>statement of the State’s accounts.</w:t>
      </w:r>
    </w:p>
    <w:p w:rsidR="00547CEA" w:rsidRDefault="00547CEA" w:rsidP="001659F2">
      <w:pPr>
        <w:pStyle w:val="Heading4indent"/>
      </w:pPr>
      <w:r>
        <w:t>Relevant materials</w:t>
      </w:r>
    </w:p>
    <w:p w:rsidR="00547CEA" w:rsidRDefault="00547CEA" w:rsidP="001659F2">
      <w:pPr>
        <w:pStyle w:val="Heading5"/>
      </w:pPr>
      <w:r>
        <w:t>Financial Reporting Operations Framework</w:t>
      </w:r>
    </w:p>
    <w:p w:rsidR="00547CEA" w:rsidRPr="00A35D5E" w:rsidRDefault="00D30F9E" w:rsidP="00A94229">
      <w:pPr>
        <w:pStyle w:val="NormalIndenthanging"/>
      </w:pPr>
      <w:r w:rsidRPr="00A94229">
        <w:rPr>
          <w:noProof/>
          <w:position w:val="-14"/>
          <w:sz w:val="16"/>
        </w:rPr>
        <w:drawing>
          <wp:inline distT="0" distB="0" distL="0" distR="0" wp14:anchorId="724094BA" wp14:editId="32969CA8">
            <wp:extent cx="284480" cy="284480"/>
            <wp:effectExtent l="0" t="0" r="1270" b="1270"/>
            <wp:docPr id="19743" name="Graphic 1974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A94229">
        <w:tab/>
      </w:r>
      <w:r w:rsidR="00547CEA" w:rsidRPr="00013786">
        <w:t xml:space="preserve">FROF </w:t>
      </w:r>
      <w:r w:rsidR="005975AF">
        <w:t>S</w:t>
      </w:r>
      <w:r w:rsidR="00547CEA" w:rsidRPr="00013786">
        <w:t xml:space="preserve">ection </w:t>
      </w:r>
      <w:r w:rsidR="00DF01ED">
        <w:t>1</w:t>
      </w:r>
      <w:r w:rsidR="00547CEA" w:rsidRPr="00013786">
        <w:t xml:space="preserve">.3 – </w:t>
      </w:r>
      <w:r w:rsidR="00547CEA" w:rsidRPr="00013786">
        <w:rPr>
          <w:i/>
        </w:rPr>
        <w:t>Contributed capital</w:t>
      </w:r>
    </w:p>
    <w:p w:rsidR="00A35D5E" w:rsidRPr="00013786" w:rsidRDefault="00D30F9E" w:rsidP="00A94229">
      <w:pPr>
        <w:pStyle w:val="NormalIndenthanging"/>
      </w:pPr>
      <w:r w:rsidRPr="00A94229">
        <w:rPr>
          <w:noProof/>
          <w:position w:val="-14"/>
          <w:sz w:val="16"/>
        </w:rPr>
        <w:drawing>
          <wp:inline distT="0" distB="0" distL="0" distR="0" wp14:anchorId="724094BA" wp14:editId="32969CA8">
            <wp:extent cx="284480" cy="284480"/>
            <wp:effectExtent l="0" t="0" r="1270" b="1270"/>
            <wp:docPr id="32" name="Graphic 3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A94229">
        <w:tab/>
      </w:r>
      <w:r w:rsidR="00A35D5E">
        <w:t xml:space="preserve">FROF Attachment </w:t>
      </w:r>
      <w:r w:rsidR="00DF01ED">
        <w:t>3</w:t>
      </w:r>
      <w:r w:rsidR="003562F9">
        <w:t xml:space="preserve"> – </w:t>
      </w:r>
      <w:r w:rsidR="00A35D5E" w:rsidRPr="00A35D5E">
        <w:rPr>
          <w:i/>
        </w:rPr>
        <w:t xml:space="preserve">Sample journal entries for the sale of </w:t>
      </w:r>
      <w:r w:rsidR="008B11FB">
        <w:rPr>
          <w:i/>
        </w:rPr>
        <w:t>d</w:t>
      </w:r>
      <w:r w:rsidR="00A35D5E" w:rsidRPr="00A35D5E">
        <w:rPr>
          <w:i/>
        </w:rPr>
        <w:t>epartmental assets</w:t>
      </w:r>
    </w:p>
    <w:p w:rsidR="00547CEA" w:rsidRDefault="004347A8" w:rsidP="001659F2">
      <w:pPr>
        <w:pStyle w:val="Heading5"/>
      </w:pPr>
      <w:r>
        <w:t>Resource Management Framework</w:t>
      </w:r>
    </w:p>
    <w:p w:rsidR="005457A4" w:rsidRPr="00013786" w:rsidRDefault="00D30F9E" w:rsidP="00A94229">
      <w:pPr>
        <w:pStyle w:val="NormalIndenthanging"/>
      </w:pPr>
      <w:r w:rsidRPr="00A94229">
        <w:rPr>
          <w:noProof/>
          <w:position w:val="-14"/>
          <w:sz w:val="16"/>
        </w:rPr>
        <w:drawing>
          <wp:inline distT="0" distB="0" distL="0" distR="0" wp14:anchorId="724094BA" wp14:editId="32969CA8">
            <wp:extent cx="284480" cy="284480"/>
            <wp:effectExtent l="0" t="0" r="1270" b="1270"/>
            <wp:docPr id="33" name="Graphic 3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A94229">
        <w:tab/>
      </w:r>
      <w:r w:rsidR="00B81007">
        <w:t>RMF</w:t>
      </w:r>
      <w:r w:rsidR="00B81007" w:rsidRPr="00013786">
        <w:t xml:space="preserve"> </w:t>
      </w:r>
      <w:r w:rsidR="005975AF">
        <w:t>S</w:t>
      </w:r>
      <w:r w:rsidR="00FB646D" w:rsidRPr="00013786">
        <w:t xml:space="preserve">ection </w:t>
      </w:r>
      <w:r w:rsidR="004347A8">
        <w:t>4</w:t>
      </w:r>
      <w:r w:rsidR="00FB646D" w:rsidRPr="00013786">
        <w:t xml:space="preserve">.1 – </w:t>
      </w:r>
      <w:r w:rsidR="00FB646D" w:rsidRPr="00A94229">
        <w:rPr>
          <w:i/>
        </w:rPr>
        <w:t>Appropriation of certain revenue and asset proceeds</w:t>
      </w:r>
      <w:r w:rsidR="00FB646D" w:rsidRPr="00013786">
        <w:t xml:space="preserve"> – Section</w:t>
      </w:r>
      <w:r w:rsidR="00A94229">
        <w:t> </w:t>
      </w:r>
      <w:r w:rsidR="00FB646D" w:rsidRPr="00013786">
        <w:t>29 of the FMA</w:t>
      </w:r>
    </w:p>
    <w:p w:rsidR="009D26A8" w:rsidRDefault="009D26A8">
      <w:pPr>
        <w:spacing w:before="0" w:after="200"/>
      </w:pPr>
      <w:r>
        <w:br w:type="page"/>
      </w:r>
    </w:p>
    <w:p w:rsidR="00547CEA" w:rsidRDefault="009D26A8" w:rsidP="009D26A8">
      <w:pPr>
        <w:pStyle w:val="Heading2numbered"/>
      </w:pPr>
      <w:bookmarkStart w:id="375" w:name="_Toc785464"/>
      <w:r>
        <w:t>Redundancy payments</w:t>
      </w:r>
      <w:bookmarkEnd w:id="375"/>
    </w:p>
    <w:tbl>
      <w:tblPr>
        <w:tblStyle w:val="Mandatory1"/>
        <w:tblW w:w="7483" w:type="dxa"/>
        <w:tblLook w:val="0620" w:firstRow="1" w:lastRow="0" w:firstColumn="0" w:lastColumn="0" w:noHBand="1" w:noVBand="1"/>
      </w:tblPr>
      <w:tblGrid>
        <w:gridCol w:w="7483"/>
      </w:tblGrid>
      <w:tr w:rsidR="009D26A8" w:rsidRPr="009D26A8" w:rsidTr="00967717">
        <w:trPr>
          <w:cnfStyle w:val="100000000000" w:firstRow="1" w:lastRow="0" w:firstColumn="0" w:lastColumn="0" w:oddVBand="0" w:evenVBand="0" w:oddHBand="0" w:evenHBand="0" w:firstRowFirstColumn="0" w:firstRowLastColumn="0" w:lastRowFirstColumn="0" w:lastRowLastColumn="0"/>
        </w:trPr>
        <w:tc>
          <w:tcPr>
            <w:tcW w:w="7483" w:type="dxa"/>
          </w:tcPr>
          <w:p w:rsidR="009D26A8" w:rsidRPr="00326EEF" w:rsidRDefault="009D26A8" w:rsidP="009D26A8">
            <w:pPr>
              <w:spacing w:before="120" w:after="60"/>
              <w:jc w:val="center"/>
              <w:rPr>
                <w:b/>
                <w:szCs w:val="17"/>
              </w:rPr>
            </w:pPr>
            <w:r w:rsidRPr="00326EEF">
              <w:rPr>
                <w:b/>
                <w:szCs w:val="17"/>
              </w:rPr>
              <w:t xml:space="preserve">Mandatory requirements </w:t>
            </w:r>
          </w:p>
        </w:tc>
      </w:tr>
      <w:tr w:rsidR="009D26A8" w:rsidRPr="009D26A8" w:rsidTr="00967717">
        <w:trPr>
          <w:trHeight w:val="589"/>
        </w:trPr>
        <w:tc>
          <w:tcPr>
            <w:tcW w:w="7483" w:type="dxa"/>
          </w:tcPr>
          <w:p w:rsidR="009D26A8" w:rsidRPr="009C70DB" w:rsidRDefault="009D26A8" w:rsidP="009C70DB">
            <w:pPr>
              <w:pStyle w:val="Heading3numbered"/>
            </w:pPr>
            <w:bookmarkStart w:id="376" w:name="_Toc445459772"/>
            <w:bookmarkStart w:id="377" w:name="_Toc456796109"/>
            <w:bookmarkStart w:id="378" w:name="_Toc785465"/>
            <w:r w:rsidRPr="009D26A8">
              <w:t>Treatment of Voluntary Departure Packages (VDPs) and Targeted Separation Packages (TSPs)</w:t>
            </w:r>
            <w:bookmarkEnd w:id="376"/>
            <w:bookmarkEnd w:id="377"/>
            <w:bookmarkEnd w:id="378"/>
          </w:p>
          <w:p w:rsidR="009D26A8" w:rsidRPr="009D26A8" w:rsidRDefault="00A115E3" w:rsidP="009D26A8">
            <w:pPr>
              <w:spacing w:before="60" w:after="60"/>
              <w:ind w:left="792"/>
            </w:pPr>
            <w:r>
              <w:t>Departments must treat separation p</w:t>
            </w:r>
            <w:r w:rsidR="009D26A8" w:rsidRPr="009D26A8">
              <w:t>ackages (encompassing VDPs and TSPs) as operating expenses.</w:t>
            </w:r>
          </w:p>
          <w:p w:rsidR="009D26A8" w:rsidRPr="009C70DB" w:rsidRDefault="009D26A8" w:rsidP="009C70DB">
            <w:pPr>
              <w:pStyle w:val="Heading3numbered"/>
            </w:pPr>
            <w:bookmarkStart w:id="379" w:name="_Toc445459773"/>
            <w:bookmarkStart w:id="380" w:name="_Toc456796110"/>
            <w:bookmarkStart w:id="381" w:name="_Toc785466"/>
            <w:r w:rsidRPr="009D26A8">
              <w:t>Treatment of significantly large redundancy programs</w:t>
            </w:r>
            <w:bookmarkEnd w:id="379"/>
            <w:bookmarkEnd w:id="380"/>
            <w:bookmarkEnd w:id="381"/>
          </w:p>
          <w:p w:rsidR="009D26A8" w:rsidRPr="009D26A8" w:rsidRDefault="009D26A8" w:rsidP="009D26A8">
            <w:pPr>
              <w:spacing w:before="60" w:after="60"/>
              <w:ind w:left="792"/>
            </w:pPr>
            <w:r w:rsidRPr="009D26A8">
              <w:t xml:space="preserve">If a </w:t>
            </w:r>
            <w:r w:rsidR="008B11FB">
              <w:t>d</w:t>
            </w:r>
            <w:r w:rsidRPr="009D26A8">
              <w:t>epartment wishes to implement a redundancy program that will require significant one-off expenditure above normal operating costs, it may choose to either:</w:t>
            </w:r>
          </w:p>
          <w:p w:rsidR="009D26A8" w:rsidRPr="009D26A8" w:rsidRDefault="009D26A8" w:rsidP="003562F9">
            <w:pPr>
              <w:numPr>
                <w:ilvl w:val="0"/>
                <w:numId w:val="3"/>
              </w:numPr>
              <w:spacing w:before="60" w:after="60"/>
              <w:ind w:left="1120"/>
            </w:pPr>
            <w:r w:rsidRPr="009D26A8">
              <w:t xml:space="preserve">make a business case to Government for additional funds to enable it to meet the expenditure incurred; or </w:t>
            </w:r>
          </w:p>
          <w:p w:rsidR="009D26A8" w:rsidRPr="009D26A8" w:rsidRDefault="009D26A8" w:rsidP="003562F9">
            <w:pPr>
              <w:numPr>
                <w:ilvl w:val="0"/>
                <w:numId w:val="3"/>
              </w:numPr>
              <w:spacing w:before="60" w:after="60"/>
              <w:ind w:left="1120"/>
            </w:pPr>
            <w:r w:rsidRPr="009D26A8">
              <w:t>apply to use its accumulated surplus.</w:t>
            </w:r>
          </w:p>
          <w:p w:rsidR="009D26A8" w:rsidRPr="009C70DB" w:rsidRDefault="009D26A8" w:rsidP="009C70DB">
            <w:pPr>
              <w:pStyle w:val="Heading3numbered"/>
            </w:pPr>
            <w:bookmarkStart w:id="382" w:name="_Toc445459774"/>
            <w:bookmarkStart w:id="383" w:name="_Toc456796111"/>
            <w:bookmarkStart w:id="384" w:name="_Toc785467"/>
            <w:r w:rsidRPr="009D26A8">
              <w:t xml:space="preserve">Treatment of related </w:t>
            </w:r>
            <w:r w:rsidR="00B83528">
              <w:t>l</w:t>
            </w:r>
            <w:r w:rsidRPr="009D26A8">
              <w:t xml:space="preserve">ong </w:t>
            </w:r>
            <w:r w:rsidR="00B83528">
              <w:t>s</w:t>
            </w:r>
            <w:r w:rsidRPr="009D26A8">
              <w:t xml:space="preserve">ervice </w:t>
            </w:r>
            <w:r w:rsidR="00B83528">
              <w:t>l</w:t>
            </w:r>
            <w:r w:rsidRPr="009D26A8">
              <w:t>eave payouts on VDPs and TSPs</w:t>
            </w:r>
            <w:bookmarkEnd w:id="382"/>
            <w:bookmarkEnd w:id="383"/>
            <w:bookmarkEnd w:id="384"/>
          </w:p>
          <w:p w:rsidR="009D26A8" w:rsidRPr="009D26A8" w:rsidRDefault="009D26A8" w:rsidP="00B83528">
            <w:pPr>
              <w:spacing w:before="60" w:after="60"/>
              <w:ind w:left="792"/>
            </w:pPr>
            <w:r w:rsidRPr="009D26A8">
              <w:t xml:space="preserve">Any related </w:t>
            </w:r>
            <w:r w:rsidR="00B83528">
              <w:t>l</w:t>
            </w:r>
            <w:r w:rsidRPr="009D26A8">
              <w:t xml:space="preserve">ong </w:t>
            </w:r>
            <w:r w:rsidR="00B83528">
              <w:t>s</w:t>
            </w:r>
            <w:r w:rsidRPr="009D26A8">
              <w:t xml:space="preserve">ervice </w:t>
            </w:r>
            <w:r w:rsidR="00B83528">
              <w:t>l</w:t>
            </w:r>
            <w:r w:rsidRPr="009D26A8">
              <w:t>eave payout</w:t>
            </w:r>
            <w:r w:rsidR="00EE2BAB">
              <w:t xml:space="preserve"> must be disconnected from the separation p</w:t>
            </w:r>
            <w:r w:rsidRPr="009D26A8">
              <w:t xml:space="preserve">ackage (VDP or TSP) and accounted for separately as per the mandatory section in the </w:t>
            </w:r>
            <w:r w:rsidR="00B83528">
              <w:t>l</w:t>
            </w:r>
            <w:r w:rsidRPr="009D26A8">
              <w:t xml:space="preserve">ong </w:t>
            </w:r>
            <w:r w:rsidR="00B83528">
              <w:t>s</w:t>
            </w:r>
            <w:r w:rsidRPr="009D26A8">
              <w:t xml:space="preserve">ervice </w:t>
            </w:r>
            <w:r w:rsidR="00B83528">
              <w:t>l</w:t>
            </w:r>
            <w:r w:rsidRPr="009D26A8">
              <w:t>eave section.</w:t>
            </w:r>
          </w:p>
        </w:tc>
      </w:tr>
    </w:tbl>
    <w:p w:rsidR="009D26A8" w:rsidRDefault="009D26A8" w:rsidP="009D26A8">
      <w:pPr>
        <w:pStyle w:val="Heading4indent"/>
      </w:pPr>
      <w:r>
        <w:t>Guidance</w:t>
      </w:r>
    </w:p>
    <w:p w:rsidR="009D26A8" w:rsidRDefault="009D26A8" w:rsidP="009D26A8">
      <w:pPr>
        <w:pStyle w:val="NormalIndent"/>
      </w:pPr>
      <w:r>
        <w:t xml:space="preserve">Redundancy payments are operating expenses. </w:t>
      </w:r>
      <w:r w:rsidRPr="002D2771">
        <w:t>Therefore</w:t>
      </w:r>
      <w:r w:rsidR="00EE2BAB">
        <w:t>,</w:t>
      </w:r>
      <w:r w:rsidRPr="002D2771">
        <w:t xml:space="preserve"> for budgeting purposes</w:t>
      </w:r>
      <w:r>
        <w:t>,</w:t>
      </w:r>
      <w:r w:rsidRPr="002D2771">
        <w:t xml:space="preserve"> the cost of planned separations of staff contributing to output delivery must be included in the costing of </w:t>
      </w:r>
      <w:r w:rsidR="0061303B">
        <w:t>the relevant</w:t>
      </w:r>
      <w:r w:rsidRPr="002D2771">
        <w:t xml:space="preserve"> outputs</w:t>
      </w:r>
      <w:r>
        <w:t>.</w:t>
      </w:r>
    </w:p>
    <w:p w:rsidR="009D26A8" w:rsidRDefault="009D26A8" w:rsidP="009D26A8">
      <w:pPr>
        <w:pStyle w:val="NormalIndent"/>
      </w:pPr>
      <w:r>
        <w:t xml:space="preserve">Redundancies, whether voluntary or targeted, must be implemented in accordance with Government employee relations policies and legislation. </w:t>
      </w:r>
      <w:r w:rsidRPr="002D2771">
        <w:t xml:space="preserve"> </w:t>
      </w:r>
    </w:p>
    <w:p w:rsidR="009D26A8" w:rsidRDefault="009D26A8" w:rsidP="009D26A8">
      <w:pPr>
        <w:pStyle w:val="NormalIndent"/>
      </w:pPr>
      <w:r>
        <w:t xml:space="preserve">Since </w:t>
      </w:r>
      <w:r w:rsidR="00B83528">
        <w:t>s</w:t>
      </w:r>
      <w:r>
        <w:t xml:space="preserve">eparation </w:t>
      </w:r>
      <w:r w:rsidR="00B83528">
        <w:t>p</w:t>
      </w:r>
      <w:r>
        <w:t xml:space="preserve">ayments do not give rise to any ongoing asset of the </w:t>
      </w:r>
      <w:r w:rsidR="008B11FB">
        <w:t>d</w:t>
      </w:r>
      <w:r>
        <w:t xml:space="preserve">epartment, they should be expensed through the operating statement rather than treated as an investment. If the amounts involved are sufficiently large to have a material effect on the </w:t>
      </w:r>
      <w:r w:rsidR="008B11FB">
        <w:t>d</w:t>
      </w:r>
      <w:r>
        <w:t>epartment’s operating result, note disclosures may be required.</w:t>
      </w:r>
    </w:p>
    <w:p w:rsidR="00F83A4A" w:rsidRDefault="00F83A4A" w:rsidP="00F83A4A">
      <w:pPr>
        <w:pStyle w:val="Heading4indent"/>
      </w:pPr>
      <w:r>
        <w:t>Relevant materials</w:t>
      </w:r>
    </w:p>
    <w:p w:rsidR="00F83A4A" w:rsidRDefault="00910CAF" w:rsidP="00F83A4A">
      <w:pPr>
        <w:pStyle w:val="Heading5"/>
      </w:pPr>
      <w:r>
        <w:t>Resource Management</w:t>
      </w:r>
      <w:r w:rsidR="00F83A4A">
        <w:t xml:space="preserve"> Framework</w:t>
      </w:r>
    </w:p>
    <w:p w:rsidR="00F83A4A" w:rsidRPr="00013786" w:rsidRDefault="00D30F9E" w:rsidP="00A94229">
      <w:pPr>
        <w:pStyle w:val="NormalIndenthanging"/>
      </w:pPr>
      <w:r w:rsidRPr="00A94229">
        <w:rPr>
          <w:noProof/>
          <w:position w:val="-14"/>
          <w:sz w:val="16"/>
        </w:rPr>
        <w:drawing>
          <wp:inline distT="0" distB="0" distL="0" distR="0" wp14:anchorId="724094BA" wp14:editId="32969CA8">
            <wp:extent cx="284480" cy="284480"/>
            <wp:effectExtent l="0" t="0" r="1270" b="1270"/>
            <wp:docPr id="34" name="Graphic 3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A94229">
        <w:tab/>
      </w:r>
      <w:r w:rsidR="00910CAF">
        <w:t>RMF</w:t>
      </w:r>
      <w:r w:rsidR="00910CAF" w:rsidRPr="00013786">
        <w:t xml:space="preserve"> </w:t>
      </w:r>
      <w:r w:rsidR="00A00CA4">
        <w:t>S</w:t>
      </w:r>
      <w:r w:rsidR="00F83A4A" w:rsidRPr="00013786">
        <w:t xml:space="preserve">ection </w:t>
      </w:r>
      <w:r w:rsidR="004347A8">
        <w:t>4.13</w:t>
      </w:r>
      <w:r w:rsidR="00F83A4A" w:rsidRPr="00013786">
        <w:t xml:space="preserve"> – </w:t>
      </w:r>
      <w:r w:rsidR="00F83A4A" w:rsidRPr="00A94229">
        <w:rPr>
          <w:i/>
        </w:rPr>
        <w:t>Long Service Leave and Long Service Leave equivalent</w:t>
      </w:r>
    </w:p>
    <w:p w:rsidR="009D26A8" w:rsidRDefault="009D26A8">
      <w:pPr>
        <w:spacing w:before="0" w:after="200"/>
      </w:pPr>
      <w:r>
        <w:br w:type="page"/>
      </w:r>
    </w:p>
    <w:p w:rsidR="009D26A8" w:rsidRDefault="009D26A8" w:rsidP="009D26A8">
      <w:pPr>
        <w:pStyle w:val="Heading2numbered"/>
      </w:pPr>
      <w:bookmarkStart w:id="385" w:name="_Toc785468"/>
      <w:r>
        <w:t>Superannuation expenses and liabilities</w:t>
      </w:r>
      <w:bookmarkEnd w:id="385"/>
    </w:p>
    <w:tbl>
      <w:tblPr>
        <w:tblStyle w:val="Mandatory2"/>
        <w:tblW w:w="7483" w:type="dxa"/>
        <w:tblLook w:val="0620" w:firstRow="1" w:lastRow="0" w:firstColumn="0" w:lastColumn="0" w:noHBand="1" w:noVBand="1"/>
      </w:tblPr>
      <w:tblGrid>
        <w:gridCol w:w="7483"/>
      </w:tblGrid>
      <w:tr w:rsidR="009D26A8" w:rsidRPr="009D26A8" w:rsidTr="00E26733">
        <w:trPr>
          <w:cnfStyle w:val="100000000000" w:firstRow="1" w:lastRow="0" w:firstColumn="0" w:lastColumn="0" w:oddVBand="0" w:evenVBand="0" w:oddHBand="0" w:evenHBand="0" w:firstRowFirstColumn="0" w:firstRowLastColumn="0" w:lastRowFirstColumn="0" w:lastRowLastColumn="0"/>
          <w:trHeight w:val="370"/>
        </w:trPr>
        <w:tc>
          <w:tcPr>
            <w:tcW w:w="0" w:type="dxa"/>
          </w:tcPr>
          <w:p w:rsidR="009D26A8" w:rsidRPr="00326EEF" w:rsidRDefault="009D26A8" w:rsidP="009D26A8">
            <w:pPr>
              <w:spacing w:before="120" w:after="60"/>
              <w:jc w:val="center"/>
              <w:rPr>
                <w:b/>
                <w:szCs w:val="17"/>
              </w:rPr>
            </w:pPr>
            <w:r w:rsidRPr="00326EEF">
              <w:rPr>
                <w:b/>
                <w:szCs w:val="17"/>
              </w:rPr>
              <w:t xml:space="preserve">Mandatory requirements </w:t>
            </w:r>
          </w:p>
        </w:tc>
      </w:tr>
      <w:tr w:rsidR="009D26A8" w:rsidRPr="009D26A8" w:rsidTr="00967717">
        <w:trPr>
          <w:trHeight w:val="589"/>
        </w:trPr>
        <w:tc>
          <w:tcPr>
            <w:tcW w:w="7483" w:type="dxa"/>
          </w:tcPr>
          <w:p w:rsidR="009D26A8" w:rsidRPr="009C70DB" w:rsidRDefault="009D26A8" w:rsidP="009C70DB">
            <w:pPr>
              <w:pStyle w:val="Heading3numbered"/>
            </w:pPr>
            <w:bookmarkStart w:id="386" w:name="_Toc445459776"/>
            <w:bookmarkStart w:id="387" w:name="_Toc456796113"/>
            <w:bookmarkStart w:id="388" w:name="_Toc785469"/>
            <w:r w:rsidRPr="009D26A8">
              <w:t>Accounting for contributions to superannuation schemes</w:t>
            </w:r>
            <w:bookmarkEnd w:id="386"/>
            <w:bookmarkEnd w:id="387"/>
            <w:bookmarkEnd w:id="388"/>
          </w:p>
          <w:p w:rsidR="009D26A8" w:rsidRPr="009D26A8" w:rsidRDefault="009D26A8" w:rsidP="009D26A8">
            <w:pPr>
              <w:spacing w:before="60" w:after="60"/>
              <w:ind w:left="792"/>
            </w:pPr>
            <w:r w:rsidRPr="009D26A8">
              <w:t xml:space="preserve">Departments must budget for, and fully fund, employer and employee contributions to staff superannuation schemes. Any expenses relating to these contributions which have not been paid in cash by 30 June will constitute a liability (creditors). </w:t>
            </w:r>
          </w:p>
          <w:p w:rsidR="009D26A8" w:rsidRPr="009C70DB" w:rsidRDefault="009D26A8" w:rsidP="009C70DB">
            <w:pPr>
              <w:pStyle w:val="Heading3numbered"/>
            </w:pPr>
            <w:bookmarkStart w:id="389" w:name="_Toc445459777"/>
            <w:bookmarkStart w:id="390" w:name="_Toc456796114"/>
            <w:bookmarkStart w:id="391" w:name="_Toc785470"/>
            <w:r w:rsidRPr="009D26A8">
              <w:t>Treatment of the accumulated supera</w:t>
            </w:r>
            <w:r w:rsidR="00467100">
              <w:t>nnuation liability incurred pre-</w:t>
            </w:r>
            <w:r w:rsidRPr="009D26A8">
              <w:t>1 July 1998</w:t>
            </w:r>
            <w:bookmarkEnd w:id="389"/>
            <w:bookmarkEnd w:id="390"/>
            <w:bookmarkEnd w:id="391"/>
          </w:p>
          <w:p w:rsidR="009D26A8" w:rsidRPr="009D26A8" w:rsidRDefault="009D26A8" w:rsidP="009D26A8">
            <w:pPr>
              <w:spacing w:before="60" w:after="60"/>
              <w:ind w:left="792"/>
            </w:pPr>
            <w:r w:rsidRPr="009D26A8">
              <w:t xml:space="preserve">Departments must </w:t>
            </w:r>
            <w:r w:rsidRPr="009D26A8">
              <w:rPr>
                <w:b/>
              </w:rPr>
              <w:t>not</w:t>
            </w:r>
            <w:r w:rsidRPr="009D26A8">
              <w:t xml:space="preserve"> include, in their balance sheets, the accumulated superannuation liability balances incurred in respect of the defined benefit schemes before 1 July 1998</w:t>
            </w:r>
            <w:r w:rsidRPr="009D26A8">
              <w:rPr>
                <w:vertAlign w:val="superscript"/>
              </w:rPr>
              <w:footnoteReference w:id="11"/>
            </w:r>
            <w:r w:rsidRPr="009D26A8">
              <w:t>.</w:t>
            </w:r>
            <w:r w:rsidR="0061303B">
              <w:t xml:space="preserve"> This liability is reported by DTF as an administered item.</w:t>
            </w:r>
          </w:p>
        </w:tc>
      </w:tr>
    </w:tbl>
    <w:p w:rsidR="009D26A8" w:rsidRDefault="009D26A8" w:rsidP="009D26A8">
      <w:pPr>
        <w:pStyle w:val="Heading4indent"/>
      </w:pPr>
      <w:r>
        <w:t>Guidance</w:t>
      </w:r>
    </w:p>
    <w:p w:rsidR="009D26A8" w:rsidRDefault="009D26A8" w:rsidP="009D26A8">
      <w:pPr>
        <w:pStyle w:val="NormalIndent"/>
      </w:pPr>
      <w:r>
        <w:t>Up until the mid-1990s, the V</w:t>
      </w:r>
      <w:r w:rsidR="004658DA">
        <w:t xml:space="preserve">ictorian </w:t>
      </w:r>
      <w:r>
        <w:t>P</w:t>
      </w:r>
      <w:r w:rsidR="004658DA">
        <w:t xml:space="preserve">ublic </w:t>
      </w:r>
      <w:r>
        <w:t>S</w:t>
      </w:r>
      <w:r w:rsidR="004658DA">
        <w:t>ervice (VPS)</w:t>
      </w:r>
      <w:r>
        <w:t xml:space="preserve"> operated a d</w:t>
      </w:r>
      <w:r w:rsidRPr="00737450">
        <w:t xml:space="preserve">efined </w:t>
      </w:r>
      <w:r>
        <w:t xml:space="preserve">benefits superannuation scheme, which paid VPS employees on retirement a pension dependent on the number of years of service and other factors. </w:t>
      </w:r>
      <w:r w:rsidRPr="00737450">
        <w:t xml:space="preserve">This </w:t>
      </w:r>
      <w:r>
        <w:t xml:space="preserve">eventually </w:t>
      </w:r>
      <w:r w:rsidRPr="00737450">
        <w:t xml:space="preserve">led to the accumulation of a substantial unfunded superannuation liability for </w:t>
      </w:r>
      <w:r>
        <w:t>Government. This liability now sits in the accounts of DTF’s administered entity and is being actively managed by DTF.</w:t>
      </w:r>
    </w:p>
    <w:p w:rsidR="009D26A8" w:rsidRDefault="009D26A8" w:rsidP="009D26A8">
      <w:pPr>
        <w:pStyle w:val="NormalIndent"/>
      </w:pPr>
      <w:r>
        <w:t xml:space="preserve">Employees employed in the VPS </w:t>
      </w:r>
      <w:proofErr w:type="gramStart"/>
      <w:r>
        <w:t>subsequent to</w:t>
      </w:r>
      <w:proofErr w:type="gramEnd"/>
      <w:r>
        <w:t xml:space="preserve"> the closure of the defined benefit schemes have their employer </w:t>
      </w:r>
      <w:r w:rsidR="008B11FB">
        <w:t>d</w:t>
      </w:r>
      <w:r>
        <w:t xml:space="preserve">epartments make contributions to defined contribution schemes. As these schemes sit outside of the VPS, </w:t>
      </w:r>
      <w:r w:rsidR="008B11FB">
        <w:t>d</w:t>
      </w:r>
      <w:r>
        <w:t>epartments are only required to record a superannuation expense to the funds – no corresponding liability is recorded as the State has no liability to pay out superannuation to the employees – the obligation sits with the superannuation scheme.</w:t>
      </w:r>
    </w:p>
    <w:p w:rsidR="00482AE7" w:rsidRDefault="00482AE7" w:rsidP="00482AE7">
      <w:pPr>
        <w:pStyle w:val="Heading4indent"/>
      </w:pPr>
      <w:r>
        <w:t>Relevant materials</w:t>
      </w:r>
    </w:p>
    <w:p w:rsidR="00F83A4A" w:rsidRDefault="004D1079" w:rsidP="00F83A4A">
      <w:pPr>
        <w:pStyle w:val="Heading5"/>
      </w:pPr>
      <w:r>
        <w:t>Resource Management</w:t>
      </w:r>
      <w:r w:rsidR="00F83A4A">
        <w:t xml:space="preserve"> Framework</w:t>
      </w:r>
    </w:p>
    <w:p w:rsidR="00F83A4A" w:rsidRPr="00013786" w:rsidRDefault="00D30F9E" w:rsidP="00A94229">
      <w:pPr>
        <w:pStyle w:val="NormalIndenthanging"/>
      </w:pPr>
      <w:r w:rsidRPr="00A94229">
        <w:rPr>
          <w:noProof/>
          <w:position w:val="-14"/>
          <w:sz w:val="16"/>
        </w:rPr>
        <w:drawing>
          <wp:inline distT="0" distB="0" distL="0" distR="0" wp14:anchorId="724094BA" wp14:editId="32969CA8">
            <wp:extent cx="284480" cy="284480"/>
            <wp:effectExtent l="0" t="0" r="1270" b="1270"/>
            <wp:docPr id="35" name="Graphic 3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A94229">
        <w:tab/>
      </w:r>
      <w:r w:rsidR="004D1079">
        <w:t>RMF</w:t>
      </w:r>
      <w:r w:rsidR="004D1079" w:rsidRPr="00013786">
        <w:t xml:space="preserve"> </w:t>
      </w:r>
      <w:r w:rsidR="00007FEA">
        <w:t>S</w:t>
      </w:r>
      <w:r w:rsidR="00F83A4A" w:rsidRPr="00013786">
        <w:t xml:space="preserve">ection </w:t>
      </w:r>
      <w:r w:rsidR="004D1079">
        <w:t>4.13</w:t>
      </w:r>
      <w:r w:rsidR="00F83A4A" w:rsidRPr="00013786">
        <w:t xml:space="preserve"> – </w:t>
      </w:r>
      <w:r w:rsidR="00F83A4A" w:rsidRPr="00A94229">
        <w:rPr>
          <w:i/>
        </w:rPr>
        <w:t>Long Service Leave and Long Service Leave equivalent</w:t>
      </w:r>
    </w:p>
    <w:p w:rsidR="009D26A8" w:rsidRDefault="009D26A8">
      <w:pPr>
        <w:spacing w:before="0" w:after="200"/>
      </w:pPr>
      <w:r>
        <w:br w:type="page"/>
      </w:r>
    </w:p>
    <w:p w:rsidR="009D26A8" w:rsidRDefault="009D26A8" w:rsidP="009D26A8">
      <w:pPr>
        <w:pStyle w:val="Heading2numbered"/>
      </w:pPr>
      <w:bookmarkStart w:id="392" w:name="_Toc785471"/>
      <w:r>
        <w:t xml:space="preserve">Annual </w:t>
      </w:r>
      <w:r w:rsidR="00B83528">
        <w:t>l</w:t>
      </w:r>
      <w:r>
        <w:t>eave</w:t>
      </w:r>
      <w:bookmarkEnd w:id="392"/>
    </w:p>
    <w:tbl>
      <w:tblPr>
        <w:tblStyle w:val="Mandatory"/>
        <w:tblW w:w="7483" w:type="dxa"/>
        <w:tblLook w:val="0620" w:firstRow="1" w:lastRow="0" w:firstColumn="0" w:lastColumn="0" w:noHBand="1" w:noVBand="1"/>
      </w:tblPr>
      <w:tblGrid>
        <w:gridCol w:w="7483"/>
      </w:tblGrid>
      <w:tr w:rsidR="00FA0690" w:rsidRPr="00BC5ACF" w:rsidTr="0008213F">
        <w:trPr>
          <w:cnfStyle w:val="100000000000" w:firstRow="1" w:lastRow="0" w:firstColumn="0" w:lastColumn="0" w:oddVBand="0" w:evenVBand="0" w:oddHBand="0" w:evenHBand="0" w:firstRowFirstColumn="0" w:firstRowLastColumn="0" w:lastRowFirstColumn="0" w:lastRowLastColumn="0"/>
        </w:trPr>
        <w:tc>
          <w:tcPr>
            <w:tcW w:w="7483" w:type="dxa"/>
          </w:tcPr>
          <w:p w:rsidR="00FA0690" w:rsidRPr="00326EEF" w:rsidRDefault="00FA0690" w:rsidP="00326EEF">
            <w:pPr>
              <w:pStyle w:val="Tableheader"/>
              <w:jc w:val="center"/>
              <w:rPr>
                <w:b/>
                <w:sz w:val="17"/>
                <w:szCs w:val="17"/>
              </w:rPr>
            </w:pPr>
            <w:r w:rsidRPr="00326EEF">
              <w:rPr>
                <w:b/>
                <w:sz w:val="17"/>
                <w:szCs w:val="17"/>
              </w:rPr>
              <w:t>Mandatory requirements</w:t>
            </w:r>
          </w:p>
        </w:tc>
      </w:tr>
      <w:tr w:rsidR="00FA0690" w:rsidRPr="00C6051F" w:rsidTr="0008213F">
        <w:trPr>
          <w:trHeight w:val="589"/>
        </w:trPr>
        <w:tc>
          <w:tcPr>
            <w:tcW w:w="7483" w:type="dxa"/>
          </w:tcPr>
          <w:p w:rsidR="00FA0690" w:rsidRDefault="00FA0690" w:rsidP="0008213F">
            <w:pPr>
              <w:pStyle w:val="Heading3numbered"/>
            </w:pPr>
            <w:bookmarkStart w:id="393" w:name="_Toc445459768"/>
            <w:bookmarkStart w:id="394" w:name="_Toc464556353"/>
            <w:bookmarkStart w:id="395" w:name="_Toc785472"/>
            <w:r>
              <w:t xml:space="preserve">Transfer of annual leave balances between </w:t>
            </w:r>
            <w:r w:rsidR="008B11FB">
              <w:t>d</w:t>
            </w:r>
            <w:r>
              <w:t>epartments</w:t>
            </w:r>
            <w:bookmarkEnd w:id="393"/>
            <w:bookmarkEnd w:id="394"/>
            <w:bookmarkEnd w:id="395"/>
          </w:p>
          <w:p w:rsidR="00FA0690" w:rsidRDefault="00FA0690" w:rsidP="009A6679">
            <w:pPr>
              <w:pStyle w:val="Tabletextnum"/>
            </w:pPr>
            <w:r>
              <w:t xml:space="preserve">When employees are transferred between </w:t>
            </w:r>
            <w:r w:rsidR="008B11FB">
              <w:t>d</w:t>
            </w:r>
            <w:r>
              <w:t xml:space="preserve">epartments </w:t>
            </w:r>
            <w:proofErr w:type="gramStart"/>
            <w:r w:rsidRPr="002810AD">
              <w:rPr>
                <w:i/>
              </w:rPr>
              <w:t>as a result of</w:t>
            </w:r>
            <w:proofErr w:type="gramEnd"/>
            <w:r w:rsidRPr="002810AD">
              <w:rPr>
                <w:i/>
              </w:rPr>
              <w:t xml:space="preserve"> a </w:t>
            </w:r>
            <w:r w:rsidR="00B83528">
              <w:rPr>
                <w:i/>
              </w:rPr>
              <w:t>m</w:t>
            </w:r>
            <w:r w:rsidRPr="002810AD">
              <w:rPr>
                <w:i/>
              </w:rPr>
              <w:t xml:space="preserve">achinery of </w:t>
            </w:r>
            <w:r w:rsidR="00B83528">
              <w:rPr>
                <w:i/>
              </w:rPr>
              <w:t>g</w:t>
            </w:r>
            <w:r w:rsidRPr="002810AD">
              <w:rPr>
                <w:i/>
              </w:rPr>
              <w:t>overnment change</w:t>
            </w:r>
            <w:r>
              <w:t xml:space="preserve">, the accumulated liability and any SAU balances associated with the annual leave </w:t>
            </w:r>
            <w:r w:rsidR="0008213F">
              <w:t xml:space="preserve">must be </w:t>
            </w:r>
            <w:r>
              <w:t xml:space="preserve">transferred between the two </w:t>
            </w:r>
            <w:r w:rsidR="008B11FB">
              <w:t>d</w:t>
            </w:r>
            <w:r>
              <w:t>epartments.</w:t>
            </w:r>
            <w:r w:rsidR="009A6679">
              <w:t xml:space="preserve"> </w:t>
            </w:r>
          </w:p>
          <w:p w:rsidR="003467BF" w:rsidRPr="00C6051F" w:rsidRDefault="003467BF" w:rsidP="00F82ABD">
            <w:pPr>
              <w:pStyle w:val="Tabletextnum"/>
            </w:pPr>
            <w:r w:rsidRPr="003467BF">
              <w:t xml:space="preserve">For all other transfers of employees between </w:t>
            </w:r>
            <w:r w:rsidR="008B11FB">
              <w:t>d</w:t>
            </w:r>
            <w:r w:rsidRPr="003467BF">
              <w:t>epartments (e.g. due to job transfers, promotions etc.</w:t>
            </w:r>
            <w:r w:rsidR="00F82ABD">
              <w:t>)</w:t>
            </w:r>
            <w:r w:rsidRPr="003467BF">
              <w:t>, only the accumulated liability is transferred b</w:t>
            </w:r>
            <w:r w:rsidR="00F82ABD">
              <w:t xml:space="preserve">etween the two </w:t>
            </w:r>
            <w:r w:rsidR="008B11FB">
              <w:t>d</w:t>
            </w:r>
            <w:r w:rsidR="00F82ABD">
              <w:t>epartments. SAU amounts associated with any annual leave balances</w:t>
            </w:r>
            <w:r w:rsidRPr="003467BF">
              <w:t xml:space="preserve"> </w:t>
            </w:r>
            <w:r w:rsidR="00F82ABD">
              <w:t>are</w:t>
            </w:r>
            <w:r w:rsidRPr="003467BF">
              <w:t xml:space="preserve"> not transferred.</w:t>
            </w:r>
          </w:p>
        </w:tc>
      </w:tr>
    </w:tbl>
    <w:p w:rsidR="009D26A8" w:rsidRDefault="009D26A8" w:rsidP="009D26A8">
      <w:pPr>
        <w:pStyle w:val="Heading3"/>
        <w:ind w:left="792"/>
      </w:pPr>
      <w:r>
        <w:t>Accrued leave versus provided leave</w:t>
      </w:r>
    </w:p>
    <w:p w:rsidR="009D26A8" w:rsidRDefault="009D26A8" w:rsidP="009D26A8">
      <w:pPr>
        <w:pStyle w:val="NormalIndent"/>
        <w:rPr>
          <w:lang w:eastAsia="en-US"/>
        </w:rPr>
      </w:pPr>
      <w:r>
        <w:rPr>
          <w:lang w:eastAsia="en-US"/>
        </w:rPr>
        <w:t xml:space="preserve">For financial reporting purposes, an employee’s annual leave should be accrued to reflect the service period served by the employee. Accrued leave may differ from provided leave if an entity provides the total annual leave entitlement to its employees in advance (e.g. at the beginning of the reporting period). </w:t>
      </w:r>
    </w:p>
    <w:p w:rsidR="009D26A8" w:rsidRDefault="009D26A8" w:rsidP="009D26A8">
      <w:pPr>
        <w:pStyle w:val="NormalIndent"/>
        <w:rPr>
          <w:lang w:eastAsia="en-US"/>
        </w:rPr>
      </w:pPr>
      <w:r>
        <w:rPr>
          <w:lang w:eastAsia="en-US"/>
        </w:rPr>
        <w:t>When an entity accrues annual leave, it should recognise an expense (employee benefits) and a liability (provision for annual leave). The annual leave accrual should be inclusive of the latest pay rate and any applicable leave loading. For part-time employees, the annual leav</w:t>
      </w:r>
      <w:r w:rsidR="005A015B">
        <w:rPr>
          <w:lang w:eastAsia="en-US"/>
        </w:rPr>
        <w:t xml:space="preserve">e accrual may be calculated pro </w:t>
      </w:r>
      <w:r>
        <w:rPr>
          <w:lang w:eastAsia="en-US"/>
        </w:rPr>
        <w:t>rata of the full-time annual leave entitlement.</w:t>
      </w:r>
    </w:p>
    <w:p w:rsidR="009D26A8" w:rsidRDefault="009D26A8" w:rsidP="009D26A8">
      <w:pPr>
        <w:pStyle w:val="Heading3"/>
        <w:ind w:left="792"/>
      </w:pPr>
      <w:r>
        <w:t>On</w:t>
      </w:r>
      <w:r w:rsidR="001602DF">
        <w:t>-</w:t>
      </w:r>
      <w:r>
        <w:t>costs</w:t>
      </w:r>
    </w:p>
    <w:p w:rsidR="009D26A8" w:rsidRDefault="009D26A8" w:rsidP="009D26A8">
      <w:pPr>
        <w:pStyle w:val="NormalIndent"/>
        <w:rPr>
          <w:lang w:eastAsia="en-US"/>
        </w:rPr>
      </w:pPr>
      <w:r>
        <w:rPr>
          <w:lang w:eastAsia="en-US"/>
        </w:rPr>
        <w:t>Similarly, an entity should accrue for on-costs</w:t>
      </w:r>
      <w:r w:rsidR="00506B48">
        <w:rPr>
          <w:lang w:eastAsia="en-US"/>
        </w:rPr>
        <w:t>,</w:t>
      </w:r>
      <w:r>
        <w:rPr>
          <w:lang w:eastAsia="en-US"/>
        </w:rPr>
        <w:t xml:space="preserve"> such as payroll tax and workers’ compensation insurance. On-costs should be recognised as liabilities, when the employment service to which they relate, has occurred. Note that provisions for on-costs are to be disclosed separately from provisions for employee benefits.</w:t>
      </w:r>
    </w:p>
    <w:p w:rsidR="00482AE7" w:rsidRDefault="00482AE7" w:rsidP="00482AE7">
      <w:pPr>
        <w:pStyle w:val="Heading4indent"/>
      </w:pPr>
      <w:r>
        <w:t>Relevant materials</w:t>
      </w:r>
    </w:p>
    <w:p w:rsidR="00482AE7" w:rsidRDefault="004D1079" w:rsidP="00482AE7">
      <w:pPr>
        <w:pStyle w:val="Heading5"/>
      </w:pPr>
      <w:r>
        <w:t>Resource Management</w:t>
      </w:r>
      <w:r w:rsidR="00482AE7">
        <w:t xml:space="preserve"> Framework</w:t>
      </w:r>
    </w:p>
    <w:p w:rsidR="00482AE7" w:rsidRPr="00013786" w:rsidRDefault="00D30F9E" w:rsidP="00A94229">
      <w:pPr>
        <w:pStyle w:val="NormalIndenthanging"/>
      </w:pPr>
      <w:r w:rsidRPr="00A94229">
        <w:rPr>
          <w:noProof/>
          <w:position w:val="-14"/>
          <w:sz w:val="16"/>
        </w:rPr>
        <w:drawing>
          <wp:inline distT="0" distB="0" distL="0" distR="0" wp14:anchorId="265D843C" wp14:editId="6CA6A891">
            <wp:extent cx="284480" cy="284480"/>
            <wp:effectExtent l="0" t="0" r="1270" b="1270"/>
            <wp:docPr id="36" name="Graphic 3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A94229">
        <w:tab/>
      </w:r>
      <w:r w:rsidR="00910CAF">
        <w:t>RMF</w:t>
      </w:r>
      <w:r w:rsidR="00910CAF" w:rsidRPr="00013786">
        <w:t xml:space="preserve"> </w:t>
      </w:r>
      <w:r w:rsidR="00007FEA">
        <w:t>S</w:t>
      </w:r>
      <w:r w:rsidR="00482AE7" w:rsidRPr="00013786">
        <w:t xml:space="preserve">ection </w:t>
      </w:r>
      <w:r w:rsidR="004D1079">
        <w:t>4.13</w:t>
      </w:r>
      <w:r w:rsidR="00482AE7" w:rsidRPr="00013786">
        <w:t xml:space="preserve"> – </w:t>
      </w:r>
      <w:r w:rsidR="00482AE7" w:rsidRPr="00A94229">
        <w:rPr>
          <w:i/>
        </w:rPr>
        <w:t>Long Service Leave and Long Service Leave equivalent</w:t>
      </w:r>
    </w:p>
    <w:p w:rsidR="009A6679" w:rsidRDefault="009A6679" w:rsidP="009A6679">
      <w:pPr>
        <w:pStyle w:val="Heading5"/>
      </w:pPr>
      <w:r>
        <w:t>VPS manuals</w:t>
      </w:r>
    </w:p>
    <w:p w:rsidR="009A6679" w:rsidRDefault="00D30F9E" w:rsidP="00A94229">
      <w:pPr>
        <w:pStyle w:val="NormalIndenthanging"/>
      </w:pPr>
      <w:r w:rsidRPr="00A94229">
        <w:rPr>
          <w:noProof/>
          <w:position w:val="-14"/>
          <w:sz w:val="16"/>
        </w:rPr>
        <w:drawing>
          <wp:inline distT="0" distB="0" distL="0" distR="0" wp14:anchorId="265D843C" wp14:editId="6CA6A891">
            <wp:extent cx="284480" cy="284480"/>
            <wp:effectExtent l="0" t="0" r="1270" b="1270"/>
            <wp:docPr id="37" name="Graphic 3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6484" cy="286484"/>
                    </a:xfrm>
                    <a:prstGeom prst="rect">
                      <a:avLst/>
                    </a:prstGeom>
                  </pic:spPr>
                </pic:pic>
              </a:graphicData>
            </a:graphic>
          </wp:inline>
        </w:drawing>
      </w:r>
      <w:r w:rsidR="00A94229">
        <w:tab/>
      </w:r>
      <w:r w:rsidR="009A6679" w:rsidRPr="00A94229">
        <w:rPr>
          <w:i/>
        </w:rPr>
        <w:t>Victorian public sector operating manual on machinery of government changes</w:t>
      </w:r>
    </w:p>
    <w:p w:rsidR="00BB380C" w:rsidRDefault="00BB380C">
      <w:pPr>
        <w:spacing w:before="0" w:after="200"/>
        <w:rPr>
          <w:rFonts w:asciiTheme="majorHAnsi" w:eastAsiaTheme="majorEastAsia" w:hAnsiTheme="majorHAnsi" w:cstheme="majorBidi"/>
          <w:b/>
          <w:bCs/>
          <w:color w:val="201547"/>
          <w:spacing w:val="-1"/>
          <w:sz w:val="36"/>
          <w:szCs w:val="28"/>
        </w:rPr>
      </w:pPr>
      <w:bookmarkStart w:id="396" w:name="_Toc445470220"/>
      <w:r>
        <w:br w:type="page"/>
      </w:r>
    </w:p>
    <w:p w:rsidR="006C1DCD" w:rsidRDefault="006C1DCD" w:rsidP="00547CEA">
      <w:pPr>
        <w:pStyle w:val="Heading1numbered"/>
      </w:pPr>
      <w:bookmarkStart w:id="397" w:name="_Toc785473"/>
      <w:r>
        <w:t xml:space="preserve">The Victorian Government </w:t>
      </w:r>
      <w:r w:rsidR="00506B48">
        <w:t>C</w:t>
      </w:r>
      <w:r>
        <w:t xml:space="preserve">hart of </w:t>
      </w:r>
      <w:r w:rsidR="00506B48">
        <w:t>A</w:t>
      </w:r>
      <w:r>
        <w:t>ccounts</w:t>
      </w:r>
      <w:bookmarkEnd w:id="397"/>
    </w:p>
    <w:tbl>
      <w:tblPr>
        <w:tblStyle w:val="Mandatory"/>
        <w:tblW w:w="7483" w:type="dxa"/>
        <w:tblLook w:val="0620" w:firstRow="1" w:lastRow="0" w:firstColumn="0" w:lastColumn="0" w:noHBand="1" w:noVBand="1"/>
      </w:tblPr>
      <w:tblGrid>
        <w:gridCol w:w="7483"/>
      </w:tblGrid>
      <w:tr w:rsidR="00AA6E9C" w:rsidRPr="00AA6E9C" w:rsidTr="0090614A">
        <w:trPr>
          <w:cnfStyle w:val="100000000000" w:firstRow="1" w:lastRow="0" w:firstColumn="0" w:lastColumn="0" w:oddVBand="0" w:evenVBand="0" w:oddHBand="0" w:evenHBand="0" w:firstRowFirstColumn="0" w:firstRowLastColumn="0" w:lastRowFirstColumn="0" w:lastRowLastColumn="0"/>
        </w:trPr>
        <w:tc>
          <w:tcPr>
            <w:tcW w:w="7483" w:type="dxa"/>
          </w:tcPr>
          <w:p w:rsidR="00AA6E9C" w:rsidRPr="00326EEF" w:rsidRDefault="00AA6E9C" w:rsidP="00C85E91">
            <w:pPr>
              <w:spacing w:before="120" w:after="60"/>
              <w:jc w:val="center"/>
              <w:rPr>
                <w:b/>
                <w:szCs w:val="17"/>
              </w:rPr>
            </w:pPr>
            <w:r w:rsidRPr="00326EEF">
              <w:rPr>
                <w:b/>
                <w:szCs w:val="17"/>
              </w:rPr>
              <w:t>Mandatory requirements</w:t>
            </w:r>
          </w:p>
        </w:tc>
      </w:tr>
      <w:tr w:rsidR="00AA6E9C" w:rsidRPr="00AA6E9C" w:rsidTr="0090614A">
        <w:trPr>
          <w:trHeight w:val="589"/>
        </w:trPr>
        <w:tc>
          <w:tcPr>
            <w:tcW w:w="7483" w:type="dxa"/>
          </w:tcPr>
          <w:p w:rsidR="002A084D" w:rsidRPr="008827BD" w:rsidRDefault="00F27BDB" w:rsidP="008827BD">
            <w:pPr>
              <w:pStyle w:val="Heading3numbered"/>
            </w:pPr>
            <w:bookmarkStart w:id="398" w:name="_Toc785474"/>
            <w:r w:rsidRPr="008827BD">
              <w:t>The</w:t>
            </w:r>
            <w:r w:rsidR="002A084D" w:rsidRPr="008827BD">
              <w:t xml:space="preserve"> Victorian Government Chart of Accounts</w:t>
            </w:r>
            <w:bookmarkEnd w:id="398"/>
          </w:p>
          <w:p w:rsidR="002A084D" w:rsidRPr="009D26A8" w:rsidRDefault="002A084D" w:rsidP="00013786">
            <w:pPr>
              <w:spacing w:before="60" w:after="60"/>
              <w:ind w:left="792"/>
            </w:pPr>
            <w:r w:rsidRPr="009D26A8">
              <w:t xml:space="preserve">Departments </w:t>
            </w:r>
            <w:r>
              <w:t xml:space="preserve">are required to map their chart of accounts </w:t>
            </w:r>
            <w:r w:rsidR="004523BC">
              <w:t xml:space="preserve">to these segments in the Victorian Government Chart of Accounts </w:t>
            </w:r>
            <w:r w:rsidR="00F47BDB">
              <w:t>(</w:t>
            </w:r>
            <w:proofErr w:type="spellStart"/>
            <w:r w:rsidR="00F47BDB">
              <w:t>VGCoA</w:t>
            </w:r>
            <w:proofErr w:type="spellEnd"/>
            <w:r w:rsidR="00F47BDB">
              <w:t xml:space="preserve">) </w:t>
            </w:r>
            <w:r w:rsidR="004523BC">
              <w:t>in SRIMS</w:t>
            </w:r>
            <w:r>
              <w:t>:</w:t>
            </w:r>
          </w:p>
          <w:p w:rsidR="002A084D" w:rsidRPr="00AA6E9C" w:rsidRDefault="00A227C2" w:rsidP="003562F9">
            <w:pPr>
              <w:numPr>
                <w:ilvl w:val="0"/>
                <w:numId w:val="19"/>
              </w:numPr>
              <w:spacing w:before="120" w:line="252" w:lineRule="auto"/>
              <w:ind w:left="1210" w:hanging="357"/>
            </w:pPr>
            <w:r>
              <w:t>e</w:t>
            </w:r>
            <w:r w:rsidR="002A084D">
              <w:t>ntity</w:t>
            </w:r>
            <w:r>
              <w:t>;</w:t>
            </w:r>
          </w:p>
          <w:p w:rsidR="002A084D" w:rsidRPr="00AA6E9C" w:rsidRDefault="002A084D" w:rsidP="003562F9">
            <w:pPr>
              <w:numPr>
                <w:ilvl w:val="0"/>
                <w:numId w:val="19"/>
              </w:numPr>
              <w:spacing w:before="120" w:line="252" w:lineRule="auto"/>
              <w:ind w:left="1210" w:hanging="357"/>
            </w:pPr>
            <w:r>
              <w:t>account</w:t>
            </w:r>
            <w:r w:rsidR="00A227C2">
              <w:t>;</w:t>
            </w:r>
          </w:p>
          <w:p w:rsidR="002A084D" w:rsidRPr="00AA6E9C" w:rsidRDefault="002A084D" w:rsidP="003562F9">
            <w:pPr>
              <w:numPr>
                <w:ilvl w:val="0"/>
                <w:numId w:val="19"/>
              </w:numPr>
              <w:spacing w:before="120" w:line="252" w:lineRule="auto"/>
              <w:ind w:left="1210" w:hanging="357"/>
            </w:pPr>
            <w:r>
              <w:t>authority</w:t>
            </w:r>
            <w:r w:rsidR="00A227C2">
              <w:t>;</w:t>
            </w:r>
          </w:p>
          <w:p w:rsidR="002A084D" w:rsidRDefault="002A084D" w:rsidP="003562F9">
            <w:pPr>
              <w:numPr>
                <w:ilvl w:val="0"/>
                <w:numId w:val="19"/>
              </w:numPr>
              <w:spacing w:before="120" w:line="252" w:lineRule="auto"/>
              <w:ind w:left="1210" w:hanging="357"/>
            </w:pPr>
            <w:r>
              <w:t>o</w:t>
            </w:r>
            <w:r w:rsidRPr="00AA6E9C">
              <w:t>utput</w:t>
            </w:r>
            <w:r w:rsidR="00A227C2">
              <w:t>;</w:t>
            </w:r>
            <w:r w:rsidR="004523BC">
              <w:t xml:space="preserve"> and</w:t>
            </w:r>
          </w:p>
          <w:p w:rsidR="002A084D" w:rsidRPr="00013786" w:rsidRDefault="004523BC" w:rsidP="003562F9">
            <w:pPr>
              <w:numPr>
                <w:ilvl w:val="0"/>
                <w:numId w:val="19"/>
              </w:numPr>
              <w:spacing w:before="120" w:line="252" w:lineRule="auto"/>
              <w:ind w:left="1210" w:hanging="357"/>
            </w:pPr>
            <w:r>
              <w:t>related party.</w:t>
            </w:r>
          </w:p>
          <w:p w:rsidR="00AA6E9C" w:rsidRPr="008827BD" w:rsidRDefault="0054341B" w:rsidP="008827BD">
            <w:pPr>
              <w:pStyle w:val="Heading3numbered"/>
            </w:pPr>
            <w:bookmarkStart w:id="399" w:name="_Toc785475"/>
            <w:r w:rsidRPr="008827BD">
              <w:t xml:space="preserve">Mandated segments for direct mapping to </w:t>
            </w:r>
            <w:r w:rsidR="004523BC" w:rsidRPr="008827BD">
              <w:t xml:space="preserve">the new Victorian Government Chart of Accounts in </w:t>
            </w:r>
            <w:r w:rsidRPr="008827BD">
              <w:t>SRIMS</w:t>
            </w:r>
            <w:bookmarkEnd w:id="399"/>
          </w:p>
          <w:p w:rsidR="002010BC" w:rsidRPr="009D26A8" w:rsidRDefault="004523BC" w:rsidP="00013786">
            <w:pPr>
              <w:pStyle w:val="Tabletextnum"/>
            </w:pPr>
            <w:r>
              <w:t xml:space="preserve">As part of the </w:t>
            </w:r>
            <w:proofErr w:type="spellStart"/>
            <w:r w:rsidR="00F47BDB">
              <w:t>VGCoA</w:t>
            </w:r>
            <w:proofErr w:type="spellEnd"/>
            <w:r>
              <w:t xml:space="preserve"> project, </w:t>
            </w:r>
            <w:r w:rsidR="007C6CCA">
              <w:t>d</w:t>
            </w:r>
            <w:r w:rsidR="002010BC" w:rsidRPr="009D26A8">
              <w:t xml:space="preserve">epartments </w:t>
            </w:r>
            <w:r w:rsidR="00493FFD">
              <w:t xml:space="preserve">have agreed to, and </w:t>
            </w:r>
            <w:r w:rsidR="002010BC">
              <w:t>are required to adopt</w:t>
            </w:r>
            <w:r w:rsidR="00A227C2">
              <w:t>,</w:t>
            </w:r>
            <w:r w:rsidR="002010BC">
              <w:t xml:space="preserve"> the following segments into </w:t>
            </w:r>
            <w:r w:rsidR="00F27BDB">
              <w:t>their own (</w:t>
            </w:r>
            <w:r w:rsidR="007C6CCA">
              <w:t>d</w:t>
            </w:r>
            <w:r w:rsidR="00F27BDB">
              <w:t>epartmental)</w:t>
            </w:r>
            <w:r w:rsidR="002010BC">
              <w:t xml:space="preserve"> chart of accounts</w:t>
            </w:r>
            <w:r w:rsidR="00F27BDB">
              <w:t>,</w:t>
            </w:r>
            <w:r w:rsidR="00C85E91">
              <w:t xml:space="preserve"> </w:t>
            </w:r>
            <w:r w:rsidR="00F27BDB">
              <w:t>which then map</w:t>
            </w:r>
            <w:r w:rsidR="00C85E91">
              <w:t xml:space="preserve"> </w:t>
            </w:r>
            <w:r w:rsidR="00F27BDB">
              <w:t>in</w:t>
            </w:r>
            <w:r w:rsidR="00C85E91">
              <w:t xml:space="preserve">to </w:t>
            </w:r>
            <w:r w:rsidR="00F27BDB">
              <w:t xml:space="preserve">the </w:t>
            </w:r>
            <w:proofErr w:type="spellStart"/>
            <w:r w:rsidR="00F47BDB">
              <w:t>VGCoA</w:t>
            </w:r>
            <w:proofErr w:type="spellEnd"/>
            <w:r w:rsidR="00F27BDB">
              <w:t xml:space="preserve"> in </w:t>
            </w:r>
            <w:r w:rsidR="00C85E91">
              <w:t>SRIMS</w:t>
            </w:r>
            <w:r w:rsidR="002010BC">
              <w:t>:</w:t>
            </w:r>
          </w:p>
          <w:p w:rsidR="00AA6E9C" w:rsidRPr="00AA6E9C" w:rsidRDefault="00A227C2" w:rsidP="009C70DB">
            <w:pPr>
              <w:numPr>
                <w:ilvl w:val="0"/>
                <w:numId w:val="19"/>
              </w:numPr>
              <w:spacing w:before="120" w:line="252" w:lineRule="auto"/>
              <w:ind w:left="1655" w:hanging="357"/>
            </w:pPr>
            <w:r>
              <w:t>e</w:t>
            </w:r>
            <w:r w:rsidR="002010BC">
              <w:t>ntity</w:t>
            </w:r>
            <w:r>
              <w:t>;</w:t>
            </w:r>
          </w:p>
          <w:p w:rsidR="00AA6E9C" w:rsidRPr="00AA6E9C" w:rsidRDefault="001602DF" w:rsidP="009C70DB">
            <w:pPr>
              <w:numPr>
                <w:ilvl w:val="0"/>
                <w:numId w:val="19"/>
              </w:numPr>
              <w:spacing w:before="120" w:line="252" w:lineRule="auto"/>
              <w:ind w:left="1655" w:hanging="357"/>
            </w:pPr>
            <w:r>
              <w:t>a</w:t>
            </w:r>
            <w:r w:rsidR="002010BC">
              <w:t>ccount</w:t>
            </w:r>
            <w:r w:rsidR="00A227C2">
              <w:t>;</w:t>
            </w:r>
          </w:p>
          <w:p w:rsidR="00AA6E9C" w:rsidRPr="00AA6E9C" w:rsidRDefault="00BA1147" w:rsidP="009C70DB">
            <w:pPr>
              <w:numPr>
                <w:ilvl w:val="0"/>
                <w:numId w:val="19"/>
              </w:numPr>
              <w:spacing w:before="120" w:line="252" w:lineRule="auto"/>
              <w:ind w:left="1655" w:hanging="357"/>
            </w:pPr>
            <w:r>
              <w:t>a</w:t>
            </w:r>
            <w:r w:rsidR="002010BC">
              <w:t>uthority</w:t>
            </w:r>
            <w:r w:rsidR="00A227C2">
              <w:t>;</w:t>
            </w:r>
            <w:r>
              <w:t xml:space="preserve"> and</w:t>
            </w:r>
          </w:p>
          <w:p w:rsidR="00AA6E9C" w:rsidRPr="00AA6E9C" w:rsidRDefault="00BA1147" w:rsidP="009C70DB">
            <w:pPr>
              <w:numPr>
                <w:ilvl w:val="0"/>
                <w:numId w:val="19"/>
              </w:numPr>
              <w:spacing w:before="120" w:line="252" w:lineRule="auto"/>
              <w:ind w:left="1655" w:hanging="357"/>
            </w:pPr>
            <w:r>
              <w:t>o</w:t>
            </w:r>
            <w:r w:rsidR="00AA6E9C" w:rsidRPr="00AA6E9C">
              <w:t>utput</w:t>
            </w:r>
            <w:r>
              <w:t>.</w:t>
            </w:r>
          </w:p>
          <w:p w:rsidR="00AA6E9C" w:rsidRPr="00AA6E9C" w:rsidRDefault="00AA6E9C" w:rsidP="00013786">
            <w:pPr>
              <w:pStyle w:val="Tabletextnum"/>
            </w:pPr>
            <w:r w:rsidRPr="00013786">
              <w:t>For each of the above mandated segments</w:t>
            </w:r>
            <w:r w:rsidR="00BA1147">
              <w:t xml:space="preserve">, </w:t>
            </w:r>
            <w:r w:rsidR="007C6CCA">
              <w:t>d</w:t>
            </w:r>
            <w:r w:rsidR="00BA1147">
              <w:t xml:space="preserve">epartments are required to include an </w:t>
            </w:r>
            <w:r w:rsidRPr="00013786">
              <w:t xml:space="preserve">additional </w:t>
            </w:r>
            <w:r w:rsidR="00493FFD">
              <w:t>element</w:t>
            </w:r>
            <w:r w:rsidR="002A084D">
              <w:t xml:space="preserve"> in</w:t>
            </w:r>
            <w:r w:rsidR="00BA1147">
              <w:t xml:space="preserve"> their </w:t>
            </w:r>
            <w:r w:rsidRPr="00013786">
              <w:t>chart of accounts</w:t>
            </w:r>
            <w:r w:rsidR="00BA1147">
              <w:t xml:space="preserve"> to be </w:t>
            </w:r>
            <w:r w:rsidRPr="00013786">
              <w:t xml:space="preserve">used to </w:t>
            </w:r>
            <w:r w:rsidR="00BA1147">
              <w:t>record</w:t>
            </w:r>
            <w:r w:rsidRPr="00013786">
              <w:t xml:space="preserve"> the SRIMS </w:t>
            </w:r>
            <w:r w:rsidR="00BA1147">
              <w:t>account</w:t>
            </w:r>
            <w:r w:rsidRPr="00013786">
              <w:t xml:space="preserve"> that the </w:t>
            </w:r>
            <w:r w:rsidR="007C6CCA">
              <w:t>d</w:t>
            </w:r>
            <w:r w:rsidRPr="00013786">
              <w:t xml:space="preserve">epartmental </w:t>
            </w:r>
            <w:r w:rsidR="00BA1147">
              <w:t>segment</w:t>
            </w:r>
            <w:r w:rsidRPr="00013786">
              <w:t xml:space="preserve"> maps</w:t>
            </w:r>
            <w:r w:rsidR="00BA1147">
              <w:t xml:space="preserve"> to</w:t>
            </w:r>
            <w:r w:rsidRPr="00013786">
              <w:t xml:space="preserve">. The </w:t>
            </w:r>
            <w:r w:rsidR="00BA1147">
              <w:t>segment</w:t>
            </w:r>
            <w:r w:rsidRPr="00013786">
              <w:t xml:space="preserve"> is </w:t>
            </w:r>
            <w:r w:rsidR="00BA1147">
              <w:t xml:space="preserve">required </w:t>
            </w:r>
            <w:r w:rsidRPr="00013786">
              <w:t xml:space="preserve">to be set to </w:t>
            </w:r>
            <w:r w:rsidR="00BA1147">
              <w:t xml:space="preserve">a </w:t>
            </w:r>
            <w:r w:rsidRPr="00013786">
              <w:t>mandatory</w:t>
            </w:r>
            <w:r w:rsidR="00BA1147">
              <w:t xml:space="preserve"> setting</w:t>
            </w:r>
            <w:r w:rsidRPr="00013786">
              <w:t xml:space="preserve">, to ensure the SRIMS </w:t>
            </w:r>
            <w:r w:rsidR="00BA1147">
              <w:t>chart of accounts segment</w:t>
            </w:r>
            <w:r w:rsidRPr="00013786">
              <w:t xml:space="preserve"> is always populated when any new seg</w:t>
            </w:r>
            <w:r w:rsidR="00BA1147" w:rsidRPr="00013786">
              <w:t>men</w:t>
            </w:r>
            <w:r w:rsidR="00BA1147">
              <w:t xml:space="preserve">ts that map to the SRIMS chart </w:t>
            </w:r>
            <w:r w:rsidRPr="00013786">
              <w:t>are created.</w:t>
            </w:r>
          </w:p>
        </w:tc>
      </w:tr>
    </w:tbl>
    <w:p w:rsidR="00406234" w:rsidRDefault="00406234" w:rsidP="00406234">
      <w:pPr>
        <w:pStyle w:val="Heading4indent"/>
      </w:pPr>
      <w:r>
        <w:t>Guidance</w:t>
      </w:r>
    </w:p>
    <w:p w:rsidR="009160B0" w:rsidRDefault="00090DB6" w:rsidP="00013786">
      <w:pPr>
        <w:pStyle w:val="NormalIndent"/>
        <w:rPr>
          <w:lang w:eastAsia="en-US"/>
        </w:rPr>
      </w:pPr>
      <w:r>
        <w:rPr>
          <w:lang w:eastAsia="en-US"/>
        </w:rPr>
        <w:t xml:space="preserve">The </w:t>
      </w:r>
      <w:proofErr w:type="spellStart"/>
      <w:r>
        <w:rPr>
          <w:lang w:eastAsia="en-US"/>
        </w:rPr>
        <w:t>VGCoA</w:t>
      </w:r>
      <w:proofErr w:type="spellEnd"/>
      <w:r>
        <w:rPr>
          <w:lang w:eastAsia="en-US"/>
        </w:rPr>
        <w:t xml:space="preserve"> </w:t>
      </w:r>
      <w:r w:rsidR="00DA689B">
        <w:rPr>
          <w:lang w:eastAsia="en-US"/>
        </w:rPr>
        <w:t xml:space="preserve">comprises a common set </w:t>
      </w:r>
      <w:r w:rsidR="009160B0">
        <w:rPr>
          <w:lang w:eastAsia="en-US"/>
        </w:rPr>
        <w:t xml:space="preserve">of </w:t>
      </w:r>
      <w:r w:rsidR="00CE3600">
        <w:rPr>
          <w:lang w:eastAsia="en-US"/>
        </w:rPr>
        <w:t>segment</w:t>
      </w:r>
      <w:r w:rsidR="007E7BDA">
        <w:rPr>
          <w:lang w:eastAsia="en-US"/>
        </w:rPr>
        <w:t>s</w:t>
      </w:r>
      <w:r w:rsidR="009160B0">
        <w:rPr>
          <w:lang w:eastAsia="en-US"/>
        </w:rPr>
        <w:t xml:space="preserve"> or </w:t>
      </w:r>
      <w:r w:rsidR="00CE3600">
        <w:rPr>
          <w:lang w:eastAsia="en-US"/>
        </w:rPr>
        <w:t>codes</w:t>
      </w:r>
      <w:r w:rsidR="009160B0">
        <w:rPr>
          <w:lang w:eastAsia="en-US"/>
        </w:rPr>
        <w:t xml:space="preserve"> </w:t>
      </w:r>
      <w:r w:rsidR="00DA689B">
        <w:rPr>
          <w:lang w:eastAsia="en-US"/>
        </w:rPr>
        <w:t xml:space="preserve">used </w:t>
      </w:r>
      <w:r w:rsidR="009160B0">
        <w:rPr>
          <w:lang w:eastAsia="en-US"/>
        </w:rPr>
        <w:t>in combination</w:t>
      </w:r>
      <w:r w:rsidR="00DA689B">
        <w:rPr>
          <w:lang w:eastAsia="en-US"/>
        </w:rPr>
        <w:t xml:space="preserve"> by government </w:t>
      </w:r>
      <w:r w:rsidR="007C6CCA">
        <w:rPr>
          <w:lang w:eastAsia="en-US"/>
        </w:rPr>
        <w:t>d</w:t>
      </w:r>
      <w:r w:rsidR="00DA689B">
        <w:rPr>
          <w:lang w:eastAsia="en-US"/>
        </w:rPr>
        <w:t xml:space="preserve">epartments and agencies in the submission of data to DTF. The collection of financial and performance data under the </w:t>
      </w:r>
      <w:proofErr w:type="spellStart"/>
      <w:r w:rsidR="00DA689B">
        <w:rPr>
          <w:lang w:eastAsia="en-US"/>
        </w:rPr>
        <w:t>VGCoA</w:t>
      </w:r>
      <w:proofErr w:type="spellEnd"/>
      <w:r w:rsidR="00DA689B">
        <w:rPr>
          <w:lang w:eastAsia="en-US"/>
        </w:rPr>
        <w:t xml:space="preserve"> </w:t>
      </w:r>
      <w:r w:rsidR="00CE3600">
        <w:rPr>
          <w:lang w:eastAsia="en-US"/>
        </w:rPr>
        <w:t xml:space="preserve">structure </w:t>
      </w:r>
      <w:r w:rsidR="00DA689B">
        <w:rPr>
          <w:lang w:eastAsia="en-US"/>
        </w:rPr>
        <w:t>supports consistent planning, monitoring and reporting across government.</w:t>
      </w:r>
    </w:p>
    <w:p w:rsidR="00CE3600" w:rsidRDefault="00CE3600" w:rsidP="00013786">
      <w:pPr>
        <w:pStyle w:val="NormalIndent"/>
        <w:rPr>
          <w:lang w:eastAsia="en-US"/>
        </w:rPr>
      </w:pPr>
      <w:r>
        <w:rPr>
          <w:lang w:eastAsia="en-US"/>
        </w:rPr>
        <w:t xml:space="preserve">The </w:t>
      </w:r>
      <w:proofErr w:type="spellStart"/>
      <w:r>
        <w:rPr>
          <w:lang w:eastAsia="en-US"/>
        </w:rPr>
        <w:t>VGCoA</w:t>
      </w:r>
      <w:proofErr w:type="spellEnd"/>
      <w:r>
        <w:rPr>
          <w:lang w:eastAsia="en-US"/>
        </w:rPr>
        <w:t xml:space="preserve"> is used in SRIMS.</w:t>
      </w:r>
    </w:p>
    <w:p w:rsidR="00DA689B" w:rsidRDefault="00F27BDB" w:rsidP="00013786">
      <w:pPr>
        <w:pStyle w:val="NormalIndent"/>
        <w:rPr>
          <w:lang w:eastAsia="en-US"/>
        </w:rPr>
      </w:pPr>
      <w:r>
        <w:rPr>
          <w:lang w:eastAsia="en-US"/>
        </w:rPr>
        <w:t>The</w:t>
      </w:r>
      <w:r w:rsidR="00DA689B">
        <w:rPr>
          <w:lang w:eastAsia="en-US"/>
        </w:rPr>
        <w:t xml:space="preserve"> </w:t>
      </w:r>
      <w:proofErr w:type="spellStart"/>
      <w:r w:rsidR="00DA689B">
        <w:rPr>
          <w:lang w:eastAsia="en-US"/>
        </w:rPr>
        <w:t>VGCoA</w:t>
      </w:r>
      <w:proofErr w:type="spellEnd"/>
      <w:r w:rsidR="00DA689B">
        <w:rPr>
          <w:lang w:eastAsia="en-US"/>
        </w:rPr>
        <w:t xml:space="preserve"> consists of the following five </w:t>
      </w:r>
      <w:r w:rsidR="00CE3600">
        <w:rPr>
          <w:lang w:eastAsia="en-US"/>
        </w:rPr>
        <w:t>segment</w:t>
      </w:r>
      <w:r w:rsidR="00DA689B">
        <w:rPr>
          <w:lang w:eastAsia="en-US"/>
        </w:rPr>
        <w:t>s:</w:t>
      </w:r>
    </w:p>
    <w:p w:rsidR="00957224" w:rsidRDefault="00A80724" w:rsidP="00326EEF">
      <w:pPr>
        <w:pStyle w:val="NormalIndent"/>
        <w:numPr>
          <w:ilvl w:val="0"/>
          <w:numId w:val="21"/>
        </w:numPr>
        <w:spacing w:before="120"/>
        <w:ind w:left="1276" w:hanging="357"/>
        <w:rPr>
          <w:lang w:eastAsia="en-US"/>
        </w:rPr>
      </w:pPr>
      <w:r w:rsidRPr="00013786">
        <w:rPr>
          <w:b/>
          <w:lang w:eastAsia="en-US"/>
        </w:rPr>
        <w:t>e</w:t>
      </w:r>
      <w:r w:rsidR="00957224" w:rsidRPr="00013786">
        <w:rPr>
          <w:b/>
          <w:lang w:eastAsia="en-US"/>
        </w:rPr>
        <w:t>ntity</w:t>
      </w:r>
      <w:r w:rsidR="00957224">
        <w:rPr>
          <w:lang w:eastAsia="en-US"/>
        </w:rPr>
        <w:t xml:space="preserve"> – identif</w:t>
      </w:r>
      <w:r w:rsidR="00335A67">
        <w:rPr>
          <w:lang w:eastAsia="en-US"/>
        </w:rPr>
        <w:t xml:space="preserve">ies the accounting or </w:t>
      </w:r>
      <w:r w:rsidR="00957224">
        <w:rPr>
          <w:lang w:eastAsia="en-US"/>
        </w:rPr>
        <w:t xml:space="preserve">individual legal </w:t>
      </w:r>
      <w:r w:rsidR="00335A67">
        <w:rPr>
          <w:lang w:eastAsia="en-US"/>
        </w:rPr>
        <w:t>entity</w:t>
      </w:r>
      <w:r w:rsidR="003554BF">
        <w:rPr>
          <w:lang w:eastAsia="en-US"/>
        </w:rPr>
        <w:t>.</w:t>
      </w:r>
      <w:r w:rsidR="005B4B08">
        <w:rPr>
          <w:lang w:eastAsia="en-US"/>
        </w:rPr>
        <w:t xml:space="preserve"> </w:t>
      </w:r>
      <w:r w:rsidR="003554BF">
        <w:rPr>
          <w:lang w:eastAsia="en-US"/>
        </w:rPr>
        <w:t>T</w:t>
      </w:r>
      <w:r w:rsidR="005B4B08">
        <w:rPr>
          <w:lang w:eastAsia="en-US"/>
        </w:rPr>
        <w:t>his segment provides for the ‘sectorisation’ of transactions into government reporting groups (e.g.</w:t>
      </w:r>
      <w:r w:rsidR="00C327F8">
        <w:rPr>
          <w:lang w:eastAsia="en-US"/>
        </w:rPr>
        <w:t xml:space="preserve"> the general g</w:t>
      </w:r>
      <w:r>
        <w:rPr>
          <w:lang w:eastAsia="en-US"/>
        </w:rPr>
        <w:t>overnment sector);</w:t>
      </w:r>
    </w:p>
    <w:p w:rsidR="00957224" w:rsidRDefault="00A80724" w:rsidP="00326EEF">
      <w:pPr>
        <w:pStyle w:val="NormalIndent"/>
        <w:numPr>
          <w:ilvl w:val="0"/>
          <w:numId w:val="21"/>
        </w:numPr>
        <w:spacing w:before="120"/>
        <w:ind w:left="1276" w:hanging="357"/>
        <w:rPr>
          <w:lang w:eastAsia="en-US"/>
        </w:rPr>
      </w:pPr>
      <w:r w:rsidRPr="00013786">
        <w:rPr>
          <w:b/>
          <w:lang w:eastAsia="en-US"/>
        </w:rPr>
        <w:t>a</w:t>
      </w:r>
      <w:r w:rsidR="00957224" w:rsidRPr="00013786">
        <w:rPr>
          <w:b/>
          <w:lang w:eastAsia="en-US"/>
        </w:rPr>
        <w:t xml:space="preserve">ccount </w:t>
      </w:r>
      <w:r w:rsidR="00957224">
        <w:rPr>
          <w:lang w:eastAsia="en-US"/>
        </w:rPr>
        <w:t xml:space="preserve">– </w:t>
      </w:r>
      <w:r w:rsidR="00335A67">
        <w:rPr>
          <w:lang w:eastAsia="en-US"/>
        </w:rPr>
        <w:t>i</w:t>
      </w:r>
      <w:r w:rsidR="00957224">
        <w:rPr>
          <w:lang w:eastAsia="en-US"/>
        </w:rPr>
        <w:t>dentif</w:t>
      </w:r>
      <w:r w:rsidR="00335A67">
        <w:rPr>
          <w:lang w:eastAsia="en-US"/>
        </w:rPr>
        <w:t>ies</w:t>
      </w:r>
      <w:r w:rsidR="00957224">
        <w:rPr>
          <w:lang w:eastAsia="en-US"/>
        </w:rPr>
        <w:t xml:space="preserve"> the transaction type</w:t>
      </w:r>
      <w:r w:rsidR="00335A67">
        <w:rPr>
          <w:lang w:eastAsia="en-US"/>
        </w:rPr>
        <w:t xml:space="preserve"> or nature of each transaction</w:t>
      </w:r>
      <w:r w:rsidR="003554BF">
        <w:rPr>
          <w:lang w:eastAsia="en-US"/>
        </w:rPr>
        <w:t>. T</w:t>
      </w:r>
      <w:r w:rsidR="00335A67">
        <w:rPr>
          <w:lang w:eastAsia="en-US"/>
        </w:rPr>
        <w:t xml:space="preserve">his segment forms the basis of financial </w:t>
      </w:r>
      <w:r w:rsidR="003554BF">
        <w:rPr>
          <w:lang w:eastAsia="en-US"/>
        </w:rPr>
        <w:t xml:space="preserve">(accounting) </w:t>
      </w:r>
      <w:r w:rsidR="00335A67">
        <w:rPr>
          <w:lang w:eastAsia="en-US"/>
        </w:rPr>
        <w:t>statements</w:t>
      </w:r>
      <w:r>
        <w:rPr>
          <w:lang w:eastAsia="en-US"/>
        </w:rPr>
        <w:t>;</w:t>
      </w:r>
    </w:p>
    <w:p w:rsidR="00957224" w:rsidRDefault="00A80724" w:rsidP="00326EEF">
      <w:pPr>
        <w:pStyle w:val="NormalIndent"/>
        <w:numPr>
          <w:ilvl w:val="0"/>
          <w:numId w:val="21"/>
        </w:numPr>
        <w:spacing w:before="120"/>
        <w:ind w:left="1276" w:hanging="357"/>
        <w:rPr>
          <w:lang w:eastAsia="en-US"/>
        </w:rPr>
      </w:pPr>
      <w:r w:rsidRPr="00013786">
        <w:rPr>
          <w:b/>
          <w:lang w:eastAsia="en-US"/>
        </w:rPr>
        <w:t>a</w:t>
      </w:r>
      <w:r w:rsidR="00957224" w:rsidRPr="00013786">
        <w:rPr>
          <w:b/>
          <w:lang w:eastAsia="en-US"/>
        </w:rPr>
        <w:t>uthority</w:t>
      </w:r>
      <w:r w:rsidR="00957224">
        <w:rPr>
          <w:lang w:eastAsia="en-US"/>
        </w:rPr>
        <w:t xml:space="preserve"> – identif</w:t>
      </w:r>
      <w:r w:rsidR="005B4B08">
        <w:rPr>
          <w:lang w:eastAsia="en-US"/>
        </w:rPr>
        <w:t>ies</w:t>
      </w:r>
      <w:r w:rsidR="00957224">
        <w:rPr>
          <w:lang w:eastAsia="en-US"/>
        </w:rPr>
        <w:t xml:space="preserve"> the </w:t>
      </w:r>
      <w:r w:rsidR="005B4B08">
        <w:rPr>
          <w:lang w:eastAsia="en-US"/>
        </w:rPr>
        <w:t xml:space="preserve">legal </w:t>
      </w:r>
      <w:r w:rsidR="00957224">
        <w:rPr>
          <w:lang w:eastAsia="en-US"/>
        </w:rPr>
        <w:t>authority</w:t>
      </w:r>
      <w:r w:rsidR="005B4B08">
        <w:rPr>
          <w:lang w:eastAsia="en-US"/>
        </w:rPr>
        <w:t xml:space="preserve"> for transactions </w:t>
      </w:r>
      <w:r w:rsidR="003554BF">
        <w:rPr>
          <w:lang w:eastAsia="en-US"/>
        </w:rPr>
        <w:t xml:space="preserve">(revenue or expenses) </w:t>
      </w:r>
      <w:r w:rsidR="005B4B08">
        <w:rPr>
          <w:lang w:eastAsia="en-US"/>
        </w:rPr>
        <w:t>within the Public Account (</w:t>
      </w:r>
      <w:r w:rsidR="003554BF">
        <w:rPr>
          <w:lang w:eastAsia="en-US"/>
        </w:rPr>
        <w:t xml:space="preserve">includes the </w:t>
      </w:r>
      <w:r w:rsidR="005B4B08">
        <w:rPr>
          <w:lang w:eastAsia="en-US"/>
        </w:rPr>
        <w:t xml:space="preserve">Consolidated Fund and </w:t>
      </w:r>
      <w:r w:rsidR="003554BF">
        <w:rPr>
          <w:lang w:eastAsia="en-US"/>
        </w:rPr>
        <w:t xml:space="preserve">the </w:t>
      </w:r>
      <w:r w:rsidR="005B4B08">
        <w:rPr>
          <w:lang w:eastAsia="en-US"/>
        </w:rPr>
        <w:t>Trust Fund).</w:t>
      </w:r>
      <w:r w:rsidR="00957224">
        <w:rPr>
          <w:lang w:eastAsia="en-US"/>
        </w:rPr>
        <w:t xml:space="preserve"> </w:t>
      </w:r>
      <w:r w:rsidR="003554BF">
        <w:rPr>
          <w:lang w:eastAsia="en-US"/>
        </w:rPr>
        <w:t xml:space="preserve">This segment forms the basis for </w:t>
      </w:r>
      <w:r>
        <w:rPr>
          <w:lang w:eastAsia="en-US"/>
        </w:rPr>
        <w:t>reporting on the Public Account;</w:t>
      </w:r>
    </w:p>
    <w:p w:rsidR="00DA689B" w:rsidRDefault="00A80724" w:rsidP="00326EEF">
      <w:pPr>
        <w:pStyle w:val="NormalIndent"/>
        <w:numPr>
          <w:ilvl w:val="0"/>
          <w:numId w:val="21"/>
        </w:numPr>
        <w:spacing w:before="120"/>
        <w:ind w:left="1276" w:hanging="357"/>
        <w:rPr>
          <w:lang w:eastAsia="en-US"/>
        </w:rPr>
      </w:pPr>
      <w:r w:rsidRPr="00013786">
        <w:rPr>
          <w:b/>
          <w:lang w:eastAsia="en-US"/>
        </w:rPr>
        <w:t>o</w:t>
      </w:r>
      <w:r w:rsidR="00957224" w:rsidRPr="00013786">
        <w:rPr>
          <w:b/>
          <w:lang w:eastAsia="en-US"/>
        </w:rPr>
        <w:t>utput</w:t>
      </w:r>
      <w:r w:rsidR="00957224">
        <w:rPr>
          <w:lang w:eastAsia="en-US"/>
        </w:rPr>
        <w:t xml:space="preserve"> – </w:t>
      </w:r>
      <w:r w:rsidR="005B4B08">
        <w:rPr>
          <w:lang w:eastAsia="en-US"/>
        </w:rPr>
        <w:t>iden</w:t>
      </w:r>
      <w:r w:rsidR="00957224">
        <w:rPr>
          <w:lang w:eastAsia="en-US"/>
        </w:rPr>
        <w:t>tif</w:t>
      </w:r>
      <w:r w:rsidR="005B4B08">
        <w:rPr>
          <w:lang w:eastAsia="en-US"/>
        </w:rPr>
        <w:t>ies the</w:t>
      </w:r>
      <w:r w:rsidR="00957224">
        <w:rPr>
          <w:lang w:eastAsia="en-US"/>
        </w:rPr>
        <w:t xml:space="preserve"> services or tasks being undertaken in</w:t>
      </w:r>
      <w:r w:rsidR="005B4B08">
        <w:rPr>
          <w:lang w:eastAsia="en-US"/>
        </w:rPr>
        <w:t xml:space="preserve"> the delivery of agreed</w:t>
      </w:r>
      <w:r w:rsidR="00957224">
        <w:rPr>
          <w:lang w:eastAsia="en-US"/>
        </w:rPr>
        <w:t xml:space="preserve"> outputs.</w:t>
      </w:r>
      <w:r w:rsidR="003554BF">
        <w:rPr>
          <w:lang w:eastAsia="en-US"/>
        </w:rPr>
        <w:t xml:space="preserve"> This segment provides information for performance and service delivery reporting requirements</w:t>
      </w:r>
      <w:r>
        <w:rPr>
          <w:lang w:eastAsia="en-US"/>
        </w:rPr>
        <w:t>; and</w:t>
      </w:r>
    </w:p>
    <w:p w:rsidR="00406234" w:rsidRDefault="00A80724" w:rsidP="00326EEF">
      <w:pPr>
        <w:pStyle w:val="NormalIndent"/>
        <w:numPr>
          <w:ilvl w:val="0"/>
          <w:numId w:val="21"/>
        </w:numPr>
        <w:spacing w:before="120"/>
        <w:ind w:left="1276" w:hanging="357"/>
        <w:rPr>
          <w:lang w:eastAsia="en-US"/>
        </w:rPr>
      </w:pPr>
      <w:r w:rsidRPr="00013786">
        <w:rPr>
          <w:b/>
          <w:lang w:eastAsia="en-US"/>
        </w:rPr>
        <w:t>r</w:t>
      </w:r>
      <w:r w:rsidR="002B0BBD" w:rsidRPr="00013786">
        <w:rPr>
          <w:b/>
          <w:lang w:eastAsia="en-US"/>
        </w:rPr>
        <w:t xml:space="preserve">elated </w:t>
      </w:r>
      <w:r w:rsidRPr="00013786">
        <w:rPr>
          <w:b/>
          <w:lang w:eastAsia="en-US"/>
        </w:rPr>
        <w:t>p</w:t>
      </w:r>
      <w:r w:rsidR="002B0BBD" w:rsidRPr="00013786">
        <w:rPr>
          <w:b/>
          <w:lang w:eastAsia="en-US"/>
        </w:rPr>
        <w:t>arty</w:t>
      </w:r>
      <w:r w:rsidR="002B0BBD">
        <w:rPr>
          <w:lang w:eastAsia="en-US"/>
        </w:rPr>
        <w:t xml:space="preserve"> – identifies the counterparty to a transaction </w:t>
      </w:r>
      <w:r w:rsidR="00DB1075">
        <w:rPr>
          <w:lang w:eastAsia="en-US"/>
        </w:rPr>
        <w:t>within</w:t>
      </w:r>
      <w:r w:rsidR="002B0BBD">
        <w:rPr>
          <w:lang w:eastAsia="en-US"/>
        </w:rPr>
        <w:t xml:space="preserve"> </w:t>
      </w:r>
      <w:r w:rsidR="00DB1075">
        <w:rPr>
          <w:lang w:eastAsia="en-US"/>
        </w:rPr>
        <w:t>government</w:t>
      </w:r>
      <w:r w:rsidR="002B0BBD">
        <w:rPr>
          <w:lang w:eastAsia="en-US"/>
        </w:rPr>
        <w:t>.</w:t>
      </w:r>
    </w:p>
    <w:p w:rsidR="009B76E1" w:rsidRDefault="009B76E1" w:rsidP="009B76E1">
      <w:pPr>
        <w:pStyle w:val="Heading4indent"/>
      </w:pPr>
      <w:r>
        <w:t>The Whole of Government Chart of Accounts project</w:t>
      </w:r>
    </w:p>
    <w:p w:rsidR="00DB1075" w:rsidRDefault="002010BC" w:rsidP="00013786">
      <w:pPr>
        <w:pStyle w:val="NormalIndent"/>
        <w:rPr>
          <w:lang w:eastAsia="en-US"/>
        </w:rPr>
      </w:pPr>
      <w:r>
        <w:rPr>
          <w:lang w:eastAsia="en-US"/>
        </w:rPr>
        <w:t xml:space="preserve">Most </w:t>
      </w:r>
      <w:r w:rsidR="007C6CCA">
        <w:rPr>
          <w:lang w:eastAsia="en-US"/>
        </w:rPr>
        <w:t>d</w:t>
      </w:r>
      <w:r>
        <w:rPr>
          <w:lang w:eastAsia="en-US"/>
        </w:rPr>
        <w:t xml:space="preserve">epartments have had their own separate and distinct charts of accounts, which </w:t>
      </w:r>
      <w:r w:rsidR="00122D91">
        <w:rPr>
          <w:lang w:eastAsia="en-US"/>
        </w:rPr>
        <w:t xml:space="preserve">have </w:t>
      </w:r>
      <w:r>
        <w:rPr>
          <w:lang w:eastAsia="en-US"/>
        </w:rPr>
        <w:t>map</w:t>
      </w:r>
      <w:r w:rsidR="00122D91">
        <w:rPr>
          <w:lang w:eastAsia="en-US"/>
        </w:rPr>
        <w:t>ped</w:t>
      </w:r>
      <w:r>
        <w:rPr>
          <w:lang w:eastAsia="en-US"/>
        </w:rPr>
        <w:t xml:space="preserve"> into the </w:t>
      </w:r>
      <w:proofErr w:type="spellStart"/>
      <w:r>
        <w:rPr>
          <w:lang w:eastAsia="en-US"/>
        </w:rPr>
        <w:t>VGCoA</w:t>
      </w:r>
      <w:proofErr w:type="spellEnd"/>
      <w:r w:rsidR="00122D91">
        <w:rPr>
          <w:lang w:eastAsia="en-US"/>
        </w:rPr>
        <w:t xml:space="preserve">. This approach has had its limitations, with the lack of consistency between </w:t>
      </w:r>
      <w:r w:rsidR="007C6CCA">
        <w:rPr>
          <w:lang w:eastAsia="en-US"/>
        </w:rPr>
        <w:t>d</w:t>
      </w:r>
      <w:r w:rsidR="00122D91">
        <w:rPr>
          <w:lang w:eastAsia="en-US"/>
        </w:rPr>
        <w:t xml:space="preserve">epartments being a significant issue when machinery of government changes </w:t>
      </w:r>
      <w:proofErr w:type="gramStart"/>
      <w:r w:rsidR="00122D91">
        <w:rPr>
          <w:lang w:eastAsia="en-US"/>
        </w:rPr>
        <w:t>occur</w:t>
      </w:r>
      <w:proofErr w:type="gramEnd"/>
      <w:r w:rsidR="00122D91">
        <w:rPr>
          <w:lang w:eastAsia="en-US"/>
        </w:rPr>
        <w:t xml:space="preserve">. The inconsistency also has </w:t>
      </w:r>
      <w:r w:rsidR="00083A12">
        <w:rPr>
          <w:lang w:eastAsia="en-US"/>
        </w:rPr>
        <w:t>meant additional training costs when fin</w:t>
      </w:r>
      <w:r w:rsidR="00122D91">
        <w:rPr>
          <w:lang w:eastAsia="en-US"/>
        </w:rPr>
        <w:t xml:space="preserve">ancial professionals move between </w:t>
      </w:r>
      <w:r w:rsidR="007C6CCA">
        <w:rPr>
          <w:lang w:eastAsia="en-US"/>
        </w:rPr>
        <w:t>d</w:t>
      </w:r>
      <w:r w:rsidR="00122D91">
        <w:rPr>
          <w:lang w:eastAsia="en-US"/>
        </w:rPr>
        <w:t>epartments.</w:t>
      </w:r>
    </w:p>
    <w:p w:rsidR="009B76E1" w:rsidRDefault="00083A12" w:rsidP="00013786">
      <w:pPr>
        <w:pStyle w:val="NormalIndent"/>
        <w:rPr>
          <w:lang w:eastAsia="en-US"/>
        </w:rPr>
      </w:pPr>
      <w:r>
        <w:rPr>
          <w:lang w:eastAsia="en-US"/>
        </w:rPr>
        <w:t xml:space="preserve">After extensive consultation, final </w:t>
      </w:r>
      <w:r w:rsidR="009B76E1" w:rsidRPr="009B76E1">
        <w:rPr>
          <w:lang w:eastAsia="en-US"/>
        </w:rPr>
        <w:t xml:space="preserve">agreement was </w:t>
      </w:r>
      <w:r>
        <w:rPr>
          <w:lang w:eastAsia="en-US"/>
        </w:rPr>
        <w:t xml:space="preserve">reached in July 2016 </w:t>
      </w:r>
      <w:r w:rsidR="009B76E1" w:rsidRPr="009B76E1">
        <w:rPr>
          <w:lang w:eastAsia="en-US"/>
        </w:rPr>
        <w:t xml:space="preserve">by </w:t>
      </w:r>
      <w:r w:rsidR="007C6CCA">
        <w:rPr>
          <w:lang w:eastAsia="en-US"/>
        </w:rPr>
        <w:t>d</w:t>
      </w:r>
      <w:r w:rsidR="009B76E1" w:rsidRPr="009B76E1">
        <w:rPr>
          <w:lang w:eastAsia="en-US"/>
        </w:rPr>
        <w:t xml:space="preserve">epartmental </w:t>
      </w:r>
      <w:r w:rsidR="000E2A89">
        <w:rPr>
          <w:lang w:eastAsia="en-US"/>
        </w:rPr>
        <w:t>CFOs</w:t>
      </w:r>
      <w:r w:rsidR="009B76E1" w:rsidRPr="009B76E1">
        <w:rPr>
          <w:lang w:eastAsia="en-US"/>
        </w:rPr>
        <w:t xml:space="preserve"> on the </w:t>
      </w:r>
      <w:r>
        <w:rPr>
          <w:lang w:eastAsia="en-US"/>
        </w:rPr>
        <w:t>design and implementation of a</w:t>
      </w:r>
      <w:r w:rsidR="009B76E1" w:rsidRPr="009B76E1">
        <w:rPr>
          <w:lang w:eastAsia="en-US"/>
        </w:rPr>
        <w:t xml:space="preserve"> </w:t>
      </w:r>
      <w:r w:rsidR="00AD3261">
        <w:rPr>
          <w:lang w:eastAsia="en-US"/>
        </w:rPr>
        <w:t>c</w:t>
      </w:r>
      <w:r w:rsidR="009B76E1" w:rsidRPr="009B76E1">
        <w:rPr>
          <w:lang w:eastAsia="en-US"/>
        </w:rPr>
        <w:t xml:space="preserve">ommon </w:t>
      </w:r>
      <w:r w:rsidR="007C6CCA">
        <w:rPr>
          <w:lang w:eastAsia="en-US"/>
        </w:rPr>
        <w:t>de</w:t>
      </w:r>
      <w:r w:rsidR="009B76E1" w:rsidRPr="009B76E1">
        <w:rPr>
          <w:lang w:eastAsia="en-US"/>
        </w:rPr>
        <w:t>partmental Chart of Accounts</w:t>
      </w:r>
      <w:r w:rsidR="00AD3261">
        <w:rPr>
          <w:lang w:eastAsia="en-US"/>
        </w:rPr>
        <w:t xml:space="preserve">, mandating </w:t>
      </w:r>
      <w:r>
        <w:rPr>
          <w:lang w:eastAsia="en-US"/>
        </w:rPr>
        <w:t>the four segments of:</w:t>
      </w:r>
    </w:p>
    <w:p w:rsidR="00083A12" w:rsidRPr="00AA6E9C" w:rsidRDefault="00083A12" w:rsidP="003562F9">
      <w:pPr>
        <w:pStyle w:val="Bulletindent"/>
      </w:pPr>
      <w:r>
        <w:t>entity</w:t>
      </w:r>
      <w:r w:rsidR="000E2A89">
        <w:t>;</w:t>
      </w:r>
    </w:p>
    <w:p w:rsidR="00083A12" w:rsidRPr="00AA6E9C" w:rsidRDefault="00083A12" w:rsidP="003562F9">
      <w:pPr>
        <w:pStyle w:val="Bulletindent"/>
      </w:pPr>
      <w:r>
        <w:t>account</w:t>
      </w:r>
      <w:r w:rsidR="000E2A89">
        <w:t>;</w:t>
      </w:r>
    </w:p>
    <w:p w:rsidR="00083A12" w:rsidRPr="00AA6E9C" w:rsidRDefault="00F27BDB" w:rsidP="003562F9">
      <w:pPr>
        <w:pStyle w:val="Bulletindent"/>
      </w:pPr>
      <w:r>
        <w:t>authority</w:t>
      </w:r>
      <w:r w:rsidR="000E2A89">
        <w:t>;</w:t>
      </w:r>
      <w:r>
        <w:t xml:space="preserve"> and</w:t>
      </w:r>
    </w:p>
    <w:p w:rsidR="00083A12" w:rsidRPr="00AA6E9C" w:rsidRDefault="00083A12" w:rsidP="003562F9">
      <w:pPr>
        <w:pStyle w:val="Bulletindent"/>
      </w:pPr>
      <w:r>
        <w:t>o</w:t>
      </w:r>
      <w:r w:rsidRPr="00AA6E9C">
        <w:t>utput</w:t>
      </w:r>
      <w:r>
        <w:t>.</w:t>
      </w:r>
    </w:p>
    <w:p w:rsidR="004F4803" w:rsidRPr="00AA6E9C" w:rsidRDefault="00AD3261" w:rsidP="004F4803">
      <w:pPr>
        <w:pStyle w:val="NormalIndent"/>
        <w:rPr>
          <w:lang w:eastAsia="en-US"/>
        </w:rPr>
      </w:pPr>
      <w:r>
        <w:rPr>
          <w:lang w:eastAsia="en-US"/>
        </w:rPr>
        <w:t xml:space="preserve">In addition, </w:t>
      </w:r>
      <w:r w:rsidR="007C6CCA">
        <w:rPr>
          <w:lang w:eastAsia="en-US"/>
        </w:rPr>
        <w:t>d</w:t>
      </w:r>
      <w:r w:rsidR="004F4803">
        <w:rPr>
          <w:lang w:eastAsia="en-US"/>
        </w:rPr>
        <w:t>epartments</w:t>
      </w:r>
      <w:r w:rsidR="00775667">
        <w:rPr>
          <w:lang w:eastAsia="en-US"/>
        </w:rPr>
        <w:t xml:space="preserve"> are also required to adopt these </w:t>
      </w:r>
      <w:r>
        <w:rPr>
          <w:lang w:eastAsia="en-US"/>
        </w:rPr>
        <w:t xml:space="preserve">business-specific </w:t>
      </w:r>
      <w:r w:rsidR="00775667">
        <w:rPr>
          <w:lang w:eastAsia="en-US"/>
        </w:rPr>
        <w:t>segments:</w:t>
      </w:r>
    </w:p>
    <w:p w:rsidR="00AA6E9C" w:rsidRPr="00AA6E9C" w:rsidRDefault="00083A12" w:rsidP="003562F9">
      <w:pPr>
        <w:pStyle w:val="Bulletindent"/>
        <w:rPr>
          <w:lang w:eastAsia="en-US"/>
        </w:rPr>
      </w:pPr>
      <w:r>
        <w:rPr>
          <w:lang w:eastAsia="en-US"/>
        </w:rPr>
        <w:t>cost centre</w:t>
      </w:r>
      <w:r w:rsidR="000E2A89">
        <w:rPr>
          <w:lang w:eastAsia="en-US"/>
        </w:rPr>
        <w:t xml:space="preserve"> – identifies management/</w:t>
      </w:r>
      <w:r w:rsidR="004F4803">
        <w:rPr>
          <w:lang w:eastAsia="en-US"/>
        </w:rPr>
        <w:t>budget responsibility business units, or physical locations</w:t>
      </w:r>
      <w:r w:rsidR="00AE3F88">
        <w:rPr>
          <w:lang w:eastAsia="en-US"/>
        </w:rPr>
        <w:t>; and</w:t>
      </w:r>
    </w:p>
    <w:p w:rsidR="00AA6E9C" w:rsidRPr="00AA6E9C" w:rsidRDefault="00083A12" w:rsidP="003562F9">
      <w:pPr>
        <w:pStyle w:val="Bulletindent"/>
        <w:rPr>
          <w:lang w:eastAsia="en-US"/>
        </w:rPr>
      </w:pPr>
      <w:r>
        <w:rPr>
          <w:lang w:eastAsia="en-US"/>
        </w:rPr>
        <w:t>p</w:t>
      </w:r>
      <w:r w:rsidR="00AA6E9C" w:rsidRPr="00AA6E9C">
        <w:rPr>
          <w:lang w:eastAsia="en-US"/>
        </w:rPr>
        <w:t xml:space="preserve">roject </w:t>
      </w:r>
      <w:r w:rsidR="004F4803">
        <w:rPr>
          <w:lang w:eastAsia="en-US"/>
        </w:rPr>
        <w:t>– identifies a temporary set of tasks or initiatives, may be used for asset projects in reporting to DTF</w:t>
      </w:r>
      <w:r w:rsidR="00AE3F88">
        <w:rPr>
          <w:lang w:eastAsia="en-US"/>
        </w:rPr>
        <w:t>.</w:t>
      </w:r>
    </w:p>
    <w:p w:rsidR="00AA6E9C" w:rsidRDefault="00775667" w:rsidP="00013786">
      <w:pPr>
        <w:pStyle w:val="NormalIndent"/>
        <w:rPr>
          <w:lang w:eastAsia="en-US"/>
        </w:rPr>
      </w:pPr>
      <w:r>
        <w:rPr>
          <w:lang w:eastAsia="en-US"/>
        </w:rPr>
        <w:t>T</w:t>
      </w:r>
      <w:r w:rsidR="00AA6E9C" w:rsidRPr="00AA6E9C">
        <w:rPr>
          <w:lang w:eastAsia="en-US"/>
        </w:rPr>
        <w:t>h</w:t>
      </w:r>
      <w:r w:rsidR="00083A12">
        <w:rPr>
          <w:lang w:eastAsia="en-US"/>
        </w:rPr>
        <w:t>ese segments are not required to be mapped in</w:t>
      </w:r>
      <w:r w:rsidR="00AA6E9C" w:rsidRPr="00AA6E9C">
        <w:rPr>
          <w:lang w:eastAsia="en-US"/>
        </w:rPr>
        <w:t xml:space="preserve"> SRIMS</w:t>
      </w:r>
      <w:r>
        <w:rPr>
          <w:lang w:eastAsia="en-US"/>
        </w:rPr>
        <w:t>. However</w:t>
      </w:r>
      <w:r w:rsidR="00083A12">
        <w:rPr>
          <w:lang w:eastAsia="en-US"/>
        </w:rPr>
        <w:t>,</w:t>
      </w:r>
      <w:r w:rsidR="00AA6E9C" w:rsidRPr="00AA6E9C">
        <w:rPr>
          <w:lang w:eastAsia="en-US"/>
        </w:rPr>
        <w:t xml:space="preserve"> these segments underpin </w:t>
      </w:r>
      <w:r w:rsidR="007C6CCA">
        <w:rPr>
          <w:lang w:eastAsia="en-US"/>
        </w:rPr>
        <w:t>d</w:t>
      </w:r>
      <w:r w:rsidR="00AA6E9C" w:rsidRPr="00AA6E9C">
        <w:rPr>
          <w:lang w:eastAsia="en-US"/>
        </w:rPr>
        <w:t>epartment</w:t>
      </w:r>
      <w:r w:rsidR="00083A12">
        <w:rPr>
          <w:lang w:eastAsia="en-US"/>
        </w:rPr>
        <w:t>al</w:t>
      </w:r>
      <w:r w:rsidR="00AA6E9C" w:rsidRPr="00AA6E9C">
        <w:rPr>
          <w:lang w:eastAsia="en-US"/>
        </w:rPr>
        <w:t xml:space="preserve"> management reporting</w:t>
      </w:r>
      <w:r>
        <w:rPr>
          <w:lang w:eastAsia="en-US"/>
        </w:rPr>
        <w:t xml:space="preserve">, and </w:t>
      </w:r>
      <w:r w:rsidR="00083A12">
        <w:rPr>
          <w:lang w:eastAsia="en-US"/>
        </w:rPr>
        <w:t>support</w:t>
      </w:r>
      <w:r>
        <w:rPr>
          <w:lang w:eastAsia="en-US"/>
        </w:rPr>
        <w:t>s</w:t>
      </w:r>
      <w:r w:rsidR="00083A12">
        <w:rPr>
          <w:lang w:eastAsia="en-US"/>
        </w:rPr>
        <w:t xml:space="preserve"> </w:t>
      </w:r>
      <w:r>
        <w:rPr>
          <w:lang w:eastAsia="en-US"/>
        </w:rPr>
        <w:t>easier</w:t>
      </w:r>
      <w:r w:rsidR="00083A12">
        <w:rPr>
          <w:lang w:eastAsia="en-US"/>
        </w:rPr>
        <w:t xml:space="preserve"> data transfers </w:t>
      </w:r>
      <w:r>
        <w:rPr>
          <w:lang w:eastAsia="en-US"/>
        </w:rPr>
        <w:t>in the event of an</w:t>
      </w:r>
      <w:r w:rsidR="00083A12">
        <w:rPr>
          <w:lang w:eastAsia="en-US"/>
        </w:rPr>
        <w:t>y machinery of government</w:t>
      </w:r>
      <w:r w:rsidR="00AA6E9C" w:rsidRPr="00AA6E9C">
        <w:rPr>
          <w:lang w:eastAsia="en-US"/>
        </w:rPr>
        <w:t xml:space="preserve"> changes</w:t>
      </w:r>
      <w:r>
        <w:rPr>
          <w:lang w:eastAsia="en-US"/>
        </w:rPr>
        <w:t>.</w:t>
      </w:r>
    </w:p>
    <w:p w:rsidR="00AA6E9C" w:rsidRPr="00013786" w:rsidRDefault="00775667" w:rsidP="00013786">
      <w:pPr>
        <w:pStyle w:val="NormalIndent"/>
        <w:rPr>
          <w:lang w:eastAsia="en-US"/>
        </w:rPr>
      </w:pPr>
      <w:r>
        <w:rPr>
          <w:lang w:eastAsia="en-US"/>
        </w:rPr>
        <w:t xml:space="preserve">The following table summarises the </w:t>
      </w:r>
      <w:r w:rsidR="00F27BDB">
        <w:rPr>
          <w:lang w:eastAsia="en-US"/>
        </w:rPr>
        <w:t>Whole of Government Chart of Accounts project</w:t>
      </w:r>
      <w:r>
        <w:rPr>
          <w:lang w:eastAsia="en-US"/>
        </w:rPr>
        <w:t>:</w:t>
      </w:r>
    </w:p>
    <w:tbl>
      <w:tblPr>
        <w:tblStyle w:val="DTFtexttableindent"/>
        <w:tblW w:w="7921" w:type="dxa"/>
        <w:tblLayout w:type="fixed"/>
        <w:tblLook w:val="0620" w:firstRow="1" w:lastRow="0" w:firstColumn="0" w:lastColumn="0" w:noHBand="1" w:noVBand="1"/>
      </w:tblPr>
      <w:tblGrid>
        <w:gridCol w:w="1306"/>
        <w:gridCol w:w="1890"/>
        <w:gridCol w:w="2700"/>
        <w:gridCol w:w="2025"/>
      </w:tblGrid>
      <w:tr w:rsidR="00A80724" w:rsidRPr="00AA6E9C" w:rsidTr="003562F9">
        <w:trPr>
          <w:cnfStyle w:val="100000000000" w:firstRow="1" w:lastRow="0" w:firstColumn="0" w:lastColumn="0" w:oddVBand="0" w:evenVBand="0" w:oddHBand="0" w:evenHBand="0" w:firstRowFirstColumn="0" w:firstRowLastColumn="0" w:lastRowFirstColumn="0" w:lastRowLastColumn="0"/>
          <w:trHeight w:val="464"/>
        </w:trPr>
        <w:tc>
          <w:tcPr>
            <w:tcW w:w="1306" w:type="dxa"/>
          </w:tcPr>
          <w:p w:rsidR="00775667" w:rsidRPr="00AA6E9C" w:rsidRDefault="00775667" w:rsidP="003562F9">
            <w:pPr>
              <w:pStyle w:val="Tableheader"/>
              <w:rPr>
                <w:b w:val="0"/>
              </w:rPr>
            </w:pPr>
            <w:r w:rsidRPr="00AA6E9C">
              <w:t>Segment</w:t>
            </w:r>
          </w:p>
        </w:tc>
        <w:tc>
          <w:tcPr>
            <w:tcW w:w="1890" w:type="dxa"/>
          </w:tcPr>
          <w:p w:rsidR="00775667" w:rsidRDefault="00775667" w:rsidP="003562F9">
            <w:pPr>
              <w:pStyle w:val="Tableheader"/>
              <w:jc w:val="center"/>
              <w:rPr>
                <w:b w:val="0"/>
              </w:rPr>
            </w:pPr>
            <w:r>
              <w:t>Segment length (characters)</w:t>
            </w:r>
          </w:p>
        </w:tc>
        <w:tc>
          <w:tcPr>
            <w:tcW w:w="2700" w:type="dxa"/>
          </w:tcPr>
          <w:p w:rsidR="00775667" w:rsidRPr="00AA6E9C" w:rsidRDefault="00775667" w:rsidP="003562F9">
            <w:pPr>
              <w:pStyle w:val="Tableheader"/>
              <w:rPr>
                <w:b w:val="0"/>
              </w:rPr>
            </w:pPr>
            <w:r>
              <w:t>Requirement to adopt</w:t>
            </w:r>
          </w:p>
        </w:tc>
        <w:tc>
          <w:tcPr>
            <w:tcW w:w="2025" w:type="dxa"/>
          </w:tcPr>
          <w:p w:rsidR="00775667" w:rsidRPr="00AA6E9C" w:rsidRDefault="00775667" w:rsidP="003562F9">
            <w:pPr>
              <w:pStyle w:val="Tableheader"/>
              <w:rPr>
                <w:b w:val="0"/>
              </w:rPr>
            </w:pPr>
            <w:r>
              <w:t>Mapping to SRIMS</w:t>
            </w:r>
          </w:p>
        </w:tc>
      </w:tr>
      <w:tr w:rsidR="00A80724" w:rsidRPr="00AA6E9C" w:rsidTr="003562F9">
        <w:trPr>
          <w:trHeight w:val="20"/>
        </w:trPr>
        <w:tc>
          <w:tcPr>
            <w:tcW w:w="1306" w:type="dxa"/>
          </w:tcPr>
          <w:p w:rsidR="00775667" w:rsidRPr="00AA6E9C" w:rsidRDefault="00775667" w:rsidP="003562F9">
            <w:pPr>
              <w:spacing w:before="100"/>
            </w:pPr>
            <w:r w:rsidRPr="00AA6E9C">
              <w:t>Entity</w:t>
            </w:r>
          </w:p>
        </w:tc>
        <w:tc>
          <w:tcPr>
            <w:tcW w:w="1890" w:type="dxa"/>
          </w:tcPr>
          <w:p w:rsidR="00775667" w:rsidRDefault="00775667" w:rsidP="003562F9">
            <w:pPr>
              <w:spacing w:before="100"/>
              <w:jc w:val="center"/>
            </w:pPr>
            <w:r>
              <w:t>3</w:t>
            </w:r>
          </w:p>
        </w:tc>
        <w:tc>
          <w:tcPr>
            <w:tcW w:w="2700" w:type="dxa"/>
          </w:tcPr>
          <w:p w:rsidR="00775667" w:rsidRPr="00AA6E9C" w:rsidRDefault="00775667" w:rsidP="003562F9">
            <w:pPr>
              <w:spacing w:before="100"/>
            </w:pPr>
            <w:r>
              <w:t>Mandatory</w:t>
            </w:r>
          </w:p>
        </w:tc>
        <w:tc>
          <w:tcPr>
            <w:tcW w:w="2025" w:type="dxa"/>
          </w:tcPr>
          <w:p w:rsidR="00775667" w:rsidRPr="00AA6E9C" w:rsidRDefault="00775667" w:rsidP="003562F9">
            <w:pPr>
              <w:spacing w:before="100"/>
            </w:pPr>
            <w:r>
              <w:t>Mandatory</w:t>
            </w:r>
          </w:p>
        </w:tc>
      </w:tr>
      <w:tr w:rsidR="00A80724" w:rsidRPr="00AA6E9C" w:rsidTr="003562F9">
        <w:trPr>
          <w:trHeight w:val="20"/>
        </w:trPr>
        <w:tc>
          <w:tcPr>
            <w:tcW w:w="1306" w:type="dxa"/>
          </w:tcPr>
          <w:p w:rsidR="00775667" w:rsidRPr="00AA6E9C" w:rsidRDefault="00775667" w:rsidP="003562F9">
            <w:pPr>
              <w:spacing w:before="100"/>
            </w:pPr>
            <w:r w:rsidRPr="00AA6E9C">
              <w:t>Authority</w:t>
            </w:r>
          </w:p>
        </w:tc>
        <w:tc>
          <w:tcPr>
            <w:tcW w:w="1890" w:type="dxa"/>
          </w:tcPr>
          <w:p w:rsidR="00775667" w:rsidRDefault="00775667" w:rsidP="003562F9">
            <w:pPr>
              <w:spacing w:before="100"/>
              <w:jc w:val="center"/>
            </w:pPr>
            <w:r>
              <w:t>5</w:t>
            </w:r>
          </w:p>
        </w:tc>
        <w:tc>
          <w:tcPr>
            <w:tcW w:w="2700" w:type="dxa"/>
          </w:tcPr>
          <w:p w:rsidR="00775667" w:rsidRPr="00AA6E9C" w:rsidRDefault="00775667" w:rsidP="003562F9">
            <w:pPr>
              <w:spacing w:before="100"/>
            </w:pPr>
            <w:r>
              <w:t>Mandatory</w:t>
            </w:r>
          </w:p>
        </w:tc>
        <w:tc>
          <w:tcPr>
            <w:tcW w:w="2025" w:type="dxa"/>
          </w:tcPr>
          <w:p w:rsidR="00775667" w:rsidRPr="00AA6E9C" w:rsidRDefault="00775667" w:rsidP="003562F9">
            <w:pPr>
              <w:spacing w:before="100"/>
            </w:pPr>
            <w:r>
              <w:t>Mandatory</w:t>
            </w:r>
          </w:p>
        </w:tc>
      </w:tr>
      <w:tr w:rsidR="00A80724" w:rsidRPr="00AA6E9C" w:rsidTr="003562F9">
        <w:trPr>
          <w:trHeight w:val="20"/>
        </w:trPr>
        <w:tc>
          <w:tcPr>
            <w:tcW w:w="1306" w:type="dxa"/>
          </w:tcPr>
          <w:p w:rsidR="00775667" w:rsidRPr="00AA6E9C" w:rsidRDefault="00775667" w:rsidP="003562F9">
            <w:pPr>
              <w:spacing w:before="100"/>
            </w:pPr>
            <w:r w:rsidRPr="00AA6E9C">
              <w:t>Account</w:t>
            </w:r>
          </w:p>
        </w:tc>
        <w:tc>
          <w:tcPr>
            <w:tcW w:w="1890" w:type="dxa"/>
          </w:tcPr>
          <w:p w:rsidR="00775667" w:rsidRDefault="00775667" w:rsidP="003562F9">
            <w:pPr>
              <w:spacing w:before="100"/>
              <w:jc w:val="center"/>
            </w:pPr>
            <w:r>
              <w:t>4</w:t>
            </w:r>
          </w:p>
        </w:tc>
        <w:tc>
          <w:tcPr>
            <w:tcW w:w="2700" w:type="dxa"/>
          </w:tcPr>
          <w:p w:rsidR="00775667" w:rsidRPr="00AA6E9C" w:rsidRDefault="00775667" w:rsidP="003562F9">
            <w:pPr>
              <w:spacing w:before="100"/>
            </w:pPr>
            <w:r>
              <w:t>Mandatory</w:t>
            </w:r>
          </w:p>
        </w:tc>
        <w:tc>
          <w:tcPr>
            <w:tcW w:w="2025" w:type="dxa"/>
          </w:tcPr>
          <w:p w:rsidR="00775667" w:rsidRPr="00AA6E9C" w:rsidRDefault="00775667" w:rsidP="003562F9">
            <w:pPr>
              <w:spacing w:before="100"/>
            </w:pPr>
            <w:r>
              <w:t>Mandatory</w:t>
            </w:r>
          </w:p>
        </w:tc>
      </w:tr>
      <w:tr w:rsidR="00A80724" w:rsidRPr="00AA6E9C" w:rsidTr="003562F9">
        <w:trPr>
          <w:trHeight w:val="117"/>
        </w:trPr>
        <w:tc>
          <w:tcPr>
            <w:tcW w:w="1306" w:type="dxa"/>
          </w:tcPr>
          <w:p w:rsidR="00775667" w:rsidRPr="00AA6E9C" w:rsidRDefault="00775667" w:rsidP="003562F9">
            <w:pPr>
              <w:spacing w:before="100"/>
            </w:pPr>
            <w:r w:rsidRPr="00AA6E9C">
              <w:t>Output</w:t>
            </w:r>
          </w:p>
        </w:tc>
        <w:tc>
          <w:tcPr>
            <w:tcW w:w="1890" w:type="dxa"/>
          </w:tcPr>
          <w:p w:rsidR="00775667" w:rsidRDefault="00775667" w:rsidP="003562F9">
            <w:pPr>
              <w:spacing w:before="100"/>
              <w:jc w:val="center"/>
            </w:pPr>
            <w:r>
              <w:t>5</w:t>
            </w:r>
          </w:p>
        </w:tc>
        <w:tc>
          <w:tcPr>
            <w:tcW w:w="2700" w:type="dxa"/>
          </w:tcPr>
          <w:p w:rsidR="00775667" w:rsidRPr="00AA6E9C" w:rsidRDefault="00775667" w:rsidP="003562F9">
            <w:pPr>
              <w:spacing w:before="100"/>
            </w:pPr>
            <w:r>
              <w:t>Mandatory</w:t>
            </w:r>
          </w:p>
        </w:tc>
        <w:tc>
          <w:tcPr>
            <w:tcW w:w="2025" w:type="dxa"/>
          </w:tcPr>
          <w:p w:rsidR="00775667" w:rsidRPr="00AA6E9C" w:rsidRDefault="00775667" w:rsidP="003562F9">
            <w:pPr>
              <w:spacing w:before="100"/>
            </w:pPr>
            <w:r>
              <w:t>Mandatory</w:t>
            </w:r>
          </w:p>
        </w:tc>
      </w:tr>
      <w:tr w:rsidR="00A80724" w:rsidRPr="00AA6E9C" w:rsidTr="003562F9">
        <w:trPr>
          <w:trHeight w:val="20"/>
        </w:trPr>
        <w:tc>
          <w:tcPr>
            <w:tcW w:w="1306" w:type="dxa"/>
          </w:tcPr>
          <w:p w:rsidR="00775667" w:rsidRPr="00AA6E9C" w:rsidRDefault="000E2A89" w:rsidP="003562F9">
            <w:pPr>
              <w:spacing w:before="100"/>
            </w:pPr>
            <w:r>
              <w:t>Cost c</w:t>
            </w:r>
            <w:r w:rsidR="00775667">
              <w:t>entre</w:t>
            </w:r>
          </w:p>
        </w:tc>
        <w:tc>
          <w:tcPr>
            <w:tcW w:w="1890" w:type="dxa"/>
          </w:tcPr>
          <w:p w:rsidR="00775667" w:rsidRDefault="00775667" w:rsidP="003562F9">
            <w:pPr>
              <w:spacing w:before="100"/>
              <w:jc w:val="center"/>
            </w:pPr>
            <w:r>
              <w:t>4</w:t>
            </w:r>
          </w:p>
        </w:tc>
        <w:tc>
          <w:tcPr>
            <w:tcW w:w="2700" w:type="dxa"/>
          </w:tcPr>
          <w:p w:rsidR="00775667" w:rsidRPr="00AA6E9C" w:rsidRDefault="00775667" w:rsidP="003562F9">
            <w:pPr>
              <w:spacing w:before="100"/>
            </w:pPr>
            <w:r>
              <w:t>Mandatory</w:t>
            </w:r>
          </w:p>
        </w:tc>
        <w:tc>
          <w:tcPr>
            <w:tcW w:w="2025" w:type="dxa"/>
          </w:tcPr>
          <w:p w:rsidR="00775667" w:rsidRPr="00AA6E9C" w:rsidRDefault="00775667" w:rsidP="003562F9">
            <w:pPr>
              <w:spacing w:before="100"/>
            </w:pPr>
            <w:r>
              <w:t>Not required</w:t>
            </w:r>
          </w:p>
        </w:tc>
      </w:tr>
      <w:tr w:rsidR="00A80724" w:rsidRPr="00AA6E9C" w:rsidTr="003562F9">
        <w:trPr>
          <w:trHeight w:val="57"/>
        </w:trPr>
        <w:tc>
          <w:tcPr>
            <w:tcW w:w="1306" w:type="dxa"/>
          </w:tcPr>
          <w:p w:rsidR="00775667" w:rsidRPr="00AA6E9C" w:rsidRDefault="00775667" w:rsidP="003562F9">
            <w:pPr>
              <w:spacing w:before="100"/>
            </w:pPr>
            <w:r>
              <w:t>Project</w:t>
            </w:r>
          </w:p>
        </w:tc>
        <w:tc>
          <w:tcPr>
            <w:tcW w:w="1890" w:type="dxa"/>
          </w:tcPr>
          <w:p w:rsidR="00775667" w:rsidRDefault="00775667" w:rsidP="003562F9">
            <w:pPr>
              <w:spacing w:before="100"/>
              <w:jc w:val="center"/>
            </w:pPr>
            <w:r>
              <w:t>5</w:t>
            </w:r>
          </w:p>
        </w:tc>
        <w:tc>
          <w:tcPr>
            <w:tcW w:w="2700" w:type="dxa"/>
          </w:tcPr>
          <w:p w:rsidR="00775667" w:rsidRPr="00AA6E9C" w:rsidRDefault="00775667" w:rsidP="003562F9">
            <w:pPr>
              <w:spacing w:before="100"/>
            </w:pPr>
            <w:r>
              <w:t>Mandatory</w:t>
            </w:r>
          </w:p>
        </w:tc>
        <w:tc>
          <w:tcPr>
            <w:tcW w:w="2025" w:type="dxa"/>
          </w:tcPr>
          <w:p w:rsidR="00775667" w:rsidRPr="00AA6E9C" w:rsidRDefault="00775667" w:rsidP="003562F9">
            <w:pPr>
              <w:spacing w:before="100"/>
            </w:pPr>
            <w:r>
              <w:t>Not required</w:t>
            </w:r>
          </w:p>
        </w:tc>
      </w:tr>
    </w:tbl>
    <w:p w:rsidR="00547CEA" w:rsidRDefault="00547CEA" w:rsidP="00547CEA">
      <w:pPr>
        <w:pStyle w:val="Heading1numbered"/>
      </w:pPr>
      <w:bookmarkStart w:id="400" w:name="_Toc473905385"/>
      <w:bookmarkStart w:id="401" w:name="_Toc785476"/>
      <w:bookmarkEnd w:id="400"/>
      <w:r>
        <w:t>Machinery of government</w:t>
      </w:r>
      <w:bookmarkEnd w:id="396"/>
      <w:bookmarkEnd w:id="401"/>
    </w:p>
    <w:p w:rsidR="00547CEA" w:rsidRDefault="00B960BF" w:rsidP="00547CEA">
      <w:pPr>
        <w:pStyle w:val="NormalIndent"/>
      </w:pPr>
      <w:r>
        <w:t xml:space="preserve">This section </w:t>
      </w:r>
      <w:r w:rsidR="003A2419">
        <w:t xml:space="preserve">has now </w:t>
      </w:r>
      <w:r>
        <w:t>be</w:t>
      </w:r>
      <w:r w:rsidR="003A2419">
        <w:t>en</w:t>
      </w:r>
      <w:r>
        <w:t xml:space="preserve"> </w:t>
      </w:r>
      <w:r w:rsidR="003A2419">
        <w:t xml:space="preserve">replaced with </w:t>
      </w:r>
      <w:r w:rsidR="006C1DCD">
        <w:t xml:space="preserve">the </w:t>
      </w:r>
      <w:r w:rsidR="006C1DCD" w:rsidRPr="006C1DCD">
        <w:rPr>
          <w:i/>
        </w:rPr>
        <w:t>Victorian public sector operating manual on machinery of government changes</w:t>
      </w:r>
      <w:r w:rsidR="006C1DCD">
        <w:t xml:space="preserve"> issued October 2016</w:t>
      </w:r>
      <w:r>
        <w:t>.</w:t>
      </w:r>
      <w:r w:rsidR="006C1DCD">
        <w:t xml:space="preserve"> </w:t>
      </w:r>
      <w:r w:rsidR="009A6679">
        <w:t>R</w:t>
      </w:r>
      <w:r w:rsidR="006C1DCD">
        <w:t xml:space="preserve">efer to </w:t>
      </w:r>
      <w:r w:rsidR="00FC11DA">
        <w:t>‘</w:t>
      </w:r>
      <w:r w:rsidR="00BB0897">
        <w:t xml:space="preserve">Chapter 6: Accounting for </w:t>
      </w:r>
      <w:proofErr w:type="spellStart"/>
      <w:r w:rsidR="00BB0897">
        <w:t>MoG</w:t>
      </w:r>
      <w:proofErr w:type="spellEnd"/>
      <w:r w:rsidR="00BB0897">
        <w:t xml:space="preserve"> changes</w:t>
      </w:r>
      <w:r w:rsidR="00FC11DA">
        <w:t>’</w:t>
      </w:r>
      <w:r w:rsidR="00BB0897">
        <w:t xml:space="preserve"> in </w:t>
      </w:r>
      <w:r w:rsidR="006C1DCD">
        <w:t>th</w:t>
      </w:r>
      <w:r w:rsidR="009A6679">
        <w:t>e operating</w:t>
      </w:r>
      <w:r w:rsidR="006C1DCD">
        <w:t xml:space="preserve"> manual for </w:t>
      </w:r>
      <w:r w:rsidR="009A6679">
        <w:t xml:space="preserve">specific </w:t>
      </w:r>
      <w:r w:rsidR="00BB0897">
        <w:t>accounting and disclosure requirements</w:t>
      </w:r>
      <w:r w:rsidR="006C1DCD">
        <w:t>.</w:t>
      </w:r>
    </w:p>
    <w:p w:rsidR="00547CEA" w:rsidRDefault="00547CEA" w:rsidP="00547CEA">
      <w:pPr>
        <w:pStyle w:val="NormalIndent"/>
        <w:sectPr w:rsidR="00547CEA" w:rsidSect="000A3312">
          <w:headerReference w:type="even" r:id="rId31"/>
          <w:headerReference w:type="default" r:id="rId32"/>
          <w:footerReference w:type="even" r:id="rId33"/>
          <w:footerReference w:type="default" r:id="rId34"/>
          <w:headerReference w:type="first" r:id="rId35"/>
          <w:pgSz w:w="11906" w:h="16838" w:code="9"/>
          <w:pgMar w:top="2160" w:right="1440" w:bottom="1440" w:left="1440" w:header="706" w:footer="461" w:gutter="0"/>
          <w:pgNumType w:start="1"/>
          <w:cols w:space="708"/>
          <w:docGrid w:linePitch="360"/>
        </w:sectPr>
      </w:pPr>
    </w:p>
    <w:p w:rsidR="00623130" w:rsidRDefault="00BB380C" w:rsidP="00623130">
      <w:pPr>
        <w:pStyle w:val="Heading1"/>
      </w:pPr>
      <w:bookmarkStart w:id="402" w:name="_Toc785477"/>
      <w:r>
        <w:t>Attachment</w:t>
      </w:r>
      <w:r w:rsidR="00623130">
        <w:t>s</w:t>
      </w:r>
      <w:bookmarkEnd w:id="402"/>
    </w:p>
    <w:p w:rsidR="00BB380C" w:rsidRDefault="00BB380C" w:rsidP="00623130">
      <w:pPr>
        <w:pStyle w:val="Heading2"/>
      </w:pPr>
      <w:bookmarkStart w:id="403" w:name="_Toc785478"/>
      <w:r>
        <w:t xml:space="preserve">Attachment </w:t>
      </w:r>
      <w:r w:rsidR="00623130">
        <w:t>1</w:t>
      </w:r>
      <w:r>
        <w:t>: Contributed capital scenarios and examples</w:t>
      </w:r>
      <w:bookmarkEnd w:id="403"/>
    </w:p>
    <w:p w:rsidR="00BB380C" w:rsidRDefault="00BB380C" w:rsidP="006E217D">
      <w:pPr>
        <w:pStyle w:val="Heading3"/>
      </w:pPr>
      <w:r>
        <w:t>Guidance</w:t>
      </w:r>
    </w:p>
    <w:p w:rsidR="00BB380C" w:rsidRDefault="00BB380C" w:rsidP="00BB380C">
      <w:r>
        <w:t xml:space="preserve">This attachment lists </w:t>
      </w:r>
      <w:proofErr w:type="gramStart"/>
      <w:r>
        <w:t>a number of</w:t>
      </w:r>
      <w:proofErr w:type="gramEnd"/>
      <w:r>
        <w:t xml:space="preserve"> scenarios </w:t>
      </w:r>
      <w:r w:rsidR="009E7E79">
        <w:t xml:space="preserve">and examples </w:t>
      </w:r>
      <w:r>
        <w:t xml:space="preserve">covering the main types of investments and adjustments to equity investments/contributed capital. </w:t>
      </w:r>
    </w:p>
    <w:p w:rsidR="00BB380C" w:rsidRPr="000E661F" w:rsidRDefault="006E217D" w:rsidP="00314B6A">
      <w:pPr>
        <w:pStyle w:val="Heading4"/>
      </w:pPr>
      <w:r>
        <w:t>Scenario</w:t>
      </w:r>
      <w:r w:rsidR="000E661F">
        <w:t xml:space="preserve"> 1</w:t>
      </w:r>
      <w:r w:rsidR="003562F9">
        <w:t xml:space="preserve"> – </w:t>
      </w:r>
      <w:r w:rsidR="00BB380C" w:rsidRPr="000E661F">
        <w:t xml:space="preserve">Transfers between </w:t>
      </w:r>
      <w:r w:rsidR="007C6CCA">
        <w:t>d</w:t>
      </w:r>
      <w:r w:rsidR="00BB380C" w:rsidRPr="000E661F">
        <w:t>epartments and their agencies</w:t>
      </w:r>
    </w:p>
    <w:p w:rsidR="00BB380C" w:rsidRDefault="00BA4826" w:rsidP="00800AE4">
      <w:pPr>
        <w:pStyle w:val="NormalIndent"/>
        <w:ind w:left="360"/>
      </w:pPr>
      <w:r>
        <w:t>T</w:t>
      </w:r>
      <w:r w:rsidR="00BB380C">
        <w:t>he transfer of contributed capital</w:t>
      </w:r>
      <w:r>
        <w:t xml:space="preserve">, arising from </w:t>
      </w:r>
      <w:r w:rsidR="000E661F">
        <w:t>a</w:t>
      </w:r>
      <w:r w:rsidR="00BB380C">
        <w:t xml:space="preserve">ppropriations for </w:t>
      </w:r>
      <w:r>
        <w:t xml:space="preserve">Additions to the Net Asset Base, are the most common form of transfers between </w:t>
      </w:r>
      <w:r w:rsidR="007C6CCA">
        <w:t>d</w:t>
      </w:r>
      <w:r>
        <w:t>epartments and their agencies.</w:t>
      </w:r>
      <w:r w:rsidR="00BB380C">
        <w:t xml:space="preserve"> </w:t>
      </w:r>
      <w:r>
        <w:t xml:space="preserve">The </w:t>
      </w:r>
      <w:r w:rsidR="008B11FB">
        <w:t>d</w:t>
      </w:r>
      <w:r w:rsidR="002537E0">
        <w:t>epartment records the G</w:t>
      </w:r>
      <w:r>
        <w:t xml:space="preserve">overnment’s </w:t>
      </w:r>
      <w:r w:rsidR="00BB380C">
        <w:t xml:space="preserve">equity investment in the agency in </w:t>
      </w:r>
      <w:r>
        <w:t>its</w:t>
      </w:r>
      <w:r w:rsidR="00BB380C">
        <w:t xml:space="preserve"> administered entity</w:t>
      </w:r>
      <w:r w:rsidR="00E50EC4">
        <w:t>. The agency recognises the c</w:t>
      </w:r>
      <w:r w:rsidR="00BB380C">
        <w:t xml:space="preserve">ontributed capital </w:t>
      </w:r>
      <w:r w:rsidR="00E50EC4">
        <w:t>received.</w:t>
      </w:r>
    </w:p>
    <w:p w:rsidR="00DA213A" w:rsidRDefault="000E661F" w:rsidP="00314B6A">
      <w:pPr>
        <w:pStyle w:val="NormalIndent"/>
        <w:ind w:left="360"/>
      </w:pPr>
      <w:r w:rsidRPr="00314B6A">
        <w:rPr>
          <w:b/>
        </w:rPr>
        <w:t>Example:</w:t>
      </w:r>
      <w:r w:rsidR="00DA213A">
        <w:t xml:space="preserve"> </w:t>
      </w:r>
      <w:r w:rsidR="00910CAF">
        <w:t>A</w:t>
      </w:r>
      <w:r w:rsidR="00DA213A">
        <w:t xml:space="preserve"> </w:t>
      </w:r>
      <w:r w:rsidR="007C6CCA">
        <w:t>d</w:t>
      </w:r>
      <w:r w:rsidR="00DA213A">
        <w:t>epartment transfers equity of $120 comprising $100 other net assets and</w:t>
      </w:r>
      <w:r w:rsidR="00FD469E">
        <w:br/>
      </w:r>
      <w:r w:rsidR="00DA213A">
        <w:t xml:space="preserve">$20 fixed assets to </w:t>
      </w:r>
      <w:r>
        <w:t>an age</w:t>
      </w:r>
      <w:r w:rsidR="00DA213A">
        <w:t>nc</w:t>
      </w:r>
      <w:r>
        <w:t>y within its portfolio</w:t>
      </w:r>
      <w:r w:rsidR="00DA213A">
        <w:t xml:space="preserve">. </w:t>
      </w:r>
    </w:p>
    <w:p w:rsidR="00DA213A" w:rsidRDefault="00DA213A" w:rsidP="00314B6A">
      <w:pPr>
        <w:pStyle w:val="Heading4"/>
        <w:spacing w:before="240" w:after="120"/>
        <w:ind w:left="360"/>
      </w:pPr>
      <w:r>
        <w:t xml:space="preserve">Step A </w:t>
      </w:r>
      <w:r w:rsidR="00EF0537">
        <w:t xml:space="preserve">– </w:t>
      </w:r>
      <w:r w:rsidRPr="00DA213A">
        <w:t>Department receives contribute</w:t>
      </w:r>
      <w:r>
        <w:t>d capital via appropriation</w:t>
      </w:r>
      <w:r w:rsidR="00757A17">
        <w:t>, and then transfers the contributed capital plus the fixed assets out of its controlled entity.</w:t>
      </w:r>
    </w:p>
    <w:tbl>
      <w:tblPr>
        <w:tblStyle w:val="DTFtexttable"/>
        <w:tblW w:w="7522" w:type="dxa"/>
        <w:tblInd w:w="864" w:type="dxa"/>
        <w:tblLayout w:type="fixed"/>
        <w:tblLook w:val="0620" w:firstRow="1" w:lastRow="0" w:firstColumn="0" w:lastColumn="0" w:noHBand="1" w:noVBand="1"/>
      </w:tblPr>
      <w:tblGrid>
        <w:gridCol w:w="6213"/>
        <w:gridCol w:w="1309"/>
      </w:tblGrid>
      <w:tr w:rsidR="00DA213A"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DA213A" w:rsidRDefault="00DA213A" w:rsidP="003C3537">
            <w:pPr>
              <w:pStyle w:val="Tableheader"/>
              <w:spacing w:line="240" w:lineRule="auto"/>
              <w:rPr>
                <w:rFonts w:eastAsia="Arial Unicode MS"/>
              </w:rPr>
            </w:pPr>
            <w:r>
              <w:t>Department</w:t>
            </w:r>
            <w:r w:rsidR="003562F9">
              <w:t xml:space="preserve"> – </w:t>
            </w:r>
            <w:r>
              <w:t>Controlled</w:t>
            </w:r>
          </w:p>
        </w:tc>
      </w:tr>
      <w:tr w:rsidR="00DA213A" w:rsidRPr="00731E39" w:rsidTr="003562F9">
        <w:tc>
          <w:tcPr>
            <w:tcW w:w="6213" w:type="dxa"/>
          </w:tcPr>
          <w:p w:rsidR="00DA213A" w:rsidRPr="00731E39" w:rsidRDefault="00DA213A" w:rsidP="000E661F">
            <w:pPr>
              <w:pStyle w:val="Tabletext"/>
              <w:rPr>
                <w:rFonts w:eastAsia="Arial Unicode MS"/>
              </w:rPr>
            </w:pPr>
            <w:r>
              <w:rPr>
                <w:rFonts w:eastAsia="Arial Unicode MS"/>
              </w:rPr>
              <w:t xml:space="preserve">DR </w:t>
            </w:r>
            <w:r w:rsidRPr="00A62FFF">
              <w:t xml:space="preserve">Equity </w:t>
            </w:r>
            <w:r w:rsidR="000E661F">
              <w:t>t</w:t>
            </w:r>
            <w:r w:rsidRPr="00A62FFF">
              <w:t xml:space="preserve">ransfers to </w:t>
            </w:r>
            <w:r w:rsidR="000E661F">
              <w:t>o</w:t>
            </w:r>
            <w:r w:rsidRPr="00A62FFF">
              <w:t xml:space="preserve">ther </w:t>
            </w:r>
            <w:r w:rsidR="000E661F">
              <w:t>g</w:t>
            </w:r>
            <w:r w:rsidRPr="00A62FFF">
              <w:t xml:space="preserve">overnment </w:t>
            </w:r>
            <w:r w:rsidR="000E661F">
              <w:t>e</w:t>
            </w:r>
            <w:r w:rsidRPr="00A62FFF">
              <w:t>ntities (Other Net Assets)</w:t>
            </w:r>
          </w:p>
        </w:tc>
        <w:tc>
          <w:tcPr>
            <w:tcW w:w="1309" w:type="dxa"/>
          </w:tcPr>
          <w:p w:rsidR="00DA213A" w:rsidRPr="00731E39" w:rsidRDefault="00DA213A" w:rsidP="003C3537">
            <w:pPr>
              <w:pStyle w:val="Tabletext"/>
              <w:jc w:val="right"/>
              <w:rPr>
                <w:rFonts w:eastAsia="Arial Unicode MS"/>
              </w:rPr>
            </w:pPr>
            <w:r>
              <w:rPr>
                <w:rFonts w:eastAsia="Arial Unicode MS"/>
              </w:rPr>
              <w:t>100</w:t>
            </w:r>
          </w:p>
        </w:tc>
      </w:tr>
      <w:tr w:rsidR="00DA213A" w:rsidRPr="00731E39" w:rsidTr="003562F9">
        <w:tc>
          <w:tcPr>
            <w:tcW w:w="6213" w:type="dxa"/>
          </w:tcPr>
          <w:p w:rsidR="00DA213A" w:rsidRPr="00731E39" w:rsidRDefault="00DA213A" w:rsidP="000E661F">
            <w:pPr>
              <w:pStyle w:val="Tabletext"/>
              <w:rPr>
                <w:rFonts w:eastAsia="Arial Unicode MS"/>
              </w:rPr>
            </w:pPr>
            <w:r>
              <w:rPr>
                <w:rFonts w:eastAsia="Arial Unicode MS"/>
              </w:rPr>
              <w:t xml:space="preserve">CR </w:t>
            </w:r>
            <w:r w:rsidRPr="004C5801">
              <w:rPr>
                <w:rFonts w:eastAsia="Arial Unicode MS"/>
              </w:rPr>
              <w:t xml:space="preserve">Contributed </w:t>
            </w:r>
            <w:r w:rsidR="000E661F">
              <w:rPr>
                <w:rFonts w:eastAsia="Arial Unicode MS"/>
              </w:rPr>
              <w:t>c</w:t>
            </w:r>
            <w:r w:rsidRPr="004C5801">
              <w:rPr>
                <w:rFonts w:eastAsia="Arial Unicode MS"/>
              </w:rPr>
              <w:t xml:space="preserve">apital </w:t>
            </w:r>
            <w:r w:rsidR="000E661F">
              <w:rPr>
                <w:rFonts w:eastAsia="Arial Unicode MS"/>
              </w:rPr>
              <w:t>–</w:t>
            </w:r>
            <w:r w:rsidRPr="004C5801">
              <w:rPr>
                <w:rFonts w:eastAsia="Arial Unicode MS"/>
              </w:rPr>
              <w:t xml:space="preserve"> </w:t>
            </w:r>
            <w:r w:rsidR="000E661F">
              <w:rPr>
                <w:rFonts w:eastAsia="Arial Unicode MS"/>
              </w:rPr>
              <w:t>Additions to the Net Asset Base (ATNAB)</w:t>
            </w:r>
          </w:p>
        </w:tc>
        <w:tc>
          <w:tcPr>
            <w:tcW w:w="1309" w:type="dxa"/>
          </w:tcPr>
          <w:p w:rsidR="00DA213A" w:rsidRPr="00731E39" w:rsidRDefault="00DA213A" w:rsidP="003C3537">
            <w:pPr>
              <w:pStyle w:val="Tabletext"/>
              <w:jc w:val="right"/>
              <w:rPr>
                <w:rFonts w:eastAsia="Arial Unicode MS"/>
              </w:rPr>
            </w:pPr>
            <w:r>
              <w:rPr>
                <w:rFonts w:eastAsia="Arial Unicode MS"/>
              </w:rPr>
              <w:t>100</w:t>
            </w:r>
          </w:p>
        </w:tc>
      </w:tr>
      <w:tr w:rsidR="00DA213A" w:rsidRPr="00731E39" w:rsidTr="003562F9">
        <w:tc>
          <w:tcPr>
            <w:tcW w:w="6213" w:type="dxa"/>
          </w:tcPr>
          <w:p w:rsidR="00DA213A" w:rsidRPr="00731E39" w:rsidRDefault="00DA213A" w:rsidP="000E661F">
            <w:pPr>
              <w:pStyle w:val="Tabletext"/>
              <w:rPr>
                <w:rFonts w:eastAsia="Arial Unicode MS"/>
              </w:rPr>
            </w:pPr>
            <w:r>
              <w:rPr>
                <w:rFonts w:eastAsia="Arial Unicode MS"/>
              </w:rPr>
              <w:t xml:space="preserve">DR </w:t>
            </w:r>
            <w:r w:rsidRPr="004C5801">
              <w:rPr>
                <w:rFonts w:eastAsia="Arial Unicode MS"/>
              </w:rPr>
              <w:t xml:space="preserve">Equity </w:t>
            </w:r>
            <w:r w:rsidR="000E661F">
              <w:rPr>
                <w:rFonts w:eastAsia="Arial Unicode MS"/>
              </w:rPr>
              <w:t>t</w:t>
            </w:r>
            <w:r w:rsidRPr="004C5801">
              <w:rPr>
                <w:rFonts w:eastAsia="Arial Unicode MS"/>
              </w:rPr>
              <w:t xml:space="preserve">ransfers to </w:t>
            </w:r>
            <w:r w:rsidR="000E661F">
              <w:rPr>
                <w:rFonts w:eastAsia="Arial Unicode MS"/>
              </w:rPr>
              <w:t>o</w:t>
            </w:r>
            <w:r w:rsidRPr="004C5801">
              <w:rPr>
                <w:rFonts w:eastAsia="Arial Unicode MS"/>
              </w:rPr>
              <w:t xml:space="preserve">ther </w:t>
            </w:r>
            <w:r w:rsidR="000E661F">
              <w:rPr>
                <w:rFonts w:eastAsia="Arial Unicode MS"/>
              </w:rPr>
              <w:t>g</w:t>
            </w:r>
            <w:r w:rsidRPr="004C5801">
              <w:rPr>
                <w:rFonts w:eastAsia="Arial Unicode MS"/>
              </w:rPr>
              <w:t xml:space="preserve">overnment </w:t>
            </w:r>
            <w:r w:rsidR="000E661F">
              <w:rPr>
                <w:rFonts w:eastAsia="Arial Unicode MS"/>
              </w:rPr>
              <w:t>e</w:t>
            </w:r>
            <w:r w:rsidRPr="004C5801">
              <w:rPr>
                <w:rFonts w:eastAsia="Arial Unicode MS"/>
              </w:rPr>
              <w:t>ntities (Fixed Assets)</w:t>
            </w:r>
          </w:p>
        </w:tc>
        <w:tc>
          <w:tcPr>
            <w:tcW w:w="1309" w:type="dxa"/>
          </w:tcPr>
          <w:p w:rsidR="00DA213A" w:rsidRPr="00731E39" w:rsidRDefault="00DA213A" w:rsidP="003C3537">
            <w:pPr>
              <w:pStyle w:val="Tabletext"/>
              <w:jc w:val="right"/>
              <w:rPr>
                <w:rFonts w:eastAsia="Arial Unicode MS"/>
              </w:rPr>
            </w:pPr>
            <w:r>
              <w:rPr>
                <w:rFonts w:eastAsia="Arial Unicode MS"/>
              </w:rPr>
              <w:t>2</w:t>
            </w:r>
            <w:r w:rsidRPr="00731E39">
              <w:rPr>
                <w:rFonts w:eastAsia="Arial Unicode MS"/>
              </w:rPr>
              <w:t>0</w:t>
            </w:r>
          </w:p>
        </w:tc>
      </w:tr>
      <w:tr w:rsidR="00DA213A" w:rsidRPr="00731E39" w:rsidTr="003562F9">
        <w:tc>
          <w:tcPr>
            <w:tcW w:w="6213" w:type="dxa"/>
          </w:tcPr>
          <w:p w:rsidR="00DA213A" w:rsidRPr="00731E39" w:rsidRDefault="00DA213A" w:rsidP="00E50EC4">
            <w:pPr>
              <w:pStyle w:val="Tabletext"/>
              <w:rPr>
                <w:rFonts w:eastAsia="Arial Unicode MS"/>
              </w:rPr>
            </w:pPr>
            <w:r>
              <w:rPr>
                <w:rFonts w:eastAsia="Arial Unicode MS"/>
              </w:rPr>
              <w:t xml:space="preserve">CR </w:t>
            </w:r>
            <w:r w:rsidR="00E50EC4">
              <w:rPr>
                <w:rFonts w:eastAsia="Arial Unicode MS"/>
              </w:rPr>
              <w:t>Fixed assets</w:t>
            </w:r>
          </w:p>
        </w:tc>
        <w:tc>
          <w:tcPr>
            <w:tcW w:w="1309" w:type="dxa"/>
          </w:tcPr>
          <w:p w:rsidR="00DA213A" w:rsidRPr="00731E39" w:rsidRDefault="00DA213A" w:rsidP="003C3537">
            <w:pPr>
              <w:pStyle w:val="Tabletext"/>
              <w:jc w:val="right"/>
              <w:rPr>
                <w:rFonts w:eastAsia="Arial Unicode MS"/>
              </w:rPr>
            </w:pPr>
            <w:r>
              <w:rPr>
                <w:rFonts w:eastAsia="Arial Unicode MS"/>
              </w:rPr>
              <w:t>2</w:t>
            </w:r>
            <w:r w:rsidRPr="00731E39">
              <w:rPr>
                <w:rFonts w:eastAsia="Arial Unicode MS"/>
              </w:rPr>
              <w:t>0</w:t>
            </w:r>
          </w:p>
        </w:tc>
      </w:tr>
    </w:tbl>
    <w:p w:rsidR="00DA213A" w:rsidRPr="00757A17" w:rsidRDefault="00757A17" w:rsidP="00314B6A">
      <w:pPr>
        <w:pStyle w:val="Heading4"/>
        <w:spacing w:before="240" w:after="120"/>
        <w:ind w:left="360"/>
      </w:pPr>
      <w:r>
        <w:t xml:space="preserve">Step B – Department recognises the investment in its agency in its </w:t>
      </w:r>
      <w:r w:rsidRPr="00DA213A">
        <w:t>administered entity</w:t>
      </w:r>
      <w:r>
        <w:t>.</w:t>
      </w:r>
    </w:p>
    <w:tbl>
      <w:tblPr>
        <w:tblStyle w:val="DTFtexttable"/>
        <w:tblW w:w="7522" w:type="dxa"/>
        <w:tblInd w:w="864" w:type="dxa"/>
        <w:tblLayout w:type="fixed"/>
        <w:tblLook w:val="0620" w:firstRow="1" w:lastRow="0" w:firstColumn="0" w:lastColumn="0" w:noHBand="1" w:noVBand="1"/>
      </w:tblPr>
      <w:tblGrid>
        <w:gridCol w:w="6213"/>
        <w:gridCol w:w="1309"/>
      </w:tblGrid>
      <w:tr w:rsidR="00757A17"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757A17" w:rsidRDefault="00757A17" w:rsidP="00757A17">
            <w:pPr>
              <w:pStyle w:val="Tableheader"/>
              <w:spacing w:line="240" w:lineRule="auto"/>
              <w:rPr>
                <w:rFonts w:eastAsia="Arial Unicode MS"/>
              </w:rPr>
            </w:pPr>
            <w:r>
              <w:t>Department</w:t>
            </w:r>
            <w:r w:rsidR="003562F9">
              <w:t xml:space="preserve"> – </w:t>
            </w:r>
            <w:r>
              <w:t>Administered</w:t>
            </w:r>
          </w:p>
        </w:tc>
      </w:tr>
      <w:tr w:rsidR="00757A17" w:rsidRPr="001602DF" w:rsidTr="003562F9">
        <w:tc>
          <w:tcPr>
            <w:tcW w:w="6213" w:type="dxa"/>
          </w:tcPr>
          <w:p w:rsidR="00757A17" w:rsidRPr="00731E39" w:rsidRDefault="00757A17" w:rsidP="000E661F">
            <w:pPr>
              <w:pStyle w:val="Tabletext"/>
              <w:rPr>
                <w:rFonts w:eastAsia="Arial Unicode MS"/>
              </w:rPr>
            </w:pPr>
            <w:r>
              <w:rPr>
                <w:rFonts w:eastAsia="Arial Unicode MS"/>
              </w:rPr>
              <w:t xml:space="preserve">DR </w:t>
            </w:r>
            <w:r w:rsidRPr="00A62FFF">
              <w:t xml:space="preserve">Equity </w:t>
            </w:r>
            <w:r w:rsidR="000E661F">
              <w:t>i</w:t>
            </w:r>
            <w:r w:rsidR="00D14FC7">
              <w:t>nvestment in general government, public non-financial corporations</w:t>
            </w:r>
            <w:r>
              <w:t xml:space="preserve"> </w:t>
            </w:r>
            <w:r w:rsidR="00D14FC7">
              <w:t>(</w:t>
            </w:r>
            <w:r>
              <w:t>PNFC</w:t>
            </w:r>
            <w:r w:rsidR="00D14FC7">
              <w:t>)</w:t>
            </w:r>
            <w:r>
              <w:t xml:space="preserve"> or</w:t>
            </w:r>
            <w:r w:rsidR="00D14FC7">
              <w:t xml:space="preserve"> public financial corporations</w:t>
            </w:r>
            <w:r>
              <w:t xml:space="preserve"> </w:t>
            </w:r>
            <w:r w:rsidR="00D14FC7">
              <w:t>(</w:t>
            </w:r>
            <w:r>
              <w:t>PFC</w:t>
            </w:r>
            <w:r w:rsidR="00D14FC7">
              <w:t>) (Other net a</w:t>
            </w:r>
            <w:r w:rsidRPr="00A62FFF">
              <w:t>ssets)</w:t>
            </w:r>
          </w:p>
        </w:tc>
        <w:tc>
          <w:tcPr>
            <w:tcW w:w="1309" w:type="dxa"/>
          </w:tcPr>
          <w:p w:rsidR="00757A17" w:rsidRPr="001602DF" w:rsidRDefault="00757A17" w:rsidP="003C3537">
            <w:pPr>
              <w:pStyle w:val="Tabletext"/>
              <w:jc w:val="right"/>
              <w:rPr>
                <w:rFonts w:eastAsia="Arial Unicode MS"/>
              </w:rPr>
            </w:pPr>
            <w:r w:rsidRPr="001602DF">
              <w:rPr>
                <w:rFonts w:eastAsia="Arial Unicode MS"/>
              </w:rPr>
              <w:t>100</w:t>
            </w:r>
          </w:p>
        </w:tc>
      </w:tr>
      <w:tr w:rsidR="00757A17" w:rsidRPr="00731E39" w:rsidTr="003562F9">
        <w:tc>
          <w:tcPr>
            <w:tcW w:w="6213" w:type="dxa"/>
          </w:tcPr>
          <w:p w:rsidR="00757A17" w:rsidRPr="00731E39" w:rsidRDefault="00757A17" w:rsidP="000E661F">
            <w:pPr>
              <w:pStyle w:val="Tabletext"/>
              <w:rPr>
                <w:rFonts w:eastAsia="Arial Unicode MS"/>
              </w:rPr>
            </w:pPr>
            <w:r>
              <w:rPr>
                <w:rFonts w:eastAsia="Arial Unicode MS"/>
              </w:rPr>
              <w:t xml:space="preserve">CR Equity </w:t>
            </w:r>
            <w:r w:rsidR="000E661F">
              <w:rPr>
                <w:rFonts w:eastAsia="Arial Unicode MS"/>
              </w:rPr>
              <w:t>t</w:t>
            </w:r>
            <w:r>
              <w:rPr>
                <w:rFonts w:eastAsia="Arial Unicode MS"/>
              </w:rPr>
              <w:t xml:space="preserve">ransfers from </w:t>
            </w:r>
            <w:r w:rsidR="000E661F">
              <w:rPr>
                <w:rFonts w:eastAsia="Arial Unicode MS"/>
              </w:rPr>
              <w:t>o</w:t>
            </w:r>
            <w:r>
              <w:rPr>
                <w:rFonts w:eastAsia="Arial Unicode MS"/>
              </w:rPr>
              <w:t xml:space="preserve">ther </w:t>
            </w:r>
            <w:r w:rsidR="000E661F">
              <w:rPr>
                <w:rFonts w:eastAsia="Arial Unicode MS"/>
              </w:rPr>
              <w:t>g</w:t>
            </w:r>
            <w:r>
              <w:rPr>
                <w:rFonts w:eastAsia="Arial Unicode MS"/>
              </w:rPr>
              <w:t xml:space="preserve">overnment </w:t>
            </w:r>
            <w:r w:rsidR="000E661F">
              <w:rPr>
                <w:rFonts w:eastAsia="Arial Unicode MS"/>
              </w:rPr>
              <w:t>e</w:t>
            </w:r>
            <w:r w:rsidR="00D14FC7">
              <w:rPr>
                <w:rFonts w:eastAsia="Arial Unicode MS"/>
              </w:rPr>
              <w:t>ntities (Other net a</w:t>
            </w:r>
            <w:r>
              <w:rPr>
                <w:rFonts w:eastAsia="Arial Unicode MS"/>
              </w:rPr>
              <w:t>ssets)</w:t>
            </w:r>
          </w:p>
        </w:tc>
        <w:tc>
          <w:tcPr>
            <w:tcW w:w="1309" w:type="dxa"/>
          </w:tcPr>
          <w:p w:rsidR="00757A17" w:rsidRPr="00731E39" w:rsidRDefault="00757A17" w:rsidP="003C3537">
            <w:pPr>
              <w:pStyle w:val="Tabletext"/>
              <w:jc w:val="right"/>
              <w:rPr>
                <w:rFonts w:eastAsia="Arial Unicode MS"/>
              </w:rPr>
            </w:pPr>
            <w:r>
              <w:rPr>
                <w:rFonts w:eastAsia="Arial Unicode MS"/>
              </w:rPr>
              <w:t>100</w:t>
            </w:r>
          </w:p>
        </w:tc>
      </w:tr>
      <w:tr w:rsidR="00757A17" w:rsidRPr="001602DF" w:rsidTr="003562F9">
        <w:tc>
          <w:tcPr>
            <w:tcW w:w="6213" w:type="dxa"/>
          </w:tcPr>
          <w:p w:rsidR="00757A17" w:rsidRPr="00731E39" w:rsidRDefault="000E661F" w:rsidP="000E661F">
            <w:pPr>
              <w:pStyle w:val="Tabletext"/>
              <w:rPr>
                <w:rFonts w:eastAsia="Arial Unicode MS"/>
              </w:rPr>
            </w:pPr>
            <w:r>
              <w:rPr>
                <w:rFonts w:eastAsia="Arial Unicode MS"/>
              </w:rPr>
              <w:t xml:space="preserve">DR </w:t>
            </w:r>
            <w:r w:rsidRPr="00A62FFF">
              <w:t xml:space="preserve">Equity </w:t>
            </w:r>
            <w:r w:rsidR="00D14FC7">
              <w:t>investment in general government</w:t>
            </w:r>
            <w:r>
              <w:t>, PNFC or PFC</w:t>
            </w:r>
            <w:r w:rsidRPr="00A62FFF">
              <w:t xml:space="preserve"> </w:t>
            </w:r>
            <w:r w:rsidR="00D14FC7">
              <w:rPr>
                <w:rFonts w:eastAsia="Arial Unicode MS"/>
              </w:rPr>
              <w:t>(Fixed a</w:t>
            </w:r>
            <w:r w:rsidR="00757A17" w:rsidRPr="004C5801">
              <w:rPr>
                <w:rFonts w:eastAsia="Arial Unicode MS"/>
              </w:rPr>
              <w:t>ssets)</w:t>
            </w:r>
          </w:p>
        </w:tc>
        <w:tc>
          <w:tcPr>
            <w:tcW w:w="1309" w:type="dxa"/>
          </w:tcPr>
          <w:p w:rsidR="00757A17" w:rsidRPr="001602DF" w:rsidRDefault="00757A17" w:rsidP="003C3537">
            <w:pPr>
              <w:pStyle w:val="Tabletext"/>
              <w:jc w:val="right"/>
              <w:rPr>
                <w:rFonts w:eastAsia="Arial Unicode MS"/>
              </w:rPr>
            </w:pPr>
            <w:r w:rsidRPr="001602DF">
              <w:rPr>
                <w:rFonts w:eastAsia="Arial Unicode MS"/>
              </w:rPr>
              <w:t>20</w:t>
            </w:r>
          </w:p>
        </w:tc>
      </w:tr>
      <w:tr w:rsidR="00757A17" w:rsidRPr="00731E39" w:rsidTr="003562F9">
        <w:tc>
          <w:tcPr>
            <w:tcW w:w="6213" w:type="dxa"/>
          </w:tcPr>
          <w:p w:rsidR="00757A17" w:rsidRPr="00731E39" w:rsidRDefault="00757A17" w:rsidP="000E661F">
            <w:pPr>
              <w:pStyle w:val="Tabletext"/>
              <w:rPr>
                <w:rFonts w:eastAsia="Arial Unicode MS"/>
              </w:rPr>
            </w:pPr>
            <w:r>
              <w:rPr>
                <w:rFonts w:eastAsia="Arial Unicode MS"/>
              </w:rPr>
              <w:t xml:space="preserve">CR </w:t>
            </w:r>
            <w:r w:rsidR="000E661F" w:rsidRPr="004C5801">
              <w:rPr>
                <w:rFonts w:eastAsia="Arial Unicode MS"/>
              </w:rPr>
              <w:t xml:space="preserve">Equity </w:t>
            </w:r>
            <w:r w:rsidR="000E661F">
              <w:rPr>
                <w:rFonts w:eastAsia="Arial Unicode MS"/>
              </w:rPr>
              <w:t>t</w:t>
            </w:r>
            <w:r w:rsidR="000E661F" w:rsidRPr="004C5801">
              <w:rPr>
                <w:rFonts w:eastAsia="Arial Unicode MS"/>
              </w:rPr>
              <w:t xml:space="preserve">ransfers </w:t>
            </w:r>
            <w:r w:rsidR="000E661F">
              <w:rPr>
                <w:rFonts w:eastAsia="Arial Unicode MS"/>
              </w:rPr>
              <w:t>from other government entities</w:t>
            </w:r>
            <w:r w:rsidR="00D14FC7">
              <w:rPr>
                <w:rFonts w:eastAsia="Arial Unicode MS"/>
              </w:rPr>
              <w:t xml:space="preserve"> (Fixed a</w:t>
            </w:r>
            <w:r w:rsidR="000E661F" w:rsidRPr="004C5801">
              <w:rPr>
                <w:rFonts w:eastAsia="Arial Unicode MS"/>
              </w:rPr>
              <w:t>ssets)</w:t>
            </w:r>
          </w:p>
        </w:tc>
        <w:tc>
          <w:tcPr>
            <w:tcW w:w="1309" w:type="dxa"/>
          </w:tcPr>
          <w:p w:rsidR="00757A17" w:rsidRPr="00731E39" w:rsidRDefault="00757A17" w:rsidP="003C3537">
            <w:pPr>
              <w:pStyle w:val="Tabletext"/>
              <w:jc w:val="right"/>
              <w:rPr>
                <w:rFonts w:eastAsia="Arial Unicode MS"/>
              </w:rPr>
            </w:pPr>
            <w:r>
              <w:rPr>
                <w:rFonts w:eastAsia="Arial Unicode MS"/>
              </w:rPr>
              <w:t>2</w:t>
            </w:r>
            <w:r w:rsidRPr="00731E39">
              <w:rPr>
                <w:rFonts w:eastAsia="Arial Unicode MS"/>
              </w:rPr>
              <w:t>0</w:t>
            </w:r>
          </w:p>
        </w:tc>
      </w:tr>
    </w:tbl>
    <w:p w:rsidR="00800AE4" w:rsidRPr="00757A17" w:rsidRDefault="00800AE4" w:rsidP="00314B6A">
      <w:pPr>
        <w:pStyle w:val="Heading4"/>
        <w:spacing w:before="240" w:after="120"/>
        <w:ind w:left="360"/>
      </w:pPr>
      <w:r>
        <w:t xml:space="preserve">Step </w:t>
      </w:r>
      <w:r w:rsidR="00E50EC4">
        <w:t>C</w:t>
      </w:r>
      <w:r>
        <w:t xml:space="preserve"> – </w:t>
      </w:r>
      <w:r w:rsidR="00E50EC4">
        <w:t>Agency recognises</w:t>
      </w:r>
      <w:r>
        <w:t xml:space="preserve"> the contributed capital transfers of both fixed and other net assets</w:t>
      </w:r>
      <w:r w:rsidR="00E50EC4">
        <w:t xml:space="preserve"> received </w:t>
      </w:r>
      <w:r>
        <w:t xml:space="preserve">from the </w:t>
      </w:r>
      <w:r w:rsidR="008B11FB">
        <w:t>d</w:t>
      </w:r>
      <w:r>
        <w:t>epartment.</w:t>
      </w:r>
    </w:p>
    <w:tbl>
      <w:tblPr>
        <w:tblStyle w:val="DTFtexttable"/>
        <w:tblW w:w="7522" w:type="dxa"/>
        <w:tblInd w:w="864" w:type="dxa"/>
        <w:tblLayout w:type="fixed"/>
        <w:tblLook w:val="0620" w:firstRow="1" w:lastRow="0" w:firstColumn="0" w:lastColumn="0" w:noHBand="1" w:noVBand="1"/>
      </w:tblPr>
      <w:tblGrid>
        <w:gridCol w:w="6213"/>
        <w:gridCol w:w="1309"/>
      </w:tblGrid>
      <w:tr w:rsidR="00DA213A"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DA213A" w:rsidRPr="00314B6A" w:rsidRDefault="00DA213A" w:rsidP="00314B6A">
            <w:pPr>
              <w:pStyle w:val="Tableheader"/>
              <w:spacing w:line="240" w:lineRule="auto"/>
              <w:rPr>
                <w:b w:val="0"/>
              </w:rPr>
            </w:pPr>
            <w:r w:rsidRPr="00673D01">
              <w:t>A</w:t>
            </w:r>
            <w:r>
              <w:t>gency</w:t>
            </w:r>
          </w:p>
        </w:tc>
      </w:tr>
      <w:tr w:rsidR="00DA213A" w:rsidRPr="00731E39" w:rsidTr="003562F9">
        <w:tc>
          <w:tcPr>
            <w:tcW w:w="6213" w:type="dxa"/>
          </w:tcPr>
          <w:p w:rsidR="00DA213A" w:rsidRPr="00731E39" w:rsidRDefault="00DA213A" w:rsidP="003C3537">
            <w:pPr>
              <w:pStyle w:val="Tabletext"/>
              <w:rPr>
                <w:rFonts w:eastAsia="Arial Unicode MS"/>
              </w:rPr>
            </w:pPr>
            <w:r>
              <w:rPr>
                <w:rFonts w:eastAsia="Arial Unicode MS"/>
              </w:rPr>
              <w:t>DR Bank</w:t>
            </w:r>
          </w:p>
        </w:tc>
        <w:tc>
          <w:tcPr>
            <w:tcW w:w="1309" w:type="dxa"/>
          </w:tcPr>
          <w:p w:rsidR="00DA213A" w:rsidRPr="00731E39" w:rsidRDefault="00DA213A" w:rsidP="003C3537">
            <w:pPr>
              <w:pStyle w:val="Tabletext"/>
              <w:jc w:val="right"/>
              <w:rPr>
                <w:rFonts w:eastAsia="Arial Unicode MS"/>
              </w:rPr>
            </w:pPr>
            <w:r>
              <w:rPr>
                <w:rFonts w:eastAsia="Arial Unicode MS"/>
              </w:rPr>
              <w:t>100</w:t>
            </w:r>
          </w:p>
        </w:tc>
      </w:tr>
      <w:tr w:rsidR="00DA213A" w:rsidRPr="00731E39" w:rsidTr="003562F9">
        <w:tc>
          <w:tcPr>
            <w:tcW w:w="6213" w:type="dxa"/>
          </w:tcPr>
          <w:p w:rsidR="00DA213A" w:rsidRPr="00731E39" w:rsidRDefault="00DA213A" w:rsidP="00800AE4">
            <w:pPr>
              <w:pStyle w:val="Tabletext"/>
              <w:rPr>
                <w:rFonts w:eastAsia="Arial Unicode MS"/>
              </w:rPr>
            </w:pPr>
            <w:r>
              <w:rPr>
                <w:rFonts w:eastAsia="Arial Unicode MS"/>
              </w:rPr>
              <w:t xml:space="preserve">CR </w:t>
            </w:r>
            <w:r w:rsidRPr="00AC78FF">
              <w:rPr>
                <w:rFonts w:eastAsia="Arial Unicode MS"/>
              </w:rPr>
              <w:t xml:space="preserve">Equity </w:t>
            </w:r>
            <w:r w:rsidR="00800AE4">
              <w:rPr>
                <w:rFonts w:eastAsia="Arial Unicode MS"/>
              </w:rPr>
              <w:t>t</w:t>
            </w:r>
            <w:r w:rsidRPr="00AC78FF">
              <w:rPr>
                <w:rFonts w:eastAsia="Arial Unicode MS"/>
              </w:rPr>
              <w:t xml:space="preserve">ransfers from </w:t>
            </w:r>
            <w:r w:rsidR="00800AE4">
              <w:rPr>
                <w:rFonts w:eastAsia="Arial Unicode MS"/>
              </w:rPr>
              <w:t>o</w:t>
            </w:r>
            <w:r w:rsidRPr="00AC78FF">
              <w:rPr>
                <w:rFonts w:eastAsia="Arial Unicode MS"/>
              </w:rPr>
              <w:t xml:space="preserve">ther </w:t>
            </w:r>
            <w:r w:rsidR="00800AE4">
              <w:rPr>
                <w:rFonts w:eastAsia="Arial Unicode MS"/>
              </w:rPr>
              <w:t>g</w:t>
            </w:r>
            <w:r w:rsidRPr="00AC78FF">
              <w:rPr>
                <w:rFonts w:eastAsia="Arial Unicode MS"/>
              </w:rPr>
              <w:t xml:space="preserve">overnment </w:t>
            </w:r>
            <w:r w:rsidR="00800AE4">
              <w:rPr>
                <w:rFonts w:eastAsia="Arial Unicode MS"/>
              </w:rPr>
              <w:t>e</w:t>
            </w:r>
            <w:r w:rsidR="00D14FC7">
              <w:rPr>
                <w:rFonts w:eastAsia="Arial Unicode MS"/>
              </w:rPr>
              <w:t>ntities (Other net a</w:t>
            </w:r>
            <w:r w:rsidRPr="00AC78FF">
              <w:rPr>
                <w:rFonts w:eastAsia="Arial Unicode MS"/>
              </w:rPr>
              <w:t>ssets)</w:t>
            </w:r>
          </w:p>
        </w:tc>
        <w:tc>
          <w:tcPr>
            <w:tcW w:w="1309" w:type="dxa"/>
          </w:tcPr>
          <w:p w:rsidR="00DA213A" w:rsidRPr="00731E39" w:rsidRDefault="00DA213A" w:rsidP="003C3537">
            <w:pPr>
              <w:pStyle w:val="Tabletext"/>
              <w:jc w:val="right"/>
              <w:rPr>
                <w:rFonts w:eastAsia="Arial Unicode MS"/>
              </w:rPr>
            </w:pPr>
            <w:r>
              <w:rPr>
                <w:rFonts w:eastAsia="Arial Unicode MS"/>
              </w:rPr>
              <w:t>100</w:t>
            </w:r>
          </w:p>
        </w:tc>
      </w:tr>
      <w:tr w:rsidR="00DA213A" w:rsidRPr="00731E39" w:rsidTr="003562F9">
        <w:tc>
          <w:tcPr>
            <w:tcW w:w="6213" w:type="dxa"/>
          </w:tcPr>
          <w:p w:rsidR="00DA213A" w:rsidRPr="00731E39" w:rsidRDefault="00DA213A" w:rsidP="00E50EC4">
            <w:pPr>
              <w:pStyle w:val="Tabletext"/>
              <w:rPr>
                <w:rFonts w:eastAsia="Arial Unicode MS"/>
              </w:rPr>
            </w:pPr>
            <w:r>
              <w:rPr>
                <w:rFonts w:eastAsia="Arial Unicode MS"/>
              </w:rPr>
              <w:t xml:space="preserve">DR </w:t>
            </w:r>
            <w:r w:rsidR="00E50EC4">
              <w:rPr>
                <w:rFonts w:eastAsia="Arial Unicode MS"/>
              </w:rPr>
              <w:t>Fixed assets</w:t>
            </w:r>
          </w:p>
        </w:tc>
        <w:tc>
          <w:tcPr>
            <w:tcW w:w="1309" w:type="dxa"/>
          </w:tcPr>
          <w:p w:rsidR="00DA213A" w:rsidRPr="00731E39" w:rsidRDefault="00DA213A" w:rsidP="003C3537">
            <w:pPr>
              <w:pStyle w:val="Tabletext"/>
              <w:jc w:val="right"/>
              <w:rPr>
                <w:rFonts w:eastAsia="Arial Unicode MS"/>
              </w:rPr>
            </w:pPr>
            <w:r>
              <w:rPr>
                <w:rFonts w:eastAsia="Arial Unicode MS"/>
              </w:rPr>
              <w:t>2</w:t>
            </w:r>
            <w:r w:rsidRPr="00731E39">
              <w:rPr>
                <w:rFonts w:eastAsia="Arial Unicode MS"/>
              </w:rPr>
              <w:t>0</w:t>
            </w:r>
          </w:p>
        </w:tc>
      </w:tr>
      <w:tr w:rsidR="00DA213A" w:rsidRPr="00731E39" w:rsidTr="003562F9">
        <w:tc>
          <w:tcPr>
            <w:tcW w:w="6213" w:type="dxa"/>
          </w:tcPr>
          <w:p w:rsidR="00DA213A" w:rsidRPr="00731E39" w:rsidRDefault="00DA213A" w:rsidP="00800AE4">
            <w:pPr>
              <w:pStyle w:val="Tabletext"/>
              <w:rPr>
                <w:rFonts w:eastAsia="Arial Unicode MS"/>
              </w:rPr>
            </w:pPr>
            <w:r>
              <w:rPr>
                <w:rFonts w:eastAsia="Arial Unicode MS"/>
              </w:rPr>
              <w:t xml:space="preserve">CR </w:t>
            </w:r>
            <w:r w:rsidRPr="00AC78FF">
              <w:rPr>
                <w:rFonts w:eastAsia="Arial Unicode MS"/>
              </w:rPr>
              <w:t xml:space="preserve">Equity </w:t>
            </w:r>
            <w:r w:rsidR="00800AE4">
              <w:rPr>
                <w:rFonts w:eastAsia="Arial Unicode MS"/>
              </w:rPr>
              <w:t>t</w:t>
            </w:r>
            <w:r w:rsidRPr="00AC78FF">
              <w:rPr>
                <w:rFonts w:eastAsia="Arial Unicode MS"/>
              </w:rPr>
              <w:t xml:space="preserve">ransfers from </w:t>
            </w:r>
            <w:r w:rsidR="00800AE4">
              <w:rPr>
                <w:rFonts w:eastAsia="Arial Unicode MS"/>
              </w:rPr>
              <w:t>o</w:t>
            </w:r>
            <w:r w:rsidRPr="00AC78FF">
              <w:rPr>
                <w:rFonts w:eastAsia="Arial Unicode MS"/>
              </w:rPr>
              <w:t xml:space="preserve">ther </w:t>
            </w:r>
            <w:r w:rsidR="00800AE4">
              <w:rPr>
                <w:rFonts w:eastAsia="Arial Unicode MS"/>
              </w:rPr>
              <w:t>g</w:t>
            </w:r>
            <w:r w:rsidRPr="00AC78FF">
              <w:rPr>
                <w:rFonts w:eastAsia="Arial Unicode MS"/>
              </w:rPr>
              <w:t xml:space="preserve">overnment </w:t>
            </w:r>
            <w:r w:rsidR="00800AE4">
              <w:rPr>
                <w:rFonts w:eastAsia="Arial Unicode MS"/>
              </w:rPr>
              <w:t>e</w:t>
            </w:r>
            <w:r w:rsidR="00D14FC7">
              <w:rPr>
                <w:rFonts w:eastAsia="Arial Unicode MS"/>
              </w:rPr>
              <w:t>ntities (Fixed a</w:t>
            </w:r>
            <w:r w:rsidRPr="00AC78FF">
              <w:rPr>
                <w:rFonts w:eastAsia="Arial Unicode MS"/>
              </w:rPr>
              <w:t>ssets)</w:t>
            </w:r>
          </w:p>
        </w:tc>
        <w:tc>
          <w:tcPr>
            <w:tcW w:w="1309" w:type="dxa"/>
          </w:tcPr>
          <w:p w:rsidR="00DA213A" w:rsidRPr="00731E39" w:rsidRDefault="00DA213A" w:rsidP="003C3537">
            <w:pPr>
              <w:pStyle w:val="Tabletext"/>
              <w:jc w:val="right"/>
              <w:rPr>
                <w:rFonts w:eastAsia="Arial Unicode MS"/>
              </w:rPr>
            </w:pPr>
            <w:r>
              <w:rPr>
                <w:rFonts w:eastAsia="Arial Unicode MS"/>
              </w:rPr>
              <w:t>2</w:t>
            </w:r>
            <w:r w:rsidRPr="00731E39">
              <w:rPr>
                <w:rFonts w:eastAsia="Arial Unicode MS"/>
              </w:rPr>
              <w:t>0</w:t>
            </w:r>
          </w:p>
        </w:tc>
      </w:tr>
    </w:tbl>
    <w:p w:rsidR="00800AE4" w:rsidRPr="000E661F" w:rsidRDefault="00800AE4" w:rsidP="00800AE4">
      <w:pPr>
        <w:pStyle w:val="Heading4"/>
      </w:pPr>
      <w:r>
        <w:t>Scenario 2</w:t>
      </w:r>
      <w:r w:rsidR="00EF0537">
        <w:t xml:space="preserve"> –</w:t>
      </w:r>
      <w:r>
        <w:t xml:space="preserve"> </w:t>
      </w:r>
      <w:r w:rsidRPr="000E661F">
        <w:t xml:space="preserve">Transfers between </w:t>
      </w:r>
      <w:r>
        <w:t>agencies in different portfolios</w:t>
      </w:r>
    </w:p>
    <w:p w:rsidR="00BB380C" w:rsidRDefault="00BB380C" w:rsidP="006E217D">
      <w:pPr>
        <w:pStyle w:val="NormalIndent"/>
        <w:ind w:left="360"/>
      </w:pPr>
      <w:r>
        <w:t xml:space="preserve">Transfers may arise between </w:t>
      </w:r>
      <w:r w:rsidR="003A1B1A">
        <w:t>agencies</w:t>
      </w:r>
      <w:r>
        <w:t xml:space="preserve">. These transfers may also result in a move between </w:t>
      </w:r>
      <w:r w:rsidR="007C6CCA">
        <w:t>d</w:t>
      </w:r>
      <w:r>
        <w:t xml:space="preserve">epartmental portfolios requiring adjustment at both the agency and </w:t>
      </w:r>
      <w:r w:rsidR="007C6CCA">
        <w:t>d</w:t>
      </w:r>
      <w:r>
        <w:t>epartmental level.</w:t>
      </w:r>
    </w:p>
    <w:p w:rsidR="00800AE4" w:rsidRDefault="00800AE4" w:rsidP="00314B6A">
      <w:pPr>
        <w:pStyle w:val="NormalIndent"/>
        <w:ind w:left="360"/>
      </w:pPr>
      <w:r>
        <w:rPr>
          <w:b/>
        </w:rPr>
        <w:t>E</w:t>
      </w:r>
      <w:r w:rsidR="00BB380C" w:rsidRPr="006E217D">
        <w:rPr>
          <w:b/>
        </w:rPr>
        <w:t>xample</w:t>
      </w:r>
      <w:r>
        <w:rPr>
          <w:b/>
        </w:rPr>
        <w:t>:</w:t>
      </w:r>
      <w:r w:rsidR="00BB380C">
        <w:t xml:space="preserve"> </w:t>
      </w:r>
      <w:r w:rsidR="002E5B41">
        <w:t>An</w:t>
      </w:r>
      <w:r w:rsidRPr="007C0A66">
        <w:t xml:space="preserve"> agency transfers </w:t>
      </w:r>
      <w:r w:rsidR="00E50EC4">
        <w:t>fixed assets</w:t>
      </w:r>
      <w:r w:rsidRPr="007C0A66">
        <w:t xml:space="preserve"> at a carrying amount of $20 to another agency.</w:t>
      </w:r>
    </w:p>
    <w:p w:rsidR="00800AE4" w:rsidRDefault="00800AE4" w:rsidP="00314B6A">
      <w:pPr>
        <w:pStyle w:val="Heading4"/>
        <w:spacing w:before="240" w:after="120"/>
        <w:ind w:left="360"/>
      </w:pPr>
      <w:r>
        <w:t xml:space="preserve">Step A – </w:t>
      </w:r>
      <w:r w:rsidR="002E5B41">
        <w:t xml:space="preserve">The agency (Agency A) transfers the asset out of its accounts, back to its </w:t>
      </w:r>
      <w:r w:rsidR="007C6CCA">
        <w:t>d</w:t>
      </w:r>
      <w:r w:rsidR="002E5B41">
        <w:t>epartment.</w:t>
      </w:r>
    </w:p>
    <w:tbl>
      <w:tblPr>
        <w:tblStyle w:val="DTFtexttable"/>
        <w:tblW w:w="7522" w:type="dxa"/>
        <w:tblInd w:w="864" w:type="dxa"/>
        <w:tblLayout w:type="fixed"/>
        <w:tblLook w:val="0620" w:firstRow="1" w:lastRow="0" w:firstColumn="0" w:lastColumn="0" w:noHBand="1" w:noVBand="1"/>
      </w:tblPr>
      <w:tblGrid>
        <w:gridCol w:w="5731"/>
        <w:gridCol w:w="1791"/>
      </w:tblGrid>
      <w:tr w:rsidR="00800AE4"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800AE4" w:rsidRDefault="00800AE4" w:rsidP="003C3537">
            <w:pPr>
              <w:pStyle w:val="Tableheader"/>
              <w:rPr>
                <w:rFonts w:eastAsia="Arial Unicode MS"/>
              </w:rPr>
            </w:pPr>
            <w:r w:rsidRPr="00673D01">
              <w:t>A</w:t>
            </w:r>
            <w:r>
              <w:t>gency</w:t>
            </w:r>
            <w:r w:rsidR="002E5B41">
              <w:t xml:space="preserve"> A</w:t>
            </w:r>
          </w:p>
        </w:tc>
      </w:tr>
      <w:tr w:rsidR="00800AE4" w:rsidRPr="00731E39" w:rsidTr="003C3537">
        <w:tc>
          <w:tcPr>
            <w:tcW w:w="5731" w:type="dxa"/>
          </w:tcPr>
          <w:p w:rsidR="00800AE4" w:rsidRPr="00731E39" w:rsidRDefault="00800AE4" w:rsidP="003C3537">
            <w:pPr>
              <w:pStyle w:val="Tabletext"/>
              <w:rPr>
                <w:rFonts w:eastAsia="Arial Unicode MS"/>
              </w:rPr>
            </w:pPr>
            <w:r>
              <w:rPr>
                <w:rFonts w:eastAsia="Arial Unicode MS"/>
              </w:rPr>
              <w:t xml:space="preserve">DR </w:t>
            </w:r>
            <w:r w:rsidR="002F7A0C" w:rsidRPr="004C5801">
              <w:rPr>
                <w:rFonts w:eastAsia="Arial Unicode MS"/>
              </w:rPr>
              <w:t xml:space="preserve">Equity </w:t>
            </w:r>
            <w:r w:rsidR="002F7A0C">
              <w:rPr>
                <w:rFonts w:eastAsia="Arial Unicode MS"/>
              </w:rPr>
              <w:t>t</w:t>
            </w:r>
            <w:r w:rsidR="002F7A0C" w:rsidRPr="004C5801">
              <w:rPr>
                <w:rFonts w:eastAsia="Arial Unicode MS"/>
              </w:rPr>
              <w:t xml:space="preserve">ransfers to </w:t>
            </w:r>
            <w:r w:rsidR="002F7A0C">
              <w:rPr>
                <w:rFonts w:eastAsia="Arial Unicode MS"/>
              </w:rPr>
              <w:t>o</w:t>
            </w:r>
            <w:r w:rsidR="002F7A0C" w:rsidRPr="004C5801">
              <w:rPr>
                <w:rFonts w:eastAsia="Arial Unicode MS"/>
              </w:rPr>
              <w:t xml:space="preserve">ther </w:t>
            </w:r>
            <w:r w:rsidR="002F7A0C">
              <w:rPr>
                <w:rFonts w:eastAsia="Arial Unicode MS"/>
              </w:rPr>
              <w:t>g</w:t>
            </w:r>
            <w:r w:rsidR="002F7A0C" w:rsidRPr="004C5801">
              <w:rPr>
                <w:rFonts w:eastAsia="Arial Unicode MS"/>
              </w:rPr>
              <w:t xml:space="preserve">overnment </w:t>
            </w:r>
            <w:r w:rsidR="002F7A0C">
              <w:rPr>
                <w:rFonts w:eastAsia="Arial Unicode MS"/>
              </w:rPr>
              <w:t>e</w:t>
            </w:r>
            <w:r w:rsidR="002F7A0C" w:rsidRPr="004C5801">
              <w:rPr>
                <w:rFonts w:eastAsia="Arial Unicode MS"/>
              </w:rPr>
              <w:t xml:space="preserve">ntities </w:t>
            </w:r>
            <w:r w:rsidR="00D14FC7">
              <w:rPr>
                <w:rFonts w:eastAsia="Arial Unicode MS"/>
              </w:rPr>
              <w:t>(Fixed a</w:t>
            </w:r>
            <w:r w:rsidRPr="00C91080">
              <w:rPr>
                <w:rFonts w:eastAsia="Arial Unicode MS"/>
              </w:rPr>
              <w:t>ssets)</w:t>
            </w:r>
          </w:p>
        </w:tc>
        <w:tc>
          <w:tcPr>
            <w:tcW w:w="1791" w:type="dxa"/>
          </w:tcPr>
          <w:p w:rsidR="00800AE4" w:rsidRPr="00731E39" w:rsidRDefault="00800AE4" w:rsidP="003C3537">
            <w:pPr>
              <w:pStyle w:val="Tabletext"/>
              <w:jc w:val="right"/>
              <w:rPr>
                <w:rFonts w:eastAsia="Arial Unicode MS"/>
              </w:rPr>
            </w:pPr>
            <w:r>
              <w:rPr>
                <w:rFonts w:eastAsia="Arial Unicode MS"/>
              </w:rPr>
              <w:t>20</w:t>
            </w:r>
          </w:p>
        </w:tc>
      </w:tr>
      <w:tr w:rsidR="00800AE4" w:rsidRPr="00731E39" w:rsidTr="003C3537">
        <w:tc>
          <w:tcPr>
            <w:tcW w:w="5731" w:type="dxa"/>
          </w:tcPr>
          <w:p w:rsidR="00800AE4" w:rsidRPr="00731E39" w:rsidRDefault="00800AE4" w:rsidP="002F7A0C">
            <w:pPr>
              <w:pStyle w:val="Tabletext"/>
              <w:rPr>
                <w:rFonts w:eastAsia="Arial Unicode MS"/>
              </w:rPr>
            </w:pPr>
            <w:r>
              <w:rPr>
                <w:rFonts w:eastAsia="Arial Unicode MS"/>
              </w:rPr>
              <w:t xml:space="preserve">CR </w:t>
            </w:r>
            <w:r w:rsidR="002F7A0C">
              <w:rPr>
                <w:rFonts w:eastAsia="Arial Unicode MS"/>
              </w:rPr>
              <w:t>Fixed assets</w:t>
            </w:r>
          </w:p>
        </w:tc>
        <w:tc>
          <w:tcPr>
            <w:tcW w:w="1791" w:type="dxa"/>
          </w:tcPr>
          <w:p w:rsidR="00800AE4" w:rsidRPr="00731E39" w:rsidRDefault="00800AE4" w:rsidP="003C3537">
            <w:pPr>
              <w:pStyle w:val="Tabletext"/>
              <w:jc w:val="right"/>
              <w:rPr>
                <w:rFonts w:eastAsia="Arial Unicode MS"/>
              </w:rPr>
            </w:pPr>
            <w:r>
              <w:rPr>
                <w:rFonts w:eastAsia="Arial Unicode MS"/>
              </w:rPr>
              <w:t>20</w:t>
            </w:r>
          </w:p>
        </w:tc>
      </w:tr>
    </w:tbl>
    <w:p w:rsidR="00800AE4" w:rsidRPr="00800AE4" w:rsidRDefault="00800AE4" w:rsidP="00314B6A">
      <w:pPr>
        <w:pStyle w:val="Heading4"/>
        <w:spacing w:before="240" w:after="120"/>
        <w:ind w:left="360"/>
      </w:pPr>
      <w:r w:rsidRPr="00800AE4">
        <w:t xml:space="preserve">Step B – </w:t>
      </w:r>
      <w:r w:rsidR="002E5B41" w:rsidRPr="002E5B41">
        <w:t xml:space="preserve">Agency A’s </w:t>
      </w:r>
      <w:r w:rsidR="008B11FB">
        <w:t>d</w:t>
      </w:r>
      <w:r w:rsidRPr="00800AE4">
        <w:t>epartment</w:t>
      </w:r>
      <w:r w:rsidR="002E5B41" w:rsidRPr="002E5B41">
        <w:t xml:space="preserve"> (Department A) receives the asset</w:t>
      </w:r>
      <w:r w:rsidR="002F7A0C">
        <w:t>s</w:t>
      </w:r>
      <w:r w:rsidR="002E5B41" w:rsidRPr="002E5B41">
        <w:t xml:space="preserve"> back from </w:t>
      </w:r>
      <w:r w:rsidR="002F7A0C">
        <w:t>Agency A</w:t>
      </w:r>
      <w:r w:rsidR="002E5B41" w:rsidRPr="002E5B41">
        <w:t xml:space="preserve">, then transfers it to the </w:t>
      </w:r>
      <w:r w:rsidR="007C6CCA">
        <w:t>d</w:t>
      </w:r>
      <w:r w:rsidR="002E5B41" w:rsidRPr="002E5B41">
        <w:t>epartment receiving the assets (Department B).</w:t>
      </w:r>
    </w:p>
    <w:tbl>
      <w:tblPr>
        <w:tblStyle w:val="DTFtexttable"/>
        <w:tblW w:w="7522" w:type="dxa"/>
        <w:tblInd w:w="864" w:type="dxa"/>
        <w:tblLayout w:type="fixed"/>
        <w:tblLook w:val="0620" w:firstRow="1" w:lastRow="0" w:firstColumn="0" w:lastColumn="0" w:noHBand="1" w:noVBand="1"/>
      </w:tblPr>
      <w:tblGrid>
        <w:gridCol w:w="5731"/>
        <w:gridCol w:w="1791"/>
      </w:tblGrid>
      <w:tr w:rsidR="00800AE4"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800AE4" w:rsidRDefault="002E5B41" w:rsidP="002E5B41">
            <w:pPr>
              <w:pStyle w:val="Tableheader"/>
              <w:rPr>
                <w:rFonts w:eastAsia="Arial Unicode MS"/>
              </w:rPr>
            </w:pPr>
            <w:r>
              <w:t>Department A – Administered</w:t>
            </w:r>
          </w:p>
        </w:tc>
      </w:tr>
      <w:tr w:rsidR="00800AE4" w:rsidRPr="00731E39" w:rsidTr="003C3537">
        <w:tc>
          <w:tcPr>
            <w:tcW w:w="5731" w:type="dxa"/>
          </w:tcPr>
          <w:p w:rsidR="00800AE4" w:rsidRPr="00731E39" w:rsidRDefault="00800AE4" w:rsidP="002E5B41">
            <w:pPr>
              <w:pStyle w:val="Tabletext"/>
              <w:rPr>
                <w:rFonts w:eastAsia="Arial Unicode MS"/>
              </w:rPr>
            </w:pPr>
            <w:r>
              <w:rPr>
                <w:rFonts w:eastAsia="Arial Unicode MS"/>
              </w:rPr>
              <w:t xml:space="preserve">DR </w:t>
            </w:r>
            <w:r w:rsidRPr="00C91080">
              <w:rPr>
                <w:rFonts w:eastAsia="Arial Unicode MS"/>
              </w:rPr>
              <w:t xml:space="preserve">Fixed </w:t>
            </w:r>
            <w:r w:rsidR="002E5B41">
              <w:rPr>
                <w:rFonts w:eastAsia="Arial Unicode MS"/>
              </w:rPr>
              <w:t>a</w:t>
            </w:r>
            <w:r w:rsidRPr="00C91080">
              <w:rPr>
                <w:rFonts w:eastAsia="Arial Unicode MS"/>
              </w:rPr>
              <w:t>sse</w:t>
            </w:r>
            <w:r w:rsidR="002E5B41">
              <w:rPr>
                <w:rFonts w:eastAsia="Arial Unicode MS"/>
              </w:rPr>
              <w:t>t</w:t>
            </w:r>
            <w:r w:rsidR="002F7A0C">
              <w:rPr>
                <w:rFonts w:eastAsia="Arial Unicode MS"/>
              </w:rPr>
              <w:t>s</w:t>
            </w:r>
          </w:p>
        </w:tc>
        <w:tc>
          <w:tcPr>
            <w:tcW w:w="1791" w:type="dxa"/>
          </w:tcPr>
          <w:p w:rsidR="00800AE4" w:rsidRPr="00731E39" w:rsidRDefault="00800AE4" w:rsidP="003C3537">
            <w:pPr>
              <w:pStyle w:val="Tabletext"/>
              <w:jc w:val="right"/>
              <w:rPr>
                <w:rFonts w:eastAsia="Arial Unicode MS"/>
              </w:rPr>
            </w:pPr>
            <w:r>
              <w:rPr>
                <w:rFonts w:eastAsia="Arial Unicode MS"/>
              </w:rPr>
              <w:t>20</w:t>
            </w:r>
          </w:p>
        </w:tc>
      </w:tr>
      <w:tr w:rsidR="00800AE4" w:rsidRPr="00731E39" w:rsidTr="003C3537">
        <w:tc>
          <w:tcPr>
            <w:tcW w:w="5731" w:type="dxa"/>
          </w:tcPr>
          <w:p w:rsidR="00800AE4" w:rsidRPr="00731E39" w:rsidRDefault="00800AE4" w:rsidP="002E5B41">
            <w:pPr>
              <w:pStyle w:val="Tabletext"/>
              <w:rPr>
                <w:rFonts w:eastAsia="Arial Unicode MS"/>
              </w:rPr>
            </w:pPr>
            <w:r>
              <w:rPr>
                <w:rFonts w:eastAsia="Arial Unicode MS"/>
              </w:rPr>
              <w:t xml:space="preserve">CR </w:t>
            </w:r>
            <w:r w:rsidR="002E5B41" w:rsidRPr="00AC78FF">
              <w:rPr>
                <w:rFonts w:eastAsia="Arial Unicode MS"/>
              </w:rPr>
              <w:t xml:space="preserve">Equity </w:t>
            </w:r>
            <w:r w:rsidR="002E5B41">
              <w:rPr>
                <w:rFonts w:eastAsia="Arial Unicode MS"/>
              </w:rPr>
              <w:t>t</w:t>
            </w:r>
            <w:r w:rsidR="002E5B41" w:rsidRPr="00AC78FF">
              <w:rPr>
                <w:rFonts w:eastAsia="Arial Unicode MS"/>
              </w:rPr>
              <w:t xml:space="preserve">ransfers from </w:t>
            </w:r>
            <w:r w:rsidR="002E5B41">
              <w:rPr>
                <w:rFonts w:eastAsia="Arial Unicode MS"/>
              </w:rPr>
              <w:t>o</w:t>
            </w:r>
            <w:r w:rsidR="002E5B41" w:rsidRPr="00AC78FF">
              <w:rPr>
                <w:rFonts w:eastAsia="Arial Unicode MS"/>
              </w:rPr>
              <w:t xml:space="preserve">ther </w:t>
            </w:r>
            <w:r w:rsidR="002E5B41">
              <w:rPr>
                <w:rFonts w:eastAsia="Arial Unicode MS"/>
              </w:rPr>
              <w:t>g</w:t>
            </w:r>
            <w:r w:rsidR="002E5B41" w:rsidRPr="00AC78FF">
              <w:rPr>
                <w:rFonts w:eastAsia="Arial Unicode MS"/>
              </w:rPr>
              <w:t xml:space="preserve">overnment </w:t>
            </w:r>
            <w:r w:rsidR="002E5B41">
              <w:rPr>
                <w:rFonts w:eastAsia="Arial Unicode MS"/>
              </w:rPr>
              <w:t>e</w:t>
            </w:r>
            <w:r w:rsidR="002E5B41" w:rsidRPr="00AC78FF">
              <w:rPr>
                <w:rFonts w:eastAsia="Arial Unicode MS"/>
              </w:rPr>
              <w:t xml:space="preserve">ntities </w:t>
            </w:r>
            <w:r w:rsidRPr="00AC78FF">
              <w:rPr>
                <w:rFonts w:eastAsia="Arial Unicode MS"/>
              </w:rPr>
              <w:t>(</w:t>
            </w:r>
            <w:r>
              <w:rPr>
                <w:rFonts w:eastAsia="Arial Unicode MS"/>
              </w:rPr>
              <w:t>Fixed</w:t>
            </w:r>
            <w:r w:rsidR="00D14FC7">
              <w:rPr>
                <w:rFonts w:eastAsia="Arial Unicode MS"/>
              </w:rPr>
              <w:t xml:space="preserve"> a</w:t>
            </w:r>
            <w:r w:rsidRPr="00AC78FF">
              <w:rPr>
                <w:rFonts w:eastAsia="Arial Unicode MS"/>
              </w:rPr>
              <w:t>ssets)</w:t>
            </w:r>
          </w:p>
        </w:tc>
        <w:tc>
          <w:tcPr>
            <w:tcW w:w="1791" w:type="dxa"/>
          </w:tcPr>
          <w:p w:rsidR="00800AE4" w:rsidRPr="00731E39" w:rsidRDefault="00800AE4" w:rsidP="003C3537">
            <w:pPr>
              <w:pStyle w:val="Tabletext"/>
              <w:jc w:val="right"/>
              <w:rPr>
                <w:rFonts w:eastAsia="Arial Unicode MS"/>
              </w:rPr>
            </w:pPr>
            <w:r>
              <w:rPr>
                <w:rFonts w:eastAsia="Arial Unicode MS"/>
              </w:rPr>
              <w:t>20</w:t>
            </w:r>
          </w:p>
        </w:tc>
      </w:tr>
      <w:tr w:rsidR="00800AE4" w:rsidRPr="00731E39" w:rsidTr="003C3537">
        <w:tc>
          <w:tcPr>
            <w:tcW w:w="5731" w:type="dxa"/>
          </w:tcPr>
          <w:p w:rsidR="00800AE4" w:rsidRPr="00731E39" w:rsidRDefault="00800AE4" w:rsidP="003C3537">
            <w:pPr>
              <w:pStyle w:val="Tabletext"/>
              <w:rPr>
                <w:rFonts w:eastAsia="Arial Unicode MS"/>
              </w:rPr>
            </w:pPr>
            <w:r>
              <w:rPr>
                <w:rFonts w:eastAsia="Arial Unicode MS"/>
              </w:rPr>
              <w:t xml:space="preserve">DR </w:t>
            </w:r>
            <w:r w:rsidR="002E5B41" w:rsidRPr="00AC78FF">
              <w:rPr>
                <w:rFonts w:eastAsia="Arial Unicode MS"/>
              </w:rPr>
              <w:t xml:space="preserve">Equity </w:t>
            </w:r>
            <w:r w:rsidR="002E5B41">
              <w:rPr>
                <w:rFonts w:eastAsia="Arial Unicode MS"/>
              </w:rPr>
              <w:t>transfers to</w:t>
            </w:r>
            <w:r w:rsidR="002E5B41" w:rsidRPr="00AC78FF">
              <w:rPr>
                <w:rFonts w:eastAsia="Arial Unicode MS"/>
              </w:rPr>
              <w:t xml:space="preserve"> </w:t>
            </w:r>
            <w:r w:rsidR="002E5B41">
              <w:rPr>
                <w:rFonts w:eastAsia="Arial Unicode MS"/>
              </w:rPr>
              <w:t>o</w:t>
            </w:r>
            <w:r w:rsidR="002E5B41" w:rsidRPr="00AC78FF">
              <w:rPr>
                <w:rFonts w:eastAsia="Arial Unicode MS"/>
              </w:rPr>
              <w:t xml:space="preserve">ther </w:t>
            </w:r>
            <w:r w:rsidR="002E5B41">
              <w:rPr>
                <w:rFonts w:eastAsia="Arial Unicode MS"/>
              </w:rPr>
              <w:t>g</w:t>
            </w:r>
            <w:r w:rsidR="002E5B41" w:rsidRPr="00AC78FF">
              <w:rPr>
                <w:rFonts w:eastAsia="Arial Unicode MS"/>
              </w:rPr>
              <w:t xml:space="preserve">overnment </w:t>
            </w:r>
            <w:r w:rsidR="002E5B41">
              <w:rPr>
                <w:rFonts w:eastAsia="Arial Unicode MS"/>
              </w:rPr>
              <w:t>e</w:t>
            </w:r>
            <w:r w:rsidR="002E5B41" w:rsidRPr="00AC78FF">
              <w:rPr>
                <w:rFonts w:eastAsia="Arial Unicode MS"/>
              </w:rPr>
              <w:t xml:space="preserve">ntities </w:t>
            </w:r>
            <w:r w:rsidRPr="00AC78FF">
              <w:rPr>
                <w:rFonts w:eastAsia="Arial Unicode MS"/>
              </w:rPr>
              <w:t>(</w:t>
            </w:r>
            <w:r>
              <w:rPr>
                <w:rFonts w:eastAsia="Arial Unicode MS"/>
              </w:rPr>
              <w:t>Fixed</w:t>
            </w:r>
            <w:r w:rsidR="00D14FC7">
              <w:rPr>
                <w:rFonts w:eastAsia="Arial Unicode MS"/>
              </w:rPr>
              <w:t xml:space="preserve"> a</w:t>
            </w:r>
            <w:r w:rsidRPr="00AC78FF">
              <w:rPr>
                <w:rFonts w:eastAsia="Arial Unicode MS"/>
              </w:rPr>
              <w:t>ssets)</w:t>
            </w:r>
          </w:p>
        </w:tc>
        <w:tc>
          <w:tcPr>
            <w:tcW w:w="1791" w:type="dxa"/>
          </w:tcPr>
          <w:p w:rsidR="00800AE4" w:rsidRPr="00731E39" w:rsidRDefault="00800AE4" w:rsidP="003C3537">
            <w:pPr>
              <w:pStyle w:val="Tabletext"/>
              <w:jc w:val="right"/>
              <w:rPr>
                <w:rFonts w:eastAsia="Arial Unicode MS"/>
              </w:rPr>
            </w:pPr>
            <w:r>
              <w:rPr>
                <w:rFonts w:eastAsia="Arial Unicode MS"/>
              </w:rPr>
              <w:t>2</w:t>
            </w:r>
            <w:r w:rsidRPr="00731E39">
              <w:rPr>
                <w:rFonts w:eastAsia="Arial Unicode MS"/>
              </w:rPr>
              <w:t>0</w:t>
            </w:r>
          </w:p>
        </w:tc>
      </w:tr>
      <w:tr w:rsidR="00800AE4" w:rsidRPr="00731E39" w:rsidTr="003C3537">
        <w:tc>
          <w:tcPr>
            <w:tcW w:w="5731" w:type="dxa"/>
          </w:tcPr>
          <w:p w:rsidR="00800AE4" w:rsidRPr="00731E39" w:rsidRDefault="00800AE4" w:rsidP="002E5B41">
            <w:pPr>
              <w:pStyle w:val="Tabletext"/>
              <w:rPr>
                <w:rFonts w:eastAsia="Arial Unicode MS"/>
              </w:rPr>
            </w:pPr>
            <w:r>
              <w:rPr>
                <w:rFonts w:eastAsia="Arial Unicode MS"/>
              </w:rPr>
              <w:t xml:space="preserve">CR </w:t>
            </w:r>
            <w:r w:rsidRPr="00C91080">
              <w:rPr>
                <w:rFonts w:eastAsia="Arial Unicode MS"/>
              </w:rPr>
              <w:t xml:space="preserve">Fixed </w:t>
            </w:r>
            <w:r w:rsidR="002E5B41">
              <w:rPr>
                <w:rFonts w:eastAsia="Arial Unicode MS"/>
              </w:rPr>
              <w:t>a</w:t>
            </w:r>
            <w:r w:rsidRPr="00C91080">
              <w:rPr>
                <w:rFonts w:eastAsia="Arial Unicode MS"/>
              </w:rPr>
              <w:t>sset</w:t>
            </w:r>
            <w:r w:rsidR="002F7A0C">
              <w:rPr>
                <w:rFonts w:eastAsia="Arial Unicode MS"/>
              </w:rPr>
              <w:t>s</w:t>
            </w:r>
          </w:p>
        </w:tc>
        <w:tc>
          <w:tcPr>
            <w:tcW w:w="1791" w:type="dxa"/>
          </w:tcPr>
          <w:p w:rsidR="00800AE4" w:rsidRPr="00731E39" w:rsidRDefault="00800AE4" w:rsidP="003C3537">
            <w:pPr>
              <w:pStyle w:val="Tabletext"/>
              <w:jc w:val="right"/>
              <w:rPr>
                <w:rFonts w:eastAsia="Arial Unicode MS"/>
              </w:rPr>
            </w:pPr>
            <w:r>
              <w:rPr>
                <w:rFonts w:eastAsia="Arial Unicode MS"/>
              </w:rPr>
              <w:t>2</w:t>
            </w:r>
            <w:r w:rsidRPr="00731E39">
              <w:rPr>
                <w:rFonts w:eastAsia="Arial Unicode MS"/>
              </w:rPr>
              <w:t>0</w:t>
            </w:r>
          </w:p>
        </w:tc>
      </w:tr>
    </w:tbl>
    <w:p w:rsidR="00800AE4" w:rsidRDefault="002E5B41" w:rsidP="00314B6A">
      <w:pPr>
        <w:pStyle w:val="Heading4"/>
        <w:spacing w:before="240" w:after="120"/>
        <w:ind w:left="360"/>
      </w:pPr>
      <w:r>
        <w:t xml:space="preserve">Step </w:t>
      </w:r>
      <w:r w:rsidR="001834DF">
        <w:t>C</w:t>
      </w:r>
      <w:r w:rsidRPr="00800AE4">
        <w:t xml:space="preserve"> –</w:t>
      </w:r>
      <w:r>
        <w:t xml:space="preserve"> </w:t>
      </w:r>
      <w:r w:rsidRPr="002E5B41">
        <w:t>Department A</w:t>
      </w:r>
      <w:r>
        <w:t xml:space="preserve"> reduces its investment in its agency.</w:t>
      </w:r>
    </w:p>
    <w:tbl>
      <w:tblPr>
        <w:tblStyle w:val="DTFtexttable"/>
        <w:tblW w:w="7522" w:type="dxa"/>
        <w:tblInd w:w="864" w:type="dxa"/>
        <w:tblLayout w:type="fixed"/>
        <w:tblLook w:val="0620" w:firstRow="1" w:lastRow="0" w:firstColumn="0" w:lastColumn="0" w:noHBand="1" w:noVBand="1"/>
      </w:tblPr>
      <w:tblGrid>
        <w:gridCol w:w="5731"/>
        <w:gridCol w:w="1791"/>
      </w:tblGrid>
      <w:tr w:rsidR="002E5B41"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2E5B41" w:rsidRDefault="002E5B41" w:rsidP="003C3537">
            <w:pPr>
              <w:pStyle w:val="Tableheader"/>
              <w:rPr>
                <w:rFonts w:eastAsia="Arial Unicode MS"/>
              </w:rPr>
            </w:pPr>
            <w:r>
              <w:t>Department A – Administered</w:t>
            </w:r>
          </w:p>
        </w:tc>
      </w:tr>
      <w:tr w:rsidR="002E5B41" w:rsidRPr="00731E39" w:rsidTr="003C3537">
        <w:tc>
          <w:tcPr>
            <w:tcW w:w="5731" w:type="dxa"/>
          </w:tcPr>
          <w:p w:rsidR="002E5B41" w:rsidRPr="00731E39" w:rsidRDefault="002E5B41" w:rsidP="003C3537">
            <w:pPr>
              <w:pStyle w:val="Tabletext"/>
              <w:rPr>
                <w:rFonts w:eastAsia="Arial Unicode MS"/>
              </w:rPr>
            </w:pPr>
            <w:r>
              <w:rPr>
                <w:rFonts w:eastAsia="Arial Unicode MS"/>
              </w:rPr>
              <w:t xml:space="preserve">DR </w:t>
            </w:r>
            <w:r w:rsidR="001834DF" w:rsidRPr="00AC78FF">
              <w:rPr>
                <w:rFonts w:eastAsia="Arial Unicode MS"/>
              </w:rPr>
              <w:t xml:space="preserve">Equity </w:t>
            </w:r>
            <w:r w:rsidR="001834DF">
              <w:rPr>
                <w:rFonts w:eastAsia="Arial Unicode MS"/>
              </w:rPr>
              <w:t>transfers to</w:t>
            </w:r>
            <w:r w:rsidR="001834DF" w:rsidRPr="00AC78FF">
              <w:rPr>
                <w:rFonts w:eastAsia="Arial Unicode MS"/>
              </w:rPr>
              <w:t xml:space="preserve"> </w:t>
            </w:r>
            <w:r w:rsidR="001834DF">
              <w:rPr>
                <w:rFonts w:eastAsia="Arial Unicode MS"/>
              </w:rPr>
              <w:t>o</w:t>
            </w:r>
            <w:r w:rsidR="001834DF" w:rsidRPr="00AC78FF">
              <w:rPr>
                <w:rFonts w:eastAsia="Arial Unicode MS"/>
              </w:rPr>
              <w:t xml:space="preserve">ther </w:t>
            </w:r>
            <w:r w:rsidR="001834DF">
              <w:rPr>
                <w:rFonts w:eastAsia="Arial Unicode MS"/>
              </w:rPr>
              <w:t>g</w:t>
            </w:r>
            <w:r w:rsidR="001834DF" w:rsidRPr="00AC78FF">
              <w:rPr>
                <w:rFonts w:eastAsia="Arial Unicode MS"/>
              </w:rPr>
              <w:t xml:space="preserve">overnment </w:t>
            </w:r>
            <w:r w:rsidR="001834DF">
              <w:rPr>
                <w:rFonts w:eastAsia="Arial Unicode MS"/>
              </w:rPr>
              <w:t>e</w:t>
            </w:r>
            <w:r w:rsidR="001834DF" w:rsidRPr="00AC78FF">
              <w:rPr>
                <w:rFonts w:eastAsia="Arial Unicode MS"/>
              </w:rPr>
              <w:t xml:space="preserve">ntities </w:t>
            </w:r>
            <w:r w:rsidR="00D14FC7">
              <w:rPr>
                <w:rFonts w:eastAsia="Arial Unicode MS"/>
              </w:rPr>
              <w:t>(Fixed a</w:t>
            </w:r>
            <w:r w:rsidRPr="00AC78FF">
              <w:rPr>
                <w:rFonts w:eastAsia="Arial Unicode MS"/>
              </w:rPr>
              <w:t>ssets)</w:t>
            </w:r>
          </w:p>
        </w:tc>
        <w:tc>
          <w:tcPr>
            <w:tcW w:w="1791" w:type="dxa"/>
          </w:tcPr>
          <w:p w:rsidR="002E5B41" w:rsidRPr="00731E39" w:rsidRDefault="002E5B41" w:rsidP="003C3537">
            <w:pPr>
              <w:pStyle w:val="Tabletext"/>
              <w:jc w:val="right"/>
              <w:rPr>
                <w:rFonts w:eastAsia="Arial Unicode MS"/>
              </w:rPr>
            </w:pPr>
            <w:r>
              <w:rPr>
                <w:rFonts w:eastAsia="Arial Unicode MS"/>
              </w:rPr>
              <w:t>2</w:t>
            </w:r>
            <w:r w:rsidRPr="00731E39">
              <w:rPr>
                <w:rFonts w:eastAsia="Arial Unicode MS"/>
              </w:rPr>
              <w:t>0</w:t>
            </w:r>
          </w:p>
        </w:tc>
      </w:tr>
      <w:tr w:rsidR="002E5B41" w:rsidRPr="00731E39" w:rsidTr="003C3537">
        <w:tc>
          <w:tcPr>
            <w:tcW w:w="5731" w:type="dxa"/>
          </w:tcPr>
          <w:p w:rsidR="002E5B41" w:rsidRPr="00731E39" w:rsidRDefault="002E5B41" w:rsidP="003C3537">
            <w:pPr>
              <w:pStyle w:val="Tabletext"/>
              <w:rPr>
                <w:rFonts w:eastAsia="Arial Unicode MS"/>
              </w:rPr>
            </w:pPr>
            <w:r>
              <w:rPr>
                <w:rFonts w:eastAsia="Arial Unicode MS"/>
              </w:rPr>
              <w:t xml:space="preserve">CR </w:t>
            </w:r>
            <w:r w:rsidR="001834DF" w:rsidRPr="00A62FFF">
              <w:t xml:space="preserve">Equity </w:t>
            </w:r>
            <w:r w:rsidR="00D14FC7">
              <w:t>investment in general government</w:t>
            </w:r>
            <w:r w:rsidR="001834DF">
              <w:t>, PNFC or PFC</w:t>
            </w:r>
          </w:p>
        </w:tc>
        <w:tc>
          <w:tcPr>
            <w:tcW w:w="1791" w:type="dxa"/>
          </w:tcPr>
          <w:p w:rsidR="002E5B41" w:rsidRPr="00731E39" w:rsidRDefault="002E5B41" w:rsidP="003C3537">
            <w:pPr>
              <w:pStyle w:val="Tabletext"/>
              <w:jc w:val="right"/>
              <w:rPr>
                <w:rFonts w:eastAsia="Arial Unicode MS"/>
              </w:rPr>
            </w:pPr>
            <w:r>
              <w:rPr>
                <w:rFonts w:eastAsia="Arial Unicode MS"/>
              </w:rPr>
              <w:t>2</w:t>
            </w:r>
            <w:r w:rsidRPr="00731E39">
              <w:rPr>
                <w:rFonts w:eastAsia="Arial Unicode MS"/>
              </w:rPr>
              <w:t>0</w:t>
            </w:r>
          </w:p>
        </w:tc>
      </w:tr>
    </w:tbl>
    <w:p w:rsidR="00800AE4" w:rsidRPr="00800AE4" w:rsidRDefault="00800AE4" w:rsidP="00314B6A">
      <w:pPr>
        <w:pStyle w:val="Heading4"/>
        <w:spacing w:before="240" w:after="120"/>
        <w:ind w:left="360"/>
      </w:pPr>
      <w:r>
        <w:t>S</w:t>
      </w:r>
      <w:r w:rsidR="001834DF">
        <w:t>tep D</w:t>
      </w:r>
      <w:r w:rsidRPr="00800AE4">
        <w:t xml:space="preserve"> – </w:t>
      </w:r>
      <w:r w:rsidR="001834DF">
        <w:t xml:space="preserve">The receiving </w:t>
      </w:r>
      <w:r w:rsidR="007C6CCA">
        <w:t>d</w:t>
      </w:r>
      <w:r w:rsidR="001834DF">
        <w:t>epartment (</w:t>
      </w:r>
      <w:r w:rsidRPr="00800AE4">
        <w:t>Department B</w:t>
      </w:r>
      <w:r w:rsidR="001834DF">
        <w:t>) records the receipt of the asset through the recognition of the investment in its agency (Agency B).</w:t>
      </w:r>
    </w:p>
    <w:tbl>
      <w:tblPr>
        <w:tblStyle w:val="DTFtexttable"/>
        <w:tblW w:w="7522" w:type="dxa"/>
        <w:tblInd w:w="864" w:type="dxa"/>
        <w:tblLayout w:type="fixed"/>
        <w:tblLook w:val="0620" w:firstRow="1" w:lastRow="0" w:firstColumn="0" w:lastColumn="0" w:noHBand="1" w:noVBand="1"/>
      </w:tblPr>
      <w:tblGrid>
        <w:gridCol w:w="5731"/>
        <w:gridCol w:w="1791"/>
      </w:tblGrid>
      <w:tr w:rsidR="00800AE4"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800AE4" w:rsidRPr="00525E52" w:rsidRDefault="00800AE4" w:rsidP="001834DF">
            <w:pPr>
              <w:pStyle w:val="Tableheader"/>
              <w:rPr>
                <w:b w:val="0"/>
              </w:rPr>
            </w:pPr>
            <w:r w:rsidRPr="00525E52">
              <w:t xml:space="preserve">Department </w:t>
            </w:r>
            <w:r>
              <w:t>B – Administered</w:t>
            </w:r>
          </w:p>
        </w:tc>
      </w:tr>
      <w:tr w:rsidR="00800AE4" w:rsidRPr="00731E39" w:rsidTr="003C3537">
        <w:tc>
          <w:tcPr>
            <w:tcW w:w="5731" w:type="dxa"/>
          </w:tcPr>
          <w:p w:rsidR="00800AE4" w:rsidRPr="00731E39" w:rsidRDefault="00800AE4" w:rsidP="003C3537">
            <w:pPr>
              <w:pStyle w:val="Tabletext"/>
              <w:rPr>
                <w:rFonts w:eastAsia="Arial Unicode MS"/>
              </w:rPr>
            </w:pPr>
            <w:r>
              <w:rPr>
                <w:rFonts w:eastAsia="Arial Unicode MS"/>
              </w:rPr>
              <w:t xml:space="preserve">DR </w:t>
            </w:r>
            <w:r w:rsidR="001834DF" w:rsidRPr="00A62FFF">
              <w:t xml:space="preserve">Equity </w:t>
            </w:r>
            <w:r w:rsidR="00D14FC7">
              <w:t>investment in general government</w:t>
            </w:r>
            <w:r w:rsidR="001834DF">
              <w:t>, PNFC or PFC</w:t>
            </w:r>
          </w:p>
        </w:tc>
        <w:tc>
          <w:tcPr>
            <w:tcW w:w="1791" w:type="dxa"/>
          </w:tcPr>
          <w:p w:rsidR="00800AE4" w:rsidRPr="00731E39" w:rsidRDefault="00800AE4" w:rsidP="003C3537">
            <w:pPr>
              <w:pStyle w:val="Tabletext"/>
              <w:jc w:val="right"/>
              <w:rPr>
                <w:rFonts w:eastAsia="Arial Unicode MS"/>
              </w:rPr>
            </w:pPr>
            <w:r>
              <w:rPr>
                <w:rFonts w:eastAsia="Arial Unicode MS"/>
              </w:rPr>
              <w:t>20</w:t>
            </w:r>
          </w:p>
        </w:tc>
      </w:tr>
      <w:tr w:rsidR="00800AE4" w:rsidRPr="00731E39" w:rsidTr="003C3537">
        <w:tc>
          <w:tcPr>
            <w:tcW w:w="5731" w:type="dxa"/>
          </w:tcPr>
          <w:p w:rsidR="00800AE4" w:rsidRPr="00731E39" w:rsidRDefault="00800AE4" w:rsidP="003C3537">
            <w:pPr>
              <w:pStyle w:val="Tabletext"/>
              <w:rPr>
                <w:rFonts w:eastAsia="Arial Unicode MS"/>
              </w:rPr>
            </w:pPr>
            <w:r>
              <w:rPr>
                <w:rFonts w:eastAsia="Arial Unicode MS"/>
              </w:rPr>
              <w:t xml:space="preserve">CR </w:t>
            </w:r>
            <w:r w:rsidR="001834DF" w:rsidRPr="00AC78FF">
              <w:rPr>
                <w:rFonts w:eastAsia="Arial Unicode MS"/>
              </w:rPr>
              <w:t xml:space="preserve">Equity </w:t>
            </w:r>
            <w:r w:rsidR="001834DF">
              <w:rPr>
                <w:rFonts w:eastAsia="Arial Unicode MS"/>
              </w:rPr>
              <w:t>t</w:t>
            </w:r>
            <w:r w:rsidR="001834DF" w:rsidRPr="00AC78FF">
              <w:rPr>
                <w:rFonts w:eastAsia="Arial Unicode MS"/>
              </w:rPr>
              <w:t xml:space="preserve">ransfers from </w:t>
            </w:r>
            <w:r w:rsidR="001834DF">
              <w:rPr>
                <w:rFonts w:eastAsia="Arial Unicode MS"/>
              </w:rPr>
              <w:t>o</w:t>
            </w:r>
            <w:r w:rsidR="001834DF" w:rsidRPr="00AC78FF">
              <w:rPr>
                <w:rFonts w:eastAsia="Arial Unicode MS"/>
              </w:rPr>
              <w:t xml:space="preserve">ther </w:t>
            </w:r>
            <w:r w:rsidR="001834DF">
              <w:rPr>
                <w:rFonts w:eastAsia="Arial Unicode MS"/>
              </w:rPr>
              <w:t>g</w:t>
            </w:r>
            <w:r w:rsidR="001834DF" w:rsidRPr="00AC78FF">
              <w:rPr>
                <w:rFonts w:eastAsia="Arial Unicode MS"/>
              </w:rPr>
              <w:t xml:space="preserve">overnment </w:t>
            </w:r>
            <w:r w:rsidR="001834DF">
              <w:rPr>
                <w:rFonts w:eastAsia="Arial Unicode MS"/>
              </w:rPr>
              <w:t>e</w:t>
            </w:r>
            <w:r w:rsidR="001834DF" w:rsidRPr="00AC78FF">
              <w:rPr>
                <w:rFonts w:eastAsia="Arial Unicode MS"/>
              </w:rPr>
              <w:t xml:space="preserve">ntities </w:t>
            </w:r>
            <w:r w:rsidR="00D14FC7">
              <w:rPr>
                <w:rFonts w:eastAsia="Arial Unicode MS"/>
              </w:rPr>
              <w:t>(Fixed a</w:t>
            </w:r>
            <w:r w:rsidRPr="00AC78FF">
              <w:rPr>
                <w:rFonts w:eastAsia="Arial Unicode MS"/>
              </w:rPr>
              <w:t>ssets)</w:t>
            </w:r>
          </w:p>
        </w:tc>
        <w:tc>
          <w:tcPr>
            <w:tcW w:w="1791" w:type="dxa"/>
          </w:tcPr>
          <w:p w:rsidR="00800AE4" w:rsidRPr="00731E39" w:rsidRDefault="00800AE4" w:rsidP="003C3537">
            <w:pPr>
              <w:pStyle w:val="Tabletext"/>
              <w:jc w:val="right"/>
              <w:rPr>
                <w:rFonts w:eastAsia="Arial Unicode MS"/>
              </w:rPr>
            </w:pPr>
            <w:r>
              <w:rPr>
                <w:rFonts w:eastAsia="Arial Unicode MS"/>
              </w:rPr>
              <w:t>20</w:t>
            </w:r>
          </w:p>
        </w:tc>
      </w:tr>
    </w:tbl>
    <w:p w:rsidR="001834DF" w:rsidRPr="00800AE4" w:rsidRDefault="001834DF" w:rsidP="001834DF">
      <w:pPr>
        <w:pStyle w:val="Heading4"/>
        <w:spacing w:before="240" w:after="120"/>
        <w:ind w:left="360"/>
      </w:pPr>
      <w:r>
        <w:t>Step E</w:t>
      </w:r>
      <w:r w:rsidRPr="00800AE4">
        <w:t xml:space="preserve"> – </w:t>
      </w:r>
      <w:r>
        <w:t>The receiving agency (Agency B) records the receipt of the asset.</w:t>
      </w:r>
    </w:p>
    <w:tbl>
      <w:tblPr>
        <w:tblStyle w:val="DTFtexttable"/>
        <w:tblW w:w="7522" w:type="dxa"/>
        <w:tblInd w:w="864" w:type="dxa"/>
        <w:tblLayout w:type="fixed"/>
        <w:tblLook w:val="0620" w:firstRow="1" w:lastRow="0" w:firstColumn="0" w:lastColumn="0" w:noHBand="1" w:noVBand="1"/>
      </w:tblPr>
      <w:tblGrid>
        <w:gridCol w:w="5731"/>
        <w:gridCol w:w="1791"/>
      </w:tblGrid>
      <w:tr w:rsidR="00800AE4"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800AE4" w:rsidRDefault="00800AE4" w:rsidP="002F7A0C">
            <w:pPr>
              <w:pStyle w:val="Tableheader"/>
              <w:rPr>
                <w:rFonts w:eastAsia="Arial Unicode MS"/>
              </w:rPr>
            </w:pPr>
            <w:r w:rsidRPr="00673D01">
              <w:t>A</w:t>
            </w:r>
            <w:r w:rsidR="002F7A0C">
              <w:t>gency B</w:t>
            </w:r>
          </w:p>
        </w:tc>
      </w:tr>
      <w:tr w:rsidR="00800AE4" w:rsidRPr="00731E39" w:rsidTr="003C3537">
        <w:tc>
          <w:tcPr>
            <w:tcW w:w="5731" w:type="dxa"/>
          </w:tcPr>
          <w:p w:rsidR="00800AE4" w:rsidRPr="00731E39" w:rsidRDefault="00800AE4" w:rsidP="001834DF">
            <w:pPr>
              <w:pStyle w:val="Tabletext"/>
              <w:rPr>
                <w:rFonts w:eastAsia="Arial Unicode MS"/>
              </w:rPr>
            </w:pPr>
            <w:r>
              <w:rPr>
                <w:rFonts w:eastAsia="Arial Unicode MS"/>
              </w:rPr>
              <w:t xml:space="preserve">DR </w:t>
            </w:r>
            <w:r w:rsidR="001834DF">
              <w:rPr>
                <w:rFonts w:eastAsia="Arial Unicode MS"/>
              </w:rPr>
              <w:t>Fixed assets</w:t>
            </w:r>
            <w:r w:rsidRPr="00C91080">
              <w:rPr>
                <w:rFonts w:eastAsia="Arial Unicode MS"/>
              </w:rPr>
              <w:t xml:space="preserve"> </w:t>
            </w:r>
          </w:p>
        </w:tc>
        <w:tc>
          <w:tcPr>
            <w:tcW w:w="1791" w:type="dxa"/>
          </w:tcPr>
          <w:p w:rsidR="00800AE4" w:rsidRPr="00731E39" w:rsidRDefault="00800AE4" w:rsidP="003C3537">
            <w:pPr>
              <w:pStyle w:val="Tabletext"/>
              <w:jc w:val="right"/>
              <w:rPr>
                <w:rFonts w:eastAsia="Arial Unicode MS"/>
              </w:rPr>
            </w:pPr>
            <w:r>
              <w:rPr>
                <w:rFonts w:eastAsia="Arial Unicode MS"/>
              </w:rPr>
              <w:t>20</w:t>
            </w:r>
          </w:p>
        </w:tc>
      </w:tr>
      <w:tr w:rsidR="00800AE4" w:rsidRPr="00731E39" w:rsidTr="003C3537">
        <w:tc>
          <w:tcPr>
            <w:tcW w:w="5731" w:type="dxa"/>
          </w:tcPr>
          <w:p w:rsidR="00800AE4" w:rsidRPr="00731E39" w:rsidRDefault="00800AE4" w:rsidP="003C3537">
            <w:pPr>
              <w:pStyle w:val="Tabletext"/>
              <w:rPr>
                <w:rFonts w:eastAsia="Arial Unicode MS"/>
              </w:rPr>
            </w:pPr>
            <w:r>
              <w:rPr>
                <w:rFonts w:eastAsia="Arial Unicode MS"/>
              </w:rPr>
              <w:t xml:space="preserve">CR </w:t>
            </w:r>
            <w:r w:rsidR="001834DF" w:rsidRPr="00AC78FF">
              <w:rPr>
                <w:rFonts w:eastAsia="Arial Unicode MS"/>
              </w:rPr>
              <w:t xml:space="preserve">Equity </w:t>
            </w:r>
            <w:r w:rsidR="001834DF">
              <w:rPr>
                <w:rFonts w:eastAsia="Arial Unicode MS"/>
              </w:rPr>
              <w:t>t</w:t>
            </w:r>
            <w:r w:rsidR="001834DF" w:rsidRPr="00AC78FF">
              <w:rPr>
                <w:rFonts w:eastAsia="Arial Unicode MS"/>
              </w:rPr>
              <w:t xml:space="preserve">ransfers from </w:t>
            </w:r>
            <w:r w:rsidR="001834DF">
              <w:rPr>
                <w:rFonts w:eastAsia="Arial Unicode MS"/>
              </w:rPr>
              <w:t>o</w:t>
            </w:r>
            <w:r w:rsidR="001834DF" w:rsidRPr="00AC78FF">
              <w:rPr>
                <w:rFonts w:eastAsia="Arial Unicode MS"/>
              </w:rPr>
              <w:t xml:space="preserve">ther </w:t>
            </w:r>
            <w:r w:rsidR="001834DF">
              <w:rPr>
                <w:rFonts w:eastAsia="Arial Unicode MS"/>
              </w:rPr>
              <w:t>g</w:t>
            </w:r>
            <w:r w:rsidR="001834DF" w:rsidRPr="00AC78FF">
              <w:rPr>
                <w:rFonts w:eastAsia="Arial Unicode MS"/>
              </w:rPr>
              <w:t xml:space="preserve">overnment </w:t>
            </w:r>
            <w:r w:rsidR="001834DF">
              <w:rPr>
                <w:rFonts w:eastAsia="Arial Unicode MS"/>
              </w:rPr>
              <w:t>e</w:t>
            </w:r>
            <w:r w:rsidR="001834DF" w:rsidRPr="00AC78FF">
              <w:rPr>
                <w:rFonts w:eastAsia="Arial Unicode MS"/>
              </w:rPr>
              <w:t>ntities</w:t>
            </w:r>
            <w:r w:rsidR="00D14FC7">
              <w:rPr>
                <w:rFonts w:eastAsia="Arial Unicode MS"/>
              </w:rPr>
              <w:t xml:space="preserve"> (Fixed a</w:t>
            </w:r>
            <w:r w:rsidRPr="00C91080">
              <w:rPr>
                <w:rFonts w:eastAsia="Arial Unicode MS"/>
              </w:rPr>
              <w:t>ssets)</w:t>
            </w:r>
          </w:p>
        </w:tc>
        <w:tc>
          <w:tcPr>
            <w:tcW w:w="1791" w:type="dxa"/>
          </w:tcPr>
          <w:p w:rsidR="00800AE4" w:rsidRPr="00731E39" w:rsidRDefault="00800AE4" w:rsidP="003C3537">
            <w:pPr>
              <w:pStyle w:val="Tabletext"/>
              <w:jc w:val="right"/>
              <w:rPr>
                <w:rFonts w:eastAsia="Arial Unicode MS"/>
              </w:rPr>
            </w:pPr>
            <w:r>
              <w:rPr>
                <w:rFonts w:eastAsia="Arial Unicode MS"/>
              </w:rPr>
              <w:t>20</w:t>
            </w:r>
          </w:p>
        </w:tc>
      </w:tr>
    </w:tbl>
    <w:p w:rsidR="00800AE4" w:rsidRDefault="00800AE4" w:rsidP="00314B6A">
      <w:pPr>
        <w:pStyle w:val="Numpara"/>
        <w:numPr>
          <w:ilvl w:val="0"/>
          <w:numId w:val="0"/>
        </w:numPr>
        <w:ind w:left="357"/>
        <w:contextualSpacing w:val="0"/>
        <w:rPr>
          <w:b/>
        </w:rPr>
      </w:pPr>
    </w:p>
    <w:p w:rsidR="001834DF" w:rsidRPr="001834DF" w:rsidRDefault="001834DF" w:rsidP="001834DF">
      <w:pPr>
        <w:pStyle w:val="Heading4"/>
      </w:pPr>
      <w:r>
        <w:t xml:space="preserve">Scenario </w:t>
      </w:r>
      <w:r w:rsidR="002F7A0C">
        <w:t>3</w:t>
      </w:r>
      <w:r>
        <w:t xml:space="preserve"> – </w:t>
      </w:r>
      <w:r w:rsidRPr="001834DF">
        <w:t xml:space="preserve">Adjustments resulting from </w:t>
      </w:r>
      <w:r w:rsidR="00734E4D">
        <w:t>m</w:t>
      </w:r>
      <w:r w:rsidRPr="001834DF">
        <w:t xml:space="preserve">ergers and </w:t>
      </w:r>
      <w:r w:rsidR="00734E4D">
        <w:t>s</w:t>
      </w:r>
      <w:r w:rsidR="00D14FC7">
        <w:t xml:space="preserve">plits – an </w:t>
      </w:r>
      <w:r w:rsidR="004122AE">
        <w:t>a</w:t>
      </w:r>
      <w:r w:rsidRPr="001834DF">
        <w:t xml:space="preserve">gency merges with another and remains within the same </w:t>
      </w:r>
      <w:r w:rsidR="007C6CCA">
        <w:t>d</w:t>
      </w:r>
      <w:r w:rsidRPr="001834DF">
        <w:t>epartmental portfolio.</w:t>
      </w:r>
    </w:p>
    <w:p w:rsidR="001834DF" w:rsidRDefault="001834DF" w:rsidP="00314B6A">
      <w:pPr>
        <w:pStyle w:val="NormalIndent"/>
        <w:ind w:left="360"/>
      </w:pPr>
      <w:r w:rsidRPr="004122AE">
        <w:rPr>
          <w:b/>
        </w:rPr>
        <w:t>Example:</w:t>
      </w:r>
      <w:r>
        <w:t xml:space="preserve"> </w:t>
      </w:r>
      <w:r w:rsidR="00910CAF">
        <w:t>A</w:t>
      </w:r>
      <w:r>
        <w:t xml:space="preserve">n agency </w:t>
      </w:r>
      <w:r w:rsidR="00A90630">
        <w:t xml:space="preserve">(Agency A) </w:t>
      </w:r>
      <w:r>
        <w:t>merges with another</w:t>
      </w:r>
      <w:r w:rsidR="00A90630">
        <w:t xml:space="preserve"> agency (Agency B)</w:t>
      </w:r>
      <w:r>
        <w:t xml:space="preserve"> but remains within the same </w:t>
      </w:r>
      <w:r w:rsidR="007C6CCA">
        <w:t>d</w:t>
      </w:r>
      <w:r w:rsidR="00A90630">
        <w:t xml:space="preserve">epartmental </w:t>
      </w:r>
      <w:r>
        <w:t>portfolio with equal and opposite contributed capital transactions.</w:t>
      </w:r>
    </w:p>
    <w:p w:rsidR="001834DF" w:rsidRDefault="001834DF" w:rsidP="00314B6A">
      <w:pPr>
        <w:pStyle w:val="NormalIndent"/>
        <w:ind w:left="360"/>
      </w:pPr>
      <w:r>
        <w:t xml:space="preserve">When the transactions are equal and opposite and remain within the </w:t>
      </w:r>
      <w:r w:rsidR="007C6CCA">
        <w:t>d</w:t>
      </w:r>
      <w:r>
        <w:t xml:space="preserve">epartmental portfolio then the equity investment in the </w:t>
      </w:r>
      <w:r w:rsidR="007C6CCA">
        <w:t>d</w:t>
      </w:r>
      <w:r>
        <w:t>epartment's administered entity does not change. However, the reconciliation of the equity investment needs to reflect the change in the equity investment in its agencies i.e. the merge</w:t>
      </w:r>
      <w:r w:rsidR="002F7A0C">
        <w:t>d agency</w:t>
      </w:r>
      <w:r>
        <w:t>.</w:t>
      </w:r>
    </w:p>
    <w:p w:rsidR="004122AE" w:rsidRDefault="004122AE" w:rsidP="00314B6A">
      <w:pPr>
        <w:pStyle w:val="Heading4"/>
        <w:spacing w:before="240" w:after="120"/>
        <w:ind w:left="360"/>
      </w:pPr>
      <w:r>
        <w:t xml:space="preserve">Step A – Agency A </w:t>
      </w:r>
      <w:r w:rsidR="00A90630">
        <w:t xml:space="preserve">reduces its </w:t>
      </w:r>
      <w:r w:rsidR="00CE0437">
        <w:t>assets</w:t>
      </w:r>
      <w:r w:rsidR="00A90630">
        <w:t xml:space="preserve"> in recognition of the merger with Agency B.</w:t>
      </w:r>
    </w:p>
    <w:tbl>
      <w:tblPr>
        <w:tblStyle w:val="DTFtexttable"/>
        <w:tblW w:w="7522" w:type="dxa"/>
        <w:tblInd w:w="864" w:type="dxa"/>
        <w:tblLayout w:type="fixed"/>
        <w:tblLook w:val="0620" w:firstRow="1" w:lastRow="0" w:firstColumn="0" w:lastColumn="0" w:noHBand="1" w:noVBand="1"/>
      </w:tblPr>
      <w:tblGrid>
        <w:gridCol w:w="5731"/>
        <w:gridCol w:w="1791"/>
      </w:tblGrid>
      <w:tr w:rsidR="004122AE"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4122AE" w:rsidRDefault="004122AE" w:rsidP="003C3537">
            <w:pPr>
              <w:pStyle w:val="Tableheader"/>
              <w:rPr>
                <w:rFonts w:eastAsia="Arial Unicode MS"/>
              </w:rPr>
            </w:pPr>
            <w:r w:rsidRPr="00673D01">
              <w:t>A</w:t>
            </w:r>
            <w:r>
              <w:t xml:space="preserve">gency A </w:t>
            </w:r>
          </w:p>
        </w:tc>
      </w:tr>
      <w:tr w:rsidR="004122AE" w:rsidRPr="00731E39" w:rsidTr="003C3537">
        <w:tc>
          <w:tcPr>
            <w:tcW w:w="5731" w:type="dxa"/>
          </w:tcPr>
          <w:p w:rsidR="004122AE" w:rsidRPr="00731E39" w:rsidRDefault="004122AE" w:rsidP="004122AE">
            <w:pPr>
              <w:pStyle w:val="Tabletext"/>
              <w:rPr>
                <w:rFonts w:eastAsia="Arial Unicode MS"/>
              </w:rPr>
            </w:pPr>
            <w:r>
              <w:rPr>
                <w:rFonts w:eastAsia="Arial Unicode MS"/>
              </w:rPr>
              <w:t xml:space="preserve">DR </w:t>
            </w:r>
            <w:r w:rsidRPr="00233BF0">
              <w:rPr>
                <w:rFonts w:eastAsia="Arial Unicode MS"/>
              </w:rPr>
              <w:t xml:space="preserve">Contributed </w:t>
            </w:r>
            <w:r>
              <w:rPr>
                <w:rFonts w:eastAsia="Arial Unicode MS"/>
              </w:rPr>
              <w:t>c</w:t>
            </w:r>
            <w:r w:rsidRPr="00233BF0">
              <w:rPr>
                <w:rFonts w:eastAsia="Arial Unicode MS"/>
              </w:rPr>
              <w:t>apital</w:t>
            </w:r>
          </w:p>
        </w:tc>
        <w:tc>
          <w:tcPr>
            <w:tcW w:w="1791" w:type="dxa"/>
          </w:tcPr>
          <w:p w:rsidR="004122AE" w:rsidRPr="00731E39" w:rsidRDefault="004122AE" w:rsidP="003C3537">
            <w:pPr>
              <w:pStyle w:val="Tabletext"/>
              <w:jc w:val="right"/>
              <w:rPr>
                <w:rFonts w:eastAsia="Arial Unicode MS"/>
              </w:rPr>
            </w:pPr>
            <w:r>
              <w:rPr>
                <w:rFonts w:eastAsia="Arial Unicode MS"/>
              </w:rPr>
              <w:t>100</w:t>
            </w:r>
          </w:p>
        </w:tc>
      </w:tr>
      <w:tr w:rsidR="004122AE" w:rsidRPr="00731E39" w:rsidTr="003C3537">
        <w:tc>
          <w:tcPr>
            <w:tcW w:w="5731" w:type="dxa"/>
          </w:tcPr>
          <w:p w:rsidR="004122AE" w:rsidRPr="00731E39" w:rsidRDefault="004122AE" w:rsidP="004122AE">
            <w:pPr>
              <w:pStyle w:val="Tabletext"/>
              <w:rPr>
                <w:rFonts w:eastAsia="Arial Unicode MS"/>
              </w:rPr>
            </w:pPr>
            <w:r>
              <w:rPr>
                <w:rFonts w:eastAsia="Arial Unicode MS"/>
              </w:rPr>
              <w:t>CR Fixed assets</w:t>
            </w:r>
          </w:p>
        </w:tc>
        <w:tc>
          <w:tcPr>
            <w:tcW w:w="1791" w:type="dxa"/>
          </w:tcPr>
          <w:p w:rsidR="004122AE" w:rsidRPr="00731E39" w:rsidRDefault="004122AE" w:rsidP="003C3537">
            <w:pPr>
              <w:pStyle w:val="Tabletext"/>
              <w:jc w:val="right"/>
              <w:rPr>
                <w:rFonts w:eastAsia="Arial Unicode MS"/>
              </w:rPr>
            </w:pPr>
            <w:r>
              <w:rPr>
                <w:rFonts w:eastAsia="Arial Unicode MS"/>
              </w:rPr>
              <w:t>100</w:t>
            </w:r>
          </w:p>
        </w:tc>
      </w:tr>
    </w:tbl>
    <w:p w:rsidR="004122AE" w:rsidRPr="004122AE" w:rsidRDefault="004122AE" w:rsidP="00314B6A">
      <w:pPr>
        <w:pStyle w:val="Heading4"/>
        <w:spacing w:before="240" w:after="120"/>
        <w:ind w:left="360"/>
      </w:pPr>
      <w:r w:rsidRPr="004122AE">
        <w:t xml:space="preserve">Step B – </w:t>
      </w:r>
      <w:r w:rsidR="00A90630">
        <w:t>Entry recording the m</w:t>
      </w:r>
      <w:r w:rsidRPr="004122AE">
        <w:t>erg</w:t>
      </w:r>
      <w:r w:rsidR="00A90630">
        <w:t>ing</w:t>
      </w:r>
      <w:r w:rsidRPr="004122AE">
        <w:t xml:space="preserve"> of Agency A with Agency B</w:t>
      </w:r>
    </w:p>
    <w:tbl>
      <w:tblPr>
        <w:tblStyle w:val="DTFtexttable"/>
        <w:tblW w:w="7522" w:type="dxa"/>
        <w:tblInd w:w="864" w:type="dxa"/>
        <w:tblLayout w:type="fixed"/>
        <w:tblLook w:val="0620" w:firstRow="1" w:lastRow="0" w:firstColumn="0" w:lastColumn="0" w:noHBand="1" w:noVBand="1"/>
      </w:tblPr>
      <w:tblGrid>
        <w:gridCol w:w="5731"/>
        <w:gridCol w:w="1791"/>
      </w:tblGrid>
      <w:tr w:rsidR="004122AE"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4122AE" w:rsidRDefault="00A90630" w:rsidP="003C3537">
            <w:pPr>
              <w:pStyle w:val="Tableheader"/>
              <w:rPr>
                <w:rFonts w:eastAsia="Arial Unicode MS"/>
              </w:rPr>
            </w:pPr>
            <w:r>
              <w:t>New merged agency (</w:t>
            </w:r>
            <w:r w:rsidR="004122AE" w:rsidRPr="00673D01">
              <w:t>A</w:t>
            </w:r>
            <w:r w:rsidR="004122AE">
              <w:t>gency A</w:t>
            </w:r>
            <w:r>
              <w:t>+B)</w:t>
            </w:r>
          </w:p>
        </w:tc>
      </w:tr>
      <w:tr w:rsidR="004122AE" w:rsidRPr="00731E39" w:rsidTr="003C3537">
        <w:tc>
          <w:tcPr>
            <w:tcW w:w="5731" w:type="dxa"/>
          </w:tcPr>
          <w:p w:rsidR="004122AE" w:rsidRPr="00731E39" w:rsidRDefault="004122AE" w:rsidP="003C3537">
            <w:pPr>
              <w:pStyle w:val="Tabletext"/>
              <w:rPr>
                <w:rFonts w:eastAsia="Arial Unicode MS"/>
              </w:rPr>
            </w:pPr>
            <w:r>
              <w:rPr>
                <w:rFonts w:eastAsia="Arial Unicode MS"/>
              </w:rPr>
              <w:t xml:space="preserve">DR </w:t>
            </w:r>
            <w:r w:rsidR="00A90630">
              <w:rPr>
                <w:rFonts w:eastAsia="Arial Unicode MS"/>
              </w:rPr>
              <w:t>Fixed assets</w:t>
            </w:r>
          </w:p>
        </w:tc>
        <w:tc>
          <w:tcPr>
            <w:tcW w:w="1791" w:type="dxa"/>
          </w:tcPr>
          <w:p w:rsidR="004122AE" w:rsidRPr="00731E39" w:rsidRDefault="004122AE" w:rsidP="003C3537">
            <w:pPr>
              <w:pStyle w:val="Tabletext"/>
              <w:jc w:val="right"/>
              <w:rPr>
                <w:rFonts w:eastAsia="Arial Unicode MS"/>
              </w:rPr>
            </w:pPr>
            <w:r>
              <w:rPr>
                <w:rFonts w:eastAsia="Arial Unicode MS"/>
              </w:rPr>
              <w:t>100</w:t>
            </w:r>
          </w:p>
        </w:tc>
      </w:tr>
      <w:tr w:rsidR="004122AE" w:rsidRPr="00731E39" w:rsidTr="003C3537">
        <w:tc>
          <w:tcPr>
            <w:tcW w:w="5731" w:type="dxa"/>
          </w:tcPr>
          <w:p w:rsidR="004122AE" w:rsidRPr="00731E39" w:rsidRDefault="004122AE" w:rsidP="003C3537">
            <w:pPr>
              <w:pStyle w:val="Tabletext"/>
              <w:rPr>
                <w:rFonts w:eastAsia="Arial Unicode MS"/>
              </w:rPr>
            </w:pPr>
            <w:r>
              <w:rPr>
                <w:rFonts w:eastAsia="Arial Unicode MS"/>
              </w:rPr>
              <w:t xml:space="preserve">CR </w:t>
            </w:r>
            <w:r w:rsidR="00A90630" w:rsidRPr="00233BF0">
              <w:rPr>
                <w:rFonts w:eastAsia="Arial Unicode MS"/>
              </w:rPr>
              <w:t xml:space="preserve">Contributed </w:t>
            </w:r>
            <w:r w:rsidR="00A90630">
              <w:rPr>
                <w:rFonts w:eastAsia="Arial Unicode MS"/>
              </w:rPr>
              <w:t>c</w:t>
            </w:r>
            <w:r w:rsidR="00A90630" w:rsidRPr="00233BF0">
              <w:rPr>
                <w:rFonts w:eastAsia="Arial Unicode MS"/>
              </w:rPr>
              <w:t>apital</w:t>
            </w:r>
          </w:p>
        </w:tc>
        <w:tc>
          <w:tcPr>
            <w:tcW w:w="1791" w:type="dxa"/>
          </w:tcPr>
          <w:p w:rsidR="004122AE" w:rsidRPr="00731E39" w:rsidRDefault="004122AE" w:rsidP="003C3537">
            <w:pPr>
              <w:pStyle w:val="Tabletext"/>
              <w:jc w:val="right"/>
              <w:rPr>
                <w:rFonts w:eastAsia="Arial Unicode MS"/>
              </w:rPr>
            </w:pPr>
            <w:r>
              <w:rPr>
                <w:rFonts w:eastAsia="Arial Unicode MS"/>
              </w:rPr>
              <w:t>100</w:t>
            </w:r>
          </w:p>
        </w:tc>
      </w:tr>
    </w:tbl>
    <w:p w:rsidR="001834DF" w:rsidRDefault="001834DF" w:rsidP="00314B6A">
      <w:pPr>
        <w:pStyle w:val="Numpara"/>
        <w:numPr>
          <w:ilvl w:val="0"/>
          <w:numId w:val="0"/>
        </w:numPr>
        <w:ind w:left="357"/>
        <w:contextualSpacing w:val="0"/>
        <w:rPr>
          <w:b/>
        </w:rPr>
      </w:pPr>
    </w:p>
    <w:p w:rsidR="00A90630" w:rsidRPr="001834DF" w:rsidRDefault="00A90630" w:rsidP="00A90630">
      <w:pPr>
        <w:pStyle w:val="Heading4"/>
      </w:pPr>
      <w:r>
        <w:t xml:space="preserve">Scenario </w:t>
      </w:r>
      <w:r w:rsidR="002F7A0C">
        <w:t>4</w:t>
      </w:r>
      <w:r>
        <w:t xml:space="preserve"> – </w:t>
      </w:r>
      <w:r w:rsidRPr="001834DF">
        <w:t xml:space="preserve">Adjustments resulting from </w:t>
      </w:r>
      <w:r>
        <w:t>m</w:t>
      </w:r>
      <w:r w:rsidRPr="001834DF">
        <w:t xml:space="preserve">ergers and </w:t>
      </w:r>
      <w:r>
        <w:t>s</w:t>
      </w:r>
      <w:r w:rsidR="00D14FC7">
        <w:t xml:space="preserve">plits – </w:t>
      </w:r>
      <w:r w:rsidR="00A25A72">
        <w:t>an</w:t>
      </w:r>
      <w:r w:rsidRPr="001834DF">
        <w:t xml:space="preserve"> </w:t>
      </w:r>
      <w:r>
        <w:t>a</w:t>
      </w:r>
      <w:r w:rsidRPr="001834DF">
        <w:t>gency merges with another</w:t>
      </w:r>
      <w:r w:rsidR="00D14FC7">
        <w:t>,</w:t>
      </w:r>
      <w:r w:rsidRPr="001834DF">
        <w:t xml:space="preserve"> </w:t>
      </w:r>
      <w:r>
        <w:t>which results in a move to a different</w:t>
      </w:r>
      <w:r w:rsidRPr="001834DF">
        <w:t xml:space="preserve"> </w:t>
      </w:r>
      <w:r w:rsidR="007C6CCA">
        <w:t>d</w:t>
      </w:r>
      <w:r w:rsidRPr="001834DF">
        <w:t>epartmental portfolio.</w:t>
      </w:r>
    </w:p>
    <w:p w:rsidR="00A90630" w:rsidRDefault="00A90630" w:rsidP="00A90630">
      <w:pPr>
        <w:pStyle w:val="NormalIndent"/>
        <w:ind w:left="360"/>
      </w:pPr>
      <w:r w:rsidRPr="004122AE">
        <w:rPr>
          <w:b/>
        </w:rPr>
        <w:t>Example:</w:t>
      </w:r>
      <w:r>
        <w:t xml:space="preserve"> </w:t>
      </w:r>
      <w:r w:rsidR="00910CAF">
        <w:t>A</w:t>
      </w:r>
      <w:r>
        <w:t xml:space="preserve">n agency (Agency A) merges with another agency (Agency B) in another </w:t>
      </w:r>
      <w:r w:rsidR="007C6CCA">
        <w:t>d</w:t>
      </w:r>
      <w:r>
        <w:t>epartmental portfolio.</w:t>
      </w:r>
    </w:p>
    <w:p w:rsidR="00A90630" w:rsidRDefault="00A90630" w:rsidP="00A90630">
      <w:pPr>
        <w:pStyle w:val="Heading4"/>
        <w:spacing w:before="240" w:after="120"/>
        <w:ind w:left="360"/>
      </w:pPr>
      <w:r>
        <w:t xml:space="preserve">Step A – Agency A transfers its assets back to its portfolio </w:t>
      </w:r>
      <w:r w:rsidR="007C6CCA">
        <w:t>d</w:t>
      </w:r>
      <w:r>
        <w:t>epartment (Department A).</w:t>
      </w:r>
    </w:p>
    <w:tbl>
      <w:tblPr>
        <w:tblStyle w:val="DTFtexttable"/>
        <w:tblW w:w="7522" w:type="dxa"/>
        <w:tblInd w:w="864" w:type="dxa"/>
        <w:tblLayout w:type="fixed"/>
        <w:tblLook w:val="0620" w:firstRow="1" w:lastRow="0" w:firstColumn="0" w:lastColumn="0" w:noHBand="1" w:noVBand="1"/>
      </w:tblPr>
      <w:tblGrid>
        <w:gridCol w:w="5731"/>
        <w:gridCol w:w="1791"/>
      </w:tblGrid>
      <w:tr w:rsidR="00A90630"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A90630" w:rsidRDefault="00A90630" w:rsidP="00A90630">
            <w:pPr>
              <w:pStyle w:val="Tableheader"/>
              <w:rPr>
                <w:rFonts w:eastAsia="Arial Unicode MS"/>
              </w:rPr>
            </w:pPr>
            <w:r w:rsidRPr="00673D01">
              <w:t>A</w:t>
            </w:r>
            <w:r>
              <w:t>gency A (within Department A)</w:t>
            </w:r>
          </w:p>
        </w:tc>
      </w:tr>
      <w:tr w:rsidR="00A90630" w:rsidRPr="00731E39" w:rsidTr="003C3537">
        <w:tc>
          <w:tcPr>
            <w:tcW w:w="5731" w:type="dxa"/>
          </w:tcPr>
          <w:p w:rsidR="00A90630" w:rsidRPr="00731E39" w:rsidRDefault="00A90630" w:rsidP="00CB7410">
            <w:pPr>
              <w:pStyle w:val="Tabletext"/>
              <w:rPr>
                <w:rFonts w:eastAsia="Arial Unicode MS"/>
              </w:rPr>
            </w:pPr>
            <w:r>
              <w:rPr>
                <w:rFonts w:eastAsia="Arial Unicode MS"/>
              </w:rPr>
              <w:t xml:space="preserve">DR </w:t>
            </w:r>
            <w:r w:rsidRPr="00F636F2">
              <w:rPr>
                <w:rFonts w:eastAsia="Arial Unicode MS"/>
              </w:rPr>
              <w:t xml:space="preserve">Equity </w:t>
            </w:r>
            <w:r w:rsidR="00CB7410">
              <w:rPr>
                <w:rFonts w:eastAsia="Arial Unicode MS"/>
              </w:rPr>
              <w:t>t</w:t>
            </w:r>
            <w:r w:rsidRPr="00F636F2">
              <w:rPr>
                <w:rFonts w:eastAsia="Arial Unicode MS"/>
              </w:rPr>
              <w:t xml:space="preserve">ransfers to </w:t>
            </w:r>
            <w:r w:rsidR="00CB7410">
              <w:rPr>
                <w:rFonts w:eastAsia="Arial Unicode MS"/>
              </w:rPr>
              <w:t>o</w:t>
            </w:r>
            <w:r w:rsidRPr="00F636F2">
              <w:rPr>
                <w:rFonts w:eastAsia="Arial Unicode MS"/>
              </w:rPr>
              <w:t xml:space="preserve">ther </w:t>
            </w:r>
            <w:r w:rsidR="00CB7410">
              <w:rPr>
                <w:rFonts w:eastAsia="Arial Unicode MS"/>
              </w:rPr>
              <w:t>g</w:t>
            </w:r>
            <w:r w:rsidRPr="00F636F2">
              <w:rPr>
                <w:rFonts w:eastAsia="Arial Unicode MS"/>
              </w:rPr>
              <w:t xml:space="preserve">overnment </w:t>
            </w:r>
            <w:r w:rsidR="00CB7410">
              <w:rPr>
                <w:rFonts w:eastAsia="Arial Unicode MS"/>
              </w:rPr>
              <w:t>e</w:t>
            </w:r>
            <w:r w:rsidR="00D14FC7">
              <w:rPr>
                <w:rFonts w:eastAsia="Arial Unicode MS"/>
              </w:rPr>
              <w:t>ntities (Fixed a</w:t>
            </w:r>
            <w:r w:rsidRPr="00F636F2">
              <w:rPr>
                <w:rFonts w:eastAsia="Arial Unicode MS"/>
              </w:rPr>
              <w:t>ssets)</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r w:rsidR="00A90630" w:rsidRPr="00731E39" w:rsidTr="003C3537">
        <w:tc>
          <w:tcPr>
            <w:tcW w:w="5731" w:type="dxa"/>
          </w:tcPr>
          <w:p w:rsidR="00A90630" w:rsidRPr="00731E39" w:rsidRDefault="00A90630" w:rsidP="003C3537">
            <w:pPr>
              <w:pStyle w:val="Tabletext"/>
              <w:rPr>
                <w:rFonts w:eastAsia="Arial Unicode MS"/>
              </w:rPr>
            </w:pPr>
            <w:r>
              <w:rPr>
                <w:rFonts w:eastAsia="Arial Unicode MS"/>
              </w:rPr>
              <w:t xml:space="preserve">CR </w:t>
            </w:r>
            <w:r w:rsidR="00CB7410">
              <w:rPr>
                <w:rFonts w:eastAsia="Arial Unicode MS"/>
              </w:rPr>
              <w:t>Fixed assets</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bl>
    <w:p w:rsidR="008C7254" w:rsidRDefault="008C7254" w:rsidP="00314B6A">
      <w:pPr>
        <w:pStyle w:val="Heading4"/>
        <w:spacing w:before="240" w:after="120"/>
        <w:ind w:left="360"/>
      </w:pPr>
    </w:p>
    <w:p w:rsidR="008C7254" w:rsidRDefault="008C7254" w:rsidP="008C7254">
      <w:pPr>
        <w:pStyle w:val="Subtitle"/>
        <w:rPr>
          <w:rFonts w:eastAsiaTheme="majorEastAsia" w:cstheme="majorBidi"/>
          <w:color w:val="53565A"/>
        </w:rPr>
      </w:pPr>
      <w:r>
        <w:br w:type="page"/>
      </w:r>
    </w:p>
    <w:p w:rsidR="00A90630" w:rsidRPr="00CB7410" w:rsidRDefault="00A90630" w:rsidP="00314B6A">
      <w:pPr>
        <w:pStyle w:val="Heading4"/>
        <w:spacing w:before="240" w:after="120"/>
        <w:ind w:left="360"/>
      </w:pPr>
      <w:r w:rsidRPr="00CB7410">
        <w:t xml:space="preserve">Step B – </w:t>
      </w:r>
      <w:r w:rsidR="00CB7410">
        <w:t>Department A records the receiving of Agency A’s assets</w:t>
      </w:r>
      <w:r w:rsidR="00E07BF3">
        <w:t xml:space="preserve"> in its administered entity, and de</w:t>
      </w:r>
      <w:r w:rsidR="00E07BF3">
        <w:noBreakHyphen/>
      </w:r>
      <w:r w:rsidR="00CB7410">
        <w:t>recogni</w:t>
      </w:r>
      <w:r w:rsidR="00E07BF3">
        <w:t>ses</w:t>
      </w:r>
      <w:r w:rsidR="00CB7410">
        <w:t xml:space="preserve"> its investment in Agency A.</w:t>
      </w:r>
    </w:p>
    <w:tbl>
      <w:tblPr>
        <w:tblStyle w:val="DTFtexttable"/>
        <w:tblW w:w="7522" w:type="dxa"/>
        <w:tblInd w:w="864" w:type="dxa"/>
        <w:tblLayout w:type="fixed"/>
        <w:tblLook w:val="0620" w:firstRow="1" w:lastRow="0" w:firstColumn="0" w:lastColumn="0" w:noHBand="1" w:noVBand="1"/>
      </w:tblPr>
      <w:tblGrid>
        <w:gridCol w:w="5731"/>
        <w:gridCol w:w="1791"/>
      </w:tblGrid>
      <w:tr w:rsidR="00A90630"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A90630" w:rsidRDefault="00A90630" w:rsidP="003C3537">
            <w:pPr>
              <w:pStyle w:val="Tableheader"/>
              <w:rPr>
                <w:rFonts w:eastAsia="Arial Unicode MS"/>
              </w:rPr>
            </w:pPr>
            <w:r>
              <w:t>Department A – Administered</w:t>
            </w:r>
          </w:p>
        </w:tc>
      </w:tr>
      <w:tr w:rsidR="00CB7410" w:rsidRPr="00731E39" w:rsidTr="003C3537">
        <w:tc>
          <w:tcPr>
            <w:tcW w:w="7522" w:type="dxa"/>
            <w:gridSpan w:val="2"/>
            <w:shd w:val="clear" w:color="auto" w:fill="D9D9D9" w:themeFill="background1" w:themeFillShade="D9"/>
          </w:tcPr>
          <w:p w:rsidR="00CB7410" w:rsidRDefault="00CB7410" w:rsidP="008859F9">
            <w:pPr>
              <w:pStyle w:val="Tabletext"/>
              <w:rPr>
                <w:rFonts w:eastAsia="Arial Unicode MS"/>
              </w:rPr>
            </w:pPr>
            <w:r w:rsidRPr="00D06D48">
              <w:rPr>
                <w:rFonts w:eastAsia="Arial Unicode MS"/>
                <w:szCs w:val="17"/>
              </w:rPr>
              <w:t>Transfer carrying value of asset</w:t>
            </w:r>
            <w:r>
              <w:rPr>
                <w:rFonts w:eastAsia="Arial Unicode MS"/>
                <w:szCs w:val="17"/>
              </w:rPr>
              <w:t>s</w:t>
            </w:r>
            <w:r w:rsidR="008859F9">
              <w:rPr>
                <w:rFonts w:eastAsia="Arial Unicode MS"/>
                <w:szCs w:val="17"/>
              </w:rPr>
              <w:t xml:space="preserve"> back to Department A’s a</w:t>
            </w:r>
            <w:r w:rsidRPr="00D06D48">
              <w:rPr>
                <w:rFonts w:eastAsia="Arial Unicode MS"/>
                <w:szCs w:val="17"/>
              </w:rPr>
              <w:t xml:space="preserve">dministered entity from </w:t>
            </w:r>
            <w:r>
              <w:rPr>
                <w:rFonts w:eastAsia="Arial Unicode MS"/>
                <w:szCs w:val="17"/>
              </w:rPr>
              <w:t>A</w:t>
            </w:r>
            <w:r w:rsidRPr="00D06D48">
              <w:rPr>
                <w:rFonts w:eastAsia="Arial Unicode MS"/>
                <w:szCs w:val="17"/>
              </w:rPr>
              <w:t>gency</w:t>
            </w:r>
            <w:r>
              <w:rPr>
                <w:rFonts w:eastAsia="Arial Unicode MS"/>
                <w:szCs w:val="17"/>
              </w:rPr>
              <w:t xml:space="preserve"> A</w:t>
            </w:r>
          </w:p>
        </w:tc>
      </w:tr>
      <w:tr w:rsidR="00A90630" w:rsidRPr="00731E39" w:rsidTr="003C3537">
        <w:tc>
          <w:tcPr>
            <w:tcW w:w="5731" w:type="dxa"/>
          </w:tcPr>
          <w:p w:rsidR="00A90630" w:rsidRPr="00731E39" w:rsidRDefault="00A90630" w:rsidP="003C3537">
            <w:pPr>
              <w:pStyle w:val="Tabletext"/>
              <w:rPr>
                <w:rFonts w:eastAsia="Arial Unicode MS"/>
              </w:rPr>
            </w:pPr>
            <w:r>
              <w:rPr>
                <w:rFonts w:eastAsia="Arial Unicode MS"/>
              </w:rPr>
              <w:t xml:space="preserve">DR </w:t>
            </w:r>
            <w:r w:rsidR="00CB7410">
              <w:rPr>
                <w:rFonts w:eastAsia="Arial Unicode MS"/>
              </w:rPr>
              <w:t>Fixed a</w:t>
            </w:r>
            <w:r w:rsidRPr="00C91080">
              <w:rPr>
                <w:rFonts w:eastAsia="Arial Unicode MS"/>
              </w:rPr>
              <w:t>sset</w:t>
            </w:r>
            <w:r w:rsidR="00CB7410">
              <w:rPr>
                <w:rFonts w:eastAsia="Arial Unicode MS"/>
              </w:rPr>
              <w:t>s</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r w:rsidR="00A90630" w:rsidRPr="00731E39" w:rsidTr="003C3537">
        <w:tc>
          <w:tcPr>
            <w:tcW w:w="5731" w:type="dxa"/>
          </w:tcPr>
          <w:p w:rsidR="00A90630" w:rsidRPr="00731E39" w:rsidRDefault="00A90630" w:rsidP="00CB7410">
            <w:pPr>
              <w:pStyle w:val="Tabletext"/>
              <w:rPr>
                <w:rFonts w:eastAsia="Arial Unicode MS"/>
              </w:rPr>
            </w:pPr>
            <w:r>
              <w:rPr>
                <w:rFonts w:eastAsia="Arial Unicode MS"/>
              </w:rPr>
              <w:t xml:space="preserve">CR </w:t>
            </w:r>
            <w:r w:rsidRPr="00AC78FF">
              <w:rPr>
                <w:rFonts w:eastAsia="Arial Unicode MS"/>
              </w:rPr>
              <w:t xml:space="preserve">Equity </w:t>
            </w:r>
            <w:r w:rsidR="00CB7410">
              <w:rPr>
                <w:rFonts w:eastAsia="Arial Unicode MS"/>
              </w:rPr>
              <w:t>t</w:t>
            </w:r>
            <w:r w:rsidRPr="00AC78FF">
              <w:rPr>
                <w:rFonts w:eastAsia="Arial Unicode MS"/>
              </w:rPr>
              <w:t xml:space="preserve">ransfers from </w:t>
            </w:r>
            <w:r w:rsidR="00CB7410">
              <w:rPr>
                <w:rFonts w:eastAsia="Arial Unicode MS"/>
              </w:rPr>
              <w:t>o</w:t>
            </w:r>
            <w:r w:rsidRPr="00AC78FF">
              <w:rPr>
                <w:rFonts w:eastAsia="Arial Unicode MS"/>
              </w:rPr>
              <w:t xml:space="preserve">ther </w:t>
            </w:r>
            <w:r w:rsidR="00CB7410">
              <w:rPr>
                <w:rFonts w:eastAsia="Arial Unicode MS"/>
              </w:rPr>
              <w:t>g</w:t>
            </w:r>
            <w:r w:rsidRPr="00AC78FF">
              <w:rPr>
                <w:rFonts w:eastAsia="Arial Unicode MS"/>
              </w:rPr>
              <w:t xml:space="preserve">overnment </w:t>
            </w:r>
            <w:r w:rsidR="00CB7410">
              <w:rPr>
                <w:rFonts w:eastAsia="Arial Unicode MS"/>
              </w:rPr>
              <w:t>e</w:t>
            </w:r>
            <w:r w:rsidRPr="00AC78FF">
              <w:rPr>
                <w:rFonts w:eastAsia="Arial Unicode MS"/>
              </w:rPr>
              <w:t>ntities (</w:t>
            </w:r>
            <w:r>
              <w:rPr>
                <w:rFonts w:eastAsia="Arial Unicode MS"/>
              </w:rPr>
              <w:t>Fixed</w:t>
            </w:r>
            <w:r w:rsidR="00D14FC7">
              <w:rPr>
                <w:rFonts w:eastAsia="Arial Unicode MS"/>
              </w:rPr>
              <w:t xml:space="preserve"> a</w:t>
            </w:r>
            <w:r w:rsidRPr="00AC78FF">
              <w:rPr>
                <w:rFonts w:eastAsia="Arial Unicode MS"/>
              </w:rPr>
              <w:t>ssets)</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r w:rsidR="00A90630" w:rsidRPr="00731E39" w:rsidTr="003C3537">
        <w:tc>
          <w:tcPr>
            <w:tcW w:w="7522" w:type="dxa"/>
            <w:gridSpan w:val="2"/>
            <w:shd w:val="clear" w:color="auto" w:fill="D9D9D9" w:themeFill="background1" w:themeFillShade="D9"/>
          </w:tcPr>
          <w:p w:rsidR="00A90630" w:rsidRDefault="00A90630" w:rsidP="00CB7410">
            <w:pPr>
              <w:pStyle w:val="Tabletext"/>
              <w:rPr>
                <w:rFonts w:eastAsia="Arial Unicode MS"/>
              </w:rPr>
            </w:pPr>
            <w:r w:rsidRPr="00D06D48">
              <w:rPr>
                <w:rFonts w:eastAsia="Arial Unicode MS"/>
              </w:rPr>
              <w:t>Transfer carrying value of asset</w:t>
            </w:r>
            <w:r w:rsidR="00CB7410">
              <w:rPr>
                <w:rFonts w:eastAsia="Arial Unicode MS"/>
              </w:rPr>
              <w:t>s from Department A’s a</w:t>
            </w:r>
            <w:r w:rsidRPr="00D06D48">
              <w:rPr>
                <w:rFonts w:eastAsia="Arial Unicode MS"/>
              </w:rPr>
              <w:t xml:space="preserve">dministered entity to </w:t>
            </w:r>
            <w:r w:rsidR="00CB7410">
              <w:rPr>
                <w:rFonts w:eastAsia="Arial Unicode MS"/>
              </w:rPr>
              <w:t>its</w:t>
            </w:r>
            <w:r w:rsidRPr="00D06D48">
              <w:rPr>
                <w:rFonts w:eastAsia="Arial Unicode MS"/>
              </w:rPr>
              <w:t xml:space="preserve"> </w:t>
            </w:r>
            <w:r w:rsidR="00CB7410">
              <w:rPr>
                <w:rFonts w:eastAsia="Arial Unicode MS"/>
              </w:rPr>
              <w:t>c</w:t>
            </w:r>
            <w:r w:rsidRPr="00D06D48">
              <w:rPr>
                <w:rFonts w:eastAsia="Arial Unicode MS"/>
              </w:rPr>
              <w:t xml:space="preserve">ontrolled </w:t>
            </w:r>
            <w:r>
              <w:rPr>
                <w:rFonts w:eastAsia="Arial Unicode MS"/>
              </w:rPr>
              <w:t>entity</w:t>
            </w:r>
          </w:p>
        </w:tc>
      </w:tr>
      <w:tr w:rsidR="00A90630" w:rsidRPr="00731E39" w:rsidTr="003C3537">
        <w:tc>
          <w:tcPr>
            <w:tcW w:w="5731" w:type="dxa"/>
          </w:tcPr>
          <w:p w:rsidR="00A90630" w:rsidRPr="00731E39" w:rsidRDefault="00A90630" w:rsidP="00CB7410">
            <w:pPr>
              <w:pStyle w:val="Tabletext"/>
              <w:rPr>
                <w:rFonts w:eastAsia="Arial Unicode MS"/>
              </w:rPr>
            </w:pPr>
            <w:r>
              <w:rPr>
                <w:rFonts w:eastAsia="Arial Unicode MS"/>
              </w:rPr>
              <w:t xml:space="preserve">DR </w:t>
            </w:r>
            <w:r w:rsidRPr="00AC78FF">
              <w:rPr>
                <w:rFonts w:eastAsia="Arial Unicode MS"/>
              </w:rPr>
              <w:t xml:space="preserve">Equity </w:t>
            </w:r>
            <w:r w:rsidR="00CB7410">
              <w:rPr>
                <w:rFonts w:eastAsia="Arial Unicode MS"/>
              </w:rPr>
              <w:t>t</w:t>
            </w:r>
            <w:r w:rsidRPr="00AC78FF">
              <w:rPr>
                <w:rFonts w:eastAsia="Arial Unicode MS"/>
              </w:rPr>
              <w:t xml:space="preserve">ransfers </w:t>
            </w:r>
            <w:r>
              <w:rPr>
                <w:rFonts w:eastAsia="Arial Unicode MS"/>
              </w:rPr>
              <w:t>to</w:t>
            </w:r>
            <w:r w:rsidRPr="00AC78FF">
              <w:rPr>
                <w:rFonts w:eastAsia="Arial Unicode MS"/>
              </w:rPr>
              <w:t xml:space="preserve"> </w:t>
            </w:r>
            <w:r w:rsidR="00CB7410">
              <w:rPr>
                <w:rFonts w:eastAsia="Arial Unicode MS"/>
              </w:rPr>
              <w:t>o</w:t>
            </w:r>
            <w:r w:rsidRPr="00AC78FF">
              <w:rPr>
                <w:rFonts w:eastAsia="Arial Unicode MS"/>
              </w:rPr>
              <w:t xml:space="preserve">ther </w:t>
            </w:r>
            <w:r w:rsidR="00CB7410">
              <w:rPr>
                <w:rFonts w:eastAsia="Arial Unicode MS"/>
              </w:rPr>
              <w:t>g</w:t>
            </w:r>
            <w:r w:rsidRPr="00AC78FF">
              <w:rPr>
                <w:rFonts w:eastAsia="Arial Unicode MS"/>
              </w:rPr>
              <w:t xml:space="preserve">overnment </w:t>
            </w:r>
            <w:r w:rsidR="00CB7410">
              <w:rPr>
                <w:rFonts w:eastAsia="Arial Unicode MS"/>
              </w:rPr>
              <w:t>e</w:t>
            </w:r>
            <w:r w:rsidRPr="00AC78FF">
              <w:rPr>
                <w:rFonts w:eastAsia="Arial Unicode MS"/>
              </w:rPr>
              <w:t>ntities (</w:t>
            </w:r>
            <w:r>
              <w:rPr>
                <w:rFonts w:eastAsia="Arial Unicode MS"/>
              </w:rPr>
              <w:t>Fixed</w:t>
            </w:r>
            <w:r w:rsidR="00D14FC7">
              <w:rPr>
                <w:rFonts w:eastAsia="Arial Unicode MS"/>
              </w:rPr>
              <w:t xml:space="preserve"> a</w:t>
            </w:r>
            <w:r w:rsidRPr="00AC78FF">
              <w:rPr>
                <w:rFonts w:eastAsia="Arial Unicode MS"/>
              </w:rPr>
              <w:t>ssets)</w:t>
            </w:r>
          </w:p>
        </w:tc>
        <w:tc>
          <w:tcPr>
            <w:tcW w:w="1791" w:type="dxa"/>
          </w:tcPr>
          <w:p w:rsidR="00A90630" w:rsidRPr="00731E39" w:rsidRDefault="00A90630" w:rsidP="003C3537">
            <w:pPr>
              <w:pStyle w:val="Tabletext"/>
              <w:jc w:val="right"/>
              <w:rPr>
                <w:rFonts w:eastAsia="Arial Unicode MS"/>
              </w:rPr>
            </w:pPr>
            <w:r>
              <w:rPr>
                <w:rFonts w:eastAsia="Arial Unicode MS"/>
              </w:rPr>
              <w:t>2</w:t>
            </w:r>
            <w:r w:rsidRPr="00731E39">
              <w:rPr>
                <w:rFonts w:eastAsia="Arial Unicode MS"/>
              </w:rPr>
              <w:t>0</w:t>
            </w:r>
          </w:p>
        </w:tc>
      </w:tr>
      <w:tr w:rsidR="00A90630" w:rsidRPr="00731E39" w:rsidTr="003C3537">
        <w:tc>
          <w:tcPr>
            <w:tcW w:w="5731" w:type="dxa"/>
          </w:tcPr>
          <w:p w:rsidR="00A90630" w:rsidRPr="00731E39" w:rsidRDefault="00A90630" w:rsidP="00CB7410">
            <w:pPr>
              <w:pStyle w:val="Tabletext"/>
              <w:rPr>
                <w:rFonts w:eastAsia="Arial Unicode MS"/>
              </w:rPr>
            </w:pPr>
            <w:r>
              <w:rPr>
                <w:rFonts w:eastAsia="Arial Unicode MS"/>
              </w:rPr>
              <w:t xml:space="preserve">CR </w:t>
            </w:r>
            <w:r w:rsidRPr="00C91080">
              <w:rPr>
                <w:rFonts w:eastAsia="Arial Unicode MS"/>
              </w:rPr>
              <w:t xml:space="preserve">Fixed </w:t>
            </w:r>
            <w:r w:rsidR="00CB7410">
              <w:rPr>
                <w:rFonts w:eastAsia="Arial Unicode MS"/>
              </w:rPr>
              <w:t>a</w:t>
            </w:r>
            <w:r w:rsidRPr="00C91080">
              <w:rPr>
                <w:rFonts w:eastAsia="Arial Unicode MS"/>
              </w:rPr>
              <w:t>sset</w:t>
            </w:r>
            <w:r w:rsidR="00CB7410">
              <w:rPr>
                <w:rFonts w:eastAsia="Arial Unicode MS"/>
              </w:rPr>
              <w:t>s</w:t>
            </w:r>
          </w:p>
        </w:tc>
        <w:tc>
          <w:tcPr>
            <w:tcW w:w="1791" w:type="dxa"/>
          </w:tcPr>
          <w:p w:rsidR="00A90630" w:rsidRPr="00731E39" w:rsidRDefault="00A90630" w:rsidP="003C3537">
            <w:pPr>
              <w:pStyle w:val="Tabletext"/>
              <w:jc w:val="right"/>
              <w:rPr>
                <w:rFonts w:eastAsia="Arial Unicode MS"/>
              </w:rPr>
            </w:pPr>
            <w:r>
              <w:rPr>
                <w:rFonts w:eastAsia="Arial Unicode MS"/>
              </w:rPr>
              <w:t>2</w:t>
            </w:r>
            <w:r w:rsidRPr="00731E39">
              <w:rPr>
                <w:rFonts w:eastAsia="Arial Unicode MS"/>
              </w:rPr>
              <w:t>0</w:t>
            </w:r>
          </w:p>
        </w:tc>
      </w:tr>
      <w:tr w:rsidR="00A90630" w:rsidRPr="00731E39" w:rsidTr="003C3537">
        <w:tc>
          <w:tcPr>
            <w:tcW w:w="5731" w:type="dxa"/>
            <w:shd w:val="clear" w:color="auto" w:fill="D9D9D9" w:themeFill="background1" w:themeFillShade="D9"/>
          </w:tcPr>
          <w:p w:rsidR="00A90630" w:rsidRDefault="00A90630" w:rsidP="00CB7410">
            <w:pPr>
              <w:pStyle w:val="Tabletext"/>
              <w:rPr>
                <w:rFonts w:eastAsia="Arial Unicode MS"/>
              </w:rPr>
            </w:pPr>
            <w:r>
              <w:rPr>
                <w:rFonts w:eastAsia="Arial Unicode MS"/>
              </w:rPr>
              <w:t xml:space="preserve">Department </w:t>
            </w:r>
            <w:r w:rsidR="00CB7410">
              <w:rPr>
                <w:rFonts w:eastAsia="Arial Unicode MS"/>
              </w:rPr>
              <w:t>A de-recognises</w:t>
            </w:r>
            <w:r>
              <w:rPr>
                <w:rFonts w:eastAsia="Arial Unicode MS"/>
              </w:rPr>
              <w:t xml:space="preserve"> </w:t>
            </w:r>
            <w:r w:rsidR="00CB7410">
              <w:rPr>
                <w:rFonts w:eastAsia="Arial Unicode MS"/>
              </w:rPr>
              <w:t xml:space="preserve">its </w:t>
            </w:r>
            <w:r>
              <w:rPr>
                <w:rFonts w:eastAsia="Arial Unicode MS"/>
              </w:rPr>
              <w:t xml:space="preserve">investment in </w:t>
            </w:r>
            <w:r w:rsidR="00CB7410">
              <w:rPr>
                <w:rFonts w:eastAsia="Arial Unicode MS"/>
              </w:rPr>
              <w:t>A</w:t>
            </w:r>
            <w:r>
              <w:rPr>
                <w:rFonts w:eastAsia="Arial Unicode MS"/>
              </w:rPr>
              <w:t>gency</w:t>
            </w:r>
            <w:r w:rsidR="00CB7410">
              <w:rPr>
                <w:rFonts w:eastAsia="Arial Unicode MS"/>
              </w:rPr>
              <w:t xml:space="preserve"> A</w:t>
            </w:r>
          </w:p>
        </w:tc>
        <w:tc>
          <w:tcPr>
            <w:tcW w:w="1791" w:type="dxa"/>
            <w:shd w:val="clear" w:color="auto" w:fill="D9D9D9" w:themeFill="background1" w:themeFillShade="D9"/>
          </w:tcPr>
          <w:p w:rsidR="00A90630" w:rsidRDefault="00A90630" w:rsidP="003C3537">
            <w:pPr>
              <w:pStyle w:val="Tabletext"/>
              <w:jc w:val="right"/>
              <w:rPr>
                <w:rFonts w:eastAsia="Arial Unicode MS"/>
              </w:rPr>
            </w:pPr>
          </w:p>
        </w:tc>
      </w:tr>
      <w:tr w:rsidR="00A90630" w:rsidRPr="00731E39" w:rsidTr="003C3537">
        <w:tc>
          <w:tcPr>
            <w:tcW w:w="5731" w:type="dxa"/>
          </w:tcPr>
          <w:p w:rsidR="00A90630" w:rsidRPr="00731E39" w:rsidRDefault="00A90630" w:rsidP="00E07BF3">
            <w:pPr>
              <w:pStyle w:val="Tabletext"/>
              <w:rPr>
                <w:rFonts w:eastAsia="Arial Unicode MS"/>
              </w:rPr>
            </w:pPr>
            <w:r>
              <w:rPr>
                <w:rFonts w:eastAsia="Arial Unicode MS"/>
              </w:rPr>
              <w:t xml:space="preserve">DR </w:t>
            </w:r>
            <w:r w:rsidR="00CB7410">
              <w:rPr>
                <w:rFonts w:eastAsia="Arial Unicode MS"/>
              </w:rPr>
              <w:t>Equity t</w:t>
            </w:r>
            <w:r w:rsidRPr="00F636F2">
              <w:rPr>
                <w:rFonts w:eastAsia="Arial Unicode MS"/>
              </w:rPr>
              <w:t xml:space="preserve">ransfers to </w:t>
            </w:r>
            <w:r w:rsidR="00CB7410">
              <w:rPr>
                <w:rFonts w:eastAsia="Arial Unicode MS"/>
              </w:rPr>
              <w:t>o</w:t>
            </w:r>
            <w:r w:rsidRPr="00F636F2">
              <w:rPr>
                <w:rFonts w:eastAsia="Arial Unicode MS"/>
              </w:rPr>
              <w:t xml:space="preserve">ther </w:t>
            </w:r>
            <w:r w:rsidR="00CB7410">
              <w:rPr>
                <w:rFonts w:eastAsia="Arial Unicode MS"/>
              </w:rPr>
              <w:t>g</w:t>
            </w:r>
            <w:r w:rsidRPr="00F636F2">
              <w:rPr>
                <w:rFonts w:eastAsia="Arial Unicode MS"/>
              </w:rPr>
              <w:t xml:space="preserve">overnment </w:t>
            </w:r>
            <w:r w:rsidR="00CB7410">
              <w:rPr>
                <w:rFonts w:eastAsia="Arial Unicode MS"/>
              </w:rPr>
              <w:t>e</w:t>
            </w:r>
            <w:r w:rsidR="00D14FC7">
              <w:rPr>
                <w:rFonts w:eastAsia="Arial Unicode MS"/>
              </w:rPr>
              <w:t>ntities (Fixed a</w:t>
            </w:r>
            <w:r w:rsidRPr="00F636F2">
              <w:rPr>
                <w:rFonts w:eastAsia="Arial Unicode MS"/>
              </w:rPr>
              <w:t>ssets)</w:t>
            </w:r>
          </w:p>
        </w:tc>
        <w:tc>
          <w:tcPr>
            <w:tcW w:w="1791" w:type="dxa"/>
          </w:tcPr>
          <w:p w:rsidR="00A90630" w:rsidRPr="00731E39" w:rsidRDefault="00A90630" w:rsidP="003C3537">
            <w:pPr>
              <w:pStyle w:val="Tabletext"/>
              <w:jc w:val="right"/>
              <w:rPr>
                <w:rFonts w:eastAsia="Arial Unicode MS"/>
              </w:rPr>
            </w:pPr>
            <w:r>
              <w:rPr>
                <w:rFonts w:eastAsia="Arial Unicode MS"/>
              </w:rPr>
              <w:t>2</w:t>
            </w:r>
            <w:r w:rsidRPr="00731E39">
              <w:rPr>
                <w:rFonts w:eastAsia="Arial Unicode MS"/>
              </w:rPr>
              <w:t>0</w:t>
            </w:r>
          </w:p>
        </w:tc>
      </w:tr>
      <w:tr w:rsidR="00A90630" w:rsidRPr="00731E39" w:rsidTr="003C3537">
        <w:tc>
          <w:tcPr>
            <w:tcW w:w="5731" w:type="dxa"/>
          </w:tcPr>
          <w:p w:rsidR="00A90630" w:rsidRPr="00731E39" w:rsidRDefault="00A90630" w:rsidP="00CB7410">
            <w:pPr>
              <w:pStyle w:val="Tabletext"/>
              <w:rPr>
                <w:rFonts w:eastAsia="Arial Unicode MS"/>
              </w:rPr>
            </w:pPr>
            <w:r>
              <w:rPr>
                <w:rFonts w:eastAsia="Arial Unicode MS"/>
              </w:rPr>
              <w:t xml:space="preserve">CR </w:t>
            </w:r>
            <w:r w:rsidRPr="00F636F2">
              <w:rPr>
                <w:rFonts w:eastAsia="Arial Unicode MS"/>
              </w:rPr>
              <w:t xml:space="preserve">Equity Investment in </w:t>
            </w:r>
            <w:r w:rsidR="00D14FC7">
              <w:rPr>
                <w:rFonts w:eastAsia="Arial Unicode MS"/>
              </w:rPr>
              <w:t>general government</w:t>
            </w:r>
            <w:r w:rsidR="00CB7410">
              <w:rPr>
                <w:rFonts w:eastAsia="Arial Unicode MS"/>
              </w:rPr>
              <w:t xml:space="preserve">, </w:t>
            </w:r>
            <w:r w:rsidRPr="00F636F2">
              <w:rPr>
                <w:rFonts w:eastAsia="Arial Unicode MS"/>
              </w:rPr>
              <w:t>PNFC</w:t>
            </w:r>
            <w:r w:rsidR="00CB7410">
              <w:rPr>
                <w:rFonts w:eastAsia="Arial Unicode MS"/>
              </w:rPr>
              <w:t>, or PFC</w:t>
            </w:r>
            <w:r w:rsidR="00D14FC7">
              <w:rPr>
                <w:rFonts w:eastAsia="Arial Unicode MS"/>
              </w:rPr>
              <w:t xml:space="preserve"> (Fixed asset t</w:t>
            </w:r>
            <w:r w:rsidRPr="00F636F2">
              <w:rPr>
                <w:rFonts w:eastAsia="Arial Unicode MS"/>
              </w:rPr>
              <w:t>ransfers)</w:t>
            </w:r>
          </w:p>
        </w:tc>
        <w:tc>
          <w:tcPr>
            <w:tcW w:w="1791" w:type="dxa"/>
          </w:tcPr>
          <w:p w:rsidR="00A90630" w:rsidRPr="00731E39" w:rsidRDefault="00A90630" w:rsidP="003C3537">
            <w:pPr>
              <w:pStyle w:val="Tabletext"/>
              <w:jc w:val="right"/>
              <w:rPr>
                <w:rFonts w:eastAsia="Arial Unicode MS"/>
              </w:rPr>
            </w:pPr>
            <w:r>
              <w:rPr>
                <w:rFonts w:eastAsia="Arial Unicode MS"/>
              </w:rPr>
              <w:t>2</w:t>
            </w:r>
            <w:r w:rsidRPr="00731E39">
              <w:rPr>
                <w:rFonts w:eastAsia="Arial Unicode MS"/>
              </w:rPr>
              <w:t>0</w:t>
            </w:r>
          </w:p>
        </w:tc>
      </w:tr>
    </w:tbl>
    <w:p w:rsidR="00A90630" w:rsidRPr="0041128D" w:rsidRDefault="0041128D" w:rsidP="00314B6A">
      <w:pPr>
        <w:pStyle w:val="Heading4"/>
        <w:spacing w:before="240" w:after="120"/>
        <w:ind w:left="360"/>
      </w:pPr>
      <w:r w:rsidRPr="00CB7410">
        <w:t xml:space="preserve">Step </w:t>
      </w:r>
      <w:r>
        <w:t>C</w:t>
      </w:r>
      <w:r w:rsidRPr="00CB7410">
        <w:t xml:space="preserve"> – </w:t>
      </w:r>
      <w:r>
        <w:t xml:space="preserve">Department A </w:t>
      </w:r>
      <w:r w:rsidR="00E07BF3">
        <w:t xml:space="preserve">transfers </w:t>
      </w:r>
      <w:r>
        <w:t>Agency A’s assets</w:t>
      </w:r>
      <w:r w:rsidR="00E07BF3">
        <w:t xml:space="preserve"> to its controlled entity and then transfers the assets to the other </w:t>
      </w:r>
      <w:r w:rsidR="007C6CCA">
        <w:t>d</w:t>
      </w:r>
      <w:r w:rsidR="00E07BF3">
        <w:t>epartment (Department B)</w:t>
      </w:r>
      <w:r>
        <w:t>.</w:t>
      </w:r>
    </w:p>
    <w:tbl>
      <w:tblPr>
        <w:tblStyle w:val="DTFtexttable"/>
        <w:tblW w:w="7522" w:type="dxa"/>
        <w:tblInd w:w="864" w:type="dxa"/>
        <w:tblLayout w:type="fixed"/>
        <w:tblLook w:val="0620" w:firstRow="1" w:lastRow="0" w:firstColumn="0" w:lastColumn="0" w:noHBand="1" w:noVBand="1"/>
      </w:tblPr>
      <w:tblGrid>
        <w:gridCol w:w="5731"/>
        <w:gridCol w:w="1791"/>
      </w:tblGrid>
      <w:tr w:rsidR="00A90630"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A90630" w:rsidRDefault="00A90630" w:rsidP="003C3537">
            <w:pPr>
              <w:pStyle w:val="Tableheader"/>
              <w:rPr>
                <w:rFonts w:eastAsia="Arial Unicode MS"/>
              </w:rPr>
            </w:pPr>
            <w:r>
              <w:t>Department A – Controlled</w:t>
            </w:r>
          </w:p>
        </w:tc>
      </w:tr>
      <w:tr w:rsidR="00A90630" w:rsidRPr="00731E39" w:rsidTr="003C3537">
        <w:tc>
          <w:tcPr>
            <w:tcW w:w="7522" w:type="dxa"/>
            <w:gridSpan w:val="2"/>
            <w:shd w:val="clear" w:color="auto" w:fill="D9D9D9" w:themeFill="background1" w:themeFillShade="D9"/>
          </w:tcPr>
          <w:p w:rsidR="00A90630" w:rsidRDefault="00A90630" w:rsidP="00E07BF3">
            <w:pPr>
              <w:pStyle w:val="Tabletext"/>
              <w:rPr>
                <w:rFonts w:eastAsia="Arial Unicode MS"/>
              </w:rPr>
            </w:pPr>
            <w:r w:rsidRPr="00A061FB">
              <w:rPr>
                <w:rFonts w:eastAsia="Arial Unicode MS"/>
                <w:szCs w:val="17"/>
              </w:rPr>
              <w:t>Transfer carrying value of asset</w:t>
            </w:r>
            <w:r w:rsidR="00E07BF3">
              <w:rPr>
                <w:rFonts w:eastAsia="Arial Unicode MS"/>
                <w:szCs w:val="17"/>
              </w:rPr>
              <w:t>s</w:t>
            </w:r>
            <w:r w:rsidRPr="00A061FB">
              <w:rPr>
                <w:rFonts w:eastAsia="Arial Unicode MS"/>
                <w:szCs w:val="17"/>
              </w:rPr>
              <w:t xml:space="preserve"> from Department A</w:t>
            </w:r>
            <w:r w:rsidR="00E07BF3">
              <w:rPr>
                <w:rFonts w:eastAsia="Arial Unicode MS"/>
                <w:szCs w:val="17"/>
              </w:rPr>
              <w:t>’s administered entity to its</w:t>
            </w:r>
            <w:r w:rsidRPr="00A061FB">
              <w:rPr>
                <w:rFonts w:eastAsia="Arial Unicode MS"/>
                <w:szCs w:val="17"/>
              </w:rPr>
              <w:t xml:space="preserve"> controlled entity</w:t>
            </w:r>
          </w:p>
        </w:tc>
      </w:tr>
      <w:tr w:rsidR="00A90630" w:rsidRPr="00731E39" w:rsidTr="003C3537">
        <w:tc>
          <w:tcPr>
            <w:tcW w:w="5731" w:type="dxa"/>
          </w:tcPr>
          <w:p w:rsidR="00A90630" w:rsidRPr="00731E39" w:rsidRDefault="00A90630" w:rsidP="003C3537">
            <w:pPr>
              <w:pStyle w:val="Tabletext"/>
              <w:rPr>
                <w:rFonts w:eastAsia="Arial Unicode MS"/>
              </w:rPr>
            </w:pPr>
            <w:r>
              <w:rPr>
                <w:rFonts w:eastAsia="Arial Unicode MS"/>
              </w:rPr>
              <w:t xml:space="preserve">DR </w:t>
            </w:r>
            <w:r w:rsidR="00C00C5D">
              <w:rPr>
                <w:rFonts w:eastAsia="Arial Unicode MS"/>
              </w:rPr>
              <w:t>Fixed a</w:t>
            </w:r>
            <w:r w:rsidRPr="00C91080">
              <w:rPr>
                <w:rFonts w:eastAsia="Arial Unicode MS"/>
              </w:rPr>
              <w:t>sset</w:t>
            </w:r>
            <w:r w:rsidR="00C00C5D">
              <w:rPr>
                <w:rFonts w:eastAsia="Arial Unicode MS"/>
              </w:rPr>
              <w:t>s</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r w:rsidR="00A90630" w:rsidRPr="00731E39" w:rsidTr="003C3537">
        <w:tc>
          <w:tcPr>
            <w:tcW w:w="5731" w:type="dxa"/>
          </w:tcPr>
          <w:p w:rsidR="00A90630" w:rsidRPr="00731E39" w:rsidRDefault="00A90630" w:rsidP="00C00C5D">
            <w:pPr>
              <w:pStyle w:val="Tabletext"/>
              <w:rPr>
                <w:rFonts w:eastAsia="Arial Unicode MS"/>
              </w:rPr>
            </w:pPr>
            <w:r>
              <w:rPr>
                <w:rFonts w:eastAsia="Arial Unicode MS"/>
              </w:rPr>
              <w:t xml:space="preserve">CR </w:t>
            </w:r>
            <w:r w:rsidRPr="00AC78FF">
              <w:rPr>
                <w:rFonts w:eastAsia="Arial Unicode MS"/>
              </w:rPr>
              <w:t xml:space="preserve">Equity </w:t>
            </w:r>
            <w:r w:rsidR="00C00C5D">
              <w:rPr>
                <w:rFonts w:eastAsia="Arial Unicode MS"/>
              </w:rPr>
              <w:t>t</w:t>
            </w:r>
            <w:r w:rsidRPr="00AC78FF">
              <w:rPr>
                <w:rFonts w:eastAsia="Arial Unicode MS"/>
              </w:rPr>
              <w:t xml:space="preserve">ransfers from </w:t>
            </w:r>
            <w:r w:rsidR="00C00C5D">
              <w:rPr>
                <w:rFonts w:eastAsia="Arial Unicode MS"/>
              </w:rPr>
              <w:t>o</w:t>
            </w:r>
            <w:r w:rsidRPr="00AC78FF">
              <w:rPr>
                <w:rFonts w:eastAsia="Arial Unicode MS"/>
              </w:rPr>
              <w:t xml:space="preserve">ther </w:t>
            </w:r>
            <w:r w:rsidR="00C00C5D">
              <w:rPr>
                <w:rFonts w:eastAsia="Arial Unicode MS"/>
              </w:rPr>
              <w:t>g</w:t>
            </w:r>
            <w:r w:rsidRPr="00AC78FF">
              <w:rPr>
                <w:rFonts w:eastAsia="Arial Unicode MS"/>
              </w:rPr>
              <w:t xml:space="preserve">overnment </w:t>
            </w:r>
            <w:r w:rsidR="00C00C5D">
              <w:rPr>
                <w:rFonts w:eastAsia="Arial Unicode MS"/>
              </w:rPr>
              <w:t>e</w:t>
            </w:r>
            <w:r w:rsidRPr="00AC78FF">
              <w:rPr>
                <w:rFonts w:eastAsia="Arial Unicode MS"/>
              </w:rPr>
              <w:t>ntities (</w:t>
            </w:r>
            <w:r>
              <w:rPr>
                <w:rFonts w:eastAsia="Arial Unicode MS"/>
              </w:rPr>
              <w:t>Fixed</w:t>
            </w:r>
            <w:r w:rsidR="00D14FC7">
              <w:rPr>
                <w:rFonts w:eastAsia="Arial Unicode MS"/>
              </w:rPr>
              <w:t xml:space="preserve"> a</w:t>
            </w:r>
            <w:r w:rsidRPr="00AC78FF">
              <w:rPr>
                <w:rFonts w:eastAsia="Arial Unicode MS"/>
              </w:rPr>
              <w:t>ssets)</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r w:rsidR="00A90630" w:rsidRPr="00731E39" w:rsidTr="003C3537">
        <w:tc>
          <w:tcPr>
            <w:tcW w:w="7522" w:type="dxa"/>
            <w:gridSpan w:val="2"/>
            <w:shd w:val="clear" w:color="auto" w:fill="D9D9D9" w:themeFill="background1" w:themeFillShade="D9"/>
          </w:tcPr>
          <w:p w:rsidR="00A90630" w:rsidRDefault="00E07BF3" w:rsidP="00E07BF3">
            <w:pPr>
              <w:pStyle w:val="Tabletext"/>
              <w:rPr>
                <w:rFonts w:eastAsia="Arial Unicode MS"/>
              </w:rPr>
            </w:pPr>
            <w:r>
              <w:rPr>
                <w:rFonts w:eastAsia="Arial Unicode MS"/>
              </w:rPr>
              <w:t>T</w:t>
            </w:r>
            <w:r w:rsidR="00A90630" w:rsidRPr="00A061FB">
              <w:rPr>
                <w:rFonts w:eastAsia="Arial Unicode MS"/>
              </w:rPr>
              <w:t>ransfer</w:t>
            </w:r>
            <w:r>
              <w:rPr>
                <w:rFonts w:eastAsia="Arial Unicode MS"/>
              </w:rPr>
              <w:t xml:space="preserve"> of assets</w:t>
            </w:r>
            <w:r w:rsidR="00A90630" w:rsidRPr="00A061FB">
              <w:rPr>
                <w:rFonts w:eastAsia="Arial Unicode MS"/>
              </w:rPr>
              <w:t xml:space="preserve"> from Department A to Department B</w:t>
            </w:r>
            <w:r w:rsidR="00A90630">
              <w:rPr>
                <w:rFonts w:eastAsia="Arial Unicode MS"/>
              </w:rPr>
              <w:t xml:space="preserve"> </w:t>
            </w:r>
          </w:p>
        </w:tc>
      </w:tr>
      <w:tr w:rsidR="00A90630" w:rsidRPr="00731E39" w:rsidTr="003C3537">
        <w:tc>
          <w:tcPr>
            <w:tcW w:w="5731" w:type="dxa"/>
          </w:tcPr>
          <w:p w:rsidR="00A90630" w:rsidRPr="00731E39" w:rsidRDefault="00A90630" w:rsidP="00E07BF3">
            <w:pPr>
              <w:pStyle w:val="Tabletext"/>
              <w:rPr>
                <w:rFonts w:eastAsia="Arial Unicode MS"/>
              </w:rPr>
            </w:pPr>
            <w:r>
              <w:rPr>
                <w:rFonts w:eastAsia="Arial Unicode MS"/>
              </w:rPr>
              <w:t xml:space="preserve">DR </w:t>
            </w:r>
            <w:r w:rsidRPr="00AC78FF">
              <w:rPr>
                <w:rFonts w:eastAsia="Arial Unicode MS"/>
              </w:rPr>
              <w:t xml:space="preserve">Equity </w:t>
            </w:r>
            <w:r w:rsidR="00E07BF3">
              <w:rPr>
                <w:rFonts w:eastAsia="Arial Unicode MS"/>
              </w:rPr>
              <w:t>t</w:t>
            </w:r>
            <w:r w:rsidRPr="00AC78FF">
              <w:rPr>
                <w:rFonts w:eastAsia="Arial Unicode MS"/>
              </w:rPr>
              <w:t xml:space="preserve">ransfers </w:t>
            </w:r>
            <w:r>
              <w:rPr>
                <w:rFonts w:eastAsia="Arial Unicode MS"/>
              </w:rPr>
              <w:t>to</w:t>
            </w:r>
            <w:r w:rsidRPr="00AC78FF">
              <w:rPr>
                <w:rFonts w:eastAsia="Arial Unicode MS"/>
              </w:rPr>
              <w:t xml:space="preserve"> </w:t>
            </w:r>
            <w:r w:rsidR="00E07BF3">
              <w:rPr>
                <w:rFonts w:eastAsia="Arial Unicode MS"/>
              </w:rPr>
              <w:t>o</w:t>
            </w:r>
            <w:r w:rsidRPr="00AC78FF">
              <w:rPr>
                <w:rFonts w:eastAsia="Arial Unicode MS"/>
              </w:rPr>
              <w:t xml:space="preserve">ther </w:t>
            </w:r>
            <w:r w:rsidR="00E07BF3">
              <w:rPr>
                <w:rFonts w:eastAsia="Arial Unicode MS"/>
              </w:rPr>
              <w:t>g</w:t>
            </w:r>
            <w:r w:rsidRPr="00AC78FF">
              <w:rPr>
                <w:rFonts w:eastAsia="Arial Unicode MS"/>
              </w:rPr>
              <w:t xml:space="preserve">overnment </w:t>
            </w:r>
            <w:r w:rsidR="00E07BF3">
              <w:rPr>
                <w:rFonts w:eastAsia="Arial Unicode MS"/>
              </w:rPr>
              <w:t>e</w:t>
            </w:r>
            <w:r w:rsidRPr="00AC78FF">
              <w:rPr>
                <w:rFonts w:eastAsia="Arial Unicode MS"/>
              </w:rPr>
              <w:t>ntities (</w:t>
            </w:r>
            <w:r>
              <w:rPr>
                <w:rFonts w:eastAsia="Arial Unicode MS"/>
              </w:rPr>
              <w:t>Fixed</w:t>
            </w:r>
            <w:r w:rsidR="00D14FC7">
              <w:rPr>
                <w:rFonts w:eastAsia="Arial Unicode MS"/>
              </w:rPr>
              <w:t xml:space="preserve"> a</w:t>
            </w:r>
            <w:r w:rsidRPr="00AC78FF">
              <w:rPr>
                <w:rFonts w:eastAsia="Arial Unicode MS"/>
              </w:rPr>
              <w:t>ssets)</w:t>
            </w:r>
          </w:p>
        </w:tc>
        <w:tc>
          <w:tcPr>
            <w:tcW w:w="1791" w:type="dxa"/>
          </w:tcPr>
          <w:p w:rsidR="00A90630" w:rsidRPr="00731E39" w:rsidRDefault="00A90630" w:rsidP="003C3537">
            <w:pPr>
              <w:pStyle w:val="Tabletext"/>
              <w:jc w:val="right"/>
              <w:rPr>
                <w:rFonts w:eastAsia="Arial Unicode MS"/>
              </w:rPr>
            </w:pPr>
            <w:r>
              <w:rPr>
                <w:rFonts w:eastAsia="Arial Unicode MS"/>
              </w:rPr>
              <w:t>2</w:t>
            </w:r>
            <w:r w:rsidRPr="00731E39">
              <w:rPr>
                <w:rFonts w:eastAsia="Arial Unicode MS"/>
              </w:rPr>
              <w:t>0</w:t>
            </w:r>
          </w:p>
        </w:tc>
      </w:tr>
      <w:tr w:rsidR="00A90630" w:rsidRPr="00731E39" w:rsidTr="003C3537">
        <w:tc>
          <w:tcPr>
            <w:tcW w:w="5731" w:type="dxa"/>
          </w:tcPr>
          <w:p w:rsidR="00A90630" w:rsidRPr="00731E39" w:rsidRDefault="00A90630" w:rsidP="00E07BF3">
            <w:pPr>
              <w:pStyle w:val="Tabletext"/>
              <w:rPr>
                <w:rFonts w:eastAsia="Arial Unicode MS"/>
              </w:rPr>
            </w:pPr>
            <w:r>
              <w:rPr>
                <w:rFonts w:eastAsia="Arial Unicode MS"/>
              </w:rPr>
              <w:t xml:space="preserve">CR </w:t>
            </w:r>
            <w:r w:rsidRPr="00C91080">
              <w:rPr>
                <w:rFonts w:eastAsia="Arial Unicode MS"/>
              </w:rPr>
              <w:t xml:space="preserve">Fixed </w:t>
            </w:r>
            <w:r w:rsidR="00E07BF3">
              <w:rPr>
                <w:rFonts w:eastAsia="Arial Unicode MS"/>
              </w:rPr>
              <w:t>a</w:t>
            </w:r>
            <w:r w:rsidRPr="00C91080">
              <w:rPr>
                <w:rFonts w:eastAsia="Arial Unicode MS"/>
              </w:rPr>
              <w:t>sset</w:t>
            </w:r>
            <w:r w:rsidR="00E07BF3">
              <w:rPr>
                <w:rFonts w:eastAsia="Arial Unicode MS"/>
              </w:rPr>
              <w:t>s</w:t>
            </w:r>
          </w:p>
        </w:tc>
        <w:tc>
          <w:tcPr>
            <w:tcW w:w="1791" w:type="dxa"/>
          </w:tcPr>
          <w:p w:rsidR="00A90630" w:rsidRPr="00731E39" w:rsidRDefault="00A90630" w:rsidP="003C3537">
            <w:pPr>
              <w:pStyle w:val="Tabletext"/>
              <w:jc w:val="right"/>
              <w:rPr>
                <w:rFonts w:eastAsia="Arial Unicode MS"/>
              </w:rPr>
            </w:pPr>
            <w:r>
              <w:rPr>
                <w:rFonts w:eastAsia="Arial Unicode MS"/>
              </w:rPr>
              <w:t>2</w:t>
            </w:r>
            <w:r w:rsidRPr="00731E39">
              <w:rPr>
                <w:rFonts w:eastAsia="Arial Unicode MS"/>
              </w:rPr>
              <w:t>0</w:t>
            </w:r>
          </w:p>
        </w:tc>
      </w:tr>
    </w:tbl>
    <w:p w:rsidR="00A90630" w:rsidRPr="004975E4" w:rsidRDefault="004975E4" w:rsidP="00314B6A">
      <w:pPr>
        <w:pStyle w:val="Heading4"/>
        <w:spacing w:before="240" w:after="120"/>
        <w:ind w:left="360"/>
      </w:pPr>
      <w:r w:rsidRPr="00CB7410">
        <w:t xml:space="preserve">Step </w:t>
      </w:r>
      <w:r>
        <w:t>D</w:t>
      </w:r>
      <w:r w:rsidRPr="00CB7410">
        <w:t xml:space="preserve"> – </w:t>
      </w:r>
      <w:r>
        <w:t>Department B receives the assets of Agency A from Department A.</w:t>
      </w:r>
    </w:p>
    <w:tbl>
      <w:tblPr>
        <w:tblStyle w:val="DTFtexttable"/>
        <w:tblW w:w="7522" w:type="dxa"/>
        <w:tblInd w:w="864" w:type="dxa"/>
        <w:tblLayout w:type="fixed"/>
        <w:tblLook w:val="0620" w:firstRow="1" w:lastRow="0" w:firstColumn="0" w:lastColumn="0" w:noHBand="1" w:noVBand="1"/>
      </w:tblPr>
      <w:tblGrid>
        <w:gridCol w:w="5731"/>
        <w:gridCol w:w="1791"/>
      </w:tblGrid>
      <w:tr w:rsidR="00A90630"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A90630" w:rsidRDefault="00A90630" w:rsidP="003C3537">
            <w:pPr>
              <w:pStyle w:val="Tableheader"/>
              <w:rPr>
                <w:rFonts w:eastAsia="Arial Unicode MS"/>
              </w:rPr>
            </w:pPr>
            <w:r>
              <w:t>Department B – Controlled</w:t>
            </w:r>
          </w:p>
        </w:tc>
      </w:tr>
      <w:tr w:rsidR="00A90630" w:rsidRPr="00731E39" w:rsidTr="003C3537">
        <w:tc>
          <w:tcPr>
            <w:tcW w:w="7522" w:type="dxa"/>
            <w:gridSpan w:val="2"/>
            <w:shd w:val="clear" w:color="auto" w:fill="D9D9D9" w:themeFill="background1" w:themeFillShade="D9"/>
          </w:tcPr>
          <w:p w:rsidR="00A90630" w:rsidRDefault="00A90630" w:rsidP="004975E4">
            <w:pPr>
              <w:pStyle w:val="Tabletext"/>
              <w:rPr>
                <w:rFonts w:eastAsia="Arial Unicode MS"/>
              </w:rPr>
            </w:pPr>
            <w:r w:rsidRPr="00A061FB">
              <w:rPr>
                <w:rFonts w:eastAsia="Arial Unicode MS"/>
                <w:szCs w:val="17"/>
              </w:rPr>
              <w:t xml:space="preserve">Department </w:t>
            </w:r>
            <w:r>
              <w:rPr>
                <w:rFonts w:eastAsia="Arial Unicode MS"/>
                <w:szCs w:val="17"/>
              </w:rPr>
              <w:t>B receives</w:t>
            </w:r>
            <w:r w:rsidR="004975E4">
              <w:rPr>
                <w:rFonts w:eastAsia="Arial Unicode MS"/>
                <w:szCs w:val="17"/>
              </w:rPr>
              <w:t xml:space="preserve"> the assets of Agency A from Department A</w:t>
            </w:r>
          </w:p>
        </w:tc>
      </w:tr>
      <w:tr w:rsidR="00A90630" w:rsidRPr="00731E39" w:rsidTr="003C3537">
        <w:tc>
          <w:tcPr>
            <w:tcW w:w="5731" w:type="dxa"/>
          </w:tcPr>
          <w:p w:rsidR="00A90630" w:rsidRPr="00731E39" w:rsidRDefault="00A90630" w:rsidP="003C3537">
            <w:pPr>
              <w:pStyle w:val="Tabletext"/>
              <w:rPr>
                <w:rFonts w:eastAsia="Arial Unicode MS"/>
              </w:rPr>
            </w:pPr>
            <w:r>
              <w:rPr>
                <w:rFonts w:eastAsia="Arial Unicode MS"/>
              </w:rPr>
              <w:t xml:space="preserve">DR </w:t>
            </w:r>
            <w:r w:rsidR="004975E4">
              <w:rPr>
                <w:rFonts w:eastAsia="Arial Unicode MS"/>
              </w:rPr>
              <w:t>Fixed assets</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r w:rsidR="00A90630" w:rsidRPr="00731E39" w:rsidTr="003C3537">
        <w:tc>
          <w:tcPr>
            <w:tcW w:w="5731" w:type="dxa"/>
          </w:tcPr>
          <w:p w:rsidR="00A90630" w:rsidRPr="00731E39" w:rsidRDefault="00A90630" w:rsidP="004975E4">
            <w:pPr>
              <w:pStyle w:val="Tabletext"/>
              <w:rPr>
                <w:rFonts w:eastAsia="Arial Unicode MS"/>
              </w:rPr>
            </w:pPr>
            <w:r>
              <w:rPr>
                <w:rFonts w:eastAsia="Arial Unicode MS"/>
              </w:rPr>
              <w:t xml:space="preserve">CR </w:t>
            </w:r>
            <w:r w:rsidRPr="00AC78FF">
              <w:rPr>
                <w:rFonts w:eastAsia="Arial Unicode MS"/>
              </w:rPr>
              <w:t xml:space="preserve">Equity </w:t>
            </w:r>
            <w:r w:rsidR="004975E4">
              <w:rPr>
                <w:rFonts w:eastAsia="Arial Unicode MS"/>
              </w:rPr>
              <w:t>t</w:t>
            </w:r>
            <w:r w:rsidRPr="00AC78FF">
              <w:rPr>
                <w:rFonts w:eastAsia="Arial Unicode MS"/>
              </w:rPr>
              <w:t xml:space="preserve">ransfers from </w:t>
            </w:r>
            <w:r w:rsidR="004975E4">
              <w:rPr>
                <w:rFonts w:eastAsia="Arial Unicode MS"/>
              </w:rPr>
              <w:t>o</w:t>
            </w:r>
            <w:r w:rsidRPr="00AC78FF">
              <w:rPr>
                <w:rFonts w:eastAsia="Arial Unicode MS"/>
              </w:rPr>
              <w:t xml:space="preserve">ther </w:t>
            </w:r>
            <w:r w:rsidR="004975E4">
              <w:rPr>
                <w:rFonts w:eastAsia="Arial Unicode MS"/>
              </w:rPr>
              <w:t>g</w:t>
            </w:r>
            <w:r w:rsidRPr="00AC78FF">
              <w:rPr>
                <w:rFonts w:eastAsia="Arial Unicode MS"/>
              </w:rPr>
              <w:t xml:space="preserve">overnment </w:t>
            </w:r>
            <w:r w:rsidR="004975E4">
              <w:rPr>
                <w:rFonts w:eastAsia="Arial Unicode MS"/>
              </w:rPr>
              <w:t>e</w:t>
            </w:r>
            <w:r w:rsidRPr="00AC78FF">
              <w:rPr>
                <w:rFonts w:eastAsia="Arial Unicode MS"/>
              </w:rPr>
              <w:t>ntities (</w:t>
            </w:r>
            <w:r>
              <w:rPr>
                <w:rFonts w:eastAsia="Arial Unicode MS"/>
              </w:rPr>
              <w:t>Fixed</w:t>
            </w:r>
            <w:r w:rsidR="00D14FC7">
              <w:rPr>
                <w:rFonts w:eastAsia="Arial Unicode MS"/>
              </w:rPr>
              <w:t xml:space="preserve"> a</w:t>
            </w:r>
            <w:r w:rsidRPr="00AC78FF">
              <w:rPr>
                <w:rFonts w:eastAsia="Arial Unicode MS"/>
              </w:rPr>
              <w:t>ssets)</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r w:rsidR="00A90630" w:rsidRPr="00731E39" w:rsidTr="003C3537">
        <w:tc>
          <w:tcPr>
            <w:tcW w:w="7522" w:type="dxa"/>
            <w:gridSpan w:val="2"/>
            <w:shd w:val="clear" w:color="auto" w:fill="D9D9D9" w:themeFill="background1" w:themeFillShade="D9"/>
          </w:tcPr>
          <w:p w:rsidR="00A90630" w:rsidRDefault="00A90630" w:rsidP="003C3537">
            <w:pPr>
              <w:pStyle w:val="Tabletext"/>
              <w:rPr>
                <w:rFonts w:eastAsia="Arial Unicode MS"/>
              </w:rPr>
            </w:pPr>
            <w:r w:rsidRPr="00A061FB">
              <w:rPr>
                <w:rFonts w:eastAsia="Arial Unicode MS"/>
              </w:rPr>
              <w:t xml:space="preserve">Department B transfers </w:t>
            </w:r>
            <w:r w:rsidR="004975E4">
              <w:rPr>
                <w:rFonts w:eastAsia="Arial Unicode MS"/>
              </w:rPr>
              <w:t xml:space="preserve">the </w:t>
            </w:r>
            <w:r w:rsidRPr="00A061FB">
              <w:rPr>
                <w:rFonts w:eastAsia="Arial Unicode MS"/>
              </w:rPr>
              <w:t>eq</w:t>
            </w:r>
            <w:r>
              <w:rPr>
                <w:rFonts w:eastAsia="Arial Unicode MS"/>
              </w:rPr>
              <w:t xml:space="preserve">uity </w:t>
            </w:r>
            <w:r w:rsidR="004975E4">
              <w:rPr>
                <w:rFonts w:eastAsia="Arial Unicode MS"/>
              </w:rPr>
              <w:t xml:space="preserve">in Agency A </w:t>
            </w:r>
            <w:r>
              <w:rPr>
                <w:rFonts w:eastAsia="Arial Unicode MS"/>
              </w:rPr>
              <w:t>to its administered entity</w:t>
            </w:r>
          </w:p>
        </w:tc>
      </w:tr>
      <w:tr w:rsidR="00A90630" w:rsidRPr="00731E39" w:rsidTr="003C3537">
        <w:tc>
          <w:tcPr>
            <w:tcW w:w="5731" w:type="dxa"/>
          </w:tcPr>
          <w:p w:rsidR="00A90630" w:rsidRPr="00731E39" w:rsidRDefault="00A90630" w:rsidP="004975E4">
            <w:pPr>
              <w:pStyle w:val="Tabletext"/>
              <w:rPr>
                <w:rFonts w:eastAsia="Arial Unicode MS"/>
              </w:rPr>
            </w:pPr>
            <w:r>
              <w:rPr>
                <w:rFonts w:eastAsia="Arial Unicode MS"/>
              </w:rPr>
              <w:t xml:space="preserve">DR </w:t>
            </w:r>
            <w:r w:rsidRPr="00AC78FF">
              <w:rPr>
                <w:rFonts w:eastAsia="Arial Unicode MS"/>
              </w:rPr>
              <w:t xml:space="preserve">Equity </w:t>
            </w:r>
            <w:r w:rsidR="004975E4">
              <w:rPr>
                <w:rFonts w:eastAsia="Arial Unicode MS"/>
              </w:rPr>
              <w:t>t</w:t>
            </w:r>
            <w:r w:rsidRPr="00AC78FF">
              <w:rPr>
                <w:rFonts w:eastAsia="Arial Unicode MS"/>
              </w:rPr>
              <w:t xml:space="preserve">ransfers </w:t>
            </w:r>
            <w:r>
              <w:rPr>
                <w:rFonts w:eastAsia="Arial Unicode MS"/>
              </w:rPr>
              <w:t>to</w:t>
            </w:r>
            <w:r w:rsidRPr="00AC78FF">
              <w:rPr>
                <w:rFonts w:eastAsia="Arial Unicode MS"/>
              </w:rPr>
              <w:t xml:space="preserve"> </w:t>
            </w:r>
            <w:r w:rsidR="004975E4">
              <w:rPr>
                <w:rFonts w:eastAsia="Arial Unicode MS"/>
              </w:rPr>
              <w:t>o</w:t>
            </w:r>
            <w:r w:rsidRPr="00AC78FF">
              <w:rPr>
                <w:rFonts w:eastAsia="Arial Unicode MS"/>
              </w:rPr>
              <w:t xml:space="preserve">ther </w:t>
            </w:r>
            <w:r w:rsidR="004975E4">
              <w:rPr>
                <w:rFonts w:eastAsia="Arial Unicode MS"/>
              </w:rPr>
              <w:t>g</w:t>
            </w:r>
            <w:r w:rsidRPr="00AC78FF">
              <w:rPr>
                <w:rFonts w:eastAsia="Arial Unicode MS"/>
              </w:rPr>
              <w:t xml:space="preserve">overnment </w:t>
            </w:r>
            <w:r w:rsidR="004975E4">
              <w:rPr>
                <w:rFonts w:eastAsia="Arial Unicode MS"/>
              </w:rPr>
              <w:t>e</w:t>
            </w:r>
            <w:r w:rsidRPr="00AC78FF">
              <w:rPr>
                <w:rFonts w:eastAsia="Arial Unicode MS"/>
              </w:rPr>
              <w:t>ntities (</w:t>
            </w:r>
            <w:r>
              <w:rPr>
                <w:rFonts w:eastAsia="Arial Unicode MS"/>
              </w:rPr>
              <w:t>Fixed</w:t>
            </w:r>
            <w:r w:rsidR="00D14FC7">
              <w:rPr>
                <w:rFonts w:eastAsia="Arial Unicode MS"/>
              </w:rPr>
              <w:t xml:space="preserve"> a</w:t>
            </w:r>
            <w:r w:rsidRPr="00AC78FF">
              <w:rPr>
                <w:rFonts w:eastAsia="Arial Unicode MS"/>
              </w:rPr>
              <w:t>ssets)</w:t>
            </w:r>
          </w:p>
        </w:tc>
        <w:tc>
          <w:tcPr>
            <w:tcW w:w="1791" w:type="dxa"/>
          </w:tcPr>
          <w:p w:rsidR="00A90630" w:rsidRPr="00731E39" w:rsidRDefault="00A90630" w:rsidP="003C3537">
            <w:pPr>
              <w:pStyle w:val="Tabletext"/>
              <w:jc w:val="right"/>
              <w:rPr>
                <w:rFonts w:eastAsia="Arial Unicode MS"/>
              </w:rPr>
            </w:pPr>
            <w:r>
              <w:rPr>
                <w:rFonts w:eastAsia="Arial Unicode MS"/>
              </w:rPr>
              <w:t>2</w:t>
            </w:r>
            <w:r w:rsidRPr="00731E39">
              <w:rPr>
                <w:rFonts w:eastAsia="Arial Unicode MS"/>
              </w:rPr>
              <w:t>0</w:t>
            </w:r>
          </w:p>
        </w:tc>
      </w:tr>
      <w:tr w:rsidR="00A90630" w:rsidRPr="00731E39" w:rsidTr="003C3537">
        <w:tc>
          <w:tcPr>
            <w:tcW w:w="5731" w:type="dxa"/>
          </w:tcPr>
          <w:p w:rsidR="00A90630" w:rsidRPr="00731E39" w:rsidRDefault="00A90630" w:rsidP="003C3537">
            <w:pPr>
              <w:pStyle w:val="Tabletext"/>
              <w:rPr>
                <w:rFonts w:eastAsia="Arial Unicode MS"/>
              </w:rPr>
            </w:pPr>
            <w:r>
              <w:rPr>
                <w:rFonts w:eastAsia="Arial Unicode MS"/>
              </w:rPr>
              <w:t xml:space="preserve">CR </w:t>
            </w:r>
            <w:r w:rsidR="004975E4">
              <w:rPr>
                <w:rFonts w:eastAsia="Arial Unicode MS"/>
              </w:rPr>
              <w:t>Fixed a</w:t>
            </w:r>
            <w:r w:rsidRPr="00C91080">
              <w:rPr>
                <w:rFonts w:eastAsia="Arial Unicode MS"/>
              </w:rPr>
              <w:t>sset</w:t>
            </w:r>
            <w:r w:rsidR="004975E4">
              <w:rPr>
                <w:rFonts w:eastAsia="Arial Unicode MS"/>
              </w:rPr>
              <w:t>s</w:t>
            </w:r>
          </w:p>
        </w:tc>
        <w:tc>
          <w:tcPr>
            <w:tcW w:w="1791" w:type="dxa"/>
          </w:tcPr>
          <w:p w:rsidR="00A90630" w:rsidRPr="00731E39" w:rsidRDefault="00A90630" w:rsidP="003C3537">
            <w:pPr>
              <w:pStyle w:val="Tabletext"/>
              <w:jc w:val="right"/>
              <w:rPr>
                <w:rFonts w:eastAsia="Arial Unicode MS"/>
              </w:rPr>
            </w:pPr>
            <w:r>
              <w:rPr>
                <w:rFonts w:eastAsia="Arial Unicode MS"/>
              </w:rPr>
              <w:t>2</w:t>
            </w:r>
            <w:r w:rsidRPr="00731E39">
              <w:rPr>
                <w:rFonts w:eastAsia="Arial Unicode MS"/>
              </w:rPr>
              <w:t>0</w:t>
            </w:r>
          </w:p>
        </w:tc>
      </w:tr>
    </w:tbl>
    <w:p w:rsidR="00A90630" w:rsidRPr="003C3537" w:rsidRDefault="003C3537" w:rsidP="00314B6A">
      <w:pPr>
        <w:pStyle w:val="Heading4"/>
        <w:spacing w:before="240" w:after="120"/>
        <w:ind w:left="360"/>
      </w:pPr>
      <w:r w:rsidRPr="00CB7410">
        <w:t xml:space="preserve">Step </w:t>
      </w:r>
      <w:r>
        <w:t>E</w:t>
      </w:r>
      <w:r w:rsidRPr="00CB7410">
        <w:t xml:space="preserve"> – </w:t>
      </w:r>
      <w:r>
        <w:t>Department B increases its investment in Age</w:t>
      </w:r>
      <w:r w:rsidR="0010781C">
        <w:t>ncy B with the assets of Agency </w:t>
      </w:r>
      <w:r>
        <w:t>A</w:t>
      </w:r>
      <w:r w:rsidR="0010781C">
        <w:t>.</w:t>
      </w:r>
    </w:p>
    <w:tbl>
      <w:tblPr>
        <w:tblStyle w:val="DTFtexttable"/>
        <w:tblW w:w="7522" w:type="dxa"/>
        <w:tblInd w:w="864" w:type="dxa"/>
        <w:tblLayout w:type="fixed"/>
        <w:tblLook w:val="0620" w:firstRow="1" w:lastRow="0" w:firstColumn="0" w:lastColumn="0" w:noHBand="1" w:noVBand="1"/>
      </w:tblPr>
      <w:tblGrid>
        <w:gridCol w:w="5731"/>
        <w:gridCol w:w="1791"/>
      </w:tblGrid>
      <w:tr w:rsidR="00A90630"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A90630" w:rsidRDefault="00A90630" w:rsidP="003C3537">
            <w:pPr>
              <w:pStyle w:val="Tableheader"/>
              <w:rPr>
                <w:rFonts w:eastAsia="Arial Unicode MS"/>
              </w:rPr>
            </w:pPr>
            <w:r>
              <w:t>Department B – Administered</w:t>
            </w:r>
          </w:p>
        </w:tc>
      </w:tr>
      <w:tr w:rsidR="00A90630" w:rsidRPr="00731E39" w:rsidTr="003C3537">
        <w:tc>
          <w:tcPr>
            <w:tcW w:w="5731" w:type="dxa"/>
          </w:tcPr>
          <w:p w:rsidR="00A90630" w:rsidRPr="00731E39" w:rsidRDefault="00A90630" w:rsidP="003C3537">
            <w:pPr>
              <w:pStyle w:val="Tabletext"/>
              <w:rPr>
                <w:rFonts w:eastAsia="Arial Unicode MS"/>
              </w:rPr>
            </w:pPr>
            <w:r>
              <w:rPr>
                <w:rFonts w:eastAsia="Arial Unicode MS"/>
              </w:rPr>
              <w:t xml:space="preserve">DR </w:t>
            </w:r>
            <w:r w:rsidR="003C3537" w:rsidRPr="00F636F2">
              <w:rPr>
                <w:rFonts w:eastAsia="Arial Unicode MS"/>
              </w:rPr>
              <w:t xml:space="preserve">Equity Investment in </w:t>
            </w:r>
            <w:r w:rsidR="00D14FC7">
              <w:rPr>
                <w:rFonts w:eastAsia="Arial Unicode MS"/>
              </w:rPr>
              <w:t>general government</w:t>
            </w:r>
            <w:r w:rsidR="003C3537">
              <w:rPr>
                <w:rFonts w:eastAsia="Arial Unicode MS"/>
              </w:rPr>
              <w:t xml:space="preserve">, </w:t>
            </w:r>
            <w:r w:rsidR="003C3537" w:rsidRPr="00F636F2">
              <w:rPr>
                <w:rFonts w:eastAsia="Arial Unicode MS"/>
              </w:rPr>
              <w:t>PNFC</w:t>
            </w:r>
            <w:r w:rsidR="003C3537">
              <w:rPr>
                <w:rFonts w:eastAsia="Arial Unicode MS"/>
              </w:rPr>
              <w:t>, or PFC</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r w:rsidR="00A90630" w:rsidRPr="00731E39" w:rsidTr="003C3537">
        <w:tc>
          <w:tcPr>
            <w:tcW w:w="5731" w:type="dxa"/>
          </w:tcPr>
          <w:p w:rsidR="00A90630" w:rsidRPr="00731E39" w:rsidRDefault="00A90630" w:rsidP="003C3537">
            <w:pPr>
              <w:pStyle w:val="Tabletext"/>
              <w:rPr>
                <w:rFonts w:eastAsia="Arial Unicode MS"/>
              </w:rPr>
            </w:pPr>
            <w:r>
              <w:rPr>
                <w:rFonts w:eastAsia="Arial Unicode MS"/>
              </w:rPr>
              <w:t xml:space="preserve">CR </w:t>
            </w:r>
            <w:r w:rsidR="003C3537" w:rsidRPr="00AC78FF">
              <w:rPr>
                <w:rFonts w:eastAsia="Arial Unicode MS"/>
              </w:rPr>
              <w:t xml:space="preserve">Equity </w:t>
            </w:r>
            <w:r w:rsidR="003C3537">
              <w:rPr>
                <w:rFonts w:eastAsia="Arial Unicode MS"/>
              </w:rPr>
              <w:t>t</w:t>
            </w:r>
            <w:r w:rsidR="003C3537" w:rsidRPr="00AC78FF">
              <w:rPr>
                <w:rFonts w:eastAsia="Arial Unicode MS"/>
              </w:rPr>
              <w:t xml:space="preserve">ransfers from </w:t>
            </w:r>
            <w:r w:rsidR="003C3537">
              <w:rPr>
                <w:rFonts w:eastAsia="Arial Unicode MS"/>
              </w:rPr>
              <w:t>o</w:t>
            </w:r>
            <w:r w:rsidR="003C3537" w:rsidRPr="00AC78FF">
              <w:rPr>
                <w:rFonts w:eastAsia="Arial Unicode MS"/>
              </w:rPr>
              <w:t xml:space="preserve">ther </w:t>
            </w:r>
            <w:r w:rsidR="003C3537">
              <w:rPr>
                <w:rFonts w:eastAsia="Arial Unicode MS"/>
              </w:rPr>
              <w:t>g</w:t>
            </w:r>
            <w:r w:rsidR="003C3537" w:rsidRPr="00AC78FF">
              <w:rPr>
                <w:rFonts w:eastAsia="Arial Unicode MS"/>
              </w:rPr>
              <w:t xml:space="preserve">overnment </w:t>
            </w:r>
            <w:r w:rsidR="003C3537">
              <w:rPr>
                <w:rFonts w:eastAsia="Arial Unicode MS"/>
              </w:rPr>
              <w:t>e</w:t>
            </w:r>
            <w:r w:rsidR="003C3537" w:rsidRPr="00AC78FF">
              <w:rPr>
                <w:rFonts w:eastAsia="Arial Unicode MS"/>
              </w:rPr>
              <w:t xml:space="preserve">ntities </w:t>
            </w:r>
            <w:r w:rsidRPr="00AC78FF">
              <w:rPr>
                <w:rFonts w:eastAsia="Arial Unicode MS"/>
              </w:rPr>
              <w:t>(</w:t>
            </w:r>
            <w:r>
              <w:rPr>
                <w:rFonts w:eastAsia="Arial Unicode MS"/>
              </w:rPr>
              <w:t>Fixed</w:t>
            </w:r>
            <w:r w:rsidR="00D14FC7">
              <w:rPr>
                <w:rFonts w:eastAsia="Arial Unicode MS"/>
              </w:rPr>
              <w:t xml:space="preserve"> a</w:t>
            </w:r>
            <w:r w:rsidRPr="00AC78FF">
              <w:rPr>
                <w:rFonts w:eastAsia="Arial Unicode MS"/>
              </w:rPr>
              <w:t>ssets)</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bl>
    <w:p w:rsidR="003C3537" w:rsidRPr="003C3537" w:rsidRDefault="003C3537" w:rsidP="003C3537">
      <w:pPr>
        <w:pStyle w:val="Heading4"/>
        <w:spacing w:before="240" w:after="120"/>
        <w:ind w:left="360"/>
      </w:pPr>
      <w:r w:rsidRPr="00CB7410">
        <w:t xml:space="preserve">Step </w:t>
      </w:r>
      <w:r>
        <w:t>F</w:t>
      </w:r>
      <w:r w:rsidRPr="00CB7410">
        <w:t xml:space="preserve"> – </w:t>
      </w:r>
      <w:r>
        <w:t>Agency</w:t>
      </w:r>
      <w:r w:rsidR="002F7A0C">
        <w:t xml:space="preserve"> B</w:t>
      </w:r>
      <w:r>
        <w:t xml:space="preserve"> recognises the increase in investment from Department B with the assets of Agency A</w:t>
      </w:r>
      <w:r w:rsidR="0010781C">
        <w:t>.</w:t>
      </w:r>
    </w:p>
    <w:tbl>
      <w:tblPr>
        <w:tblStyle w:val="DTFtexttable"/>
        <w:tblW w:w="7522" w:type="dxa"/>
        <w:tblInd w:w="864" w:type="dxa"/>
        <w:tblLayout w:type="fixed"/>
        <w:tblLook w:val="0620" w:firstRow="1" w:lastRow="0" w:firstColumn="0" w:lastColumn="0" w:noHBand="1" w:noVBand="1"/>
      </w:tblPr>
      <w:tblGrid>
        <w:gridCol w:w="5731"/>
        <w:gridCol w:w="1791"/>
      </w:tblGrid>
      <w:tr w:rsidR="00A90630"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A90630" w:rsidRDefault="00A90630" w:rsidP="003C3537">
            <w:pPr>
              <w:pStyle w:val="Tableheader"/>
              <w:rPr>
                <w:rFonts w:eastAsia="Arial Unicode MS"/>
              </w:rPr>
            </w:pPr>
            <w:r w:rsidRPr="00673D01">
              <w:t>A</w:t>
            </w:r>
            <w:r w:rsidR="003C3537">
              <w:t>gency B</w:t>
            </w:r>
            <w:r w:rsidR="002F7A0C">
              <w:t xml:space="preserve"> (with Agency A’s assets merged)</w:t>
            </w:r>
          </w:p>
        </w:tc>
      </w:tr>
      <w:tr w:rsidR="00A90630" w:rsidRPr="00731E39" w:rsidTr="003C3537">
        <w:tc>
          <w:tcPr>
            <w:tcW w:w="5731" w:type="dxa"/>
          </w:tcPr>
          <w:p w:rsidR="00A90630" w:rsidRPr="00731E39" w:rsidRDefault="00A90630" w:rsidP="003C3537">
            <w:pPr>
              <w:pStyle w:val="Tabletext"/>
              <w:rPr>
                <w:rFonts w:eastAsia="Arial Unicode MS"/>
              </w:rPr>
            </w:pPr>
            <w:r>
              <w:rPr>
                <w:rFonts w:eastAsia="Arial Unicode MS"/>
              </w:rPr>
              <w:t xml:space="preserve">DR </w:t>
            </w:r>
            <w:r w:rsidR="003C3537">
              <w:rPr>
                <w:rFonts w:eastAsia="Arial Unicode MS"/>
              </w:rPr>
              <w:t>Fixed assets</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r w:rsidR="00A90630" w:rsidRPr="00731E39" w:rsidTr="003C3537">
        <w:tc>
          <w:tcPr>
            <w:tcW w:w="5731" w:type="dxa"/>
          </w:tcPr>
          <w:p w:rsidR="00A90630" w:rsidRPr="00731E39" w:rsidRDefault="00A90630" w:rsidP="003C3537">
            <w:pPr>
              <w:pStyle w:val="Tabletext"/>
              <w:rPr>
                <w:rFonts w:eastAsia="Arial Unicode MS"/>
              </w:rPr>
            </w:pPr>
            <w:r>
              <w:rPr>
                <w:rFonts w:eastAsia="Arial Unicode MS"/>
              </w:rPr>
              <w:t xml:space="preserve">CR </w:t>
            </w:r>
            <w:r w:rsidR="003C3537" w:rsidRPr="00AC78FF">
              <w:rPr>
                <w:rFonts w:eastAsia="Arial Unicode MS"/>
              </w:rPr>
              <w:t xml:space="preserve">Equity </w:t>
            </w:r>
            <w:r w:rsidR="003C3537">
              <w:rPr>
                <w:rFonts w:eastAsia="Arial Unicode MS"/>
              </w:rPr>
              <w:t>t</w:t>
            </w:r>
            <w:r w:rsidR="003C3537" w:rsidRPr="00AC78FF">
              <w:rPr>
                <w:rFonts w:eastAsia="Arial Unicode MS"/>
              </w:rPr>
              <w:t xml:space="preserve">ransfers from </w:t>
            </w:r>
            <w:r w:rsidR="003C3537">
              <w:rPr>
                <w:rFonts w:eastAsia="Arial Unicode MS"/>
              </w:rPr>
              <w:t>o</w:t>
            </w:r>
            <w:r w:rsidR="003C3537" w:rsidRPr="00AC78FF">
              <w:rPr>
                <w:rFonts w:eastAsia="Arial Unicode MS"/>
              </w:rPr>
              <w:t xml:space="preserve">ther </w:t>
            </w:r>
            <w:r w:rsidR="003C3537">
              <w:rPr>
                <w:rFonts w:eastAsia="Arial Unicode MS"/>
              </w:rPr>
              <w:t>g</w:t>
            </w:r>
            <w:r w:rsidR="003C3537" w:rsidRPr="00AC78FF">
              <w:rPr>
                <w:rFonts w:eastAsia="Arial Unicode MS"/>
              </w:rPr>
              <w:t xml:space="preserve">overnment </w:t>
            </w:r>
            <w:r w:rsidR="003C3537">
              <w:rPr>
                <w:rFonts w:eastAsia="Arial Unicode MS"/>
              </w:rPr>
              <w:t>e</w:t>
            </w:r>
            <w:r w:rsidR="003C3537" w:rsidRPr="00AC78FF">
              <w:rPr>
                <w:rFonts w:eastAsia="Arial Unicode MS"/>
              </w:rPr>
              <w:t xml:space="preserve">ntities </w:t>
            </w:r>
            <w:r w:rsidR="00D14FC7">
              <w:rPr>
                <w:rFonts w:eastAsia="Arial Unicode MS"/>
              </w:rPr>
              <w:t>(Fixed a</w:t>
            </w:r>
            <w:r w:rsidRPr="009B36F1">
              <w:rPr>
                <w:rFonts w:eastAsia="Arial Unicode MS"/>
              </w:rPr>
              <w:t>ssets)</w:t>
            </w:r>
          </w:p>
        </w:tc>
        <w:tc>
          <w:tcPr>
            <w:tcW w:w="1791" w:type="dxa"/>
          </w:tcPr>
          <w:p w:rsidR="00A90630" w:rsidRPr="00731E39" w:rsidRDefault="00A90630" w:rsidP="003C3537">
            <w:pPr>
              <w:pStyle w:val="Tabletext"/>
              <w:jc w:val="right"/>
              <w:rPr>
                <w:rFonts w:eastAsia="Arial Unicode MS"/>
              </w:rPr>
            </w:pPr>
            <w:r>
              <w:rPr>
                <w:rFonts w:eastAsia="Arial Unicode MS"/>
              </w:rPr>
              <w:t>20</w:t>
            </w:r>
          </w:p>
        </w:tc>
      </w:tr>
    </w:tbl>
    <w:p w:rsidR="00A90630" w:rsidRDefault="00A90630" w:rsidP="00A90630">
      <w:pPr>
        <w:pStyle w:val="NormalIndent"/>
        <w:ind w:left="360"/>
      </w:pPr>
    </w:p>
    <w:p w:rsidR="003C3537" w:rsidRPr="001834DF" w:rsidRDefault="002F7A0C" w:rsidP="003C3537">
      <w:pPr>
        <w:pStyle w:val="Heading4"/>
      </w:pPr>
      <w:r>
        <w:t>Scenario 5</w:t>
      </w:r>
      <w:r w:rsidR="003C3537">
        <w:t xml:space="preserve"> – Agency transfers fixed assets back to its portfolio </w:t>
      </w:r>
      <w:r w:rsidR="007C6CCA">
        <w:t>d</w:t>
      </w:r>
      <w:r w:rsidR="003C3537">
        <w:t>epartment</w:t>
      </w:r>
    </w:p>
    <w:p w:rsidR="003C3537" w:rsidRPr="003C3537" w:rsidRDefault="003C3537" w:rsidP="00314B6A">
      <w:pPr>
        <w:pStyle w:val="NormalIndent"/>
        <w:ind w:left="360"/>
      </w:pPr>
      <w:r w:rsidRPr="00314B6A">
        <w:rPr>
          <w:b/>
        </w:rPr>
        <w:t>Example:</w:t>
      </w:r>
      <w:r w:rsidRPr="003C3537">
        <w:t xml:space="preserve"> </w:t>
      </w:r>
      <w:r w:rsidR="00910CAF">
        <w:t>A</w:t>
      </w:r>
      <w:r w:rsidR="004719E6">
        <w:t>n</w:t>
      </w:r>
      <w:r w:rsidRPr="003C3537">
        <w:t xml:space="preserve"> agency </w:t>
      </w:r>
      <w:r w:rsidR="004719E6">
        <w:t xml:space="preserve">(Agency A) </w:t>
      </w:r>
      <w:r w:rsidRPr="003C3537">
        <w:t xml:space="preserve">transfers </w:t>
      </w:r>
      <w:r w:rsidR="004719E6">
        <w:t>its fixed assets</w:t>
      </w:r>
      <w:r w:rsidRPr="003C3537">
        <w:t xml:space="preserve"> at a carrying amount of $10 back to its portfolio </w:t>
      </w:r>
      <w:r w:rsidR="007C6CCA">
        <w:t>d</w:t>
      </w:r>
      <w:r w:rsidRPr="003C3537">
        <w:t>epartment. The carrying value is the asset's value less accumulated depreciation for which depreciation has been expensed by the agency reducing the value of the asset</w:t>
      </w:r>
      <w:r w:rsidR="004719E6">
        <w:t>s</w:t>
      </w:r>
      <w:r w:rsidRPr="003C3537">
        <w:t xml:space="preserve"> to </w:t>
      </w:r>
      <w:r w:rsidR="004719E6">
        <w:t xml:space="preserve">their </w:t>
      </w:r>
      <w:r w:rsidRPr="003C3537">
        <w:t xml:space="preserve">carrying value. </w:t>
      </w:r>
      <w:r w:rsidR="00E213BF">
        <w:t>It is a</w:t>
      </w:r>
      <w:r w:rsidRPr="003C3537">
        <w:t xml:space="preserve">ssumed </w:t>
      </w:r>
      <w:r w:rsidR="00E213BF">
        <w:t xml:space="preserve">that </w:t>
      </w:r>
      <w:r w:rsidRPr="003C3537">
        <w:t>there are no revaluations impacting on the carrying value.</w:t>
      </w:r>
    </w:p>
    <w:p w:rsidR="003C3537" w:rsidRDefault="003C3537" w:rsidP="00314B6A">
      <w:pPr>
        <w:pStyle w:val="Heading4"/>
        <w:spacing w:before="240" w:after="120"/>
        <w:ind w:left="360"/>
      </w:pPr>
      <w:r>
        <w:t xml:space="preserve">Step A – Agency A </w:t>
      </w:r>
      <w:r w:rsidR="004719E6">
        <w:t xml:space="preserve">transfers its assets back to its portfolio </w:t>
      </w:r>
      <w:r w:rsidR="007C6CCA">
        <w:t>d</w:t>
      </w:r>
      <w:r w:rsidR="004719E6">
        <w:t>epartment.</w:t>
      </w:r>
    </w:p>
    <w:p w:rsidR="003C3537" w:rsidRDefault="003C3537" w:rsidP="003C3537">
      <w:pPr>
        <w:pStyle w:val="Spacer"/>
      </w:pPr>
    </w:p>
    <w:tbl>
      <w:tblPr>
        <w:tblStyle w:val="DTFtexttable"/>
        <w:tblW w:w="7522" w:type="dxa"/>
        <w:tblInd w:w="864" w:type="dxa"/>
        <w:tblLayout w:type="fixed"/>
        <w:tblLook w:val="0620" w:firstRow="1" w:lastRow="0" w:firstColumn="0" w:lastColumn="0" w:noHBand="1" w:noVBand="1"/>
      </w:tblPr>
      <w:tblGrid>
        <w:gridCol w:w="5731"/>
        <w:gridCol w:w="1791"/>
      </w:tblGrid>
      <w:tr w:rsidR="003C3537"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3C3537" w:rsidRDefault="003C3537" w:rsidP="004719E6">
            <w:pPr>
              <w:pStyle w:val="Tableheader"/>
              <w:rPr>
                <w:rFonts w:eastAsia="Arial Unicode MS"/>
              </w:rPr>
            </w:pPr>
            <w:r w:rsidRPr="00673D01">
              <w:t>A</w:t>
            </w:r>
            <w:r w:rsidR="004719E6">
              <w:t>gency A</w:t>
            </w:r>
          </w:p>
        </w:tc>
      </w:tr>
      <w:tr w:rsidR="003C3537" w:rsidRPr="00731E39" w:rsidTr="003C3537">
        <w:tc>
          <w:tcPr>
            <w:tcW w:w="5731" w:type="dxa"/>
          </w:tcPr>
          <w:p w:rsidR="003C3537" w:rsidRPr="00731E39" w:rsidRDefault="003C3537" w:rsidP="003C3537">
            <w:pPr>
              <w:pStyle w:val="Tabletext"/>
              <w:rPr>
                <w:rFonts w:eastAsia="Arial Unicode MS"/>
              </w:rPr>
            </w:pPr>
            <w:r>
              <w:rPr>
                <w:rFonts w:eastAsia="Arial Unicode MS"/>
              </w:rPr>
              <w:t>DR Accumulated depreciation</w:t>
            </w:r>
          </w:p>
        </w:tc>
        <w:tc>
          <w:tcPr>
            <w:tcW w:w="1791" w:type="dxa"/>
          </w:tcPr>
          <w:p w:rsidR="003C3537" w:rsidRPr="00731E39" w:rsidRDefault="003C3537" w:rsidP="003C3537">
            <w:pPr>
              <w:pStyle w:val="Tabletext"/>
              <w:jc w:val="right"/>
              <w:rPr>
                <w:rFonts w:eastAsia="Arial Unicode MS"/>
              </w:rPr>
            </w:pPr>
            <w:r>
              <w:rPr>
                <w:rFonts w:eastAsia="Arial Unicode MS"/>
              </w:rPr>
              <w:t>10</w:t>
            </w:r>
          </w:p>
        </w:tc>
      </w:tr>
      <w:tr w:rsidR="003C3537" w:rsidRPr="00731E39" w:rsidTr="003C3537">
        <w:tc>
          <w:tcPr>
            <w:tcW w:w="5731" w:type="dxa"/>
          </w:tcPr>
          <w:p w:rsidR="003C3537" w:rsidRDefault="003C3537" w:rsidP="004719E6">
            <w:pPr>
              <w:pStyle w:val="Tabletext"/>
              <w:rPr>
                <w:rFonts w:eastAsia="Arial Unicode MS"/>
              </w:rPr>
            </w:pPr>
            <w:r>
              <w:rPr>
                <w:rFonts w:eastAsia="Arial Unicode MS"/>
              </w:rPr>
              <w:t xml:space="preserve">DR </w:t>
            </w:r>
            <w:r w:rsidRPr="00C5005A">
              <w:rPr>
                <w:rFonts w:eastAsia="Arial Unicode MS"/>
              </w:rPr>
              <w:t xml:space="preserve">Equity </w:t>
            </w:r>
            <w:r w:rsidR="004719E6">
              <w:rPr>
                <w:rFonts w:eastAsia="Arial Unicode MS"/>
              </w:rPr>
              <w:t>t</w:t>
            </w:r>
            <w:r w:rsidRPr="00C5005A">
              <w:rPr>
                <w:rFonts w:eastAsia="Arial Unicode MS"/>
              </w:rPr>
              <w:t xml:space="preserve">ransfers to </w:t>
            </w:r>
            <w:r w:rsidR="004719E6">
              <w:rPr>
                <w:rFonts w:eastAsia="Arial Unicode MS"/>
              </w:rPr>
              <w:t>o</w:t>
            </w:r>
            <w:r w:rsidRPr="00C5005A">
              <w:rPr>
                <w:rFonts w:eastAsia="Arial Unicode MS"/>
              </w:rPr>
              <w:t xml:space="preserve">ther </w:t>
            </w:r>
            <w:r w:rsidR="004719E6">
              <w:rPr>
                <w:rFonts w:eastAsia="Arial Unicode MS"/>
              </w:rPr>
              <w:t>g</w:t>
            </w:r>
            <w:r w:rsidRPr="00C5005A">
              <w:rPr>
                <w:rFonts w:eastAsia="Arial Unicode MS"/>
              </w:rPr>
              <w:t xml:space="preserve">overnment </w:t>
            </w:r>
            <w:r w:rsidR="004719E6">
              <w:rPr>
                <w:rFonts w:eastAsia="Arial Unicode MS"/>
              </w:rPr>
              <w:t>e</w:t>
            </w:r>
            <w:r w:rsidRPr="00C5005A">
              <w:rPr>
                <w:rFonts w:eastAsia="Arial Unicode MS"/>
              </w:rPr>
              <w:t>ntities (</w:t>
            </w:r>
            <w:r w:rsidR="00D60E06">
              <w:rPr>
                <w:rFonts w:eastAsia="Arial Unicode MS"/>
              </w:rPr>
              <w:t>Fixed a</w:t>
            </w:r>
            <w:r w:rsidRPr="00C5005A">
              <w:rPr>
                <w:rFonts w:eastAsia="Arial Unicode MS"/>
              </w:rPr>
              <w:t>ssets)</w:t>
            </w:r>
          </w:p>
        </w:tc>
        <w:tc>
          <w:tcPr>
            <w:tcW w:w="1791" w:type="dxa"/>
          </w:tcPr>
          <w:p w:rsidR="003C3537" w:rsidRDefault="003C3537" w:rsidP="003C3537">
            <w:pPr>
              <w:pStyle w:val="Tabletext"/>
              <w:jc w:val="right"/>
              <w:rPr>
                <w:rFonts w:eastAsia="Arial Unicode MS"/>
              </w:rPr>
            </w:pPr>
            <w:r>
              <w:rPr>
                <w:rFonts w:eastAsia="Arial Unicode MS"/>
              </w:rPr>
              <w:t>10</w:t>
            </w:r>
          </w:p>
        </w:tc>
      </w:tr>
      <w:tr w:rsidR="003C3537" w:rsidRPr="00731E39" w:rsidTr="003C3537">
        <w:tc>
          <w:tcPr>
            <w:tcW w:w="5731" w:type="dxa"/>
          </w:tcPr>
          <w:p w:rsidR="003C3537" w:rsidRPr="00731E39" w:rsidRDefault="003C3537" w:rsidP="004719E6">
            <w:pPr>
              <w:pStyle w:val="Tabletext"/>
              <w:rPr>
                <w:rFonts w:eastAsia="Arial Unicode MS"/>
              </w:rPr>
            </w:pPr>
            <w:r>
              <w:rPr>
                <w:rFonts w:eastAsia="Arial Unicode MS"/>
              </w:rPr>
              <w:t xml:space="preserve">CR </w:t>
            </w:r>
            <w:r w:rsidR="004719E6">
              <w:rPr>
                <w:rFonts w:eastAsia="Arial Unicode MS"/>
              </w:rPr>
              <w:t>Fixed assets</w:t>
            </w:r>
          </w:p>
        </w:tc>
        <w:tc>
          <w:tcPr>
            <w:tcW w:w="1791" w:type="dxa"/>
          </w:tcPr>
          <w:p w:rsidR="003C3537" w:rsidRPr="00731E39" w:rsidRDefault="003C3537" w:rsidP="003C3537">
            <w:pPr>
              <w:pStyle w:val="Tabletext"/>
              <w:jc w:val="right"/>
              <w:rPr>
                <w:rFonts w:eastAsia="Arial Unicode MS"/>
              </w:rPr>
            </w:pPr>
            <w:r>
              <w:rPr>
                <w:rFonts w:eastAsia="Arial Unicode MS"/>
              </w:rPr>
              <w:t>20</w:t>
            </w:r>
          </w:p>
        </w:tc>
      </w:tr>
    </w:tbl>
    <w:p w:rsidR="003C3537" w:rsidRPr="004719E6" w:rsidRDefault="003C3537" w:rsidP="00314B6A">
      <w:pPr>
        <w:pStyle w:val="Heading4"/>
        <w:spacing w:before="240" w:after="120"/>
        <w:ind w:left="360"/>
      </w:pPr>
      <w:r w:rsidRPr="004719E6">
        <w:t>Step B – Department</w:t>
      </w:r>
      <w:r w:rsidR="004719E6">
        <w:t xml:space="preserve"> recognises the assets from Agency A in its administered entity and de-recognises the equity investment in Agency A.</w:t>
      </w:r>
    </w:p>
    <w:tbl>
      <w:tblPr>
        <w:tblStyle w:val="DTFtexttable"/>
        <w:tblW w:w="7522" w:type="dxa"/>
        <w:tblInd w:w="864" w:type="dxa"/>
        <w:tblLayout w:type="fixed"/>
        <w:tblLook w:val="0620" w:firstRow="1" w:lastRow="0" w:firstColumn="0" w:lastColumn="0" w:noHBand="1" w:noVBand="1"/>
      </w:tblPr>
      <w:tblGrid>
        <w:gridCol w:w="5731"/>
        <w:gridCol w:w="1791"/>
      </w:tblGrid>
      <w:tr w:rsidR="003C3537"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3C3537" w:rsidRDefault="003C3537" w:rsidP="003C3537">
            <w:pPr>
              <w:pStyle w:val="Tableheader"/>
              <w:rPr>
                <w:rFonts w:eastAsia="Arial Unicode MS"/>
              </w:rPr>
            </w:pPr>
            <w:r>
              <w:t>Department A – Administered</w:t>
            </w:r>
          </w:p>
        </w:tc>
      </w:tr>
      <w:tr w:rsidR="003C3537" w:rsidRPr="00731E39" w:rsidTr="003C3537">
        <w:tc>
          <w:tcPr>
            <w:tcW w:w="7522" w:type="dxa"/>
            <w:gridSpan w:val="2"/>
            <w:shd w:val="clear" w:color="auto" w:fill="D9D9D9" w:themeFill="background1" w:themeFillShade="D9"/>
          </w:tcPr>
          <w:p w:rsidR="003C3537" w:rsidRDefault="003C3537" w:rsidP="004719E6">
            <w:pPr>
              <w:pStyle w:val="Tabletext"/>
              <w:rPr>
                <w:rFonts w:eastAsia="Arial Unicode MS"/>
              </w:rPr>
            </w:pPr>
            <w:r w:rsidRPr="00C5005A">
              <w:rPr>
                <w:rFonts w:eastAsia="Arial Unicode MS"/>
                <w:szCs w:val="17"/>
              </w:rPr>
              <w:t xml:space="preserve">Transfer </w:t>
            </w:r>
            <w:r w:rsidR="004719E6">
              <w:rPr>
                <w:rFonts w:eastAsia="Arial Unicode MS"/>
                <w:szCs w:val="17"/>
              </w:rPr>
              <w:t xml:space="preserve">of </w:t>
            </w:r>
            <w:r w:rsidRPr="00C5005A">
              <w:rPr>
                <w:rFonts w:eastAsia="Arial Unicode MS"/>
                <w:szCs w:val="17"/>
              </w:rPr>
              <w:t>carrying value of asset</w:t>
            </w:r>
            <w:r w:rsidR="004719E6">
              <w:rPr>
                <w:rFonts w:eastAsia="Arial Unicode MS"/>
                <w:szCs w:val="17"/>
              </w:rPr>
              <w:t>s</w:t>
            </w:r>
            <w:r w:rsidRPr="00C5005A">
              <w:rPr>
                <w:rFonts w:eastAsia="Arial Unicode MS"/>
                <w:szCs w:val="17"/>
              </w:rPr>
              <w:t xml:space="preserve"> back to </w:t>
            </w:r>
            <w:r w:rsidR="007C6CCA">
              <w:rPr>
                <w:rFonts w:eastAsia="Arial Unicode MS"/>
                <w:szCs w:val="17"/>
              </w:rPr>
              <w:t>d</w:t>
            </w:r>
            <w:r w:rsidRPr="00C5005A">
              <w:rPr>
                <w:rFonts w:eastAsia="Arial Unicode MS"/>
                <w:szCs w:val="17"/>
              </w:rPr>
              <w:t xml:space="preserve">epartmental </w:t>
            </w:r>
            <w:r w:rsidR="004719E6">
              <w:rPr>
                <w:rFonts w:eastAsia="Arial Unicode MS"/>
                <w:szCs w:val="17"/>
              </w:rPr>
              <w:t>a</w:t>
            </w:r>
            <w:r w:rsidRPr="00C5005A">
              <w:rPr>
                <w:rFonts w:eastAsia="Arial Unicode MS"/>
                <w:szCs w:val="17"/>
              </w:rPr>
              <w:t>dministered entity</w:t>
            </w:r>
          </w:p>
        </w:tc>
      </w:tr>
      <w:tr w:rsidR="003C3537" w:rsidRPr="00731E39" w:rsidTr="003C3537">
        <w:tc>
          <w:tcPr>
            <w:tcW w:w="5731" w:type="dxa"/>
          </w:tcPr>
          <w:p w:rsidR="003C3537" w:rsidRPr="00731E39" w:rsidRDefault="003C3537" w:rsidP="004719E6">
            <w:pPr>
              <w:pStyle w:val="Tabletext"/>
              <w:rPr>
                <w:rFonts w:eastAsia="Arial Unicode MS"/>
              </w:rPr>
            </w:pPr>
            <w:r>
              <w:rPr>
                <w:rFonts w:eastAsia="Arial Unicode MS"/>
              </w:rPr>
              <w:t xml:space="preserve">DR </w:t>
            </w:r>
            <w:r w:rsidRPr="00C91080">
              <w:rPr>
                <w:rFonts w:eastAsia="Arial Unicode MS"/>
              </w:rPr>
              <w:t xml:space="preserve">Fixed </w:t>
            </w:r>
            <w:r w:rsidR="004719E6">
              <w:rPr>
                <w:rFonts w:eastAsia="Arial Unicode MS"/>
              </w:rPr>
              <w:t>a</w:t>
            </w:r>
            <w:r w:rsidRPr="00C91080">
              <w:rPr>
                <w:rFonts w:eastAsia="Arial Unicode MS"/>
              </w:rPr>
              <w:t>sset</w:t>
            </w:r>
            <w:r w:rsidR="004719E6">
              <w:rPr>
                <w:rFonts w:eastAsia="Arial Unicode MS"/>
              </w:rPr>
              <w:t>s</w:t>
            </w:r>
          </w:p>
        </w:tc>
        <w:tc>
          <w:tcPr>
            <w:tcW w:w="1791" w:type="dxa"/>
          </w:tcPr>
          <w:p w:rsidR="003C3537" w:rsidRPr="00731E39" w:rsidRDefault="003C3537" w:rsidP="003C3537">
            <w:pPr>
              <w:pStyle w:val="Tabletext"/>
              <w:jc w:val="right"/>
              <w:rPr>
                <w:rFonts w:eastAsia="Arial Unicode MS"/>
              </w:rPr>
            </w:pPr>
            <w:r>
              <w:rPr>
                <w:rFonts w:eastAsia="Arial Unicode MS"/>
              </w:rPr>
              <w:t>10</w:t>
            </w:r>
          </w:p>
        </w:tc>
      </w:tr>
      <w:tr w:rsidR="003C3537" w:rsidRPr="00731E39" w:rsidTr="003C3537">
        <w:tc>
          <w:tcPr>
            <w:tcW w:w="5731" w:type="dxa"/>
          </w:tcPr>
          <w:p w:rsidR="003C3537" w:rsidRPr="00731E39" w:rsidRDefault="003C3537" w:rsidP="004719E6">
            <w:pPr>
              <w:pStyle w:val="Tabletext"/>
              <w:rPr>
                <w:rFonts w:eastAsia="Arial Unicode MS"/>
              </w:rPr>
            </w:pPr>
            <w:r>
              <w:rPr>
                <w:rFonts w:eastAsia="Arial Unicode MS"/>
              </w:rPr>
              <w:t xml:space="preserve">CR </w:t>
            </w:r>
            <w:r w:rsidRPr="00AC78FF">
              <w:rPr>
                <w:rFonts w:eastAsia="Arial Unicode MS"/>
              </w:rPr>
              <w:t xml:space="preserve">Equity </w:t>
            </w:r>
            <w:r w:rsidR="004719E6">
              <w:rPr>
                <w:rFonts w:eastAsia="Arial Unicode MS"/>
              </w:rPr>
              <w:t>t</w:t>
            </w:r>
            <w:r w:rsidRPr="00AC78FF">
              <w:rPr>
                <w:rFonts w:eastAsia="Arial Unicode MS"/>
              </w:rPr>
              <w:t xml:space="preserve">ransfers from </w:t>
            </w:r>
            <w:r w:rsidR="004719E6">
              <w:rPr>
                <w:rFonts w:eastAsia="Arial Unicode MS"/>
              </w:rPr>
              <w:t>o</w:t>
            </w:r>
            <w:r w:rsidRPr="00AC78FF">
              <w:rPr>
                <w:rFonts w:eastAsia="Arial Unicode MS"/>
              </w:rPr>
              <w:t xml:space="preserve">ther </w:t>
            </w:r>
            <w:r w:rsidR="004719E6">
              <w:rPr>
                <w:rFonts w:eastAsia="Arial Unicode MS"/>
              </w:rPr>
              <w:t>g</w:t>
            </w:r>
            <w:r w:rsidRPr="00AC78FF">
              <w:rPr>
                <w:rFonts w:eastAsia="Arial Unicode MS"/>
              </w:rPr>
              <w:t xml:space="preserve">overnment </w:t>
            </w:r>
            <w:r w:rsidR="004719E6">
              <w:rPr>
                <w:rFonts w:eastAsia="Arial Unicode MS"/>
              </w:rPr>
              <w:t>e</w:t>
            </w:r>
            <w:r w:rsidRPr="00AC78FF">
              <w:rPr>
                <w:rFonts w:eastAsia="Arial Unicode MS"/>
              </w:rPr>
              <w:t>ntities (</w:t>
            </w:r>
            <w:r>
              <w:rPr>
                <w:rFonts w:eastAsia="Arial Unicode MS"/>
              </w:rPr>
              <w:t>Fixed</w:t>
            </w:r>
            <w:r w:rsidR="00D60E06">
              <w:rPr>
                <w:rFonts w:eastAsia="Arial Unicode MS"/>
              </w:rPr>
              <w:t xml:space="preserve"> a</w:t>
            </w:r>
            <w:r w:rsidRPr="00AC78FF">
              <w:rPr>
                <w:rFonts w:eastAsia="Arial Unicode MS"/>
              </w:rPr>
              <w:t>ssets)</w:t>
            </w:r>
          </w:p>
        </w:tc>
        <w:tc>
          <w:tcPr>
            <w:tcW w:w="1791" w:type="dxa"/>
          </w:tcPr>
          <w:p w:rsidR="003C3537" w:rsidRPr="00731E39" w:rsidRDefault="003C3537" w:rsidP="003C3537">
            <w:pPr>
              <w:pStyle w:val="Tabletext"/>
              <w:jc w:val="right"/>
              <w:rPr>
                <w:rFonts w:eastAsia="Arial Unicode MS"/>
              </w:rPr>
            </w:pPr>
            <w:r>
              <w:rPr>
                <w:rFonts w:eastAsia="Arial Unicode MS"/>
              </w:rPr>
              <w:t>10</w:t>
            </w:r>
          </w:p>
        </w:tc>
      </w:tr>
      <w:tr w:rsidR="003C3537" w:rsidRPr="00731E39" w:rsidTr="003C3537">
        <w:tc>
          <w:tcPr>
            <w:tcW w:w="7522" w:type="dxa"/>
            <w:gridSpan w:val="2"/>
            <w:shd w:val="clear" w:color="auto" w:fill="D9D9D9" w:themeFill="background1" w:themeFillShade="D9"/>
          </w:tcPr>
          <w:p w:rsidR="003C3537" w:rsidRDefault="003C3537" w:rsidP="004719E6">
            <w:pPr>
              <w:pStyle w:val="Tabletext"/>
              <w:rPr>
                <w:rFonts w:eastAsia="Arial Unicode MS"/>
              </w:rPr>
            </w:pPr>
            <w:r w:rsidRPr="00C5005A">
              <w:rPr>
                <w:rFonts w:eastAsia="Arial Unicode MS"/>
              </w:rPr>
              <w:t xml:space="preserve">Transfer </w:t>
            </w:r>
            <w:r w:rsidR="004719E6">
              <w:rPr>
                <w:rFonts w:eastAsia="Arial Unicode MS"/>
              </w:rPr>
              <w:t xml:space="preserve">of </w:t>
            </w:r>
            <w:r w:rsidRPr="00C5005A">
              <w:rPr>
                <w:rFonts w:eastAsia="Arial Unicode MS"/>
              </w:rPr>
              <w:t>carrying value of asset</w:t>
            </w:r>
            <w:r w:rsidR="004719E6">
              <w:rPr>
                <w:rFonts w:eastAsia="Arial Unicode MS"/>
              </w:rPr>
              <w:t xml:space="preserve">s from </w:t>
            </w:r>
            <w:r w:rsidR="007C6CCA">
              <w:rPr>
                <w:rFonts w:eastAsia="Arial Unicode MS"/>
              </w:rPr>
              <w:t>d</w:t>
            </w:r>
            <w:r w:rsidR="004719E6">
              <w:rPr>
                <w:rFonts w:eastAsia="Arial Unicode MS"/>
              </w:rPr>
              <w:t>epartment’s a</w:t>
            </w:r>
            <w:r w:rsidRPr="00C5005A">
              <w:rPr>
                <w:rFonts w:eastAsia="Arial Unicode MS"/>
              </w:rPr>
              <w:t xml:space="preserve">dministered entity to </w:t>
            </w:r>
            <w:r w:rsidR="004719E6">
              <w:rPr>
                <w:rFonts w:eastAsia="Arial Unicode MS"/>
              </w:rPr>
              <w:t>its c</w:t>
            </w:r>
            <w:r w:rsidRPr="00C5005A">
              <w:rPr>
                <w:rFonts w:eastAsia="Arial Unicode MS"/>
              </w:rPr>
              <w:t>ontrolled entity</w:t>
            </w:r>
          </w:p>
        </w:tc>
      </w:tr>
      <w:tr w:rsidR="003C3537" w:rsidRPr="00731E39" w:rsidTr="003C3537">
        <w:tc>
          <w:tcPr>
            <w:tcW w:w="5731" w:type="dxa"/>
          </w:tcPr>
          <w:p w:rsidR="003C3537" w:rsidRPr="00731E39" w:rsidRDefault="003C3537" w:rsidP="004719E6">
            <w:pPr>
              <w:pStyle w:val="Tabletext"/>
              <w:rPr>
                <w:rFonts w:eastAsia="Arial Unicode MS"/>
              </w:rPr>
            </w:pPr>
            <w:r>
              <w:rPr>
                <w:rFonts w:eastAsia="Arial Unicode MS"/>
              </w:rPr>
              <w:t xml:space="preserve">DR </w:t>
            </w:r>
            <w:r w:rsidR="004719E6" w:rsidRPr="00AC78FF">
              <w:rPr>
                <w:rFonts w:eastAsia="Arial Unicode MS"/>
              </w:rPr>
              <w:t xml:space="preserve">Equity </w:t>
            </w:r>
            <w:r w:rsidR="004719E6">
              <w:rPr>
                <w:rFonts w:eastAsia="Arial Unicode MS"/>
              </w:rPr>
              <w:t>t</w:t>
            </w:r>
            <w:r w:rsidR="004719E6" w:rsidRPr="00AC78FF">
              <w:rPr>
                <w:rFonts w:eastAsia="Arial Unicode MS"/>
              </w:rPr>
              <w:t xml:space="preserve">ransfers </w:t>
            </w:r>
            <w:r w:rsidR="004719E6">
              <w:rPr>
                <w:rFonts w:eastAsia="Arial Unicode MS"/>
              </w:rPr>
              <w:t>to</w:t>
            </w:r>
            <w:r w:rsidR="004719E6" w:rsidRPr="00AC78FF">
              <w:rPr>
                <w:rFonts w:eastAsia="Arial Unicode MS"/>
              </w:rPr>
              <w:t xml:space="preserve"> </w:t>
            </w:r>
            <w:r w:rsidR="004719E6">
              <w:rPr>
                <w:rFonts w:eastAsia="Arial Unicode MS"/>
              </w:rPr>
              <w:t>o</w:t>
            </w:r>
            <w:r w:rsidR="004719E6" w:rsidRPr="00AC78FF">
              <w:rPr>
                <w:rFonts w:eastAsia="Arial Unicode MS"/>
              </w:rPr>
              <w:t xml:space="preserve">ther </w:t>
            </w:r>
            <w:r w:rsidR="004719E6">
              <w:rPr>
                <w:rFonts w:eastAsia="Arial Unicode MS"/>
              </w:rPr>
              <w:t>g</w:t>
            </w:r>
            <w:r w:rsidR="004719E6" w:rsidRPr="00AC78FF">
              <w:rPr>
                <w:rFonts w:eastAsia="Arial Unicode MS"/>
              </w:rPr>
              <w:t xml:space="preserve">overnment </w:t>
            </w:r>
            <w:r w:rsidR="004719E6">
              <w:rPr>
                <w:rFonts w:eastAsia="Arial Unicode MS"/>
              </w:rPr>
              <w:t>e</w:t>
            </w:r>
            <w:r w:rsidR="004719E6" w:rsidRPr="00AC78FF">
              <w:rPr>
                <w:rFonts w:eastAsia="Arial Unicode MS"/>
              </w:rPr>
              <w:t xml:space="preserve">ntities </w:t>
            </w:r>
            <w:r w:rsidRPr="00AC78FF">
              <w:rPr>
                <w:rFonts w:eastAsia="Arial Unicode MS"/>
              </w:rPr>
              <w:t>(</w:t>
            </w:r>
            <w:r>
              <w:rPr>
                <w:rFonts w:eastAsia="Arial Unicode MS"/>
              </w:rPr>
              <w:t>Fixed</w:t>
            </w:r>
            <w:r w:rsidR="00D60E06">
              <w:rPr>
                <w:rFonts w:eastAsia="Arial Unicode MS"/>
              </w:rPr>
              <w:t xml:space="preserve"> a</w:t>
            </w:r>
            <w:r w:rsidRPr="00AC78FF">
              <w:rPr>
                <w:rFonts w:eastAsia="Arial Unicode MS"/>
              </w:rPr>
              <w:t>ssets)</w:t>
            </w:r>
          </w:p>
        </w:tc>
        <w:tc>
          <w:tcPr>
            <w:tcW w:w="1791" w:type="dxa"/>
          </w:tcPr>
          <w:p w:rsidR="003C3537" w:rsidRPr="00731E39" w:rsidRDefault="003C3537" w:rsidP="003C3537">
            <w:pPr>
              <w:pStyle w:val="Tabletext"/>
              <w:jc w:val="right"/>
              <w:rPr>
                <w:rFonts w:eastAsia="Arial Unicode MS"/>
              </w:rPr>
            </w:pPr>
            <w:r>
              <w:rPr>
                <w:rFonts w:eastAsia="Arial Unicode MS"/>
              </w:rPr>
              <w:t>1</w:t>
            </w:r>
            <w:r w:rsidRPr="00731E39">
              <w:rPr>
                <w:rFonts w:eastAsia="Arial Unicode MS"/>
              </w:rPr>
              <w:t>0</w:t>
            </w:r>
          </w:p>
        </w:tc>
      </w:tr>
      <w:tr w:rsidR="003C3537" w:rsidRPr="00731E39" w:rsidTr="003C3537">
        <w:tc>
          <w:tcPr>
            <w:tcW w:w="5731" w:type="dxa"/>
          </w:tcPr>
          <w:p w:rsidR="003C3537" w:rsidRPr="00731E39" w:rsidRDefault="003C3537" w:rsidP="003C3537">
            <w:pPr>
              <w:pStyle w:val="Tabletext"/>
              <w:rPr>
                <w:rFonts w:eastAsia="Arial Unicode MS"/>
              </w:rPr>
            </w:pPr>
            <w:r>
              <w:rPr>
                <w:rFonts w:eastAsia="Arial Unicode MS"/>
              </w:rPr>
              <w:t xml:space="preserve">CR </w:t>
            </w:r>
            <w:r w:rsidR="004719E6" w:rsidRPr="00C91080">
              <w:rPr>
                <w:rFonts w:eastAsia="Arial Unicode MS"/>
              </w:rPr>
              <w:t xml:space="preserve">Fixed </w:t>
            </w:r>
            <w:r w:rsidR="004719E6">
              <w:rPr>
                <w:rFonts w:eastAsia="Arial Unicode MS"/>
              </w:rPr>
              <w:t>a</w:t>
            </w:r>
            <w:r w:rsidR="004719E6" w:rsidRPr="00C91080">
              <w:rPr>
                <w:rFonts w:eastAsia="Arial Unicode MS"/>
              </w:rPr>
              <w:t>sset</w:t>
            </w:r>
            <w:r w:rsidR="004719E6">
              <w:rPr>
                <w:rFonts w:eastAsia="Arial Unicode MS"/>
              </w:rPr>
              <w:t>s</w:t>
            </w:r>
          </w:p>
        </w:tc>
        <w:tc>
          <w:tcPr>
            <w:tcW w:w="1791" w:type="dxa"/>
          </w:tcPr>
          <w:p w:rsidR="003C3537" w:rsidRPr="00731E39" w:rsidRDefault="003C3537" w:rsidP="003C3537">
            <w:pPr>
              <w:pStyle w:val="Tabletext"/>
              <w:jc w:val="right"/>
              <w:rPr>
                <w:rFonts w:eastAsia="Arial Unicode MS"/>
              </w:rPr>
            </w:pPr>
            <w:r>
              <w:rPr>
                <w:rFonts w:eastAsia="Arial Unicode MS"/>
              </w:rPr>
              <w:t>1</w:t>
            </w:r>
            <w:r w:rsidRPr="00731E39">
              <w:rPr>
                <w:rFonts w:eastAsia="Arial Unicode MS"/>
              </w:rPr>
              <w:t>0</w:t>
            </w:r>
          </w:p>
        </w:tc>
      </w:tr>
      <w:tr w:rsidR="003C3537" w:rsidRPr="00731E39" w:rsidTr="003C3537">
        <w:tc>
          <w:tcPr>
            <w:tcW w:w="7522" w:type="dxa"/>
            <w:gridSpan w:val="2"/>
            <w:shd w:val="clear" w:color="auto" w:fill="D9D9D9" w:themeFill="background1" w:themeFillShade="D9"/>
          </w:tcPr>
          <w:p w:rsidR="003C3537" w:rsidRDefault="004719E6" w:rsidP="004719E6">
            <w:pPr>
              <w:pStyle w:val="Tabletext"/>
              <w:rPr>
                <w:rFonts w:eastAsia="Arial Unicode MS"/>
              </w:rPr>
            </w:pPr>
            <w:r>
              <w:rPr>
                <w:rFonts w:eastAsia="Arial Unicode MS"/>
              </w:rPr>
              <w:t>Removal of</w:t>
            </w:r>
            <w:r w:rsidR="003C3537" w:rsidRPr="00C5005A">
              <w:rPr>
                <w:rFonts w:eastAsia="Arial Unicode MS"/>
              </w:rPr>
              <w:t xml:space="preserve"> investment in </w:t>
            </w:r>
            <w:r>
              <w:rPr>
                <w:rFonts w:eastAsia="Arial Unicode MS"/>
              </w:rPr>
              <w:t>the agency</w:t>
            </w:r>
            <w:r w:rsidR="003C3537" w:rsidRPr="00C5005A">
              <w:rPr>
                <w:rFonts w:eastAsia="Arial Unicode MS"/>
              </w:rPr>
              <w:t xml:space="preserve"> reflected in the </w:t>
            </w:r>
            <w:r w:rsidR="007C6CCA">
              <w:rPr>
                <w:rFonts w:eastAsia="Arial Unicode MS"/>
              </w:rPr>
              <w:t>d</w:t>
            </w:r>
            <w:r>
              <w:rPr>
                <w:rFonts w:eastAsia="Arial Unicode MS"/>
              </w:rPr>
              <w:t>epartment’s</w:t>
            </w:r>
            <w:r w:rsidR="003C3537">
              <w:rPr>
                <w:rFonts w:eastAsia="Arial Unicode MS"/>
              </w:rPr>
              <w:t xml:space="preserve"> </w:t>
            </w:r>
            <w:r>
              <w:rPr>
                <w:rFonts w:eastAsia="Arial Unicode MS"/>
              </w:rPr>
              <w:t>a</w:t>
            </w:r>
            <w:r w:rsidR="003C3537">
              <w:rPr>
                <w:rFonts w:eastAsia="Arial Unicode MS"/>
              </w:rPr>
              <w:t>dministered entity</w:t>
            </w:r>
          </w:p>
        </w:tc>
      </w:tr>
      <w:tr w:rsidR="003C3537" w:rsidRPr="00731E39" w:rsidTr="003C3537">
        <w:tc>
          <w:tcPr>
            <w:tcW w:w="5731" w:type="dxa"/>
          </w:tcPr>
          <w:p w:rsidR="003C3537" w:rsidRPr="00731E39" w:rsidRDefault="003C3537" w:rsidP="003C3537">
            <w:pPr>
              <w:pStyle w:val="Tabletext"/>
              <w:rPr>
                <w:rFonts w:eastAsia="Arial Unicode MS"/>
              </w:rPr>
            </w:pPr>
            <w:r>
              <w:rPr>
                <w:rFonts w:eastAsia="Arial Unicode MS"/>
              </w:rPr>
              <w:t xml:space="preserve">DR </w:t>
            </w:r>
            <w:r w:rsidR="004719E6" w:rsidRPr="00AC78FF">
              <w:rPr>
                <w:rFonts w:eastAsia="Arial Unicode MS"/>
              </w:rPr>
              <w:t xml:space="preserve">Equity </w:t>
            </w:r>
            <w:r w:rsidR="004719E6">
              <w:rPr>
                <w:rFonts w:eastAsia="Arial Unicode MS"/>
              </w:rPr>
              <w:t>t</w:t>
            </w:r>
            <w:r w:rsidR="004719E6" w:rsidRPr="00AC78FF">
              <w:rPr>
                <w:rFonts w:eastAsia="Arial Unicode MS"/>
              </w:rPr>
              <w:t xml:space="preserve">ransfers </w:t>
            </w:r>
            <w:r w:rsidR="004719E6">
              <w:rPr>
                <w:rFonts w:eastAsia="Arial Unicode MS"/>
              </w:rPr>
              <w:t>to</w:t>
            </w:r>
            <w:r w:rsidR="004719E6" w:rsidRPr="00AC78FF">
              <w:rPr>
                <w:rFonts w:eastAsia="Arial Unicode MS"/>
              </w:rPr>
              <w:t xml:space="preserve"> </w:t>
            </w:r>
            <w:r w:rsidR="004719E6">
              <w:rPr>
                <w:rFonts w:eastAsia="Arial Unicode MS"/>
              </w:rPr>
              <w:t>o</w:t>
            </w:r>
            <w:r w:rsidR="004719E6" w:rsidRPr="00AC78FF">
              <w:rPr>
                <w:rFonts w:eastAsia="Arial Unicode MS"/>
              </w:rPr>
              <w:t xml:space="preserve">ther </w:t>
            </w:r>
            <w:r w:rsidR="004719E6">
              <w:rPr>
                <w:rFonts w:eastAsia="Arial Unicode MS"/>
              </w:rPr>
              <w:t>g</w:t>
            </w:r>
            <w:r w:rsidR="004719E6" w:rsidRPr="00AC78FF">
              <w:rPr>
                <w:rFonts w:eastAsia="Arial Unicode MS"/>
              </w:rPr>
              <w:t xml:space="preserve">overnment </w:t>
            </w:r>
            <w:r w:rsidR="004719E6">
              <w:rPr>
                <w:rFonts w:eastAsia="Arial Unicode MS"/>
              </w:rPr>
              <w:t>e</w:t>
            </w:r>
            <w:r w:rsidR="004719E6" w:rsidRPr="00AC78FF">
              <w:rPr>
                <w:rFonts w:eastAsia="Arial Unicode MS"/>
              </w:rPr>
              <w:t xml:space="preserve">ntities </w:t>
            </w:r>
            <w:r w:rsidR="00D60E06">
              <w:rPr>
                <w:rFonts w:eastAsia="Arial Unicode MS"/>
              </w:rPr>
              <w:t>(Fixed a</w:t>
            </w:r>
            <w:r w:rsidRPr="00C5005A">
              <w:rPr>
                <w:rFonts w:eastAsia="Arial Unicode MS"/>
              </w:rPr>
              <w:t>ssets)</w:t>
            </w:r>
          </w:p>
        </w:tc>
        <w:tc>
          <w:tcPr>
            <w:tcW w:w="1791" w:type="dxa"/>
          </w:tcPr>
          <w:p w:rsidR="003C3537" w:rsidRPr="00731E39" w:rsidRDefault="003C3537" w:rsidP="003C3537">
            <w:pPr>
              <w:pStyle w:val="Tabletext"/>
              <w:tabs>
                <w:tab w:val="left" w:pos="1485"/>
                <w:tab w:val="right" w:pos="1677"/>
              </w:tabs>
              <w:rPr>
                <w:rFonts w:eastAsia="Arial Unicode MS"/>
              </w:rPr>
            </w:pPr>
            <w:r>
              <w:rPr>
                <w:rFonts w:eastAsia="Arial Unicode MS"/>
              </w:rPr>
              <w:tab/>
            </w:r>
            <w:r>
              <w:rPr>
                <w:rFonts w:eastAsia="Arial Unicode MS"/>
              </w:rPr>
              <w:tab/>
              <w:t>1</w:t>
            </w:r>
            <w:r w:rsidRPr="00731E39">
              <w:rPr>
                <w:rFonts w:eastAsia="Arial Unicode MS"/>
              </w:rPr>
              <w:t>0</w:t>
            </w:r>
          </w:p>
        </w:tc>
      </w:tr>
      <w:tr w:rsidR="003C3537" w:rsidRPr="00731E39" w:rsidTr="003C3537">
        <w:tc>
          <w:tcPr>
            <w:tcW w:w="5731" w:type="dxa"/>
          </w:tcPr>
          <w:p w:rsidR="003C3537" w:rsidRPr="00731E39" w:rsidRDefault="003C3537" w:rsidP="004719E6">
            <w:pPr>
              <w:pStyle w:val="Tabletext"/>
              <w:rPr>
                <w:rFonts w:eastAsia="Arial Unicode MS"/>
              </w:rPr>
            </w:pPr>
            <w:r>
              <w:rPr>
                <w:rFonts w:eastAsia="Arial Unicode MS"/>
              </w:rPr>
              <w:t xml:space="preserve">CR </w:t>
            </w:r>
            <w:r w:rsidRPr="00C5005A">
              <w:rPr>
                <w:rFonts w:eastAsia="Arial Unicode MS"/>
              </w:rPr>
              <w:t>Equity</w:t>
            </w:r>
            <w:r w:rsidR="004719E6">
              <w:rPr>
                <w:rFonts w:eastAsia="Arial Unicode MS"/>
              </w:rPr>
              <w:t xml:space="preserve"> i</w:t>
            </w:r>
            <w:r w:rsidRPr="00C5005A">
              <w:rPr>
                <w:rFonts w:eastAsia="Arial Unicode MS"/>
              </w:rPr>
              <w:t>nvestment in</w:t>
            </w:r>
            <w:r w:rsidR="004719E6">
              <w:rPr>
                <w:rFonts w:eastAsia="Arial Unicode MS"/>
              </w:rPr>
              <w:t xml:space="preserve"> </w:t>
            </w:r>
            <w:r w:rsidR="00D60E06">
              <w:rPr>
                <w:rFonts w:eastAsia="Arial Unicode MS"/>
              </w:rPr>
              <w:t>general government</w:t>
            </w:r>
            <w:r w:rsidR="004719E6">
              <w:rPr>
                <w:rFonts w:eastAsia="Arial Unicode MS"/>
              </w:rPr>
              <w:t>,</w:t>
            </w:r>
            <w:r w:rsidRPr="00C5005A">
              <w:rPr>
                <w:rFonts w:eastAsia="Arial Unicode MS"/>
              </w:rPr>
              <w:t xml:space="preserve"> PNFC</w:t>
            </w:r>
            <w:r w:rsidR="004719E6">
              <w:rPr>
                <w:rFonts w:eastAsia="Arial Unicode MS"/>
              </w:rPr>
              <w:t xml:space="preserve"> or PFC</w:t>
            </w:r>
            <w:r w:rsidR="00D60E06">
              <w:rPr>
                <w:rFonts w:eastAsia="Arial Unicode MS"/>
              </w:rPr>
              <w:t xml:space="preserve"> (Fixed a</w:t>
            </w:r>
            <w:r w:rsidRPr="00C5005A">
              <w:rPr>
                <w:rFonts w:eastAsia="Arial Unicode MS"/>
              </w:rPr>
              <w:t>ss</w:t>
            </w:r>
            <w:r w:rsidR="00D60E06">
              <w:rPr>
                <w:rFonts w:eastAsia="Arial Unicode MS"/>
              </w:rPr>
              <w:t>et t</w:t>
            </w:r>
            <w:r w:rsidRPr="00C5005A">
              <w:rPr>
                <w:rFonts w:eastAsia="Arial Unicode MS"/>
              </w:rPr>
              <w:t>ransfers)</w:t>
            </w:r>
          </w:p>
        </w:tc>
        <w:tc>
          <w:tcPr>
            <w:tcW w:w="1791" w:type="dxa"/>
          </w:tcPr>
          <w:p w:rsidR="003C3537" w:rsidRPr="00731E39" w:rsidRDefault="003C3537" w:rsidP="003C3537">
            <w:pPr>
              <w:pStyle w:val="Tabletext"/>
              <w:jc w:val="right"/>
              <w:rPr>
                <w:rFonts w:eastAsia="Arial Unicode MS"/>
              </w:rPr>
            </w:pPr>
            <w:r>
              <w:rPr>
                <w:rFonts w:eastAsia="Arial Unicode MS"/>
              </w:rPr>
              <w:t>1</w:t>
            </w:r>
            <w:r w:rsidRPr="00731E39">
              <w:rPr>
                <w:rFonts w:eastAsia="Arial Unicode MS"/>
              </w:rPr>
              <w:t>0</w:t>
            </w:r>
          </w:p>
        </w:tc>
      </w:tr>
    </w:tbl>
    <w:p w:rsidR="003C3537" w:rsidRPr="004719E6" w:rsidRDefault="004719E6" w:rsidP="00314B6A">
      <w:pPr>
        <w:pStyle w:val="Heading4"/>
        <w:spacing w:before="240" w:after="120"/>
        <w:ind w:left="360"/>
      </w:pPr>
      <w:r w:rsidRPr="004719E6">
        <w:t xml:space="preserve">Step </w:t>
      </w:r>
      <w:r>
        <w:t>C</w:t>
      </w:r>
      <w:r w:rsidRPr="004719E6">
        <w:t xml:space="preserve"> – Department</w:t>
      </w:r>
      <w:r>
        <w:t xml:space="preserve"> recognises the assets from Agency A in its controlled entity.</w:t>
      </w:r>
    </w:p>
    <w:tbl>
      <w:tblPr>
        <w:tblStyle w:val="DTFtexttable"/>
        <w:tblW w:w="7522" w:type="dxa"/>
        <w:tblInd w:w="864" w:type="dxa"/>
        <w:tblLayout w:type="fixed"/>
        <w:tblLook w:val="0620" w:firstRow="1" w:lastRow="0" w:firstColumn="0" w:lastColumn="0" w:noHBand="1" w:noVBand="1"/>
      </w:tblPr>
      <w:tblGrid>
        <w:gridCol w:w="5731"/>
        <w:gridCol w:w="1791"/>
      </w:tblGrid>
      <w:tr w:rsidR="003C3537" w:rsidRPr="00731E39" w:rsidTr="003C353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3C3537" w:rsidRDefault="003C3537" w:rsidP="003C3537">
            <w:pPr>
              <w:pStyle w:val="Tableheader"/>
              <w:rPr>
                <w:rFonts w:eastAsia="Arial Unicode MS"/>
              </w:rPr>
            </w:pPr>
            <w:r>
              <w:t>Department A – Controlled</w:t>
            </w:r>
          </w:p>
        </w:tc>
      </w:tr>
      <w:tr w:rsidR="003C3537" w:rsidRPr="00731E39" w:rsidTr="003C3537">
        <w:tc>
          <w:tcPr>
            <w:tcW w:w="5731" w:type="dxa"/>
          </w:tcPr>
          <w:p w:rsidR="003C3537" w:rsidRPr="00731E39" w:rsidRDefault="003C3537" w:rsidP="004719E6">
            <w:pPr>
              <w:pStyle w:val="Tabletext"/>
              <w:rPr>
                <w:rFonts w:eastAsia="Arial Unicode MS"/>
              </w:rPr>
            </w:pPr>
            <w:r>
              <w:rPr>
                <w:rFonts w:eastAsia="Arial Unicode MS"/>
              </w:rPr>
              <w:t xml:space="preserve">DR </w:t>
            </w:r>
            <w:r w:rsidR="004719E6">
              <w:rPr>
                <w:rFonts w:eastAsia="Arial Unicode MS"/>
              </w:rPr>
              <w:t>Fixed assets</w:t>
            </w:r>
          </w:p>
        </w:tc>
        <w:tc>
          <w:tcPr>
            <w:tcW w:w="1791" w:type="dxa"/>
          </w:tcPr>
          <w:p w:rsidR="003C3537" w:rsidRPr="00731E39" w:rsidRDefault="003C3537" w:rsidP="003C3537">
            <w:pPr>
              <w:pStyle w:val="Tabletext"/>
              <w:jc w:val="right"/>
              <w:rPr>
                <w:rFonts w:eastAsia="Arial Unicode MS"/>
              </w:rPr>
            </w:pPr>
            <w:r>
              <w:rPr>
                <w:rFonts w:eastAsia="Arial Unicode MS"/>
              </w:rPr>
              <w:t>10</w:t>
            </w:r>
          </w:p>
        </w:tc>
      </w:tr>
      <w:tr w:rsidR="003C3537" w:rsidRPr="00731E39" w:rsidTr="003C3537">
        <w:tc>
          <w:tcPr>
            <w:tcW w:w="5731" w:type="dxa"/>
          </w:tcPr>
          <w:p w:rsidR="003C3537" w:rsidRPr="00731E39" w:rsidRDefault="003C3537" w:rsidP="003C3537">
            <w:pPr>
              <w:pStyle w:val="Tabletext"/>
              <w:rPr>
                <w:rFonts w:eastAsia="Arial Unicode MS"/>
              </w:rPr>
            </w:pPr>
            <w:r>
              <w:rPr>
                <w:rFonts w:eastAsia="Arial Unicode MS"/>
              </w:rPr>
              <w:t xml:space="preserve">CR </w:t>
            </w:r>
            <w:r w:rsidR="004719E6" w:rsidRPr="00AC78FF">
              <w:rPr>
                <w:rFonts w:eastAsia="Arial Unicode MS"/>
              </w:rPr>
              <w:t xml:space="preserve">Equity </w:t>
            </w:r>
            <w:r w:rsidR="004719E6">
              <w:rPr>
                <w:rFonts w:eastAsia="Arial Unicode MS"/>
              </w:rPr>
              <w:t>t</w:t>
            </w:r>
            <w:r w:rsidR="004719E6" w:rsidRPr="00AC78FF">
              <w:rPr>
                <w:rFonts w:eastAsia="Arial Unicode MS"/>
              </w:rPr>
              <w:t xml:space="preserve">ransfers from </w:t>
            </w:r>
            <w:r w:rsidR="004719E6">
              <w:rPr>
                <w:rFonts w:eastAsia="Arial Unicode MS"/>
              </w:rPr>
              <w:t>o</w:t>
            </w:r>
            <w:r w:rsidR="004719E6" w:rsidRPr="00AC78FF">
              <w:rPr>
                <w:rFonts w:eastAsia="Arial Unicode MS"/>
              </w:rPr>
              <w:t xml:space="preserve">ther </w:t>
            </w:r>
            <w:r w:rsidR="004719E6">
              <w:rPr>
                <w:rFonts w:eastAsia="Arial Unicode MS"/>
              </w:rPr>
              <w:t>g</w:t>
            </w:r>
            <w:r w:rsidR="004719E6" w:rsidRPr="00AC78FF">
              <w:rPr>
                <w:rFonts w:eastAsia="Arial Unicode MS"/>
              </w:rPr>
              <w:t xml:space="preserve">overnment </w:t>
            </w:r>
            <w:r w:rsidR="004719E6">
              <w:rPr>
                <w:rFonts w:eastAsia="Arial Unicode MS"/>
              </w:rPr>
              <w:t>e</w:t>
            </w:r>
            <w:r w:rsidR="004719E6" w:rsidRPr="00AC78FF">
              <w:rPr>
                <w:rFonts w:eastAsia="Arial Unicode MS"/>
              </w:rPr>
              <w:t xml:space="preserve">ntities </w:t>
            </w:r>
            <w:r w:rsidR="00D60E06">
              <w:rPr>
                <w:rFonts w:eastAsia="Arial Unicode MS"/>
              </w:rPr>
              <w:t>(Fixed a</w:t>
            </w:r>
            <w:r w:rsidRPr="00C5005A">
              <w:rPr>
                <w:rFonts w:eastAsia="Arial Unicode MS"/>
              </w:rPr>
              <w:t>ssets)</w:t>
            </w:r>
          </w:p>
        </w:tc>
        <w:tc>
          <w:tcPr>
            <w:tcW w:w="1791" w:type="dxa"/>
          </w:tcPr>
          <w:p w:rsidR="003C3537" w:rsidRPr="00731E39" w:rsidRDefault="003C3537" w:rsidP="003C3537">
            <w:pPr>
              <w:pStyle w:val="Tabletext"/>
              <w:jc w:val="right"/>
              <w:rPr>
                <w:rFonts w:eastAsia="Arial Unicode MS"/>
              </w:rPr>
            </w:pPr>
            <w:r>
              <w:rPr>
                <w:rFonts w:eastAsia="Arial Unicode MS"/>
              </w:rPr>
              <w:t>10</w:t>
            </w:r>
          </w:p>
        </w:tc>
      </w:tr>
    </w:tbl>
    <w:p w:rsidR="002F7A0C" w:rsidRDefault="002F7A0C" w:rsidP="006E217D">
      <w:pPr>
        <w:pStyle w:val="NormalIndent"/>
        <w:ind w:left="360"/>
      </w:pPr>
    </w:p>
    <w:p w:rsidR="002F7A0C" w:rsidRPr="001834DF" w:rsidRDefault="002F7A0C" w:rsidP="002F7A0C">
      <w:pPr>
        <w:pStyle w:val="Heading4"/>
      </w:pPr>
      <w:r>
        <w:t xml:space="preserve">Scenario 6 – </w:t>
      </w:r>
      <w:r w:rsidRPr="003C3537">
        <w:t>Transfers aris</w:t>
      </w:r>
      <w:r>
        <w:t>ing</w:t>
      </w:r>
      <w:r w:rsidRPr="003C3537">
        <w:t xml:space="preserve"> from administrative restructures (i.e. machinery</w:t>
      </w:r>
      <w:r>
        <w:t xml:space="preserve"> of government changes)</w:t>
      </w:r>
    </w:p>
    <w:p w:rsidR="005B3496" w:rsidRDefault="002F7A0C" w:rsidP="002F7A0C">
      <w:pPr>
        <w:pStyle w:val="NormalIndent"/>
        <w:ind w:left="360"/>
      </w:pPr>
      <w:r>
        <w:t xml:space="preserve">For guidance refer to the </w:t>
      </w:r>
      <w:r w:rsidRPr="00387A01">
        <w:rPr>
          <w:i/>
        </w:rPr>
        <w:t>Victorian public sector operating manual on machinery of government changes</w:t>
      </w:r>
      <w:r w:rsidRPr="00450FD9">
        <w:t xml:space="preserve"> issued October 2016</w:t>
      </w:r>
      <w:r>
        <w:t>.</w:t>
      </w:r>
    </w:p>
    <w:p w:rsidR="005B3496" w:rsidRDefault="005B3496" w:rsidP="00EE3550"/>
    <w:p w:rsidR="00EE3550" w:rsidRPr="00EE3550" w:rsidRDefault="00EE3550" w:rsidP="00EE3550">
      <w:pPr>
        <w:sectPr w:rsidR="00EE3550" w:rsidRPr="00EE3550" w:rsidSect="003562F9">
          <w:headerReference w:type="even" r:id="rId36"/>
          <w:headerReference w:type="default" r:id="rId37"/>
          <w:footerReference w:type="even" r:id="rId38"/>
          <w:footerReference w:type="default" r:id="rId39"/>
          <w:headerReference w:type="first" r:id="rId40"/>
          <w:pgSz w:w="11906" w:h="16838" w:code="9"/>
          <w:pgMar w:top="1980" w:right="1440" w:bottom="1710" w:left="1440" w:header="706" w:footer="461" w:gutter="0"/>
          <w:cols w:space="708"/>
          <w:docGrid w:linePitch="360"/>
        </w:sectPr>
      </w:pPr>
    </w:p>
    <w:p w:rsidR="00623130" w:rsidRDefault="00623130" w:rsidP="00623130">
      <w:pPr>
        <w:pStyle w:val="Heading2"/>
      </w:pPr>
      <w:bookmarkStart w:id="404" w:name="_Toc785479"/>
      <w:r>
        <w:t xml:space="preserve">Attachment 2: </w:t>
      </w:r>
      <w:proofErr w:type="spellStart"/>
      <w:r>
        <w:t>VicFleet</w:t>
      </w:r>
      <w:proofErr w:type="spellEnd"/>
      <w:r>
        <w:t xml:space="preserve"> lease accounting transactions</w:t>
      </w:r>
      <w:bookmarkEnd w:id="404"/>
    </w:p>
    <w:p w:rsidR="00623130" w:rsidRDefault="00623130" w:rsidP="00623130">
      <w:pPr>
        <w:pStyle w:val="Heading4"/>
      </w:pPr>
      <w:r>
        <w:t>Lessee – Initial take up and monthly expenditure</w:t>
      </w:r>
    </w:p>
    <w:p w:rsidR="00623130" w:rsidRDefault="00623130" w:rsidP="00623130">
      <w:r>
        <w:t>Applies to participating departments/agencies. Authority and inter fund/entity transaction coding does not apply to agencies operating outside of the Public Account, or to vehicles taken up by other trust fund accounts.</w:t>
      </w:r>
    </w:p>
    <w:tbl>
      <w:tblPr>
        <w:tblStyle w:val="DTFtexttable"/>
        <w:tblW w:w="14007" w:type="dxa"/>
        <w:tblLayout w:type="fixed"/>
        <w:tblLook w:val="0220" w:firstRow="1" w:lastRow="0" w:firstColumn="0" w:lastColumn="0" w:noHBand="1" w:noVBand="0"/>
      </w:tblPr>
      <w:tblGrid>
        <w:gridCol w:w="6357"/>
        <w:gridCol w:w="2250"/>
        <w:gridCol w:w="2126"/>
        <w:gridCol w:w="3274"/>
      </w:tblGrid>
      <w:tr w:rsidR="00623130" w:rsidRPr="00F6612C" w:rsidTr="00EE3550">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57" w:type="dxa"/>
          </w:tcPr>
          <w:p w:rsidR="00623130" w:rsidRPr="00F6612C" w:rsidRDefault="00623130" w:rsidP="00A94229">
            <w:pPr>
              <w:pStyle w:val="Tableheader"/>
              <w:rPr>
                <w:b w:val="0"/>
              </w:rPr>
            </w:pPr>
            <w:r w:rsidRPr="00F6612C">
              <w:t>Entry</w:t>
            </w:r>
          </w:p>
        </w:tc>
        <w:tc>
          <w:tcPr>
            <w:cnfStyle w:val="000001000000" w:firstRow="0" w:lastRow="0" w:firstColumn="0" w:lastColumn="0" w:oddVBand="0" w:evenVBand="1" w:oddHBand="0" w:evenHBand="0" w:firstRowFirstColumn="0" w:firstRowLastColumn="0" w:lastRowFirstColumn="0" w:lastRowLastColumn="0"/>
            <w:tcW w:w="2250" w:type="dxa"/>
          </w:tcPr>
          <w:p w:rsidR="00623130" w:rsidRPr="00F6612C" w:rsidRDefault="00623130" w:rsidP="00A94229">
            <w:pPr>
              <w:pStyle w:val="Tableheader"/>
              <w:rPr>
                <w:b w:val="0"/>
              </w:rPr>
            </w:pPr>
            <w:r>
              <w:t>Account</w:t>
            </w:r>
            <w:r w:rsidR="00EE3550">
              <w:t xml:space="preserve"> </w:t>
            </w:r>
            <w:r w:rsidR="00EE3550" w:rsidRPr="00F6612C">
              <w:t>code</w:t>
            </w:r>
          </w:p>
        </w:tc>
        <w:tc>
          <w:tcPr>
            <w:cnfStyle w:val="000010000000" w:firstRow="0" w:lastRow="0" w:firstColumn="0" w:lastColumn="0" w:oddVBand="1" w:evenVBand="0" w:oddHBand="0" w:evenHBand="0" w:firstRowFirstColumn="0" w:firstRowLastColumn="0" w:lastRowFirstColumn="0" w:lastRowLastColumn="0"/>
            <w:tcW w:w="2126" w:type="dxa"/>
          </w:tcPr>
          <w:p w:rsidR="00623130" w:rsidRPr="00F6612C" w:rsidRDefault="00623130" w:rsidP="00A94229">
            <w:pPr>
              <w:pStyle w:val="Tableheader"/>
              <w:rPr>
                <w:b w:val="0"/>
              </w:rPr>
            </w:pPr>
            <w:r>
              <w:t>A</w:t>
            </w:r>
            <w:r w:rsidRPr="00F6612C">
              <w:t xml:space="preserve">uthority </w:t>
            </w:r>
            <w:r>
              <w:t>code</w:t>
            </w:r>
          </w:p>
        </w:tc>
        <w:tc>
          <w:tcPr>
            <w:cnfStyle w:val="000001000000" w:firstRow="0" w:lastRow="0" w:firstColumn="0" w:lastColumn="0" w:oddVBand="0" w:evenVBand="1" w:oddHBand="0" w:evenHBand="0" w:firstRowFirstColumn="0" w:firstRowLastColumn="0" w:lastRowFirstColumn="0" w:lastRowLastColumn="0"/>
            <w:tcW w:w="3274" w:type="dxa"/>
          </w:tcPr>
          <w:p w:rsidR="00623130" w:rsidRPr="00F6612C" w:rsidRDefault="00623130" w:rsidP="00A94229">
            <w:pPr>
              <w:pStyle w:val="Tableheader"/>
              <w:rPr>
                <w:b w:val="0"/>
              </w:rPr>
            </w:pPr>
            <w:r w:rsidRPr="00F6612C">
              <w:t>Category</w:t>
            </w:r>
          </w:p>
        </w:tc>
      </w:tr>
      <w:tr w:rsidR="00623130" w:rsidRPr="00731E39" w:rsidTr="00EE3550">
        <w:trPr>
          <w:cantSplit w:val="0"/>
        </w:trPr>
        <w:tc>
          <w:tcPr>
            <w:cnfStyle w:val="000010000000" w:firstRow="0" w:lastRow="0" w:firstColumn="0" w:lastColumn="0" w:oddVBand="1" w:evenVBand="0" w:oddHBand="0" w:evenHBand="0" w:firstRowFirstColumn="0" w:firstRowLastColumn="0" w:lastRowFirstColumn="0" w:lastRowLastColumn="0"/>
            <w:tcW w:w="6357" w:type="dxa"/>
          </w:tcPr>
          <w:p w:rsidR="00623130" w:rsidRPr="00F6612C" w:rsidRDefault="00623130" w:rsidP="00A94229">
            <w:pPr>
              <w:pStyle w:val="Tabletext"/>
              <w:rPr>
                <w:b/>
              </w:rPr>
            </w:pPr>
            <w:r w:rsidRPr="00F6612C">
              <w:rPr>
                <w:b/>
              </w:rPr>
              <w:t xml:space="preserve">Initial </w:t>
            </w:r>
            <w:r>
              <w:rPr>
                <w:b/>
              </w:rPr>
              <w:t>t</w:t>
            </w:r>
            <w:r w:rsidRPr="00F6612C">
              <w:rPr>
                <w:b/>
              </w:rPr>
              <w:t>ake</w:t>
            </w:r>
            <w:r>
              <w:rPr>
                <w:b/>
              </w:rPr>
              <w:t>-</w:t>
            </w:r>
            <w:r w:rsidRPr="00F6612C">
              <w:rPr>
                <w:b/>
              </w:rPr>
              <w:t xml:space="preserve">up of </w:t>
            </w:r>
            <w:r>
              <w:rPr>
                <w:b/>
              </w:rPr>
              <w:t>v</w:t>
            </w:r>
            <w:r w:rsidRPr="00F6612C">
              <w:rPr>
                <w:b/>
              </w:rPr>
              <w:t xml:space="preserve">ehicle – </w:t>
            </w:r>
            <w:r>
              <w:rPr>
                <w:b/>
              </w:rPr>
              <w:t>journal</w:t>
            </w:r>
            <w:r w:rsidRPr="00F6612C">
              <w:rPr>
                <w:b/>
              </w:rPr>
              <w:t xml:space="preserve"> provided by </w:t>
            </w:r>
            <w:proofErr w:type="spellStart"/>
            <w:r w:rsidRPr="00F6612C">
              <w:rPr>
                <w:b/>
              </w:rPr>
              <w:t>VicFleet</w:t>
            </w:r>
            <w:proofErr w:type="spellEnd"/>
          </w:p>
        </w:tc>
        <w:tc>
          <w:tcPr>
            <w:cnfStyle w:val="000001000000" w:firstRow="0" w:lastRow="0" w:firstColumn="0" w:lastColumn="0" w:oddVBand="0" w:evenVBand="1" w:oddHBand="0" w:evenHBand="0" w:firstRowFirstColumn="0" w:firstRowLastColumn="0" w:lastRowFirstColumn="0" w:lastRowLastColumn="0"/>
            <w:tcW w:w="2250" w:type="dxa"/>
          </w:tcPr>
          <w:p w:rsidR="00623130" w:rsidRPr="00731E39" w:rsidRDefault="00623130" w:rsidP="00A94229">
            <w:pPr>
              <w:pStyle w:val="Tabletext"/>
            </w:pPr>
          </w:p>
        </w:tc>
        <w:tc>
          <w:tcPr>
            <w:cnfStyle w:val="000010000000" w:firstRow="0" w:lastRow="0" w:firstColumn="0" w:lastColumn="0" w:oddVBand="1" w:evenVBand="0" w:oddHBand="0" w:evenHBand="0" w:firstRowFirstColumn="0" w:firstRowLastColumn="0" w:lastRowFirstColumn="0" w:lastRowLastColumn="0"/>
            <w:tcW w:w="2126" w:type="dxa"/>
          </w:tcPr>
          <w:p w:rsidR="00623130" w:rsidRPr="00731E39" w:rsidRDefault="00623130" w:rsidP="00A94229">
            <w:pPr>
              <w:pStyle w:val="Tabletext"/>
            </w:pPr>
          </w:p>
        </w:tc>
        <w:tc>
          <w:tcPr>
            <w:cnfStyle w:val="000001000000" w:firstRow="0" w:lastRow="0" w:firstColumn="0" w:lastColumn="0" w:oddVBand="0" w:evenVBand="1" w:oddHBand="0" w:evenHBand="0" w:firstRowFirstColumn="0" w:firstRowLastColumn="0" w:lastRowFirstColumn="0" w:lastRowLastColumn="0"/>
            <w:tcW w:w="3274" w:type="dxa"/>
          </w:tcPr>
          <w:p w:rsidR="00623130" w:rsidRPr="00731E39" w:rsidRDefault="00623130" w:rsidP="00A94229">
            <w:pPr>
              <w:pStyle w:val="Tabletext"/>
            </w:pPr>
          </w:p>
        </w:tc>
      </w:tr>
      <w:tr w:rsidR="00623130" w:rsidRPr="00731E39" w:rsidTr="00EE3550">
        <w:trPr>
          <w:cantSplit w:val="0"/>
        </w:trPr>
        <w:tc>
          <w:tcPr>
            <w:cnfStyle w:val="000010000000" w:firstRow="0" w:lastRow="0" w:firstColumn="0" w:lastColumn="0" w:oddVBand="1" w:evenVBand="0" w:oddHBand="0" w:evenHBand="0" w:firstRowFirstColumn="0" w:firstRowLastColumn="0" w:lastRowFirstColumn="0" w:lastRowLastColumn="0"/>
            <w:tcW w:w="6357" w:type="dxa"/>
          </w:tcPr>
          <w:p w:rsidR="00623130" w:rsidRPr="00731E39" w:rsidRDefault="00623130" w:rsidP="00A94229">
            <w:pPr>
              <w:pStyle w:val="Tabletext"/>
            </w:pPr>
            <w:r w:rsidRPr="00731E39">
              <w:t xml:space="preserve">Dr Motor </w:t>
            </w:r>
            <w:r>
              <w:t>v</w:t>
            </w:r>
            <w:r w:rsidRPr="00731E39">
              <w:t xml:space="preserve">ehicles </w:t>
            </w:r>
            <w:r>
              <w:t>u</w:t>
            </w:r>
            <w:r w:rsidRPr="00731E39">
              <w:t xml:space="preserve">nder </w:t>
            </w:r>
            <w:proofErr w:type="spellStart"/>
            <w:r w:rsidRPr="00731E39">
              <w:t>VicFleet</w:t>
            </w:r>
            <w:proofErr w:type="spellEnd"/>
            <w:r w:rsidRPr="00731E39">
              <w:t xml:space="preserve"> </w:t>
            </w:r>
            <w:r>
              <w:t>l</w:t>
            </w:r>
            <w:r w:rsidRPr="00731E39">
              <w:t>ease</w:t>
            </w:r>
          </w:p>
          <w:p w:rsidR="00623130" w:rsidRPr="00731E39" w:rsidRDefault="00623130" w:rsidP="00A94229">
            <w:pPr>
              <w:pStyle w:val="Tabletext"/>
            </w:pPr>
            <w:r w:rsidRPr="00731E39">
              <w:t xml:space="preserve">Cr </w:t>
            </w:r>
            <w:proofErr w:type="spellStart"/>
            <w:r w:rsidRPr="00731E39">
              <w:t>VicFleet</w:t>
            </w:r>
            <w:proofErr w:type="spellEnd"/>
            <w:r w:rsidRPr="00731E39">
              <w:t xml:space="preserve"> </w:t>
            </w:r>
            <w:r>
              <w:t>motor vehicle</w:t>
            </w:r>
            <w:r w:rsidRPr="00731E39">
              <w:t xml:space="preserve"> </w:t>
            </w:r>
            <w:r>
              <w:t>f</w:t>
            </w:r>
            <w:r w:rsidRPr="00731E39">
              <w:t xml:space="preserve">inance </w:t>
            </w:r>
            <w:r>
              <w:t>l</w:t>
            </w:r>
            <w:r w:rsidRPr="00731E39">
              <w:t xml:space="preserve">ease </w:t>
            </w:r>
            <w:r>
              <w:t>l</w:t>
            </w:r>
            <w:r w:rsidRPr="00731E39">
              <w:t>iability</w:t>
            </w:r>
            <w:r w:rsidRPr="003010E6">
              <w:t xml:space="preserve"> – new leases</w:t>
            </w:r>
          </w:p>
        </w:tc>
        <w:tc>
          <w:tcPr>
            <w:cnfStyle w:val="000001000000" w:firstRow="0" w:lastRow="0" w:firstColumn="0" w:lastColumn="0" w:oddVBand="0" w:evenVBand="1" w:oddHBand="0" w:evenHBand="0" w:firstRowFirstColumn="0" w:firstRowLastColumn="0" w:lastRowFirstColumn="0" w:lastRowLastColumn="0"/>
            <w:tcW w:w="2250" w:type="dxa"/>
          </w:tcPr>
          <w:p w:rsidR="00623130" w:rsidRPr="00731E39" w:rsidRDefault="00623130" w:rsidP="00A94229">
            <w:pPr>
              <w:pStyle w:val="Tabletext"/>
            </w:pPr>
            <w:r w:rsidRPr="00731E39">
              <w:t>26912</w:t>
            </w:r>
            <w:r>
              <w:noBreakHyphen/>
            </w:r>
            <w:r w:rsidRPr="00731E39">
              <w:t>26920</w:t>
            </w:r>
          </w:p>
          <w:p w:rsidR="00623130" w:rsidRPr="00731E39" w:rsidRDefault="00623130" w:rsidP="00A94229">
            <w:pPr>
              <w:pStyle w:val="Tabletext"/>
              <w:rPr>
                <w:iCs/>
              </w:rPr>
            </w:pPr>
            <w:r w:rsidRPr="00731E39">
              <w:t>30915</w:t>
            </w:r>
            <w:r>
              <w:t xml:space="preserve"> </w:t>
            </w:r>
            <w:r w:rsidRPr="00731E39">
              <w:t>/</w:t>
            </w:r>
            <w:r>
              <w:t xml:space="preserve"> </w:t>
            </w:r>
            <w:r w:rsidRPr="00731E39">
              <w:t>41115</w:t>
            </w:r>
          </w:p>
        </w:tc>
        <w:tc>
          <w:tcPr>
            <w:cnfStyle w:val="000010000000" w:firstRow="0" w:lastRow="0" w:firstColumn="0" w:lastColumn="0" w:oddVBand="1" w:evenVBand="0" w:oddHBand="0" w:evenHBand="0" w:firstRowFirstColumn="0" w:firstRowLastColumn="0" w:lastRowFirstColumn="0" w:lastRowLastColumn="0"/>
            <w:tcW w:w="2126" w:type="dxa"/>
          </w:tcPr>
          <w:p w:rsidR="00623130" w:rsidRPr="00731E39" w:rsidRDefault="00623130" w:rsidP="00A94229">
            <w:pPr>
              <w:pStyle w:val="Tabletext"/>
            </w:pPr>
            <w:r w:rsidRPr="00731E39">
              <w:t>3</w:t>
            </w:r>
            <w:r>
              <w:t>1XX</w:t>
            </w:r>
          </w:p>
          <w:p w:rsidR="00623130" w:rsidRPr="00731E39" w:rsidRDefault="00623130" w:rsidP="00A94229">
            <w:pPr>
              <w:pStyle w:val="Tabletext"/>
            </w:pPr>
            <w:r w:rsidRPr="00731E39">
              <w:t>3</w:t>
            </w:r>
            <w:r>
              <w:t>1XX</w:t>
            </w:r>
          </w:p>
        </w:tc>
        <w:tc>
          <w:tcPr>
            <w:cnfStyle w:val="000001000000" w:firstRow="0" w:lastRow="0" w:firstColumn="0" w:lastColumn="0" w:oddVBand="0" w:evenVBand="1" w:oddHBand="0" w:evenHBand="0" w:firstRowFirstColumn="0" w:firstRowLastColumn="0" w:lastRowFirstColumn="0" w:lastRowLastColumn="0"/>
            <w:tcW w:w="3274" w:type="dxa"/>
          </w:tcPr>
          <w:p w:rsidR="00623130" w:rsidRPr="00731E39" w:rsidRDefault="00623130" w:rsidP="00A94229">
            <w:pPr>
              <w:pStyle w:val="Tabletext"/>
              <w:rPr>
                <w:lang w:val="fr-FR"/>
              </w:rPr>
            </w:pPr>
            <w:r w:rsidRPr="00731E39">
              <w:rPr>
                <w:lang w:val="fr-FR"/>
              </w:rPr>
              <w:t>Non</w:t>
            </w:r>
            <w:r>
              <w:rPr>
                <w:lang w:val="fr-FR"/>
              </w:rPr>
              <w:noBreakHyphen/>
            </w:r>
            <w:proofErr w:type="spellStart"/>
            <w:r>
              <w:rPr>
                <w:lang w:val="fr-FR"/>
              </w:rPr>
              <w:t>c</w:t>
            </w:r>
            <w:r w:rsidRPr="00731E39">
              <w:rPr>
                <w:lang w:val="fr-FR"/>
              </w:rPr>
              <w:t>urrent</w:t>
            </w:r>
            <w:proofErr w:type="spellEnd"/>
            <w:r w:rsidRPr="00731E39">
              <w:rPr>
                <w:lang w:val="fr-FR"/>
              </w:rPr>
              <w:t xml:space="preserve"> </w:t>
            </w:r>
            <w:r>
              <w:rPr>
                <w:lang w:val="fr-FR"/>
              </w:rPr>
              <w:t>a</w:t>
            </w:r>
            <w:r w:rsidRPr="00731E39">
              <w:rPr>
                <w:lang w:val="fr-FR"/>
              </w:rPr>
              <w:t>sset</w:t>
            </w:r>
          </w:p>
          <w:p w:rsidR="00623130" w:rsidRPr="00731E39" w:rsidRDefault="00623130" w:rsidP="00A94229">
            <w:pPr>
              <w:pStyle w:val="Tabletext"/>
              <w:rPr>
                <w:lang w:val="fr-FR"/>
              </w:rPr>
            </w:pPr>
            <w:proofErr w:type="spellStart"/>
            <w:r w:rsidRPr="00731E39">
              <w:rPr>
                <w:lang w:val="fr-FR"/>
              </w:rPr>
              <w:t>Current</w:t>
            </w:r>
            <w:proofErr w:type="spellEnd"/>
            <w:r w:rsidRPr="00731E39">
              <w:rPr>
                <w:lang w:val="fr-FR"/>
              </w:rPr>
              <w:t xml:space="preserve"> or </w:t>
            </w:r>
            <w:r>
              <w:rPr>
                <w:lang w:val="fr-FR"/>
              </w:rPr>
              <w:t>non</w:t>
            </w:r>
            <w:r>
              <w:rPr>
                <w:lang w:val="fr-FR"/>
              </w:rPr>
              <w:noBreakHyphen/>
            </w:r>
            <w:proofErr w:type="spellStart"/>
            <w:r>
              <w:rPr>
                <w:lang w:val="fr-FR"/>
              </w:rPr>
              <w:t>c</w:t>
            </w:r>
            <w:r w:rsidRPr="00731E39">
              <w:rPr>
                <w:lang w:val="fr-FR"/>
              </w:rPr>
              <w:t>urrent</w:t>
            </w:r>
            <w:proofErr w:type="spellEnd"/>
            <w:r w:rsidRPr="00731E39">
              <w:rPr>
                <w:lang w:val="fr-FR"/>
              </w:rPr>
              <w:t xml:space="preserve"> </w:t>
            </w:r>
            <w:proofErr w:type="spellStart"/>
            <w:r>
              <w:rPr>
                <w:lang w:val="fr-FR"/>
              </w:rPr>
              <w:t>l</w:t>
            </w:r>
            <w:r w:rsidRPr="00731E39">
              <w:rPr>
                <w:lang w:val="fr-FR"/>
              </w:rPr>
              <w:t>iability</w:t>
            </w:r>
            <w:proofErr w:type="spellEnd"/>
          </w:p>
        </w:tc>
      </w:tr>
      <w:tr w:rsidR="00623130" w:rsidRPr="00731E39" w:rsidTr="00EE3550">
        <w:trPr>
          <w:cantSplit w:val="0"/>
        </w:trPr>
        <w:tc>
          <w:tcPr>
            <w:cnfStyle w:val="000010000000" w:firstRow="0" w:lastRow="0" w:firstColumn="0" w:lastColumn="0" w:oddVBand="1" w:evenVBand="0" w:oddHBand="0" w:evenHBand="0" w:firstRowFirstColumn="0" w:firstRowLastColumn="0" w:lastRowFirstColumn="0" w:lastRowLastColumn="0"/>
            <w:tcW w:w="6357" w:type="dxa"/>
          </w:tcPr>
          <w:p w:rsidR="00623130" w:rsidRPr="00F6612C" w:rsidRDefault="00623130" w:rsidP="00A94229">
            <w:pPr>
              <w:pStyle w:val="Tabletext"/>
              <w:rPr>
                <w:b/>
              </w:rPr>
            </w:pPr>
            <w:r w:rsidRPr="00F6612C">
              <w:rPr>
                <w:b/>
              </w:rPr>
              <w:t xml:space="preserve">Monthly </w:t>
            </w:r>
            <w:r>
              <w:rPr>
                <w:b/>
              </w:rPr>
              <w:t>a</w:t>
            </w:r>
            <w:r w:rsidRPr="00F6612C">
              <w:rPr>
                <w:b/>
              </w:rPr>
              <w:t xml:space="preserve">mortisation – </w:t>
            </w:r>
            <w:r>
              <w:rPr>
                <w:b/>
              </w:rPr>
              <w:t>journal</w:t>
            </w:r>
            <w:r w:rsidRPr="00F6612C">
              <w:rPr>
                <w:b/>
              </w:rPr>
              <w:t xml:space="preserve"> provided by </w:t>
            </w:r>
            <w:proofErr w:type="spellStart"/>
            <w:r>
              <w:rPr>
                <w:b/>
              </w:rPr>
              <w:t>VicFleet</w:t>
            </w:r>
            <w:proofErr w:type="spellEnd"/>
          </w:p>
        </w:tc>
        <w:tc>
          <w:tcPr>
            <w:cnfStyle w:val="000001000000" w:firstRow="0" w:lastRow="0" w:firstColumn="0" w:lastColumn="0" w:oddVBand="0" w:evenVBand="1" w:oddHBand="0" w:evenHBand="0" w:firstRowFirstColumn="0" w:firstRowLastColumn="0" w:lastRowFirstColumn="0" w:lastRowLastColumn="0"/>
            <w:tcW w:w="2250" w:type="dxa"/>
          </w:tcPr>
          <w:p w:rsidR="00623130" w:rsidRPr="00731E39" w:rsidRDefault="00623130" w:rsidP="00A94229">
            <w:pPr>
              <w:pStyle w:val="Tabletext"/>
            </w:pPr>
          </w:p>
        </w:tc>
        <w:tc>
          <w:tcPr>
            <w:cnfStyle w:val="000010000000" w:firstRow="0" w:lastRow="0" w:firstColumn="0" w:lastColumn="0" w:oddVBand="1" w:evenVBand="0" w:oddHBand="0" w:evenHBand="0" w:firstRowFirstColumn="0" w:firstRowLastColumn="0" w:lastRowFirstColumn="0" w:lastRowLastColumn="0"/>
            <w:tcW w:w="2126" w:type="dxa"/>
          </w:tcPr>
          <w:p w:rsidR="00623130" w:rsidRPr="00731E39" w:rsidRDefault="00623130" w:rsidP="00A94229">
            <w:pPr>
              <w:pStyle w:val="Tabletext"/>
            </w:pPr>
          </w:p>
        </w:tc>
        <w:tc>
          <w:tcPr>
            <w:cnfStyle w:val="000001000000" w:firstRow="0" w:lastRow="0" w:firstColumn="0" w:lastColumn="0" w:oddVBand="0" w:evenVBand="1" w:oddHBand="0" w:evenHBand="0" w:firstRowFirstColumn="0" w:firstRowLastColumn="0" w:lastRowFirstColumn="0" w:lastRowLastColumn="0"/>
            <w:tcW w:w="3274" w:type="dxa"/>
          </w:tcPr>
          <w:p w:rsidR="00623130" w:rsidRPr="00731E39" w:rsidRDefault="00623130" w:rsidP="00A94229">
            <w:pPr>
              <w:pStyle w:val="Tabletext"/>
            </w:pPr>
          </w:p>
        </w:tc>
      </w:tr>
      <w:tr w:rsidR="00623130" w:rsidRPr="00731E39" w:rsidTr="00EE3550">
        <w:trPr>
          <w:cantSplit w:val="0"/>
        </w:trPr>
        <w:tc>
          <w:tcPr>
            <w:cnfStyle w:val="000010000000" w:firstRow="0" w:lastRow="0" w:firstColumn="0" w:lastColumn="0" w:oddVBand="1" w:evenVBand="0" w:oddHBand="0" w:evenHBand="0" w:firstRowFirstColumn="0" w:firstRowLastColumn="0" w:lastRowFirstColumn="0" w:lastRowLastColumn="0"/>
            <w:tcW w:w="6357" w:type="dxa"/>
          </w:tcPr>
          <w:p w:rsidR="00623130" w:rsidRPr="00731E39" w:rsidRDefault="00623130" w:rsidP="00A94229">
            <w:pPr>
              <w:pStyle w:val="Tabletext"/>
            </w:pPr>
            <w:r w:rsidRPr="00731E39">
              <w:t xml:space="preserve">Dr Amortisation – </w:t>
            </w:r>
            <w:r>
              <w:t>m</w:t>
            </w:r>
            <w:r w:rsidRPr="00731E39">
              <w:t xml:space="preserve">otor </w:t>
            </w:r>
            <w:r>
              <w:t>v</w:t>
            </w:r>
            <w:r w:rsidRPr="00731E39">
              <w:t xml:space="preserve">ehicles under </w:t>
            </w:r>
            <w:proofErr w:type="spellStart"/>
            <w:r w:rsidRPr="00731E39">
              <w:t>VicFleet</w:t>
            </w:r>
            <w:proofErr w:type="spellEnd"/>
            <w:r w:rsidRPr="00731E39">
              <w:t xml:space="preserve"> </w:t>
            </w:r>
            <w:r>
              <w:t>l</w:t>
            </w:r>
            <w:r w:rsidRPr="00731E39">
              <w:t>ease</w:t>
            </w:r>
          </w:p>
          <w:p w:rsidR="00623130" w:rsidRPr="00731E39" w:rsidRDefault="00623130" w:rsidP="00A94229">
            <w:pPr>
              <w:pStyle w:val="Tabletext"/>
            </w:pPr>
            <w:r>
              <w:t>Cr Motor v</w:t>
            </w:r>
            <w:r w:rsidRPr="00731E39">
              <w:t xml:space="preserve">ehicles under </w:t>
            </w:r>
            <w:proofErr w:type="spellStart"/>
            <w:r w:rsidRPr="00731E39">
              <w:t>VicFleet</w:t>
            </w:r>
            <w:proofErr w:type="spellEnd"/>
            <w:r w:rsidRPr="00731E39">
              <w:t xml:space="preserve"> </w:t>
            </w:r>
            <w:r>
              <w:t>lease a</w:t>
            </w:r>
            <w:r w:rsidRPr="00731E39">
              <w:t xml:space="preserve">ccumulated </w:t>
            </w:r>
            <w:r>
              <w:t>a</w:t>
            </w:r>
            <w:r w:rsidRPr="00731E39">
              <w:t>mortisation</w:t>
            </w:r>
          </w:p>
        </w:tc>
        <w:tc>
          <w:tcPr>
            <w:cnfStyle w:val="000001000000" w:firstRow="0" w:lastRow="0" w:firstColumn="0" w:lastColumn="0" w:oddVBand="0" w:evenVBand="1" w:oddHBand="0" w:evenHBand="0" w:firstRowFirstColumn="0" w:firstRowLastColumn="0" w:lastRowFirstColumn="0" w:lastRowLastColumn="0"/>
            <w:tcW w:w="2250" w:type="dxa"/>
          </w:tcPr>
          <w:p w:rsidR="00623130" w:rsidRPr="00731E39" w:rsidRDefault="00623130" w:rsidP="00A94229">
            <w:pPr>
              <w:pStyle w:val="Tabletext"/>
            </w:pPr>
            <w:r w:rsidRPr="00731E39">
              <w:t>81810</w:t>
            </w:r>
          </w:p>
          <w:p w:rsidR="00623130" w:rsidRPr="00731E39" w:rsidRDefault="00623130" w:rsidP="00A94229">
            <w:pPr>
              <w:pStyle w:val="Tabletext"/>
            </w:pPr>
            <w:r w:rsidRPr="00731E39">
              <w:t>26922</w:t>
            </w:r>
            <w:r>
              <w:noBreakHyphen/>
            </w:r>
            <w:r w:rsidRPr="00731E39">
              <w:t>26930</w:t>
            </w:r>
          </w:p>
        </w:tc>
        <w:tc>
          <w:tcPr>
            <w:cnfStyle w:val="000010000000" w:firstRow="0" w:lastRow="0" w:firstColumn="0" w:lastColumn="0" w:oddVBand="1" w:evenVBand="0" w:oddHBand="0" w:evenHBand="0" w:firstRowFirstColumn="0" w:firstRowLastColumn="0" w:lastRowFirstColumn="0" w:lastRowLastColumn="0"/>
            <w:tcW w:w="2126" w:type="dxa"/>
          </w:tcPr>
          <w:p w:rsidR="00623130" w:rsidRPr="00731E39" w:rsidRDefault="00623130" w:rsidP="00A94229">
            <w:pPr>
              <w:pStyle w:val="Tabletext"/>
            </w:pPr>
            <w:r w:rsidRPr="00731E39">
              <w:t>20XX</w:t>
            </w:r>
          </w:p>
          <w:p w:rsidR="00623130" w:rsidRPr="00731E39" w:rsidRDefault="00623130" w:rsidP="00A94229">
            <w:pPr>
              <w:pStyle w:val="Tabletext"/>
            </w:pPr>
            <w:r w:rsidRPr="00731E39">
              <w:t>3000</w:t>
            </w:r>
          </w:p>
        </w:tc>
        <w:tc>
          <w:tcPr>
            <w:cnfStyle w:val="000001000000" w:firstRow="0" w:lastRow="0" w:firstColumn="0" w:lastColumn="0" w:oddVBand="0" w:evenVBand="1" w:oddHBand="0" w:evenHBand="0" w:firstRowFirstColumn="0" w:firstRowLastColumn="0" w:lastRowFirstColumn="0" w:lastRowLastColumn="0"/>
            <w:tcW w:w="3274" w:type="dxa"/>
          </w:tcPr>
          <w:p w:rsidR="00623130" w:rsidRPr="00731E39" w:rsidRDefault="00623130" w:rsidP="00A94229">
            <w:pPr>
              <w:pStyle w:val="Tabletext"/>
            </w:pPr>
            <w:r w:rsidRPr="00731E39">
              <w:t xml:space="preserve">Operating </w:t>
            </w:r>
            <w:r>
              <w:t>e</w:t>
            </w:r>
            <w:r w:rsidRPr="00731E39">
              <w:t>xpense</w:t>
            </w:r>
          </w:p>
          <w:p w:rsidR="00623130" w:rsidRPr="00731E39" w:rsidRDefault="00623130" w:rsidP="00A94229">
            <w:pPr>
              <w:pStyle w:val="Tabletext"/>
            </w:pPr>
            <w:r>
              <w:t>Non</w:t>
            </w:r>
            <w:r>
              <w:noBreakHyphen/>
              <w:t>c</w:t>
            </w:r>
            <w:r w:rsidRPr="00731E39">
              <w:t xml:space="preserve">urrent </w:t>
            </w:r>
            <w:r>
              <w:t>a</w:t>
            </w:r>
            <w:r w:rsidRPr="00731E39">
              <w:t>sset</w:t>
            </w:r>
          </w:p>
        </w:tc>
      </w:tr>
      <w:tr w:rsidR="00623130" w:rsidRPr="00731E39" w:rsidTr="00EE3550">
        <w:trPr>
          <w:cantSplit w:val="0"/>
        </w:trPr>
        <w:tc>
          <w:tcPr>
            <w:cnfStyle w:val="000010000000" w:firstRow="0" w:lastRow="0" w:firstColumn="0" w:lastColumn="0" w:oddVBand="1" w:evenVBand="0" w:oddHBand="0" w:evenHBand="0" w:firstRowFirstColumn="0" w:firstRowLastColumn="0" w:lastRowFirstColumn="0" w:lastRowLastColumn="0"/>
            <w:tcW w:w="6357" w:type="dxa"/>
          </w:tcPr>
          <w:p w:rsidR="00623130" w:rsidRPr="00F6612C" w:rsidRDefault="00623130" w:rsidP="00A94229">
            <w:pPr>
              <w:pStyle w:val="Tabletext"/>
              <w:rPr>
                <w:b/>
              </w:rPr>
            </w:pPr>
            <w:r w:rsidRPr="00F6612C">
              <w:rPr>
                <w:b/>
              </w:rPr>
              <w:t xml:space="preserve">Monthly </w:t>
            </w:r>
            <w:r>
              <w:rPr>
                <w:b/>
              </w:rPr>
              <w:t>l</w:t>
            </w:r>
            <w:r w:rsidRPr="00F6612C">
              <w:rPr>
                <w:b/>
              </w:rPr>
              <w:t xml:space="preserve">ease </w:t>
            </w:r>
            <w:r>
              <w:rPr>
                <w:b/>
              </w:rPr>
              <w:t>e</w:t>
            </w:r>
            <w:r w:rsidRPr="00F6612C">
              <w:rPr>
                <w:b/>
              </w:rPr>
              <w:t xml:space="preserve">xpense – </w:t>
            </w:r>
            <w:r>
              <w:rPr>
                <w:b/>
              </w:rPr>
              <w:t>journal</w:t>
            </w:r>
            <w:r w:rsidRPr="00F6612C">
              <w:rPr>
                <w:b/>
              </w:rPr>
              <w:t xml:space="preserve"> provided by </w:t>
            </w:r>
            <w:proofErr w:type="spellStart"/>
            <w:r>
              <w:rPr>
                <w:b/>
              </w:rPr>
              <w:t>VicFleet</w:t>
            </w:r>
            <w:proofErr w:type="spellEnd"/>
          </w:p>
        </w:tc>
        <w:tc>
          <w:tcPr>
            <w:cnfStyle w:val="000001000000" w:firstRow="0" w:lastRow="0" w:firstColumn="0" w:lastColumn="0" w:oddVBand="0" w:evenVBand="1" w:oddHBand="0" w:evenHBand="0" w:firstRowFirstColumn="0" w:firstRowLastColumn="0" w:lastRowFirstColumn="0" w:lastRowLastColumn="0"/>
            <w:tcW w:w="2250" w:type="dxa"/>
          </w:tcPr>
          <w:p w:rsidR="00623130" w:rsidRPr="00731E39" w:rsidRDefault="00623130" w:rsidP="00A94229">
            <w:pPr>
              <w:pStyle w:val="Tabletext"/>
            </w:pPr>
          </w:p>
        </w:tc>
        <w:tc>
          <w:tcPr>
            <w:cnfStyle w:val="000010000000" w:firstRow="0" w:lastRow="0" w:firstColumn="0" w:lastColumn="0" w:oddVBand="1" w:evenVBand="0" w:oddHBand="0" w:evenHBand="0" w:firstRowFirstColumn="0" w:firstRowLastColumn="0" w:lastRowFirstColumn="0" w:lastRowLastColumn="0"/>
            <w:tcW w:w="2126" w:type="dxa"/>
          </w:tcPr>
          <w:p w:rsidR="00623130" w:rsidRPr="00731E39" w:rsidRDefault="00623130" w:rsidP="00A94229">
            <w:pPr>
              <w:pStyle w:val="Tabletext"/>
            </w:pPr>
          </w:p>
        </w:tc>
        <w:tc>
          <w:tcPr>
            <w:cnfStyle w:val="000001000000" w:firstRow="0" w:lastRow="0" w:firstColumn="0" w:lastColumn="0" w:oddVBand="0" w:evenVBand="1" w:oddHBand="0" w:evenHBand="0" w:firstRowFirstColumn="0" w:firstRowLastColumn="0" w:lastRowFirstColumn="0" w:lastRowLastColumn="0"/>
            <w:tcW w:w="3274" w:type="dxa"/>
          </w:tcPr>
          <w:p w:rsidR="00623130" w:rsidRPr="00731E39" w:rsidRDefault="00623130" w:rsidP="00A94229">
            <w:pPr>
              <w:pStyle w:val="Tabletext"/>
            </w:pPr>
          </w:p>
        </w:tc>
      </w:tr>
      <w:tr w:rsidR="00623130" w:rsidRPr="00731E39" w:rsidTr="00EE3550">
        <w:trPr>
          <w:cantSplit w:val="0"/>
        </w:trPr>
        <w:tc>
          <w:tcPr>
            <w:cnfStyle w:val="000010000000" w:firstRow="0" w:lastRow="0" w:firstColumn="0" w:lastColumn="0" w:oddVBand="1" w:evenVBand="0" w:oddHBand="0" w:evenHBand="0" w:firstRowFirstColumn="0" w:firstRowLastColumn="0" w:lastRowFirstColumn="0" w:lastRowLastColumn="0"/>
            <w:tcW w:w="6357" w:type="dxa"/>
          </w:tcPr>
          <w:p w:rsidR="00623130" w:rsidRPr="00731E39" w:rsidRDefault="00623130" w:rsidP="00A94229">
            <w:pPr>
              <w:pStyle w:val="Tabletext"/>
            </w:pPr>
            <w:r w:rsidRPr="00731E39">
              <w:t xml:space="preserve">Dr Operating </w:t>
            </w:r>
            <w:r>
              <w:t>s</w:t>
            </w:r>
            <w:r w:rsidRPr="00731E39">
              <w:t xml:space="preserve">upplies and </w:t>
            </w:r>
            <w:r>
              <w:t>c</w:t>
            </w:r>
            <w:r w:rsidRPr="00731E39">
              <w:t>onsumables</w:t>
            </w:r>
          </w:p>
          <w:p w:rsidR="00623130" w:rsidRPr="00731E39" w:rsidRDefault="00623130" w:rsidP="00A94229">
            <w:pPr>
              <w:pStyle w:val="Tabletext"/>
            </w:pPr>
            <w:r w:rsidRPr="00731E39">
              <w:t xml:space="preserve">Dr Finance </w:t>
            </w:r>
            <w:r>
              <w:t>l</w:t>
            </w:r>
            <w:r w:rsidRPr="00731E39">
              <w:t xml:space="preserve">ease </w:t>
            </w:r>
            <w:r>
              <w:t>i</w:t>
            </w:r>
            <w:r w:rsidRPr="00731E39">
              <w:t xml:space="preserve">nterest – </w:t>
            </w:r>
            <w:proofErr w:type="spellStart"/>
            <w:r w:rsidRPr="00731E39">
              <w:t>VicFleet</w:t>
            </w:r>
            <w:proofErr w:type="spellEnd"/>
            <w:r w:rsidRPr="00731E39">
              <w:t xml:space="preserve"> </w:t>
            </w:r>
            <w:r>
              <w:t>motor vehicle</w:t>
            </w:r>
            <w:r w:rsidRPr="00731E39">
              <w:t xml:space="preserve"> </w:t>
            </w:r>
            <w:r>
              <w:t>l</w:t>
            </w:r>
            <w:r w:rsidRPr="00731E39">
              <w:t>ease</w:t>
            </w:r>
          </w:p>
          <w:p w:rsidR="00623130" w:rsidRPr="00731E39" w:rsidRDefault="00623130" w:rsidP="00A94229">
            <w:pPr>
              <w:pStyle w:val="Tabletext"/>
            </w:pPr>
            <w:r w:rsidRPr="00731E39">
              <w:t xml:space="preserve">Dr </w:t>
            </w:r>
            <w:proofErr w:type="spellStart"/>
            <w:r w:rsidRPr="00731E39">
              <w:t>VicFleet</w:t>
            </w:r>
            <w:proofErr w:type="spellEnd"/>
            <w:r w:rsidRPr="00731E39">
              <w:t xml:space="preserve"> </w:t>
            </w:r>
            <w:r>
              <w:t>motor vehicle f</w:t>
            </w:r>
            <w:r w:rsidRPr="00731E39">
              <w:t xml:space="preserve">inance </w:t>
            </w:r>
            <w:r>
              <w:t>l</w:t>
            </w:r>
            <w:r w:rsidRPr="00731E39">
              <w:t xml:space="preserve">ease </w:t>
            </w:r>
            <w:r>
              <w:t>l</w:t>
            </w:r>
            <w:r w:rsidRPr="00731E39">
              <w:t xml:space="preserve">iability </w:t>
            </w:r>
          </w:p>
          <w:p w:rsidR="00623130" w:rsidRPr="00731E39" w:rsidRDefault="00623130" w:rsidP="00A94229">
            <w:pPr>
              <w:pStyle w:val="Tabletext"/>
            </w:pPr>
            <w:r w:rsidRPr="00731E39">
              <w:t xml:space="preserve">Dr </w:t>
            </w:r>
            <w:proofErr w:type="spellStart"/>
            <w:r w:rsidRPr="00731E39">
              <w:t>VicFleet</w:t>
            </w:r>
            <w:proofErr w:type="spellEnd"/>
            <w:r w:rsidRPr="00731E39">
              <w:t xml:space="preserve"> </w:t>
            </w:r>
            <w:r>
              <w:t>motor vehicle l</w:t>
            </w:r>
            <w:r w:rsidRPr="00731E39">
              <w:t xml:space="preserve">ease </w:t>
            </w:r>
            <w:r>
              <w:t>l</w:t>
            </w:r>
            <w:r w:rsidRPr="00731E39">
              <w:t xml:space="preserve">iability – </w:t>
            </w:r>
            <w:r>
              <w:t>n</w:t>
            </w:r>
            <w:r w:rsidRPr="00731E39">
              <w:t xml:space="preserve">ew </w:t>
            </w:r>
            <w:r>
              <w:t>l</w:t>
            </w:r>
            <w:r w:rsidRPr="00731E39">
              <w:t>eases</w:t>
            </w:r>
          </w:p>
          <w:p w:rsidR="00623130" w:rsidRPr="00731E39" w:rsidRDefault="00623130" w:rsidP="00A94229">
            <w:pPr>
              <w:pStyle w:val="Tabletext"/>
            </w:pPr>
            <w:r w:rsidRPr="00731E39">
              <w:t xml:space="preserve">Cr Accounts </w:t>
            </w:r>
            <w:r>
              <w:t>p</w:t>
            </w:r>
            <w:r w:rsidRPr="00731E39">
              <w:t xml:space="preserve">ayable </w:t>
            </w:r>
          </w:p>
        </w:tc>
        <w:tc>
          <w:tcPr>
            <w:cnfStyle w:val="000001000000" w:firstRow="0" w:lastRow="0" w:firstColumn="0" w:lastColumn="0" w:oddVBand="0" w:evenVBand="1" w:oddHBand="0" w:evenHBand="0" w:firstRowFirstColumn="0" w:firstRowLastColumn="0" w:lastRowFirstColumn="0" w:lastRowLastColumn="0"/>
            <w:tcW w:w="2250" w:type="dxa"/>
          </w:tcPr>
          <w:p w:rsidR="00623130" w:rsidRPr="00731E39" w:rsidRDefault="00623130" w:rsidP="00A94229">
            <w:pPr>
              <w:pStyle w:val="Tabletext"/>
            </w:pPr>
            <w:r w:rsidRPr="00731E39">
              <w:t>86000</w:t>
            </w:r>
          </w:p>
          <w:p w:rsidR="00623130" w:rsidRPr="00731E39" w:rsidRDefault="00623130" w:rsidP="00A94229">
            <w:pPr>
              <w:pStyle w:val="Tabletext"/>
            </w:pPr>
            <w:r w:rsidRPr="00731E39">
              <w:t>82010</w:t>
            </w:r>
          </w:p>
          <w:p w:rsidR="00623130" w:rsidRPr="00731E39" w:rsidRDefault="00623130" w:rsidP="00A94229">
            <w:pPr>
              <w:pStyle w:val="Tabletext"/>
            </w:pPr>
            <w:r w:rsidRPr="00731E39">
              <w:t>30910</w:t>
            </w:r>
            <w:r>
              <w:t xml:space="preserve"> </w:t>
            </w:r>
            <w:r w:rsidRPr="00731E39">
              <w:t>/</w:t>
            </w:r>
            <w:r>
              <w:t xml:space="preserve"> </w:t>
            </w:r>
            <w:r w:rsidRPr="00731E39">
              <w:t>41110</w:t>
            </w:r>
          </w:p>
          <w:p w:rsidR="00623130" w:rsidRPr="00731E39" w:rsidRDefault="00623130" w:rsidP="00A94229">
            <w:pPr>
              <w:pStyle w:val="Tabletext"/>
            </w:pPr>
            <w:r w:rsidRPr="00731E39">
              <w:t>30915</w:t>
            </w:r>
            <w:r>
              <w:t xml:space="preserve"> </w:t>
            </w:r>
            <w:r w:rsidRPr="00731E39">
              <w:t>/</w:t>
            </w:r>
            <w:r>
              <w:t xml:space="preserve"> </w:t>
            </w:r>
            <w:r w:rsidRPr="00731E39">
              <w:t>41115</w:t>
            </w:r>
          </w:p>
          <w:p w:rsidR="00623130" w:rsidRPr="00731E39" w:rsidRDefault="00623130" w:rsidP="00A94229">
            <w:pPr>
              <w:pStyle w:val="Tabletext"/>
            </w:pPr>
            <w:r w:rsidRPr="00731E39">
              <w:t>301</w:t>
            </w:r>
            <w:r>
              <w:t>1</w:t>
            </w:r>
            <w:r w:rsidRPr="00731E39">
              <w:t>0</w:t>
            </w:r>
            <w:r>
              <w:t xml:space="preserve"> </w:t>
            </w:r>
            <w:r w:rsidRPr="00731E39">
              <w:t>/</w:t>
            </w:r>
            <w:r>
              <w:t xml:space="preserve"> </w:t>
            </w:r>
            <w:r w:rsidRPr="00731E39">
              <w:t>302</w:t>
            </w:r>
            <w:r>
              <w:t>1</w:t>
            </w:r>
            <w:r w:rsidRPr="00731E39">
              <w:t>0</w:t>
            </w:r>
          </w:p>
        </w:tc>
        <w:tc>
          <w:tcPr>
            <w:cnfStyle w:val="000010000000" w:firstRow="0" w:lastRow="0" w:firstColumn="0" w:lastColumn="0" w:oddVBand="1" w:evenVBand="0" w:oddHBand="0" w:evenHBand="0" w:firstRowFirstColumn="0" w:firstRowLastColumn="0" w:lastRowFirstColumn="0" w:lastRowLastColumn="0"/>
            <w:tcW w:w="2126" w:type="dxa"/>
          </w:tcPr>
          <w:p w:rsidR="00623130" w:rsidRPr="00731E39" w:rsidRDefault="00623130" w:rsidP="00A94229">
            <w:pPr>
              <w:pStyle w:val="Tabletext"/>
            </w:pPr>
            <w:r w:rsidRPr="00731E39">
              <w:t>20XX</w:t>
            </w:r>
          </w:p>
          <w:p w:rsidR="00623130" w:rsidRPr="00731E39" w:rsidRDefault="00623130" w:rsidP="00A94229">
            <w:pPr>
              <w:pStyle w:val="Tabletext"/>
            </w:pPr>
            <w:r w:rsidRPr="00731E39">
              <w:t>20XX</w:t>
            </w:r>
          </w:p>
          <w:p w:rsidR="00623130" w:rsidRPr="00731E39" w:rsidRDefault="00623130" w:rsidP="00A94229">
            <w:pPr>
              <w:pStyle w:val="Tabletext"/>
            </w:pPr>
            <w:r w:rsidRPr="00731E39">
              <w:t>31XX</w:t>
            </w:r>
          </w:p>
          <w:p w:rsidR="00623130" w:rsidRPr="00731E39" w:rsidRDefault="00623130" w:rsidP="00A94229">
            <w:pPr>
              <w:pStyle w:val="Tabletext"/>
            </w:pPr>
            <w:r w:rsidRPr="00731E39">
              <w:t>31XX</w:t>
            </w:r>
          </w:p>
          <w:p w:rsidR="00623130" w:rsidRPr="00731E39" w:rsidRDefault="00623130" w:rsidP="00A94229">
            <w:pPr>
              <w:pStyle w:val="Tabletext"/>
            </w:pPr>
            <w:r w:rsidRPr="00731E39">
              <w:t xml:space="preserve">3000 </w:t>
            </w:r>
          </w:p>
        </w:tc>
        <w:tc>
          <w:tcPr>
            <w:cnfStyle w:val="000001000000" w:firstRow="0" w:lastRow="0" w:firstColumn="0" w:lastColumn="0" w:oddVBand="0" w:evenVBand="1" w:oddHBand="0" w:evenHBand="0" w:firstRowFirstColumn="0" w:firstRowLastColumn="0" w:lastRowFirstColumn="0" w:lastRowLastColumn="0"/>
            <w:tcW w:w="3274" w:type="dxa"/>
          </w:tcPr>
          <w:p w:rsidR="00623130" w:rsidRPr="00731E39" w:rsidRDefault="00623130" w:rsidP="00A94229">
            <w:pPr>
              <w:pStyle w:val="Tabletext"/>
            </w:pPr>
            <w:r w:rsidRPr="00731E39">
              <w:t xml:space="preserve">Operating </w:t>
            </w:r>
            <w:r>
              <w:t>e</w:t>
            </w:r>
            <w:r w:rsidRPr="00731E39">
              <w:t>xpense</w:t>
            </w:r>
          </w:p>
          <w:p w:rsidR="00623130" w:rsidRPr="00731E39" w:rsidRDefault="00623130" w:rsidP="00A94229">
            <w:pPr>
              <w:pStyle w:val="Tabletext"/>
            </w:pPr>
            <w:r>
              <w:t>Operating e</w:t>
            </w:r>
            <w:r w:rsidRPr="00731E39">
              <w:t>xpense</w:t>
            </w:r>
          </w:p>
          <w:p w:rsidR="00623130" w:rsidRPr="00731E39" w:rsidRDefault="00623130" w:rsidP="00A94229">
            <w:pPr>
              <w:pStyle w:val="Tabletext"/>
            </w:pPr>
            <w:r w:rsidRPr="00731E39">
              <w:t xml:space="preserve">Current or </w:t>
            </w:r>
            <w:r>
              <w:t>n</w:t>
            </w:r>
            <w:r w:rsidRPr="00731E39">
              <w:t>on</w:t>
            </w:r>
            <w:r>
              <w:noBreakHyphen/>
              <w:t>c</w:t>
            </w:r>
            <w:r w:rsidRPr="00731E39">
              <w:t xml:space="preserve">urrent </w:t>
            </w:r>
            <w:r>
              <w:t>l</w:t>
            </w:r>
            <w:r w:rsidRPr="00731E39">
              <w:t>iability</w:t>
            </w:r>
          </w:p>
          <w:p w:rsidR="00623130" w:rsidRPr="00731E39" w:rsidRDefault="00623130" w:rsidP="00A94229">
            <w:pPr>
              <w:pStyle w:val="Tabletext"/>
            </w:pPr>
            <w:r w:rsidRPr="00731E39">
              <w:t xml:space="preserve">Current or </w:t>
            </w:r>
            <w:r>
              <w:t>n</w:t>
            </w:r>
            <w:r w:rsidRPr="00731E39">
              <w:t>on</w:t>
            </w:r>
            <w:r>
              <w:noBreakHyphen/>
              <w:t>c</w:t>
            </w:r>
            <w:r w:rsidRPr="00731E39">
              <w:t xml:space="preserve">urrent </w:t>
            </w:r>
            <w:r>
              <w:t>l</w:t>
            </w:r>
            <w:r w:rsidRPr="00731E39">
              <w:t>iability</w:t>
            </w:r>
          </w:p>
          <w:p w:rsidR="00623130" w:rsidRPr="00731E39" w:rsidRDefault="00623130" w:rsidP="00A94229">
            <w:pPr>
              <w:pStyle w:val="Tabletext"/>
            </w:pPr>
            <w:r w:rsidRPr="00731E39">
              <w:t xml:space="preserve">Current </w:t>
            </w:r>
            <w:r>
              <w:t>l</w:t>
            </w:r>
            <w:r w:rsidRPr="00731E39">
              <w:t>iability</w:t>
            </w:r>
          </w:p>
        </w:tc>
      </w:tr>
      <w:tr w:rsidR="00623130" w:rsidRPr="00731E39" w:rsidTr="00EE3550">
        <w:trPr>
          <w:cantSplit w:val="0"/>
        </w:trPr>
        <w:tc>
          <w:tcPr>
            <w:cnfStyle w:val="000010000000" w:firstRow="0" w:lastRow="0" w:firstColumn="0" w:lastColumn="0" w:oddVBand="1" w:evenVBand="0" w:oddHBand="0" w:evenHBand="0" w:firstRowFirstColumn="0" w:firstRowLastColumn="0" w:lastRowFirstColumn="0" w:lastRowLastColumn="0"/>
            <w:tcW w:w="6357" w:type="dxa"/>
          </w:tcPr>
          <w:p w:rsidR="00623130" w:rsidRPr="00F6612C" w:rsidRDefault="00623130" w:rsidP="00A94229">
            <w:pPr>
              <w:pStyle w:val="Tabletext"/>
              <w:rPr>
                <w:b/>
              </w:rPr>
            </w:pPr>
            <w:r w:rsidRPr="00F6612C">
              <w:rPr>
                <w:b/>
              </w:rPr>
              <w:t xml:space="preserve">Payment of </w:t>
            </w:r>
            <w:r>
              <w:rPr>
                <w:b/>
              </w:rPr>
              <w:t>i</w:t>
            </w:r>
            <w:r w:rsidRPr="00F6612C">
              <w:rPr>
                <w:b/>
              </w:rPr>
              <w:t>nvoice</w:t>
            </w:r>
          </w:p>
          <w:p w:rsidR="00623130" w:rsidRPr="00731E39" w:rsidRDefault="00623130" w:rsidP="00A94229">
            <w:pPr>
              <w:pStyle w:val="Tabletext"/>
            </w:pPr>
            <w:r w:rsidRPr="00731E39">
              <w:t xml:space="preserve">Dr Accounts </w:t>
            </w:r>
            <w:r>
              <w:t>p</w:t>
            </w:r>
            <w:r w:rsidRPr="00731E39">
              <w:t>ayable</w:t>
            </w:r>
          </w:p>
          <w:p w:rsidR="00623130" w:rsidRPr="00731E39" w:rsidRDefault="00623130" w:rsidP="00A94229">
            <w:pPr>
              <w:pStyle w:val="Tabletext"/>
            </w:pPr>
            <w:r w:rsidRPr="00731E39">
              <w:t>Cr SAU Inter</w:t>
            </w:r>
            <w:r>
              <w:t>-e</w:t>
            </w:r>
            <w:r w:rsidRPr="00731E39">
              <w:t xml:space="preserve">ntity </w:t>
            </w:r>
            <w:r>
              <w:t>a</w:t>
            </w:r>
            <w:r w:rsidRPr="00731E39">
              <w:t>ccount*</w:t>
            </w:r>
          </w:p>
          <w:p w:rsidR="00623130" w:rsidRPr="00731E39" w:rsidRDefault="00623130" w:rsidP="00A94229">
            <w:pPr>
              <w:pStyle w:val="Tabletext"/>
              <w:rPr>
                <w:color w:val="008000"/>
              </w:rPr>
            </w:pPr>
            <w:r w:rsidRPr="00731E39">
              <w:t>(or for entities/agencies</w:t>
            </w:r>
            <w:r>
              <w:t xml:space="preserve"> operating outside of the Public Account</w:t>
            </w:r>
            <w:r w:rsidRPr="00731E39">
              <w:t>)</w:t>
            </w:r>
          </w:p>
          <w:p w:rsidR="00623130" w:rsidRPr="00731E39" w:rsidRDefault="00623130" w:rsidP="00A94229">
            <w:pPr>
              <w:pStyle w:val="Tabletext"/>
            </w:pPr>
            <w:r>
              <w:t>Cr Bank account – Cash on h</w:t>
            </w:r>
            <w:r w:rsidRPr="00731E39">
              <w:t xml:space="preserve">and and other </w:t>
            </w:r>
            <w:r>
              <w:t>b</w:t>
            </w:r>
            <w:r w:rsidRPr="00731E39">
              <w:t xml:space="preserve">ank </w:t>
            </w:r>
            <w:r>
              <w:t>a</w:t>
            </w:r>
            <w:r w:rsidRPr="00731E39">
              <w:t>ccounts*</w:t>
            </w:r>
          </w:p>
          <w:p w:rsidR="00623130" w:rsidRPr="00731E39" w:rsidRDefault="00623130" w:rsidP="00A94229">
            <w:pPr>
              <w:pStyle w:val="NoteNormal"/>
            </w:pPr>
            <w:r w:rsidRPr="00731E39">
              <w:t xml:space="preserve">* Account 10400 is to be used by entities </w:t>
            </w:r>
            <w:r>
              <w:t>operating outside the Public Account</w:t>
            </w:r>
            <w:r w:rsidRPr="00731E39">
              <w:t>. Only Public Account entities can use account 45000.</w:t>
            </w:r>
          </w:p>
        </w:tc>
        <w:tc>
          <w:tcPr>
            <w:cnfStyle w:val="000001000000" w:firstRow="0" w:lastRow="0" w:firstColumn="0" w:lastColumn="0" w:oddVBand="0" w:evenVBand="1" w:oddHBand="0" w:evenHBand="0" w:firstRowFirstColumn="0" w:firstRowLastColumn="0" w:lastRowFirstColumn="0" w:lastRowLastColumn="0"/>
            <w:tcW w:w="2250" w:type="dxa"/>
          </w:tcPr>
          <w:p w:rsidR="00623130" w:rsidRPr="00731E39" w:rsidRDefault="00623130" w:rsidP="00A94229">
            <w:pPr>
              <w:pStyle w:val="Tabletext"/>
            </w:pPr>
          </w:p>
          <w:p w:rsidR="00623130" w:rsidRPr="00731E39" w:rsidRDefault="00623130" w:rsidP="00A94229">
            <w:pPr>
              <w:pStyle w:val="Tabletext"/>
            </w:pPr>
            <w:r w:rsidRPr="00731E39">
              <w:t>301</w:t>
            </w:r>
            <w:r>
              <w:t>1</w:t>
            </w:r>
            <w:r w:rsidRPr="00731E39">
              <w:t>0</w:t>
            </w:r>
            <w:r>
              <w:t xml:space="preserve"> </w:t>
            </w:r>
            <w:r w:rsidRPr="00731E39">
              <w:t>/</w:t>
            </w:r>
            <w:r>
              <w:t xml:space="preserve"> </w:t>
            </w:r>
            <w:r w:rsidRPr="00731E39">
              <w:t>302</w:t>
            </w:r>
            <w:r>
              <w:t>1</w:t>
            </w:r>
            <w:r w:rsidRPr="00731E39">
              <w:t>0</w:t>
            </w:r>
          </w:p>
          <w:p w:rsidR="00623130" w:rsidRPr="00731E39" w:rsidRDefault="00623130" w:rsidP="00A94229">
            <w:pPr>
              <w:pStyle w:val="Tabletext"/>
            </w:pPr>
            <w:r w:rsidRPr="00731E39">
              <w:t>45000</w:t>
            </w:r>
          </w:p>
          <w:p w:rsidR="00623130" w:rsidRPr="00731E39" w:rsidRDefault="00623130" w:rsidP="00A94229">
            <w:pPr>
              <w:pStyle w:val="Tabletext"/>
            </w:pPr>
          </w:p>
          <w:p w:rsidR="00623130" w:rsidRPr="00731E39" w:rsidRDefault="00623130" w:rsidP="00A94229">
            <w:pPr>
              <w:pStyle w:val="Tabletext"/>
            </w:pPr>
            <w:r w:rsidRPr="00731E39">
              <w:t>10400</w:t>
            </w:r>
          </w:p>
        </w:tc>
        <w:tc>
          <w:tcPr>
            <w:cnfStyle w:val="000010000000" w:firstRow="0" w:lastRow="0" w:firstColumn="0" w:lastColumn="0" w:oddVBand="1" w:evenVBand="0" w:oddHBand="0" w:evenHBand="0" w:firstRowFirstColumn="0" w:firstRowLastColumn="0" w:lastRowFirstColumn="0" w:lastRowLastColumn="0"/>
            <w:tcW w:w="2126" w:type="dxa"/>
          </w:tcPr>
          <w:p w:rsidR="00623130" w:rsidRPr="00731E39" w:rsidRDefault="00623130" w:rsidP="00A94229">
            <w:pPr>
              <w:pStyle w:val="Tabletext"/>
            </w:pPr>
          </w:p>
          <w:p w:rsidR="00623130" w:rsidRPr="00731E39" w:rsidRDefault="00623130" w:rsidP="00A94229">
            <w:pPr>
              <w:pStyle w:val="Tabletext"/>
            </w:pPr>
            <w:r w:rsidRPr="00731E39">
              <w:t>3000</w:t>
            </w:r>
          </w:p>
          <w:p w:rsidR="00623130" w:rsidRPr="00731E39" w:rsidRDefault="00623130" w:rsidP="00A94229">
            <w:pPr>
              <w:pStyle w:val="Tabletext"/>
            </w:pPr>
            <w:r>
              <w:t xml:space="preserve">20XX or </w:t>
            </w:r>
            <w:r w:rsidRPr="00731E39">
              <w:t xml:space="preserve">31XX </w:t>
            </w:r>
          </w:p>
          <w:p w:rsidR="00623130" w:rsidRPr="00731E39" w:rsidRDefault="00623130" w:rsidP="00A94229">
            <w:pPr>
              <w:pStyle w:val="Tabletext"/>
            </w:pPr>
          </w:p>
          <w:p w:rsidR="00623130" w:rsidRPr="00731E39" w:rsidRDefault="00623130" w:rsidP="00A94229">
            <w:pPr>
              <w:pStyle w:val="Tabletext"/>
            </w:pPr>
            <w:r>
              <w:t>0000</w:t>
            </w:r>
          </w:p>
        </w:tc>
        <w:tc>
          <w:tcPr>
            <w:cnfStyle w:val="000001000000" w:firstRow="0" w:lastRow="0" w:firstColumn="0" w:lastColumn="0" w:oddVBand="0" w:evenVBand="1" w:oddHBand="0" w:evenHBand="0" w:firstRowFirstColumn="0" w:firstRowLastColumn="0" w:lastRowFirstColumn="0" w:lastRowLastColumn="0"/>
            <w:tcW w:w="3274" w:type="dxa"/>
          </w:tcPr>
          <w:p w:rsidR="00623130" w:rsidRPr="00731E39" w:rsidRDefault="00623130" w:rsidP="00A94229">
            <w:pPr>
              <w:pStyle w:val="Tabletext"/>
            </w:pPr>
          </w:p>
          <w:p w:rsidR="00623130" w:rsidRPr="00731E39" w:rsidRDefault="00623130" w:rsidP="00A94229">
            <w:pPr>
              <w:pStyle w:val="Tabletext"/>
            </w:pPr>
            <w:r w:rsidRPr="00731E39">
              <w:t xml:space="preserve">Current </w:t>
            </w:r>
            <w:r>
              <w:t>l</w:t>
            </w:r>
            <w:r w:rsidRPr="00731E39">
              <w:t xml:space="preserve">iability </w:t>
            </w:r>
          </w:p>
          <w:p w:rsidR="00623130" w:rsidRPr="00731E39" w:rsidRDefault="00623130" w:rsidP="00A94229">
            <w:pPr>
              <w:pStyle w:val="Tabletext"/>
            </w:pPr>
            <w:r w:rsidRPr="00731E39">
              <w:t>Asset</w:t>
            </w:r>
          </w:p>
          <w:p w:rsidR="00623130" w:rsidRPr="00731E39" w:rsidRDefault="00623130" w:rsidP="00A94229">
            <w:pPr>
              <w:pStyle w:val="Tabletext"/>
            </w:pPr>
          </w:p>
          <w:p w:rsidR="00623130" w:rsidRPr="00731E39" w:rsidRDefault="00623130" w:rsidP="00A94229">
            <w:pPr>
              <w:pStyle w:val="Tabletext"/>
            </w:pPr>
            <w:r>
              <w:t>Asset</w:t>
            </w:r>
          </w:p>
        </w:tc>
      </w:tr>
    </w:tbl>
    <w:p w:rsidR="00623130" w:rsidRPr="0021170C" w:rsidRDefault="00623130" w:rsidP="00623130">
      <w:pPr>
        <w:pStyle w:val="Tabletext"/>
      </w:pPr>
      <w:r w:rsidRPr="0021170C">
        <w:t xml:space="preserve">Lessee – Sale of </w:t>
      </w:r>
      <w:r>
        <w:t>v</w:t>
      </w:r>
      <w:r w:rsidRPr="0021170C">
        <w:t xml:space="preserve">ehicle </w:t>
      </w:r>
      <w:r>
        <w:t>j</w:t>
      </w:r>
      <w:r w:rsidRPr="0021170C">
        <w:t>ournal entries required at the end of the life of the vehicle lease</w:t>
      </w:r>
    </w:p>
    <w:p w:rsidR="00623130" w:rsidRPr="00731E39" w:rsidRDefault="00623130" w:rsidP="00623130">
      <w:pPr>
        <w:pStyle w:val="Tabletext"/>
        <w:rPr>
          <w:b/>
          <w:bCs/>
        </w:rPr>
      </w:pPr>
      <w:r w:rsidRPr="00731E39">
        <w:rPr>
          <w:b/>
          <w:bCs/>
        </w:rPr>
        <w:t>Note</w:t>
      </w:r>
      <w:r w:rsidRPr="00731E39">
        <w:t xml:space="preserve">: The asset and liability accounts relating to the motor vehicle to be sold must be transferred to </w:t>
      </w:r>
      <w:proofErr w:type="spellStart"/>
      <w:r w:rsidRPr="00731E39">
        <w:t>VicFleet</w:t>
      </w:r>
      <w:proofErr w:type="spellEnd"/>
      <w:r w:rsidRPr="00731E39">
        <w:t xml:space="preserve"> Trust to enable the </w:t>
      </w:r>
      <w:r>
        <w:t>d</w:t>
      </w:r>
      <w:r w:rsidRPr="00731E39">
        <w:t xml:space="preserve">epartment to access profit </w:t>
      </w:r>
      <w:r>
        <w:t>from</w:t>
      </w:r>
      <w:r w:rsidRPr="00731E39">
        <w:t xml:space="preserve"> the sale. If the</w:t>
      </w:r>
      <w:r>
        <w:t xml:space="preserve"> motor vehicle sells for a </w:t>
      </w:r>
      <w:r w:rsidRPr="00731E39">
        <w:t>loss, the Vehicle Lease Trust must be supplemented</w:t>
      </w:r>
      <w:r w:rsidRPr="00A00CA4">
        <w:rPr>
          <w:bCs/>
        </w:rPr>
        <w:t>.</w:t>
      </w:r>
      <w:r w:rsidRPr="00731E39">
        <w:rPr>
          <w:b/>
          <w:bCs/>
        </w:rPr>
        <w:t xml:space="preserve"> Authority and inter</w:t>
      </w:r>
      <w:r>
        <w:rPr>
          <w:b/>
          <w:bCs/>
        </w:rPr>
        <w:noBreakHyphen/>
      </w:r>
      <w:r w:rsidRPr="00731E39">
        <w:rPr>
          <w:b/>
          <w:bCs/>
        </w:rPr>
        <w:t>fund/entity transaction coding do</w:t>
      </w:r>
      <w:r>
        <w:rPr>
          <w:b/>
          <w:bCs/>
        </w:rPr>
        <w:t>es</w:t>
      </w:r>
      <w:r w:rsidRPr="00731E39">
        <w:rPr>
          <w:b/>
          <w:bCs/>
        </w:rPr>
        <w:t xml:space="preserve"> not apply to </w:t>
      </w:r>
      <w:r>
        <w:rPr>
          <w:b/>
          <w:bCs/>
        </w:rPr>
        <w:t xml:space="preserve">entities/agencies operating outside of the </w:t>
      </w:r>
      <w:r w:rsidRPr="00731E39">
        <w:rPr>
          <w:b/>
          <w:bCs/>
        </w:rPr>
        <w:t>Public Account.</w:t>
      </w:r>
    </w:p>
    <w:p w:rsidR="00623130" w:rsidRDefault="00623130" w:rsidP="00623130">
      <w:pPr>
        <w:pStyle w:val="Spacer"/>
      </w:pPr>
    </w:p>
    <w:tbl>
      <w:tblPr>
        <w:tblStyle w:val="DTFtexttable"/>
        <w:tblW w:w="14007" w:type="dxa"/>
        <w:tblLayout w:type="fixed"/>
        <w:tblLook w:val="0220" w:firstRow="1" w:lastRow="0" w:firstColumn="0" w:lastColumn="0" w:noHBand="1" w:noVBand="0"/>
      </w:tblPr>
      <w:tblGrid>
        <w:gridCol w:w="6578"/>
        <w:gridCol w:w="2029"/>
        <w:gridCol w:w="2160"/>
        <w:gridCol w:w="3240"/>
      </w:tblGrid>
      <w:tr w:rsidR="00623130" w:rsidRPr="00F6612C" w:rsidTr="00A94229">
        <w:trPr>
          <w:cnfStyle w:val="100000000000" w:firstRow="1" w:lastRow="0" w:firstColumn="0" w:lastColumn="0" w:oddVBand="0" w:evenVBand="0" w:oddHBand="0"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6578" w:type="dxa"/>
          </w:tcPr>
          <w:p w:rsidR="00623130" w:rsidRPr="00F6612C" w:rsidRDefault="00623130" w:rsidP="00A94229">
            <w:pPr>
              <w:pStyle w:val="Tableheader"/>
              <w:rPr>
                <w:b w:val="0"/>
              </w:rPr>
            </w:pPr>
            <w:r w:rsidRPr="00F6612C">
              <w:t>Entry</w:t>
            </w:r>
          </w:p>
        </w:tc>
        <w:tc>
          <w:tcPr>
            <w:cnfStyle w:val="000001000000" w:firstRow="0" w:lastRow="0" w:firstColumn="0" w:lastColumn="0" w:oddVBand="0" w:evenVBand="1" w:oddHBand="0" w:evenHBand="0" w:firstRowFirstColumn="0" w:firstRowLastColumn="0" w:lastRowFirstColumn="0" w:lastRowLastColumn="0"/>
            <w:tcW w:w="2029" w:type="dxa"/>
          </w:tcPr>
          <w:p w:rsidR="00623130" w:rsidRPr="00F6612C" w:rsidRDefault="00623130" w:rsidP="00A94229">
            <w:pPr>
              <w:pStyle w:val="Tableheader"/>
              <w:rPr>
                <w:b w:val="0"/>
              </w:rPr>
            </w:pPr>
            <w:r>
              <w:t>Account</w:t>
            </w:r>
            <w:r w:rsidRPr="00F6612C">
              <w:t xml:space="preserve"> </w:t>
            </w:r>
            <w:r>
              <w:t>c</w:t>
            </w:r>
            <w:r w:rsidRPr="00F6612C">
              <w:t>ode</w:t>
            </w:r>
          </w:p>
        </w:tc>
        <w:tc>
          <w:tcPr>
            <w:cnfStyle w:val="000010000000" w:firstRow="0" w:lastRow="0" w:firstColumn="0" w:lastColumn="0" w:oddVBand="1" w:evenVBand="0" w:oddHBand="0" w:evenHBand="0" w:firstRowFirstColumn="0" w:firstRowLastColumn="0" w:lastRowFirstColumn="0" w:lastRowLastColumn="0"/>
            <w:tcW w:w="2160" w:type="dxa"/>
          </w:tcPr>
          <w:p w:rsidR="00623130" w:rsidRPr="00F6612C" w:rsidRDefault="00623130" w:rsidP="00A94229">
            <w:pPr>
              <w:pStyle w:val="Tableheader"/>
              <w:rPr>
                <w:b w:val="0"/>
              </w:rPr>
            </w:pPr>
            <w:r w:rsidRPr="00F6612C">
              <w:t xml:space="preserve">Authority </w:t>
            </w:r>
            <w:r>
              <w:t>code</w:t>
            </w:r>
          </w:p>
        </w:tc>
        <w:tc>
          <w:tcPr>
            <w:cnfStyle w:val="000001000000" w:firstRow="0" w:lastRow="0" w:firstColumn="0" w:lastColumn="0" w:oddVBand="0" w:evenVBand="1" w:oddHBand="0" w:evenHBand="0" w:firstRowFirstColumn="0" w:firstRowLastColumn="0" w:lastRowFirstColumn="0" w:lastRowLastColumn="0"/>
            <w:tcW w:w="3240" w:type="dxa"/>
          </w:tcPr>
          <w:p w:rsidR="00623130" w:rsidRPr="00F6612C" w:rsidRDefault="00623130" w:rsidP="00A94229">
            <w:pPr>
              <w:pStyle w:val="Tableheader"/>
              <w:rPr>
                <w:b w:val="0"/>
              </w:rPr>
            </w:pPr>
            <w:r w:rsidRPr="00F6612C">
              <w:t>Category</w:t>
            </w:r>
          </w:p>
        </w:tc>
      </w:tr>
      <w:tr w:rsidR="00623130" w:rsidRPr="00F6612C" w:rsidTr="00A94229">
        <w:trPr>
          <w:trHeight w:val="240"/>
        </w:trPr>
        <w:tc>
          <w:tcPr>
            <w:cnfStyle w:val="000010000000" w:firstRow="0" w:lastRow="0" w:firstColumn="0" w:lastColumn="0" w:oddVBand="1" w:evenVBand="0" w:oddHBand="0" w:evenHBand="0" w:firstRowFirstColumn="0" w:firstRowLastColumn="0" w:lastRowFirstColumn="0" w:lastRowLastColumn="0"/>
            <w:tcW w:w="14007" w:type="dxa"/>
            <w:gridSpan w:val="4"/>
          </w:tcPr>
          <w:p w:rsidR="00623130" w:rsidRPr="00F6612C" w:rsidRDefault="00623130" w:rsidP="00A94229">
            <w:pPr>
              <w:pStyle w:val="Tabletext"/>
              <w:rPr>
                <w:b/>
              </w:rPr>
            </w:pPr>
            <w:r w:rsidRPr="00F6612C">
              <w:rPr>
                <w:b/>
              </w:rPr>
              <w:t xml:space="preserve">Transfer of asset into the Vehicle Lease Trust – </w:t>
            </w:r>
            <w:r>
              <w:rPr>
                <w:b/>
              </w:rPr>
              <w:t xml:space="preserve">journal provided by </w:t>
            </w:r>
            <w:proofErr w:type="spellStart"/>
            <w:r>
              <w:rPr>
                <w:b/>
              </w:rPr>
              <w:t>VicFl</w:t>
            </w:r>
            <w:r w:rsidRPr="00F6612C">
              <w:rPr>
                <w:b/>
              </w:rPr>
              <w:t>eet</w:t>
            </w:r>
            <w:proofErr w:type="spellEnd"/>
            <w:r w:rsidRPr="00F6612C">
              <w:rPr>
                <w:b/>
              </w:rPr>
              <w:t xml:space="preserve"> (</w:t>
            </w:r>
            <w:r>
              <w:rPr>
                <w:b/>
              </w:rPr>
              <w:t>d</w:t>
            </w:r>
            <w:r w:rsidRPr="00F6612C">
              <w:rPr>
                <w:b/>
              </w:rPr>
              <w:t xml:space="preserve">oes not apply to </w:t>
            </w:r>
            <w:r>
              <w:rPr>
                <w:b/>
              </w:rPr>
              <w:t>entities outside of the Public Account</w:t>
            </w:r>
            <w:r w:rsidRPr="00F6612C">
              <w:rPr>
                <w:b/>
              </w:rPr>
              <w:t xml:space="preserve"> or other </w:t>
            </w:r>
            <w:r>
              <w:rPr>
                <w:b/>
              </w:rPr>
              <w:t>t</w:t>
            </w:r>
            <w:r w:rsidRPr="00F6612C">
              <w:rPr>
                <w:b/>
              </w:rPr>
              <w:t xml:space="preserve">rust </w:t>
            </w:r>
            <w:r>
              <w:rPr>
                <w:b/>
              </w:rPr>
              <w:t>f</w:t>
            </w:r>
            <w:r w:rsidRPr="00F6612C">
              <w:rPr>
                <w:b/>
              </w:rPr>
              <w:t xml:space="preserve">und </w:t>
            </w:r>
            <w:r>
              <w:rPr>
                <w:b/>
              </w:rPr>
              <w:t>accounts</w:t>
            </w:r>
            <w:r w:rsidRPr="00F6612C">
              <w:rPr>
                <w:b/>
              </w:rPr>
              <w:t>)</w:t>
            </w:r>
          </w:p>
          <w:p w:rsidR="00623130" w:rsidRPr="00F6612C" w:rsidRDefault="00623130" w:rsidP="00A94229">
            <w:pPr>
              <w:pStyle w:val="Tabletext"/>
              <w:rPr>
                <w:b/>
              </w:rPr>
            </w:pPr>
            <w:r>
              <w:rPr>
                <w:b/>
              </w:rPr>
              <w:t>Assumes the d</w:t>
            </w:r>
            <w:r w:rsidRPr="00F6612C">
              <w:rPr>
                <w:b/>
              </w:rPr>
              <w:t xml:space="preserve">epartment is transferring the asset into the </w:t>
            </w:r>
            <w:proofErr w:type="spellStart"/>
            <w:r w:rsidRPr="00F6612C">
              <w:rPr>
                <w:b/>
              </w:rPr>
              <w:t>VicFleet</w:t>
            </w:r>
            <w:proofErr w:type="spellEnd"/>
            <w:r w:rsidRPr="00F6612C">
              <w:rPr>
                <w:b/>
              </w:rPr>
              <w:t xml:space="preserve"> Trust:</w:t>
            </w:r>
          </w:p>
        </w:tc>
      </w:tr>
      <w:tr w:rsidR="00623130" w:rsidRPr="00731E39" w:rsidTr="00A94229">
        <w:tc>
          <w:tcPr>
            <w:cnfStyle w:val="000010000000" w:firstRow="0" w:lastRow="0" w:firstColumn="0" w:lastColumn="0" w:oddVBand="1" w:evenVBand="0" w:oddHBand="0" w:evenHBand="0" w:firstRowFirstColumn="0" w:firstRowLastColumn="0" w:lastRowFirstColumn="0" w:lastRowLastColumn="0"/>
            <w:tcW w:w="6578" w:type="dxa"/>
          </w:tcPr>
          <w:p w:rsidR="00623130" w:rsidRPr="00731E39" w:rsidRDefault="00623130" w:rsidP="00A94229">
            <w:pPr>
              <w:pStyle w:val="Tabletext"/>
            </w:pPr>
            <w:r w:rsidRPr="00731E39">
              <w:t>Dr</w:t>
            </w:r>
            <w:r>
              <w:t>/Cr</w:t>
            </w:r>
            <w:r w:rsidRPr="00731E39">
              <w:t xml:space="preserve"> Motor </w:t>
            </w:r>
            <w:r>
              <w:t>v</w:t>
            </w:r>
            <w:r w:rsidRPr="00731E39">
              <w:t xml:space="preserve">ehicles </w:t>
            </w:r>
            <w:r>
              <w:t>u</w:t>
            </w:r>
            <w:r w:rsidRPr="00731E39">
              <w:t xml:space="preserve">nder </w:t>
            </w:r>
            <w:proofErr w:type="spellStart"/>
            <w:r w:rsidRPr="00731E39">
              <w:t>VicFleet</w:t>
            </w:r>
            <w:proofErr w:type="spellEnd"/>
            <w:r w:rsidRPr="00731E39">
              <w:t xml:space="preserve"> </w:t>
            </w:r>
            <w:r>
              <w:t>l</w:t>
            </w:r>
            <w:r w:rsidRPr="00731E39">
              <w:t>ease</w:t>
            </w:r>
          </w:p>
          <w:p w:rsidR="00623130" w:rsidRPr="00731E39" w:rsidRDefault="00623130" w:rsidP="00A94229">
            <w:pPr>
              <w:pStyle w:val="Tabletext"/>
            </w:pPr>
            <w:r w:rsidRPr="00731E39">
              <w:t>Dr</w:t>
            </w:r>
            <w:r>
              <w:t xml:space="preserve">/Cr Motor vehicles under </w:t>
            </w:r>
            <w:proofErr w:type="spellStart"/>
            <w:r>
              <w:t>VicFleet</w:t>
            </w:r>
            <w:proofErr w:type="spellEnd"/>
            <w:r>
              <w:t xml:space="preserve"> l</w:t>
            </w:r>
            <w:r w:rsidRPr="00731E39">
              <w:t xml:space="preserve">ease </w:t>
            </w:r>
            <w:r>
              <w:t>a</w:t>
            </w:r>
            <w:r w:rsidRPr="00731E39">
              <w:t xml:space="preserve">ccumulated </w:t>
            </w:r>
            <w:r>
              <w:t>a</w:t>
            </w:r>
            <w:r w:rsidRPr="00731E39">
              <w:t>mortisation</w:t>
            </w:r>
          </w:p>
          <w:p w:rsidR="00623130" w:rsidRPr="00731E39" w:rsidRDefault="00623130" w:rsidP="00A94229">
            <w:pPr>
              <w:pStyle w:val="Tabletext"/>
            </w:pPr>
            <w:r w:rsidRPr="00731E39">
              <w:t>Dr</w:t>
            </w:r>
            <w:r>
              <w:t>/Cr</w:t>
            </w:r>
            <w:r w:rsidRPr="00731E39">
              <w:t xml:space="preserve"> </w:t>
            </w:r>
            <w:proofErr w:type="spellStart"/>
            <w:r w:rsidRPr="00731E39">
              <w:t>VicFleet</w:t>
            </w:r>
            <w:proofErr w:type="spellEnd"/>
            <w:r w:rsidRPr="00731E39">
              <w:t xml:space="preserve"> </w:t>
            </w:r>
            <w:r>
              <w:t>motor vehicle f</w:t>
            </w:r>
            <w:r w:rsidRPr="00731E39">
              <w:t xml:space="preserve">inance </w:t>
            </w:r>
            <w:r>
              <w:t>l</w:t>
            </w:r>
            <w:r w:rsidRPr="00731E39">
              <w:t xml:space="preserve">ease </w:t>
            </w:r>
            <w:r>
              <w:t>l</w:t>
            </w:r>
            <w:r w:rsidRPr="00731E39">
              <w:t>iability</w:t>
            </w:r>
          </w:p>
          <w:p w:rsidR="00623130" w:rsidRPr="00731E39" w:rsidRDefault="00623130" w:rsidP="00A94229">
            <w:pPr>
              <w:pStyle w:val="Tabletext"/>
            </w:pPr>
            <w:r w:rsidRPr="00731E39">
              <w:t xml:space="preserve">Dr </w:t>
            </w:r>
            <w:proofErr w:type="spellStart"/>
            <w:r w:rsidRPr="00731E39">
              <w:t>VicFleet</w:t>
            </w:r>
            <w:proofErr w:type="spellEnd"/>
            <w:r>
              <w:t xml:space="preserve"> motor vehicle f</w:t>
            </w:r>
            <w:r w:rsidRPr="00731E39">
              <w:t xml:space="preserve">inance </w:t>
            </w:r>
            <w:r>
              <w:t>l</w:t>
            </w:r>
            <w:r w:rsidRPr="00731E39">
              <w:t xml:space="preserve">ease </w:t>
            </w:r>
            <w:r>
              <w:t>l</w:t>
            </w:r>
            <w:r w:rsidRPr="00731E39">
              <w:t xml:space="preserve">iability – </w:t>
            </w:r>
            <w:r>
              <w:t>n</w:t>
            </w:r>
            <w:r w:rsidRPr="00731E39">
              <w:t xml:space="preserve">ew </w:t>
            </w:r>
            <w:r>
              <w:t>l</w:t>
            </w:r>
            <w:r w:rsidRPr="00731E39">
              <w:t>eases</w:t>
            </w:r>
          </w:p>
          <w:p w:rsidR="00623130" w:rsidRPr="00731E39" w:rsidRDefault="00623130" w:rsidP="00A94229">
            <w:pPr>
              <w:pStyle w:val="Tabletext"/>
            </w:pPr>
            <w:r>
              <w:t>Dr/Cr Operating supplies and consumables (for under / over variance of lease liability – manual calculation)</w:t>
            </w:r>
          </w:p>
        </w:tc>
        <w:tc>
          <w:tcPr>
            <w:cnfStyle w:val="000001000000" w:firstRow="0" w:lastRow="0" w:firstColumn="0" w:lastColumn="0" w:oddVBand="0" w:evenVBand="1" w:oddHBand="0" w:evenHBand="0" w:firstRowFirstColumn="0" w:firstRowLastColumn="0" w:lastRowFirstColumn="0" w:lastRowLastColumn="0"/>
            <w:tcW w:w="2029" w:type="dxa"/>
          </w:tcPr>
          <w:p w:rsidR="00623130" w:rsidRPr="00731E39" w:rsidRDefault="00623130" w:rsidP="00A94229">
            <w:pPr>
              <w:pStyle w:val="Tabletext"/>
            </w:pPr>
            <w:r w:rsidRPr="00731E39">
              <w:t>26912</w:t>
            </w:r>
            <w:r>
              <w:noBreakHyphen/>
            </w:r>
            <w:r w:rsidRPr="00731E39">
              <w:t>26920</w:t>
            </w:r>
          </w:p>
          <w:p w:rsidR="00623130" w:rsidRPr="00731E39" w:rsidRDefault="00623130" w:rsidP="00A94229">
            <w:pPr>
              <w:pStyle w:val="Tabletext"/>
            </w:pPr>
            <w:r w:rsidRPr="00731E39">
              <w:t>26922</w:t>
            </w:r>
            <w:r>
              <w:noBreakHyphen/>
            </w:r>
            <w:r w:rsidRPr="00731E39">
              <w:t>26930</w:t>
            </w:r>
          </w:p>
          <w:p w:rsidR="00623130" w:rsidRPr="00731E39" w:rsidRDefault="00623130" w:rsidP="00A94229">
            <w:pPr>
              <w:pStyle w:val="Tabletext"/>
            </w:pPr>
            <w:r w:rsidRPr="00731E39">
              <w:t>30910</w:t>
            </w:r>
            <w:r>
              <w:t xml:space="preserve"> </w:t>
            </w:r>
            <w:r w:rsidRPr="00731E39">
              <w:t>/</w:t>
            </w:r>
            <w:r>
              <w:t xml:space="preserve"> </w:t>
            </w:r>
            <w:r w:rsidRPr="00731E39">
              <w:t>41110</w:t>
            </w:r>
          </w:p>
          <w:p w:rsidR="00623130" w:rsidRPr="00731E39" w:rsidRDefault="00623130" w:rsidP="00A94229">
            <w:pPr>
              <w:pStyle w:val="Tabletext"/>
            </w:pPr>
            <w:r w:rsidRPr="00731E39">
              <w:t>30915</w:t>
            </w:r>
            <w:r>
              <w:t xml:space="preserve"> </w:t>
            </w:r>
            <w:r w:rsidRPr="00731E39">
              <w:t>/</w:t>
            </w:r>
            <w:r>
              <w:t xml:space="preserve"> </w:t>
            </w:r>
            <w:r w:rsidRPr="00731E39">
              <w:t>41115</w:t>
            </w:r>
          </w:p>
          <w:p w:rsidR="00623130" w:rsidRPr="00731E39" w:rsidRDefault="00623130" w:rsidP="00A94229">
            <w:pPr>
              <w:pStyle w:val="Tabletext"/>
            </w:pPr>
            <w:r>
              <w:br/>
              <w:t>86000</w:t>
            </w:r>
          </w:p>
        </w:tc>
        <w:tc>
          <w:tcPr>
            <w:cnfStyle w:val="000010000000" w:firstRow="0" w:lastRow="0" w:firstColumn="0" w:lastColumn="0" w:oddVBand="1" w:evenVBand="0" w:oddHBand="0" w:evenHBand="0" w:firstRowFirstColumn="0" w:firstRowLastColumn="0" w:lastRowFirstColumn="0" w:lastRowLastColumn="0"/>
            <w:tcW w:w="2160" w:type="dxa"/>
          </w:tcPr>
          <w:p w:rsidR="00623130" w:rsidRPr="00731E39" w:rsidRDefault="00623130" w:rsidP="00A94229">
            <w:pPr>
              <w:pStyle w:val="Tabletext"/>
            </w:pPr>
            <w:r>
              <w:t>0000</w:t>
            </w:r>
          </w:p>
          <w:p w:rsidR="00623130" w:rsidRPr="00731E39" w:rsidRDefault="00623130" w:rsidP="00A94229">
            <w:pPr>
              <w:pStyle w:val="Tabletext"/>
            </w:pPr>
            <w:r>
              <w:t>0000</w:t>
            </w:r>
          </w:p>
          <w:p w:rsidR="00623130" w:rsidRPr="00731E39" w:rsidRDefault="00623130" w:rsidP="00A94229">
            <w:pPr>
              <w:pStyle w:val="Tabletext"/>
            </w:pPr>
            <w:r>
              <w:t>0000</w:t>
            </w:r>
          </w:p>
          <w:p w:rsidR="00623130" w:rsidRPr="00731E39" w:rsidRDefault="00623130" w:rsidP="00A94229">
            <w:pPr>
              <w:pStyle w:val="Tabletext"/>
            </w:pPr>
            <w:r>
              <w:t>0000</w:t>
            </w:r>
          </w:p>
          <w:p w:rsidR="00623130" w:rsidRPr="00731E39" w:rsidRDefault="00623130" w:rsidP="00A94229">
            <w:pPr>
              <w:pStyle w:val="Tabletext"/>
            </w:pPr>
            <w:r>
              <w:br/>
              <w:t>0000</w:t>
            </w:r>
          </w:p>
        </w:tc>
        <w:tc>
          <w:tcPr>
            <w:cnfStyle w:val="000001000000" w:firstRow="0" w:lastRow="0" w:firstColumn="0" w:lastColumn="0" w:oddVBand="0" w:evenVBand="1" w:oddHBand="0" w:evenHBand="0" w:firstRowFirstColumn="0" w:firstRowLastColumn="0" w:lastRowFirstColumn="0" w:lastRowLastColumn="0"/>
            <w:tcW w:w="3240" w:type="dxa"/>
          </w:tcPr>
          <w:p w:rsidR="00623130" w:rsidRPr="00731E39" w:rsidRDefault="00623130" w:rsidP="00A94229">
            <w:pPr>
              <w:pStyle w:val="Tabletext"/>
              <w:rPr>
                <w:lang w:val="fr-FR"/>
              </w:rPr>
            </w:pPr>
            <w:r>
              <w:rPr>
                <w:lang w:val="fr-FR"/>
              </w:rPr>
              <w:t>Non</w:t>
            </w:r>
            <w:r>
              <w:rPr>
                <w:lang w:val="fr-FR"/>
              </w:rPr>
              <w:noBreakHyphen/>
            </w:r>
            <w:proofErr w:type="spellStart"/>
            <w:r>
              <w:rPr>
                <w:lang w:val="fr-FR"/>
              </w:rPr>
              <w:t>c</w:t>
            </w:r>
            <w:r w:rsidRPr="00731E39">
              <w:rPr>
                <w:lang w:val="fr-FR"/>
              </w:rPr>
              <w:t>urrent</w:t>
            </w:r>
            <w:proofErr w:type="spellEnd"/>
            <w:r w:rsidRPr="00731E39">
              <w:rPr>
                <w:lang w:val="fr-FR"/>
              </w:rPr>
              <w:t xml:space="preserve"> </w:t>
            </w:r>
            <w:r>
              <w:rPr>
                <w:lang w:val="fr-FR"/>
              </w:rPr>
              <w:t>a</w:t>
            </w:r>
            <w:r w:rsidRPr="00731E39">
              <w:rPr>
                <w:lang w:val="fr-FR"/>
              </w:rPr>
              <w:t>sset</w:t>
            </w:r>
          </w:p>
          <w:p w:rsidR="00623130" w:rsidRPr="00731E39" w:rsidRDefault="00623130" w:rsidP="00A94229">
            <w:pPr>
              <w:pStyle w:val="Tabletext"/>
              <w:rPr>
                <w:lang w:val="fr-FR"/>
              </w:rPr>
            </w:pPr>
            <w:r>
              <w:rPr>
                <w:lang w:val="fr-FR"/>
              </w:rPr>
              <w:t>Non</w:t>
            </w:r>
            <w:r>
              <w:rPr>
                <w:lang w:val="fr-FR"/>
              </w:rPr>
              <w:noBreakHyphen/>
            </w:r>
            <w:proofErr w:type="spellStart"/>
            <w:r>
              <w:rPr>
                <w:lang w:val="fr-FR"/>
              </w:rPr>
              <w:t>c</w:t>
            </w:r>
            <w:r w:rsidRPr="00731E39">
              <w:rPr>
                <w:lang w:val="fr-FR"/>
              </w:rPr>
              <w:t>urrent</w:t>
            </w:r>
            <w:proofErr w:type="spellEnd"/>
            <w:r w:rsidRPr="00731E39">
              <w:rPr>
                <w:lang w:val="fr-FR"/>
              </w:rPr>
              <w:t xml:space="preserve"> </w:t>
            </w:r>
            <w:r>
              <w:rPr>
                <w:lang w:val="fr-FR"/>
              </w:rPr>
              <w:t>a</w:t>
            </w:r>
            <w:r w:rsidRPr="00731E39">
              <w:rPr>
                <w:lang w:val="fr-FR"/>
              </w:rPr>
              <w:t>sset</w:t>
            </w:r>
          </w:p>
          <w:p w:rsidR="00623130" w:rsidRPr="00731E39" w:rsidRDefault="00623130" w:rsidP="00A94229">
            <w:pPr>
              <w:pStyle w:val="Tabletext"/>
            </w:pPr>
            <w:r w:rsidRPr="00731E39">
              <w:t>Liability</w:t>
            </w:r>
          </w:p>
          <w:p w:rsidR="00623130" w:rsidRPr="00731E39" w:rsidRDefault="00623130" w:rsidP="00A94229">
            <w:pPr>
              <w:pStyle w:val="Tabletext"/>
            </w:pPr>
            <w:r w:rsidRPr="00731E39">
              <w:t>Liability</w:t>
            </w:r>
          </w:p>
          <w:p w:rsidR="00623130" w:rsidRPr="00731E39" w:rsidRDefault="00623130" w:rsidP="00A94229">
            <w:pPr>
              <w:pStyle w:val="Tabletext"/>
            </w:pPr>
            <w:r>
              <w:br/>
              <w:t>Expense</w:t>
            </w:r>
          </w:p>
        </w:tc>
      </w:tr>
      <w:tr w:rsidR="00623130" w:rsidRPr="00F6612C" w:rsidTr="00A94229">
        <w:trPr>
          <w:trHeight w:val="283"/>
        </w:trPr>
        <w:tc>
          <w:tcPr>
            <w:cnfStyle w:val="000010000000" w:firstRow="0" w:lastRow="0" w:firstColumn="0" w:lastColumn="0" w:oddVBand="1" w:evenVBand="0" w:oddHBand="0" w:evenHBand="0" w:firstRowFirstColumn="0" w:firstRowLastColumn="0" w:lastRowFirstColumn="0" w:lastRowLastColumn="0"/>
            <w:tcW w:w="14007" w:type="dxa"/>
            <w:gridSpan w:val="4"/>
          </w:tcPr>
          <w:p w:rsidR="00623130" w:rsidRPr="00F6612C" w:rsidRDefault="00623130" w:rsidP="00A94229">
            <w:pPr>
              <w:pStyle w:val="Tabletext"/>
              <w:rPr>
                <w:b/>
              </w:rPr>
            </w:pPr>
            <w:r w:rsidRPr="00F6612C">
              <w:rPr>
                <w:b/>
              </w:rPr>
              <w:t>Sale of asset</w:t>
            </w:r>
            <w:r>
              <w:rPr>
                <w:b/>
              </w:rPr>
              <w:t xml:space="preserve"> </w:t>
            </w:r>
            <w:r w:rsidRPr="00F6612C">
              <w:rPr>
                <w:b/>
              </w:rPr>
              <w:t xml:space="preserve">– </w:t>
            </w:r>
            <w:r>
              <w:rPr>
                <w:b/>
              </w:rPr>
              <w:t xml:space="preserve">journal provided by </w:t>
            </w:r>
            <w:proofErr w:type="spellStart"/>
            <w:r>
              <w:rPr>
                <w:b/>
              </w:rPr>
              <w:t>VicFleet</w:t>
            </w:r>
            <w:proofErr w:type="spellEnd"/>
            <w:r>
              <w:rPr>
                <w:b/>
              </w:rPr>
              <w:t xml:space="preserve"> </w:t>
            </w:r>
            <w:r w:rsidRPr="00F6612C">
              <w:rPr>
                <w:b/>
              </w:rPr>
              <w:t>(</w:t>
            </w:r>
            <w:r>
              <w:rPr>
                <w:b/>
              </w:rPr>
              <w:t>d</w:t>
            </w:r>
            <w:r w:rsidRPr="00F6612C">
              <w:rPr>
                <w:b/>
              </w:rPr>
              <w:t xml:space="preserve">epartments </w:t>
            </w:r>
            <w:r>
              <w:rPr>
                <w:b/>
              </w:rPr>
              <w:t>must u</w:t>
            </w:r>
            <w:r w:rsidRPr="00F6612C">
              <w:rPr>
                <w:b/>
              </w:rPr>
              <w:t xml:space="preserve">se </w:t>
            </w:r>
            <w:r>
              <w:rPr>
                <w:b/>
              </w:rPr>
              <w:t>the trust a</w:t>
            </w:r>
            <w:r w:rsidRPr="00F6612C">
              <w:rPr>
                <w:b/>
              </w:rPr>
              <w:t>uthority</w:t>
            </w:r>
            <w:r>
              <w:rPr>
                <w:b/>
              </w:rPr>
              <w:t xml:space="preserve"> segment</w:t>
            </w:r>
            <w:r w:rsidRPr="00F6612C">
              <w:rPr>
                <w:b/>
              </w:rPr>
              <w:t>)</w:t>
            </w:r>
          </w:p>
        </w:tc>
      </w:tr>
      <w:tr w:rsidR="00623130" w:rsidRPr="00731E39" w:rsidTr="00A94229">
        <w:trPr>
          <w:trHeight w:val="1384"/>
        </w:trPr>
        <w:tc>
          <w:tcPr>
            <w:cnfStyle w:val="000010000000" w:firstRow="0" w:lastRow="0" w:firstColumn="0" w:lastColumn="0" w:oddVBand="1" w:evenVBand="0" w:oddHBand="0" w:evenHBand="0" w:firstRowFirstColumn="0" w:firstRowLastColumn="0" w:lastRowFirstColumn="0" w:lastRowLastColumn="0"/>
            <w:tcW w:w="6578" w:type="dxa"/>
          </w:tcPr>
          <w:p w:rsidR="00623130" w:rsidRPr="00731E39" w:rsidRDefault="00623130" w:rsidP="00A94229">
            <w:pPr>
              <w:pStyle w:val="Tabletext"/>
            </w:pPr>
            <w:r w:rsidRPr="00731E39">
              <w:t xml:space="preserve">Dr Gross </w:t>
            </w:r>
            <w:r>
              <w:t>v</w:t>
            </w:r>
            <w:r w:rsidRPr="00731E39">
              <w:t xml:space="preserve">alue of </w:t>
            </w:r>
            <w:r>
              <w:t>a</w:t>
            </w:r>
            <w:r w:rsidRPr="00731E39">
              <w:t xml:space="preserve">ssets </w:t>
            </w:r>
            <w:r>
              <w:t>d</w:t>
            </w:r>
            <w:r w:rsidRPr="00731E39">
              <w:t xml:space="preserve">isposed – </w:t>
            </w:r>
            <w:r>
              <w:t>p</w:t>
            </w:r>
            <w:r w:rsidRPr="00731E39">
              <w:t>lant</w:t>
            </w:r>
            <w:r>
              <w:t>,</w:t>
            </w:r>
            <w:r w:rsidRPr="00731E39">
              <w:t xml:space="preserve"> </w:t>
            </w:r>
            <w:r>
              <w:t>e</w:t>
            </w:r>
            <w:r w:rsidRPr="00731E39">
              <w:t xml:space="preserve">quipment and </w:t>
            </w:r>
            <w:r>
              <w:t>m</w:t>
            </w:r>
            <w:r w:rsidRPr="00731E39">
              <w:t xml:space="preserve">otor </w:t>
            </w:r>
            <w:r>
              <w:t>v</w:t>
            </w:r>
            <w:r w:rsidRPr="00731E39">
              <w:t>ehicles</w:t>
            </w:r>
          </w:p>
          <w:p w:rsidR="00623130" w:rsidRPr="00731E39" w:rsidRDefault="00623130" w:rsidP="00A94229">
            <w:pPr>
              <w:pStyle w:val="Tabletext"/>
            </w:pPr>
            <w:r w:rsidRPr="00731E39">
              <w:t xml:space="preserve">Cr </w:t>
            </w:r>
            <w:r>
              <w:t>A</w:t>
            </w:r>
            <w:r w:rsidRPr="00731E39">
              <w:t xml:space="preserve">ccumulated </w:t>
            </w:r>
            <w:r>
              <w:t>d</w:t>
            </w:r>
            <w:r w:rsidRPr="00731E39">
              <w:t xml:space="preserve">epreciation </w:t>
            </w:r>
            <w:r>
              <w:t>a</w:t>
            </w:r>
            <w:r w:rsidRPr="00731E39">
              <w:t xml:space="preserve">ssets </w:t>
            </w:r>
            <w:r>
              <w:t>d</w:t>
            </w:r>
            <w:r w:rsidRPr="00731E39">
              <w:t>isposed</w:t>
            </w:r>
          </w:p>
          <w:p w:rsidR="00623130" w:rsidRPr="00731E39" w:rsidRDefault="00623130" w:rsidP="00A94229">
            <w:pPr>
              <w:pStyle w:val="Tabletext"/>
            </w:pPr>
            <w:r w:rsidRPr="00731E39">
              <w:t xml:space="preserve">Cr Gross </w:t>
            </w:r>
            <w:r>
              <w:t>s</w:t>
            </w:r>
            <w:r w:rsidRPr="00731E39">
              <w:t xml:space="preserve">ale </w:t>
            </w:r>
            <w:r>
              <w:t>p</w:t>
            </w:r>
            <w:r w:rsidRPr="00731E39">
              <w:t xml:space="preserve">roceeds – </w:t>
            </w:r>
            <w:r>
              <w:t>p</w:t>
            </w:r>
            <w:r w:rsidRPr="00731E39">
              <w:t>lant</w:t>
            </w:r>
            <w:r>
              <w:t>,</w:t>
            </w:r>
            <w:r w:rsidRPr="00731E39">
              <w:t xml:space="preserve"> </w:t>
            </w:r>
            <w:r>
              <w:t>e</w:t>
            </w:r>
            <w:r w:rsidRPr="00731E39">
              <w:t xml:space="preserve">quipment and </w:t>
            </w:r>
            <w:r>
              <w:t>m</w:t>
            </w:r>
            <w:r w:rsidRPr="00731E39">
              <w:t xml:space="preserve">otor </w:t>
            </w:r>
            <w:r>
              <w:t>v</w:t>
            </w:r>
            <w:r w:rsidRPr="00731E39">
              <w:t>ehicles</w:t>
            </w:r>
          </w:p>
          <w:p w:rsidR="00623130" w:rsidRPr="00731E39" w:rsidRDefault="00623130" w:rsidP="00A94229">
            <w:pPr>
              <w:pStyle w:val="Tabletext"/>
            </w:pPr>
            <w:r>
              <w:t xml:space="preserve">Dr </w:t>
            </w:r>
            <w:proofErr w:type="spellStart"/>
            <w:r>
              <w:t>VicFleet</w:t>
            </w:r>
            <w:proofErr w:type="spellEnd"/>
            <w:r>
              <w:t xml:space="preserve"> motor vehicle</w:t>
            </w:r>
            <w:r w:rsidRPr="00731E39">
              <w:t xml:space="preserve"> </w:t>
            </w:r>
            <w:r>
              <w:t>f</w:t>
            </w:r>
            <w:r w:rsidRPr="00731E39">
              <w:t xml:space="preserve">inance </w:t>
            </w:r>
            <w:r>
              <w:t>l</w:t>
            </w:r>
            <w:r w:rsidRPr="00731E39">
              <w:t xml:space="preserve">ease </w:t>
            </w:r>
            <w:r>
              <w:t>l</w:t>
            </w:r>
            <w:r w:rsidRPr="00731E39">
              <w:t>iability</w:t>
            </w:r>
          </w:p>
          <w:p w:rsidR="00623130" w:rsidRDefault="00623130" w:rsidP="00A94229">
            <w:pPr>
              <w:pStyle w:val="Tabletext"/>
            </w:pPr>
            <w:r>
              <w:t>Dr/Cr Operating supplies and consumables (for under/over variance of lease liability – manual calculation)</w:t>
            </w:r>
          </w:p>
          <w:p w:rsidR="00623130" w:rsidRDefault="00623130" w:rsidP="00A94229">
            <w:pPr>
              <w:pStyle w:val="Tabletext"/>
            </w:pPr>
            <w:r>
              <w:t>Dr/Cr Trust fund inter-entity account</w:t>
            </w:r>
          </w:p>
          <w:p w:rsidR="00623130" w:rsidRDefault="00623130" w:rsidP="00A94229">
            <w:pPr>
              <w:pStyle w:val="Tabletext"/>
            </w:pPr>
            <w:r>
              <w:t>Dr/Cr Accounts payable</w:t>
            </w:r>
          </w:p>
          <w:p w:rsidR="00623130" w:rsidRPr="00731E39" w:rsidRDefault="00623130" w:rsidP="00A94229">
            <w:pPr>
              <w:pStyle w:val="Tabletext"/>
            </w:pPr>
            <w:r>
              <w:t>Dr/Cr SAU inter-entity account</w:t>
            </w:r>
          </w:p>
        </w:tc>
        <w:tc>
          <w:tcPr>
            <w:cnfStyle w:val="000001000000" w:firstRow="0" w:lastRow="0" w:firstColumn="0" w:lastColumn="0" w:oddVBand="0" w:evenVBand="1" w:oddHBand="0" w:evenHBand="0" w:firstRowFirstColumn="0" w:firstRowLastColumn="0" w:lastRowFirstColumn="0" w:lastRowLastColumn="0"/>
            <w:tcW w:w="2029" w:type="dxa"/>
          </w:tcPr>
          <w:p w:rsidR="00623130" w:rsidRPr="00731E39" w:rsidRDefault="00623130" w:rsidP="00A94229">
            <w:pPr>
              <w:pStyle w:val="Tabletext"/>
            </w:pPr>
            <w:r w:rsidRPr="00731E39">
              <w:t>77300</w:t>
            </w:r>
          </w:p>
          <w:p w:rsidR="00623130" w:rsidRPr="00731E39" w:rsidRDefault="00623130" w:rsidP="00A94229">
            <w:pPr>
              <w:pStyle w:val="Tabletext"/>
            </w:pPr>
            <w:r w:rsidRPr="00731E39">
              <w:t>77350</w:t>
            </w:r>
          </w:p>
          <w:p w:rsidR="00623130" w:rsidRPr="00731E39" w:rsidRDefault="00623130" w:rsidP="00A94229">
            <w:pPr>
              <w:pStyle w:val="Tabletext"/>
            </w:pPr>
            <w:r w:rsidRPr="00731E39">
              <w:t>76500</w:t>
            </w:r>
          </w:p>
          <w:p w:rsidR="00623130" w:rsidRPr="00731E39" w:rsidRDefault="00623130" w:rsidP="00A94229">
            <w:pPr>
              <w:pStyle w:val="Tabletext"/>
            </w:pPr>
            <w:r w:rsidRPr="00731E39">
              <w:t>30910</w:t>
            </w:r>
            <w:r>
              <w:t xml:space="preserve"> </w:t>
            </w:r>
            <w:r w:rsidRPr="00731E39">
              <w:t>/</w:t>
            </w:r>
            <w:r>
              <w:t xml:space="preserve"> </w:t>
            </w:r>
            <w:r w:rsidRPr="00731E39">
              <w:t>41110</w:t>
            </w:r>
          </w:p>
          <w:p w:rsidR="00623130" w:rsidRDefault="00623130" w:rsidP="00A94229">
            <w:pPr>
              <w:pStyle w:val="Tabletext"/>
            </w:pPr>
            <w:r>
              <w:br/>
              <w:t>86000</w:t>
            </w:r>
          </w:p>
          <w:p w:rsidR="00623130" w:rsidRDefault="00623130" w:rsidP="00A94229">
            <w:pPr>
              <w:pStyle w:val="Tabletext"/>
            </w:pPr>
            <w:r>
              <w:t>45500</w:t>
            </w:r>
          </w:p>
          <w:p w:rsidR="00623130" w:rsidRDefault="00623130" w:rsidP="00A94229">
            <w:pPr>
              <w:pStyle w:val="Tabletext"/>
            </w:pPr>
            <w:r>
              <w:t>30110</w:t>
            </w:r>
          </w:p>
          <w:p w:rsidR="00623130" w:rsidRPr="00731E39" w:rsidRDefault="00623130" w:rsidP="00A94229">
            <w:pPr>
              <w:pStyle w:val="Tabletext"/>
            </w:pPr>
            <w:r>
              <w:t>45000</w:t>
            </w:r>
          </w:p>
        </w:tc>
        <w:tc>
          <w:tcPr>
            <w:cnfStyle w:val="000010000000" w:firstRow="0" w:lastRow="0" w:firstColumn="0" w:lastColumn="0" w:oddVBand="1" w:evenVBand="0" w:oddHBand="0" w:evenHBand="0" w:firstRowFirstColumn="0" w:firstRowLastColumn="0" w:lastRowFirstColumn="0" w:lastRowLastColumn="0"/>
            <w:tcW w:w="2160" w:type="dxa"/>
          </w:tcPr>
          <w:p w:rsidR="00623130" w:rsidRPr="00731E39" w:rsidRDefault="00623130" w:rsidP="00A94229">
            <w:pPr>
              <w:pStyle w:val="Tabletext"/>
            </w:pPr>
            <w:r>
              <w:t>4602</w:t>
            </w:r>
          </w:p>
          <w:p w:rsidR="00623130" w:rsidRPr="00731E39" w:rsidRDefault="00623130" w:rsidP="00A94229">
            <w:pPr>
              <w:pStyle w:val="Tabletext"/>
            </w:pPr>
            <w:r>
              <w:t>4602</w:t>
            </w:r>
          </w:p>
          <w:p w:rsidR="00623130" w:rsidRPr="00731E39" w:rsidRDefault="00623130" w:rsidP="00A94229">
            <w:pPr>
              <w:pStyle w:val="Tabletext"/>
            </w:pPr>
            <w:r>
              <w:t>4602</w:t>
            </w:r>
          </w:p>
          <w:p w:rsidR="00623130" w:rsidRPr="00731E39" w:rsidRDefault="00623130" w:rsidP="00A94229">
            <w:pPr>
              <w:pStyle w:val="Tabletext"/>
            </w:pPr>
            <w:r>
              <w:t>4602</w:t>
            </w:r>
          </w:p>
          <w:p w:rsidR="00623130" w:rsidRDefault="00623130" w:rsidP="00A94229">
            <w:pPr>
              <w:pStyle w:val="Tabletext"/>
            </w:pPr>
            <w:r>
              <w:br/>
              <w:t>4602</w:t>
            </w:r>
          </w:p>
          <w:p w:rsidR="00623130" w:rsidRDefault="00623130" w:rsidP="00A94229">
            <w:pPr>
              <w:pStyle w:val="Tabletext"/>
            </w:pPr>
            <w:r>
              <w:t>4602</w:t>
            </w:r>
          </w:p>
          <w:p w:rsidR="00623130" w:rsidRDefault="00623130" w:rsidP="00A94229">
            <w:pPr>
              <w:pStyle w:val="Tabletext"/>
            </w:pPr>
            <w:r>
              <w:t>3000</w:t>
            </w:r>
          </w:p>
          <w:p w:rsidR="00623130" w:rsidRPr="00731E39" w:rsidRDefault="00623130" w:rsidP="00A94229">
            <w:pPr>
              <w:pStyle w:val="Tabletext"/>
            </w:pPr>
            <w:r>
              <w:t>3000</w:t>
            </w:r>
          </w:p>
        </w:tc>
        <w:tc>
          <w:tcPr>
            <w:cnfStyle w:val="000001000000" w:firstRow="0" w:lastRow="0" w:firstColumn="0" w:lastColumn="0" w:oddVBand="0" w:evenVBand="1" w:oddHBand="0" w:evenHBand="0" w:firstRowFirstColumn="0" w:firstRowLastColumn="0" w:lastRowFirstColumn="0" w:lastRowLastColumn="0"/>
            <w:tcW w:w="3240" w:type="dxa"/>
          </w:tcPr>
          <w:p w:rsidR="00623130" w:rsidRPr="00731E39" w:rsidRDefault="00623130" w:rsidP="00A94229">
            <w:pPr>
              <w:pStyle w:val="Tabletext"/>
            </w:pPr>
            <w:r w:rsidRPr="00731E39">
              <w:t>Revenue</w:t>
            </w:r>
          </w:p>
          <w:p w:rsidR="00623130" w:rsidRPr="00731E39" w:rsidRDefault="00623130" w:rsidP="00A94229">
            <w:pPr>
              <w:pStyle w:val="Tabletext"/>
            </w:pPr>
            <w:r w:rsidRPr="00731E39">
              <w:t>Revenue</w:t>
            </w:r>
          </w:p>
          <w:p w:rsidR="00623130" w:rsidRPr="00731E39" w:rsidRDefault="00623130" w:rsidP="00A94229">
            <w:pPr>
              <w:pStyle w:val="Tabletext"/>
            </w:pPr>
            <w:r w:rsidRPr="00731E39">
              <w:t>Revenue</w:t>
            </w:r>
          </w:p>
          <w:p w:rsidR="00623130" w:rsidRPr="00731E39" w:rsidRDefault="00623130" w:rsidP="00A94229">
            <w:pPr>
              <w:pStyle w:val="Tabletext"/>
            </w:pPr>
            <w:r w:rsidRPr="00731E39">
              <w:t>Liability</w:t>
            </w:r>
          </w:p>
          <w:p w:rsidR="00623130" w:rsidRDefault="00623130" w:rsidP="00A94229">
            <w:pPr>
              <w:pStyle w:val="Tabletext"/>
            </w:pPr>
            <w:r>
              <w:br/>
              <w:t>Expense</w:t>
            </w:r>
          </w:p>
          <w:p w:rsidR="00623130" w:rsidRDefault="00623130" w:rsidP="00A94229">
            <w:pPr>
              <w:pStyle w:val="Tabletext"/>
            </w:pPr>
            <w:r>
              <w:t>Liability</w:t>
            </w:r>
          </w:p>
          <w:p w:rsidR="00623130" w:rsidRDefault="00623130" w:rsidP="00A94229">
            <w:pPr>
              <w:pStyle w:val="Tabletext"/>
            </w:pPr>
            <w:r>
              <w:t>Liability</w:t>
            </w:r>
          </w:p>
          <w:p w:rsidR="00623130" w:rsidRPr="00731E39" w:rsidRDefault="00623130" w:rsidP="00A94229">
            <w:pPr>
              <w:pStyle w:val="Tabletext"/>
            </w:pPr>
            <w:r>
              <w:t>Liability</w:t>
            </w:r>
          </w:p>
        </w:tc>
      </w:tr>
      <w:tr w:rsidR="00623130" w:rsidRPr="00F6612C" w:rsidTr="00A94229">
        <w:trPr>
          <w:trHeight w:val="312"/>
        </w:trPr>
        <w:tc>
          <w:tcPr>
            <w:cnfStyle w:val="000010000000" w:firstRow="0" w:lastRow="0" w:firstColumn="0" w:lastColumn="0" w:oddVBand="1" w:evenVBand="0" w:oddHBand="0" w:evenHBand="0" w:firstRowFirstColumn="0" w:firstRowLastColumn="0" w:lastRowFirstColumn="0" w:lastRowLastColumn="0"/>
            <w:tcW w:w="6578" w:type="dxa"/>
          </w:tcPr>
          <w:p w:rsidR="00623130" w:rsidRPr="00F6612C" w:rsidRDefault="00623130" w:rsidP="00A94229">
            <w:pPr>
              <w:pStyle w:val="Tabletext"/>
              <w:rPr>
                <w:b/>
              </w:rPr>
            </w:pPr>
            <w:r w:rsidRPr="00F6612C">
              <w:rPr>
                <w:b/>
              </w:rPr>
              <w:t>Recognising under</w:t>
            </w:r>
            <w:r>
              <w:rPr>
                <w:b/>
              </w:rPr>
              <w:t xml:space="preserve"> </w:t>
            </w:r>
            <w:r w:rsidRPr="00F6612C">
              <w:rPr>
                <w:b/>
              </w:rPr>
              <w:t>/</w:t>
            </w:r>
            <w:r>
              <w:rPr>
                <w:b/>
              </w:rPr>
              <w:t xml:space="preserve"> </w:t>
            </w:r>
            <w:r w:rsidRPr="00F6612C">
              <w:rPr>
                <w:b/>
              </w:rPr>
              <w:t xml:space="preserve">over </w:t>
            </w:r>
            <w:r>
              <w:rPr>
                <w:b/>
              </w:rPr>
              <w:t xml:space="preserve">operating </w:t>
            </w:r>
            <w:r w:rsidRPr="00F6612C">
              <w:rPr>
                <w:b/>
              </w:rPr>
              <w:t>costs over the life of the leased vehicle</w:t>
            </w:r>
          </w:p>
        </w:tc>
        <w:tc>
          <w:tcPr>
            <w:cnfStyle w:val="000001000000" w:firstRow="0" w:lastRow="0" w:firstColumn="0" w:lastColumn="0" w:oddVBand="0" w:evenVBand="1" w:oddHBand="0" w:evenHBand="0" w:firstRowFirstColumn="0" w:firstRowLastColumn="0" w:lastRowFirstColumn="0" w:lastRowLastColumn="0"/>
            <w:tcW w:w="2029" w:type="dxa"/>
          </w:tcPr>
          <w:p w:rsidR="00623130" w:rsidRPr="00F6612C" w:rsidRDefault="00623130" w:rsidP="00A94229">
            <w:pPr>
              <w:pStyle w:val="Tabletext"/>
              <w:rPr>
                <w:b/>
              </w:rPr>
            </w:pPr>
          </w:p>
        </w:tc>
        <w:tc>
          <w:tcPr>
            <w:cnfStyle w:val="000010000000" w:firstRow="0" w:lastRow="0" w:firstColumn="0" w:lastColumn="0" w:oddVBand="1" w:evenVBand="0" w:oddHBand="0" w:evenHBand="0" w:firstRowFirstColumn="0" w:firstRowLastColumn="0" w:lastRowFirstColumn="0" w:lastRowLastColumn="0"/>
            <w:tcW w:w="2160" w:type="dxa"/>
          </w:tcPr>
          <w:p w:rsidR="00623130" w:rsidRPr="00F6612C" w:rsidRDefault="00623130" w:rsidP="00A94229">
            <w:pPr>
              <w:pStyle w:val="Tabletext"/>
              <w:rPr>
                <w:b/>
              </w:rPr>
            </w:pPr>
          </w:p>
        </w:tc>
        <w:tc>
          <w:tcPr>
            <w:cnfStyle w:val="000001000000" w:firstRow="0" w:lastRow="0" w:firstColumn="0" w:lastColumn="0" w:oddVBand="0" w:evenVBand="1" w:oddHBand="0" w:evenHBand="0" w:firstRowFirstColumn="0" w:firstRowLastColumn="0" w:lastRowFirstColumn="0" w:lastRowLastColumn="0"/>
            <w:tcW w:w="3240" w:type="dxa"/>
          </w:tcPr>
          <w:p w:rsidR="00623130" w:rsidRPr="00F6612C" w:rsidRDefault="00623130" w:rsidP="00A94229">
            <w:pPr>
              <w:pStyle w:val="Tabletext"/>
              <w:rPr>
                <w:b/>
              </w:rPr>
            </w:pPr>
          </w:p>
        </w:tc>
      </w:tr>
      <w:tr w:rsidR="00623130" w:rsidRPr="00731E39" w:rsidTr="00A94229">
        <w:trPr>
          <w:trHeight w:val="398"/>
        </w:trPr>
        <w:tc>
          <w:tcPr>
            <w:cnfStyle w:val="000010000000" w:firstRow="0" w:lastRow="0" w:firstColumn="0" w:lastColumn="0" w:oddVBand="1" w:evenVBand="0" w:oddHBand="0" w:evenHBand="0" w:firstRowFirstColumn="0" w:firstRowLastColumn="0" w:lastRowFirstColumn="0" w:lastRowLastColumn="0"/>
            <w:tcW w:w="6578" w:type="dxa"/>
          </w:tcPr>
          <w:p w:rsidR="00623130" w:rsidRDefault="00623130" w:rsidP="00A94229">
            <w:pPr>
              <w:pStyle w:val="Tabletext"/>
              <w:rPr>
                <w:b/>
                <w:bCs/>
              </w:rPr>
            </w:pPr>
            <w:r w:rsidRPr="00731E39">
              <w:t xml:space="preserve">Dr/Cr Accounts </w:t>
            </w:r>
            <w:r>
              <w:t>p</w:t>
            </w:r>
            <w:r w:rsidRPr="00731E39">
              <w:t>ayable</w:t>
            </w:r>
            <w:r w:rsidRPr="00731E39">
              <w:rPr>
                <w:b/>
                <w:bCs/>
              </w:rPr>
              <w:t xml:space="preserve"> </w:t>
            </w:r>
          </w:p>
          <w:p w:rsidR="00623130" w:rsidRPr="00387A01" w:rsidRDefault="00623130" w:rsidP="00A94229">
            <w:pPr>
              <w:pStyle w:val="Tabletext"/>
              <w:rPr>
                <w:bCs/>
              </w:rPr>
            </w:pPr>
            <w:r w:rsidRPr="00387A01">
              <w:rPr>
                <w:bCs/>
              </w:rPr>
              <w:t xml:space="preserve">Dr/Cr SAU </w:t>
            </w:r>
            <w:r>
              <w:rPr>
                <w:bCs/>
              </w:rPr>
              <w:t>i</w:t>
            </w:r>
            <w:r w:rsidRPr="00387A01">
              <w:rPr>
                <w:bCs/>
              </w:rPr>
              <w:t>nter-</w:t>
            </w:r>
            <w:r>
              <w:rPr>
                <w:bCs/>
              </w:rPr>
              <w:t>e</w:t>
            </w:r>
            <w:r w:rsidRPr="00387A01">
              <w:rPr>
                <w:bCs/>
              </w:rPr>
              <w:t>ntity</w:t>
            </w:r>
          </w:p>
          <w:p w:rsidR="00623130" w:rsidRDefault="00623130" w:rsidP="00A94229">
            <w:pPr>
              <w:pStyle w:val="Tabletext"/>
            </w:pPr>
            <w:r w:rsidRPr="00731E39">
              <w:t xml:space="preserve">Dr/Cr Operating </w:t>
            </w:r>
            <w:r>
              <w:t>s</w:t>
            </w:r>
            <w:r w:rsidRPr="00731E39">
              <w:t xml:space="preserve">upplies and </w:t>
            </w:r>
            <w:r>
              <w:t>c</w:t>
            </w:r>
            <w:r w:rsidRPr="00731E39">
              <w:t>onsumables</w:t>
            </w:r>
            <w:r>
              <w:t xml:space="preserve"> </w:t>
            </w:r>
            <w:r w:rsidRPr="00731E39">
              <w:t>(for under</w:t>
            </w:r>
            <w:r>
              <w:t xml:space="preserve"> </w:t>
            </w:r>
            <w:r w:rsidRPr="00731E39">
              <w:t>/</w:t>
            </w:r>
            <w:r>
              <w:t xml:space="preserve"> </w:t>
            </w:r>
            <w:r w:rsidRPr="00731E39">
              <w:t>over variance)</w:t>
            </w:r>
          </w:p>
          <w:p w:rsidR="00623130" w:rsidRPr="00731E39" w:rsidRDefault="00623130" w:rsidP="00A94229">
            <w:pPr>
              <w:pStyle w:val="Tabletext"/>
            </w:pPr>
            <w:r>
              <w:t>Dr/Cr Trust fund inter-entity</w:t>
            </w:r>
          </w:p>
        </w:tc>
        <w:tc>
          <w:tcPr>
            <w:cnfStyle w:val="000001000000" w:firstRow="0" w:lastRow="0" w:firstColumn="0" w:lastColumn="0" w:oddVBand="0" w:evenVBand="1" w:oddHBand="0" w:evenHBand="0" w:firstRowFirstColumn="0" w:firstRowLastColumn="0" w:lastRowFirstColumn="0" w:lastRowLastColumn="0"/>
            <w:tcW w:w="2029" w:type="dxa"/>
          </w:tcPr>
          <w:p w:rsidR="00623130" w:rsidRPr="00731E39" w:rsidRDefault="00623130" w:rsidP="00A94229">
            <w:pPr>
              <w:pStyle w:val="Tabletext"/>
            </w:pPr>
            <w:r w:rsidRPr="00731E39">
              <w:t>301</w:t>
            </w:r>
            <w:r>
              <w:t>1</w:t>
            </w:r>
            <w:r w:rsidRPr="00731E39">
              <w:t>0</w:t>
            </w:r>
          </w:p>
          <w:p w:rsidR="00623130" w:rsidRDefault="00623130" w:rsidP="00A94229">
            <w:pPr>
              <w:pStyle w:val="Tabletext"/>
            </w:pPr>
            <w:r>
              <w:t>45000</w:t>
            </w:r>
          </w:p>
          <w:p w:rsidR="00623130" w:rsidRDefault="00623130" w:rsidP="00A94229">
            <w:pPr>
              <w:pStyle w:val="Tabletext"/>
            </w:pPr>
            <w:r w:rsidRPr="00731E39">
              <w:t>86000</w:t>
            </w:r>
          </w:p>
          <w:p w:rsidR="00623130" w:rsidRPr="00731E39" w:rsidRDefault="00623130" w:rsidP="00A94229">
            <w:pPr>
              <w:pStyle w:val="Tabletext"/>
            </w:pPr>
            <w:r>
              <w:t>45500</w:t>
            </w:r>
          </w:p>
        </w:tc>
        <w:tc>
          <w:tcPr>
            <w:cnfStyle w:val="000010000000" w:firstRow="0" w:lastRow="0" w:firstColumn="0" w:lastColumn="0" w:oddVBand="1" w:evenVBand="0" w:oddHBand="0" w:evenHBand="0" w:firstRowFirstColumn="0" w:firstRowLastColumn="0" w:lastRowFirstColumn="0" w:lastRowLastColumn="0"/>
            <w:tcW w:w="2160" w:type="dxa"/>
          </w:tcPr>
          <w:p w:rsidR="00623130" w:rsidRDefault="00623130" w:rsidP="00A94229">
            <w:pPr>
              <w:pStyle w:val="Tabletext"/>
            </w:pPr>
            <w:r>
              <w:t>3000</w:t>
            </w:r>
          </w:p>
          <w:p w:rsidR="00623130" w:rsidRDefault="00623130" w:rsidP="00A94229">
            <w:pPr>
              <w:pStyle w:val="Tabletext"/>
            </w:pPr>
            <w:r>
              <w:t>3000</w:t>
            </w:r>
          </w:p>
          <w:p w:rsidR="00623130" w:rsidRPr="00731E39" w:rsidRDefault="00623130" w:rsidP="00A94229">
            <w:pPr>
              <w:pStyle w:val="Tabletext"/>
            </w:pPr>
            <w:r>
              <w:t>4602</w:t>
            </w:r>
          </w:p>
          <w:p w:rsidR="00623130" w:rsidRPr="00731E39" w:rsidRDefault="00623130" w:rsidP="00A94229">
            <w:pPr>
              <w:pStyle w:val="Tabletext"/>
            </w:pPr>
            <w:r>
              <w:t>4602</w:t>
            </w:r>
          </w:p>
        </w:tc>
        <w:tc>
          <w:tcPr>
            <w:cnfStyle w:val="000001000000" w:firstRow="0" w:lastRow="0" w:firstColumn="0" w:lastColumn="0" w:oddVBand="0" w:evenVBand="1" w:oddHBand="0" w:evenHBand="0" w:firstRowFirstColumn="0" w:firstRowLastColumn="0" w:lastRowFirstColumn="0" w:lastRowLastColumn="0"/>
            <w:tcW w:w="3240" w:type="dxa"/>
          </w:tcPr>
          <w:p w:rsidR="00623130" w:rsidRPr="00731E39" w:rsidRDefault="00623130" w:rsidP="00A94229">
            <w:pPr>
              <w:pStyle w:val="Tabletext"/>
            </w:pPr>
            <w:r w:rsidRPr="00731E39">
              <w:t>Liability</w:t>
            </w:r>
          </w:p>
          <w:p w:rsidR="00623130" w:rsidRDefault="00623130" w:rsidP="00A94229">
            <w:pPr>
              <w:pStyle w:val="Tabletext"/>
            </w:pPr>
            <w:r w:rsidRPr="00731E39">
              <w:t>Expense</w:t>
            </w:r>
          </w:p>
          <w:p w:rsidR="00623130" w:rsidRDefault="00623130" w:rsidP="00A94229">
            <w:pPr>
              <w:pStyle w:val="Tabletext"/>
            </w:pPr>
            <w:r w:rsidRPr="00731E39">
              <w:t>Expense</w:t>
            </w:r>
          </w:p>
          <w:p w:rsidR="00623130" w:rsidRPr="00731E39" w:rsidRDefault="00623130" w:rsidP="00A94229">
            <w:pPr>
              <w:pStyle w:val="Tabletext"/>
            </w:pPr>
            <w:r>
              <w:t>Liability</w:t>
            </w:r>
          </w:p>
        </w:tc>
      </w:tr>
      <w:tr w:rsidR="00623130" w:rsidRPr="006E217D" w:rsidTr="00A94229">
        <w:tblPrEx>
          <w:tblLook w:val="0620" w:firstRow="1" w:lastRow="0" w:firstColumn="0" w:lastColumn="0" w:noHBand="1" w:noVBand="1"/>
        </w:tblPrEx>
        <w:tc>
          <w:tcPr>
            <w:tcW w:w="6578" w:type="dxa"/>
          </w:tcPr>
          <w:p w:rsidR="00623130" w:rsidRPr="006E217D" w:rsidRDefault="00623130" w:rsidP="00A94229">
            <w:pPr>
              <w:pStyle w:val="Tabletext"/>
              <w:keepNext/>
              <w:rPr>
                <w:b/>
              </w:rPr>
            </w:pPr>
            <w:r w:rsidRPr="006E217D">
              <w:rPr>
                <w:b/>
              </w:rPr>
              <w:t xml:space="preserve">Trust </w:t>
            </w:r>
            <w:r>
              <w:rPr>
                <w:b/>
              </w:rPr>
              <w:t>t</w:t>
            </w:r>
            <w:r w:rsidRPr="006E217D">
              <w:rPr>
                <w:b/>
              </w:rPr>
              <w:t>op</w:t>
            </w:r>
            <w:r w:rsidRPr="006E217D">
              <w:rPr>
                <w:b/>
              </w:rPr>
              <w:noBreakHyphen/>
              <w:t>up</w:t>
            </w:r>
          </w:p>
        </w:tc>
        <w:tc>
          <w:tcPr>
            <w:tcW w:w="2029" w:type="dxa"/>
          </w:tcPr>
          <w:p w:rsidR="00623130" w:rsidRPr="006E217D" w:rsidRDefault="00623130" w:rsidP="00A94229">
            <w:pPr>
              <w:pStyle w:val="Tabletext"/>
              <w:rPr>
                <w:b/>
                <w:highlight w:val="green"/>
              </w:rPr>
            </w:pPr>
          </w:p>
        </w:tc>
        <w:tc>
          <w:tcPr>
            <w:tcW w:w="2160" w:type="dxa"/>
          </w:tcPr>
          <w:p w:rsidR="00623130" w:rsidRPr="006E217D" w:rsidRDefault="00623130" w:rsidP="00A94229">
            <w:pPr>
              <w:pStyle w:val="Tabletext"/>
              <w:rPr>
                <w:b/>
              </w:rPr>
            </w:pPr>
          </w:p>
        </w:tc>
        <w:tc>
          <w:tcPr>
            <w:tcW w:w="3240" w:type="dxa"/>
          </w:tcPr>
          <w:p w:rsidR="00623130" w:rsidRPr="006E217D" w:rsidRDefault="00623130" w:rsidP="00A94229">
            <w:pPr>
              <w:pStyle w:val="Tabletext"/>
              <w:rPr>
                <w:b/>
              </w:rPr>
            </w:pPr>
          </w:p>
        </w:tc>
      </w:tr>
      <w:tr w:rsidR="00623130" w:rsidRPr="00731E39" w:rsidTr="00A94229">
        <w:tblPrEx>
          <w:tblLook w:val="0620" w:firstRow="1" w:lastRow="0" w:firstColumn="0" w:lastColumn="0" w:noHBand="1" w:noVBand="1"/>
        </w:tblPrEx>
        <w:tc>
          <w:tcPr>
            <w:tcW w:w="6578" w:type="dxa"/>
          </w:tcPr>
          <w:p w:rsidR="00623130" w:rsidRDefault="00623130" w:rsidP="00A94229">
            <w:pPr>
              <w:pStyle w:val="Tabletext"/>
            </w:pPr>
            <w:r w:rsidRPr="00731E39">
              <w:t xml:space="preserve">Cr SAU </w:t>
            </w:r>
            <w:r>
              <w:t>i</w:t>
            </w:r>
            <w:r w:rsidRPr="00731E39">
              <w:t>nter</w:t>
            </w:r>
            <w:r>
              <w:noBreakHyphen/>
              <w:t>e</w:t>
            </w:r>
            <w:r w:rsidRPr="00731E39">
              <w:t xml:space="preserve">ntity </w:t>
            </w:r>
            <w:r>
              <w:t>a</w:t>
            </w:r>
            <w:r w:rsidRPr="00731E39">
              <w:t>ccount</w:t>
            </w:r>
          </w:p>
          <w:p w:rsidR="00623130" w:rsidRDefault="00623130" w:rsidP="00A94229">
            <w:pPr>
              <w:pStyle w:val="Tabletext"/>
            </w:pPr>
            <w:r>
              <w:t>Dr T</w:t>
            </w:r>
            <w:r w:rsidRPr="00731E39">
              <w:t xml:space="preserve">ransfer </w:t>
            </w:r>
            <w:r>
              <w:t>b</w:t>
            </w:r>
            <w:r w:rsidRPr="00731E39">
              <w:t xml:space="preserve">etween </w:t>
            </w:r>
            <w:r>
              <w:t>f</w:t>
            </w:r>
            <w:r w:rsidRPr="00731E39">
              <w:t>unds</w:t>
            </w:r>
          </w:p>
          <w:p w:rsidR="00623130" w:rsidRDefault="00623130" w:rsidP="00A94229">
            <w:pPr>
              <w:pStyle w:val="Tabletext"/>
            </w:pPr>
            <w:r w:rsidRPr="00731E39">
              <w:t>Cr Transfer between funds</w:t>
            </w:r>
          </w:p>
          <w:p w:rsidR="00623130" w:rsidRPr="00731E39" w:rsidRDefault="00623130" w:rsidP="00A94229">
            <w:pPr>
              <w:pStyle w:val="Tabletext"/>
            </w:pPr>
            <w:r w:rsidRPr="00731E39">
              <w:t xml:space="preserve">Dr SAU </w:t>
            </w:r>
            <w:r>
              <w:t>i</w:t>
            </w:r>
            <w:r w:rsidRPr="00731E39">
              <w:t>nter</w:t>
            </w:r>
            <w:r>
              <w:noBreakHyphen/>
              <w:t>e</w:t>
            </w:r>
            <w:r w:rsidRPr="00731E39">
              <w:t xml:space="preserve">ntity </w:t>
            </w:r>
            <w:r>
              <w:t>a</w:t>
            </w:r>
            <w:r w:rsidRPr="00731E39">
              <w:t>ccount</w:t>
            </w:r>
          </w:p>
        </w:tc>
        <w:tc>
          <w:tcPr>
            <w:tcW w:w="2029" w:type="dxa"/>
          </w:tcPr>
          <w:p w:rsidR="00623130" w:rsidRDefault="00623130" w:rsidP="00A94229">
            <w:pPr>
              <w:pStyle w:val="Tabletext"/>
            </w:pPr>
            <w:r w:rsidRPr="00731E39">
              <w:t>47000</w:t>
            </w:r>
          </w:p>
          <w:p w:rsidR="00623130" w:rsidRDefault="00623130" w:rsidP="00A94229">
            <w:pPr>
              <w:pStyle w:val="Tabletext"/>
            </w:pPr>
            <w:r w:rsidRPr="00731E39">
              <w:t>90800</w:t>
            </w:r>
          </w:p>
          <w:p w:rsidR="00623130" w:rsidRDefault="00623130" w:rsidP="00A94229">
            <w:pPr>
              <w:pStyle w:val="Tabletext"/>
            </w:pPr>
            <w:r w:rsidRPr="00731E39">
              <w:t>79900</w:t>
            </w:r>
          </w:p>
          <w:p w:rsidR="00623130" w:rsidRPr="00731E39" w:rsidRDefault="00623130" w:rsidP="00A94229">
            <w:pPr>
              <w:pStyle w:val="Tabletext"/>
            </w:pPr>
            <w:r w:rsidRPr="00731E39">
              <w:t>47000</w:t>
            </w:r>
          </w:p>
        </w:tc>
        <w:tc>
          <w:tcPr>
            <w:tcW w:w="2160" w:type="dxa"/>
          </w:tcPr>
          <w:p w:rsidR="00623130" w:rsidRDefault="00623130" w:rsidP="00A94229">
            <w:pPr>
              <w:pStyle w:val="Tabletext"/>
            </w:pPr>
            <w:r>
              <w:t>3000</w:t>
            </w:r>
          </w:p>
          <w:p w:rsidR="00623130" w:rsidRDefault="00623130" w:rsidP="00A94229">
            <w:pPr>
              <w:pStyle w:val="Tabletext"/>
            </w:pPr>
            <w:r w:rsidRPr="00731E39">
              <w:t>20XX</w:t>
            </w:r>
          </w:p>
          <w:p w:rsidR="00623130" w:rsidRDefault="00623130" w:rsidP="00A94229">
            <w:pPr>
              <w:pStyle w:val="Tabletext"/>
            </w:pPr>
            <w:r>
              <w:t>4602</w:t>
            </w:r>
          </w:p>
          <w:p w:rsidR="00623130" w:rsidRPr="00731E39" w:rsidRDefault="00623130" w:rsidP="00A94229">
            <w:pPr>
              <w:pStyle w:val="Tabletext"/>
            </w:pPr>
            <w:r>
              <w:t>4602</w:t>
            </w:r>
          </w:p>
        </w:tc>
        <w:tc>
          <w:tcPr>
            <w:tcW w:w="3240" w:type="dxa"/>
          </w:tcPr>
          <w:p w:rsidR="00623130" w:rsidRDefault="00623130" w:rsidP="00A94229">
            <w:pPr>
              <w:pStyle w:val="Tabletext"/>
            </w:pPr>
            <w:r w:rsidRPr="00731E39">
              <w:t>Asset</w:t>
            </w:r>
          </w:p>
          <w:p w:rsidR="00623130" w:rsidRDefault="00623130" w:rsidP="00A94229">
            <w:pPr>
              <w:pStyle w:val="Tabletext"/>
            </w:pPr>
            <w:r>
              <w:t>Expense</w:t>
            </w:r>
          </w:p>
          <w:p w:rsidR="00623130" w:rsidRDefault="00623130" w:rsidP="00A94229">
            <w:pPr>
              <w:pStyle w:val="Tabletext"/>
            </w:pPr>
            <w:r>
              <w:t>Revenue</w:t>
            </w:r>
          </w:p>
          <w:p w:rsidR="00623130" w:rsidRPr="00731E39" w:rsidRDefault="00623130" w:rsidP="00A94229">
            <w:pPr>
              <w:pStyle w:val="Tabletext"/>
            </w:pPr>
            <w:r>
              <w:t>Asset</w:t>
            </w:r>
          </w:p>
        </w:tc>
      </w:tr>
    </w:tbl>
    <w:p w:rsidR="00623130" w:rsidRPr="00731E39" w:rsidRDefault="00623130" w:rsidP="00623130">
      <w:pPr>
        <w:pStyle w:val="Heading3"/>
      </w:pPr>
      <w:r w:rsidRPr="00731E39">
        <w:t>End</w:t>
      </w:r>
      <w:r>
        <w:noBreakHyphen/>
      </w:r>
      <w:r w:rsidRPr="00731E39">
        <w:t>of</w:t>
      </w:r>
      <w:r>
        <w:noBreakHyphen/>
      </w:r>
      <w:r w:rsidRPr="00731E39">
        <w:t>year rollover process</w:t>
      </w:r>
    </w:p>
    <w:p w:rsidR="00623130" w:rsidRPr="00731E39" w:rsidRDefault="00623130" w:rsidP="00623130">
      <w:r w:rsidRPr="00731E39">
        <w:t>As part of DTF</w:t>
      </w:r>
      <w:r>
        <w:t>’</w:t>
      </w:r>
      <w:r w:rsidRPr="00731E39">
        <w:t>s end</w:t>
      </w:r>
      <w:r>
        <w:noBreakHyphen/>
      </w:r>
      <w:r w:rsidRPr="00731E39">
        <w:t>of</w:t>
      </w:r>
      <w:r>
        <w:noBreakHyphen/>
      </w:r>
      <w:r w:rsidRPr="00731E39">
        <w:t>year rollover process, DTF will roll the balances of the</w:t>
      </w:r>
      <w:r w:rsidRPr="00731E39">
        <w:rPr>
          <w:b/>
        </w:rPr>
        <w:t xml:space="preserve"> </w:t>
      </w:r>
      <w:proofErr w:type="spellStart"/>
      <w:r w:rsidRPr="00BA4826">
        <w:rPr>
          <w:i/>
        </w:rPr>
        <w:t>VicFleet</w:t>
      </w:r>
      <w:proofErr w:type="spellEnd"/>
      <w:r w:rsidRPr="00BA4826">
        <w:rPr>
          <w:i/>
        </w:rPr>
        <w:t xml:space="preserve"> motor vehicle finance lease liability – new leases</w:t>
      </w:r>
      <w:r w:rsidRPr="00731E39">
        <w:t xml:space="preserve"> accounts into the original accounts. </w:t>
      </w:r>
    </w:p>
    <w:p w:rsidR="00623130" w:rsidRPr="00731E39" w:rsidRDefault="00623130" w:rsidP="00623130">
      <w:r w:rsidRPr="00731E39">
        <w:t xml:space="preserve">This ensures the accounts for new finance leases </w:t>
      </w:r>
      <w:r>
        <w:t>are</w:t>
      </w:r>
      <w:r w:rsidRPr="00731E39">
        <w:t xml:space="preserve"> cleared to zero </w:t>
      </w:r>
      <w:r>
        <w:t xml:space="preserve">for the following financial year, </w:t>
      </w:r>
      <w:r w:rsidRPr="00731E39">
        <w:t xml:space="preserve">and only the value of finance leases </w:t>
      </w:r>
      <w:proofErr w:type="gramStart"/>
      <w:r w:rsidRPr="00731E39">
        <w:t>entered into</w:t>
      </w:r>
      <w:proofErr w:type="gramEnd"/>
      <w:r w:rsidRPr="00731E39">
        <w:t xml:space="preserve"> in the new financial year will be seen in these accounts. The rollover process will work as follows:</w:t>
      </w:r>
    </w:p>
    <w:p w:rsidR="00623130" w:rsidRPr="00731E39" w:rsidRDefault="00623130" w:rsidP="00623130">
      <w:pPr>
        <w:pStyle w:val="Bullet1"/>
      </w:pPr>
      <w:r w:rsidRPr="00731E39">
        <w:t xml:space="preserve">Balances in </w:t>
      </w:r>
      <w:r w:rsidRPr="00D9140E">
        <w:t>account</w:t>
      </w:r>
      <w:r w:rsidRPr="00731E39">
        <w:t xml:space="preserve"> 39015 will be rolled to account 30910</w:t>
      </w:r>
      <w:r>
        <w:t>; and</w:t>
      </w:r>
    </w:p>
    <w:p w:rsidR="00623130" w:rsidRDefault="00623130" w:rsidP="00623130">
      <w:pPr>
        <w:pStyle w:val="Bullet1"/>
      </w:pPr>
      <w:r w:rsidRPr="00731E39">
        <w:t>Balances in account 41115 will be rolled to account 41110</w:t>
      </w:r>
      <w:r>
        <w:t>.</w:t>
      </w:r>
    </w:p>
    <w:p w:rsidR="00623130" w:rsidRDefault="00623130" w:rsidP="00623130"/>
    <w:p w:rsidR="00623130" w:rsidRDefault="00623130" w:rsidP="00EE3550">
      <w:pPr>
        <w:rPr>
          <w:rFonts w:eastAsiaTheme="majorEastAsia"/>
        </w:rPr>
      </w:pPr>
    </w:p>
    <w:p w:rsidR="005B3496" w:rsidRDefault="005B3496" w:rsidP="00004E80">
      <w:pPr>
        <w:pStyle w:val="Heading2"/>
        <w:sectPr w:rsidR="005B3496" w:rsidSect="00623510">
          <w:headerReference w:type="even" r:id="rId41"/>
          <w:headerReference w:type="default" r:id="rId42"/>
          <w:footerReference w:type="even" r:id="rId43"/>
          <w:footerReference w:type="default" r:id="rId44"/>
          <w:pgSz w:w="16838" w:h="11906" w:orient="landscape" w:code="9"/>
          <w:pgMar w:top="1440" w:right="2160" w:bottom="1440" w:left="1714" w:header="706" w:footer="461" w:gutter="0"/>
          <w:cols w:space="708"/>
          <w:docGrid w:linePitch="360"/>
        </w:sectPr>
      </w:pPr>
    </w:p>
    <w:p w:rsidR="00BB380C" w:rsidRDefault="00BB380C" w:rsidP="00004E80">
      <w:pPr>
        <w:pStyle w:val="Heading2"/>
      </w:pPr>
      <w:bookmarkStart w:id="405" w:name="_Toc785480"/>
      <w:r>
        <w:t xml:space="preserve">Attachment </w:t>
      </w:r>
      <w:r w:rsidR="00CC6E40">
        <w:t>3</w:t>
      </w:r>
      <w:r>
        <w:t xml:space="preserve">: Sample journal entries for the sale of </w:t>
      </w:r>
      <w:r w:rsidR="007C6CCA">
        <w:t>d</w:t>
      </w:r>
      <w:r w:rsidR="00A35D5E">
        <w:t>epartmental</w:t>
      </w:r>
      <w:r>
        <w:t xml:space="preserve"> assets</w:t>
      </w:r>
      <w:bookmarkEnd w:id="405"/>
    </w:p>
    <w:p w:rsidR="00BB380C" w:rsidRDefault="00BB380C" w:rsidP="00387A01">
      <w:pPr>
        <w:pStyle w:val="Heading3"/>
        <w:spacing w:before="360"/>
      </w:pPr>
      <w:r>
        <w:t>Example one</w:t>
      </w:r>
      <w:r w:rsidR="00413A48">
        <w:t xml:space="preserve"> – </w:t>
      </w:r>
      <w:r>
        <w:t xml:space="preserve">Department sells an asset </w:t>
      </w:r>
      <w:r w:rsidR="003A1B1A">
        <w:t>for more</w:t>
      </w:r>
      <w:r>
        <w:t xml:space="preserve"> than the ca</w:t>
      </w:r>
      <w:r w:rsidR="0010781C">
        <w:t>rrying value (gain on disposal)</w:t>
      </w:r>
    </w:p>
    <w:p w:rsidR="00BB380C" w:rsidRDefault="00BB380C" w:rsidP="00BB380C">
      <w:r>
        <w:t>In this example, the original cost of the asset disposed is $110, the net carrying value of the asset is $100, and the profit on sale is $25.</w:t>
      </w:r>
    </w:p>
    <w:p w:rsidR="00BB380C" w:rsidRDefault="00BB380C" w:rsidP="00BB380C">
      <w:r>
        <w:t>The accounting entries to record the sale, the profit on sale, and the return of funds to the Consolidated Fund are detailed below:</w:t>
      </w:r>
    </w:p>
    <w:p w:rsidR="00BB380C" w:rsidRDefault="00BB380C" w:rsidP="00314B6A">
      <w:pPr>
        <w:pStyle w:val="Heading4"/>
        <w:spacing w:before="360"/>
      </w:pPr>
      <w:r>
        <w:t>Step A</w:t>
      </w:r>
      <w:r w:rsidR="006E217D">
        <w:t xml:space="preserve"> – </w:t>
      </w:r>
      <w:r>
        <w:t>Department transfers net carrying value of asset to be disposed from its controlled e</w:t>
      </w:r>
      <w:r w:rsidR="005E79DC">
        <w:t>ntity to its administered entity – (</w:t>
      </w:r>
      <w:r>
        <w:t>branch SAU)</w:t>
      </w:r>
      <w:r w:rsidR="003A1B1A">
        <w:t>.</w:t>
      </w:r>
    </w:p>
    <w:tbl>
      <w:tblPr>
        <w:tblStyle w:val="DTFtexttable"/>
        <w:tblW w:w="7534" w:type="dxa"/>
        <w:tblInd w:w="864" w:type="dxa"/>
        <w:tblLayout w:type="fixed"/>
        <w:tblLook w:val="0620" w:firstRow="1" w:lastRow="0" w:firstColumn="0" w:lastColumn="0" w:noHBand="1" w:noVBand="1"/>
      </w:tblPr>
      <w:tblGrid>
        <w:gridCol w:w="2981"/>
        <w:gridCol w:w="716"/>
        <w:gridCol w:w="3111"/>
        <w:gridCol w:w="726"/>
      </w:tblGrid>
      <w:tr w:rsidR="00BB380C" w:rsidRPr="00E45B97" w:rsidTr="00E45B97">
        <w:trPr>
          <w:cnfStyle w:val="100000000000" w:firstRow="1" w:lastRow="0" w:firstColumn="0" w:lastColumn="0" w:oddVBand="0" w:evenVBand="0" w:oddHBand="0" w:evenHBand="0" w:firstRowFirstColumn="0" w:firstRowLastColumn="0" w:lastRowFirstColumn="0" w:lastRowLastColumn="0"/>
          <w:trHeight w:val="346"/>
        </w:trPr>
        <w:tc>
          <w:tcPr>
            <w:tcW w:w="3697" w:type="dxa"/>
            <w:gridSpan w:val="2"/>
            <w:tcBorders>
              <w:bottom w:val="nil"/>
            </w:tcBorders>
          </w:tcPr>
          <w:p w:rsidR="00BB380C" w:rsidRPr="00E45B97" w:rsidRDefault="00BB380C" w:rsidP="00E45B97">
            <w:pPr>
              <w:pStyle w:val="Tableheader"/>
              <w:rPr>
                <w:b w:val="0"/>
              </w:rPr>
            </w:pPr>
            <w:r w:rsidRPr="00E45B97">
              <w:t>Controlled</w:t>
            </w:r>
          </w:p>
        </w:tc>
        <w:tc>
          <w:tcPr>
            <w:tcW w:w="3837" w:type="dxa"/>
            <w:gridSpan w:val="2"/>
            <w:tcBorders>
              <w:bottom w:val="nil"/>
            </w:tcBorders>
          </w:tcPr>
          <w:p w:rsidR="00BB380C" w:rsidRPr="00E45B97" w:rsidRDefault="00BB380C" w:rsidP="00E45B97">
            <w:pPr>
              <w:pStyle w:val="Tableheader"/>
              <w:rPr>
                <w:b w:val="0"/>
              </w:rPr>
            </w:pPr>
            <w:r w:rsidRPr="00E45B97">
              <w:t>Administered</w:t>
            </w:r>
          </w:p>
        </w:tc>
      </w:tr>
      <w:tr w:rsidR="00BB380C" w:rsidRPr="00E45B97" w:rsidTr="00E45B97">
        <w:trPr>
          <w:trHeight w:val="580"/>
        </w:trPr>
        <w:tc>
          <w:tcPr>
            <w:tcW w:w="2981" w:type="dxa"/>
            <w:tcBorders>
              <w:left w:val="single" w:sz="6" w:space="0" w:color="0063A6" w:themeColor="accent1"/>
              <w:bottom w:val="nil"/>
            </w:tcBorders>
          </w:tcPr>
          <w:p w:rsidR="00BB380C" w:rsidRPr="00E45B97" w:rsidRDefault="0083708B" w:rsidP="00E45B97">
            <w:pPr>
              <w:pStyle w:val="Tabletext"/>
            </w:pPr>
            <w:r>
              <w:t xml:space="preserve">DR </w:t>
            </w:r>
            <w:r w:rsidR="00BB380C" w:rsidRPr="00E45B97">
              <w:t>Contributed capital (equity transfer to other entities)</w:t>
            </w:r>
          </w:p>
        </w:tc>
        <w:tc>
          <w:tcPr>
            <w:tcW w:w="716" w:type="dxa"/>
            <w:tcBorders>
              <w:bottom w:val="nil"/>
              <w:right w:val="single" w:sz="6" w:space="0" w:color="0063A6" w:themeColor="accent1"/>
            </w:tcBorders>
          </w:tcPr>
          <w:p w:rsidR="00BB380C" w:rsidRPr="00E45B97" w:rsidRDefault="00BB380C" w:rsidP="00E45B97">
            <w:pPr>
              <w:pStyle w:val="Tabletext"/>
              <w:jc w:val="right"/>
            </w:pPr>
            <w:r w:rsidRPr="00E45B97">
              <w:t>100</w:t>
            </w:r>
          </w:p>
        </w:tc>
        <w:tc>
          <w:tcPr>
            <w:tcW w:w="3111" w:type="dxa"/>
            <w:tcBorders>
              <w:left w:val="single" w:sz="6" w:space="0" w:color="0063A6" w:themeColor="accent1"/>
              <w:bottom w:val="nil"/>
            </w:tcBorders>
          </w:tcPr>
          <w:p w:rsidR="00BB380C" w:rsidRPr="00E45B97" w:rsidRDefault="0083708B" w:rsidP="00E45B97">
            <w:pPr>
              <w:pStyle w:val="Tabletext"/>
            </w:pPr>
            <w:r>
              <w:t xml:space="preserve">DR </w:t>
            </w:r>
            <w:r w:rsidR="00BB380C" w:rsidRPr="00E45B97">
              <w:t>Asset</w:t>
            </w:r>
          </w:p>
        </w:tc>
        <w:tc>
          <w:tcPr>
            <w:tcW w:w="726" w:type="dxa"/>
            <w:tcBorders>
              <w:bottom w:val="nil"/>
              <w:right w:val="single" w:sz="6" w:space="0" w:color="0063A6" w:themeColor="accent1"/>
            </w:tcBorders>
          </w:tcPr>
          <w:p w:rsidR="00BB380C" w:rsidRPr="00E45B97" w:rsidRDefault="00BB380C" w:rsidP="00E45B97">
            <w:pPr>
              <w:pStyle w:val="Tabletext"/>
              <w:jc w:val="right"/>
            </w:pPr>
            <w:r w:rsidRPr="00E45B97">
              <w:t>110</w:t>
            </w:r>
          </w:p>
        </w:tc>
      </w:tr>
      <w:tr w:rsidR="00BB380C" w:rsidRPr="00E45B97" w:rsidTr="00E45B97">
        <w:trPr>
          <w:trHeight w:val="290"/>
        </w:trPr>
        <w:tc>
          <w:tcPr>
            <w:tcW w:w="2981" w:type="dxa"/>
            <w:tcBorders>
              <w:left w:val="single" w:sz="6" w:space="0" w:color="0063A6" w:themeColor="accent1"/>
              <w:bottom w:val="nil"/>
            </w:tcBorders>
          </w:tcPr>
          <w:p w:rsidR="00BB380C" w:rsidRPr="00E45B97" w:rsidRDefault="0083708B" w:rsidP="00E45B97">
            <w:pPr>
              <w:pStyle w:val="Tabletext"/>
            </w:pPr>
            <w:r>
              <w:t xml:space="preserve">DR </w:t>
            </w:r>
            <w:r w:rsidR="00BB380C" w:rsidRPr="00E45B97">
              <w:t>Accumulated depreciation</w:t>
            </w:r>
          </w:p>
        </w:tc>
        <w:tc>
          <w:tcPr>
            <w:tcW w:w="716" w:type="dxa"/>
            <w:tcBorders>
              <w:bottom w:val="nil"/>
              <w:right w:val="single" w:sz="6" w:space="0" w:color="0063A6" w:themeColor="accent1"/>
            </w:tcBorders>
          </w:tcPr>
          <w:p w:rsidR="00BB380C" w:rsidRPr="00E45B97" w:rsidRDefault="00BB380C" w:rsidP="00E45B97">
            <w:pPr>
              <w:pStyle w:val="Tabletext"/>
              <w:jc w:val="right"/>
            </w:pPr>
            <w:r w:rsidRPr="00E45B97">
              <w:t>10</w:t>
            </w:r>
          </w:p>
        </w:tc>
        <w:tc>
          <w:tcPr>
            <w:tcW w:w="3111" w:type="dxa"/>
            <w:tcBorders>
              <w:left w:val="single" w:sz="6" w:space="0" w:color="0063A6" w:themeColor="accent1"/>
              <w:bottom w:val="nil"/>
            </w:tcBorders>
          </w:tcPr>
          <w:p w:rsidR="00BB380C" w:rsidRPr="00E45B97" w:rsidRDefault="0083708B" w:rsidP="00E45B97">
            <w:pPr>
              <w:pStyle w:val="Tabletext"/>
            </w:pPr>
            <w:r>
              <w:t xml:space="preserve">CR </w:t>
            </w:r>
            <w:r w:rsidR="00BB380C" w:rsidRPr="00E45B97">
              <w:t>Accumulated depreciation</w:t>
            </w:r>
          </w:p>
        </w:tc>
        <w:tc>
          <w:tcPr>
            <w:tcW w:w="726" w:type="dxa"/>
            <w:tcBorders>
              <w:bottom w:val="nil"/>
              <w:right w:val="single" w:sz="6" w:space="0" w:color="0063A6" w:themeColor="accent1"/>
            </w:tcBorders>
          </w:tcPr>
          <w:p w:rsidR="00BB380C" w:rsidRPr="00E45B97" w:rsidRDefault="00BB380C" w:rsidP="00E45B97">
            <w:pPr>
              <w:pStyle w:val="Tabletext"/>
              <w:jc w:val="right"/>
            </w:pPr>
            <w:r w:rsidRPr="00E45B97">
              <w:t>10</w:t>
            </w:r>
          </w:p>
        </w:tc>
      </w:tr>
      <w:tr w:rsidR="00BB380C" w:rsidRPr="00E45B97" w:rsidTr="00E45B97">
        <w:trPr>
          <w:trHeight w:val="607"/>
        </w:trPr>
        <w:tc>
          <w:tcPr>
            <w:tcW w:w="2981" w:type="dxa"/>
            <w:tcBorders>
              <w:left w:val="single" w:sz="6" w:space="0" w:color="0063A6" w:themeColor="accent1"/>
              <w:bottom w:val="single" w:sz="12" w:space="0" w:color="0063A6" w:themeColor="accent1"/>
            </w:tcBorders>
          </w:tcPr>
          <w:p w:rsidR="00BB380C" w:rsidRPr="00E45B97" w:rsidRDefault="0083708B" w:rsidP="00E45B97">
            <w:pPr>
              <w:pStyle w:val="Tabletext"/>
            </w:pPr>
            <w:r>
              <w:t xml:space="preserve">CR </w:t>
            </w:r>
            <w:r w:rsidR="00BB380C" w:rsidRPr="00E45B97">
              <w:t>Asset</w:t>
            </w:r>
          </w:p>
        </w:tc>
        <w:tc>
          <w:tcPr>
            <w:tcW w:w="716" w:type="dxa"/>
            <w:tcBorders>
              <w:bottom w:val="single" w:sz="12" w:space="0" w:color="0063A6" w:themeColor="accent1"/>
              <w:right w:val="single" w:sz="6" w:space="0" w:color="0063A6" w:themeColor="accent1"/>
            </w:tcBorders>
          </w:tcPr>
          <w:p w:rsidR="00BB380C" w:rsidRPr="00E45B97" w:rsidRDefault="00BB380C" w:rsidP="00E45B97">
            <w:pPr>
              <w:pStyle w:val="Tabletext"/>
              <w:jc w:val="right"/>
            </w:pPr>
            <w:r w:rsidRPr="00E45B97">
              <w:t>110</w:t>
            </w:r>
          </w:p>
        </w:tc>
        <w:tc>
          <w:tcPr>
            <w:tcW w:w="3111" w:type="dxa"/>
            <w:tcBorders>
              <w:left w:val="single" w:sz="6" w:space="0" w:color="0063A6" w:themeColor="accent1"/>
              <w:bottom w:val="single" w:sz="12" w:space="0" w:color="0063A6" w:themeColor="accent1"/>
            </w:tcBorders>
          </w:tcPr>
          <w:p w:rsidR="00BB380C" w:rsidRPr="00E45B97" w:rsidRDefault="0083708B" w:rsidP="00E45B97">
            <w:pPr>
              <w:pStyle w:val="Tabletext"/>
            </w:pPr>
            <w:r>
              <w:t xml:space="preserve">CR </w:t>
            </w:r>
            <w:r w:rsidR="00BB380C" w:rsidRPr="00E45B97">
              <w:t>Contributed capital (equity transfer from other entities)</w:t>
            </w:r>
          </w:p>
        </w:tc>
        <w:tc>
          <w:tcPr>
            <w:tcW w:w="726" w:type="dxa"/>
            <w:tcBorders>
              <w:bottom w:val="single" w:sz="12" w:space="0" w:color="0063A6" w:themeColor="accent1"/>
              <w:right w:val="single" w:sz="6" w:space="0" w:color="0063A6" w:themeColor="accent1"/>
            </w:tcBorders>
          </w:tcPr>
          <w:p w:rsidR="00BB380C" w:rsidRPr="00E45B97" w:rsidRDefault="00BB380C" w:rsidP="00E45B97">
            <w:pPr>
              <w:pStyle w:val="Tabletext"/>
              <w:jc w:val="right"/>
            </w:pPr>
            <w:r w:rsidRPr="00E45B97">
              <w:t>100</w:t>
            </w:r>
          </w:p>
        </w:tc>
      </w:tr>
    </w:tbl>
    <w:p w:rsidR="00BB380C" w:rsidRDefault="00BB380C" w:rsidP="00314B6A">
      <w:pPr>
        <w:pStyle w:val="Heading4"/>
        <w:spacing w:before="360"/>
      </w:pPr>
      <w:r w:rsidRPr="00BB380C">
        <w:t>Step B</w:t>
      </w:r>
      <w:r w:rsidR="00E45B97">
        <w:t xml:space="preserve"> – </w:t>
      </w:r>
      <w:r w:rsidRPr="00BB380C">
        <w:t>Department records the impact on the administered operating statement where the asset is sold at a profit of $25 with cash proceeds/receivable of $125.</w:t>
      </w:r>
    </w:p>
    <w:tbl>
      <w:tblPr>
        <w:tblStyle w:val="DTFtexttable"/>
        <w:tblW w:w="7522" w:type="dxa"/>
        <w:tblInd w:w="864" w:type="dxa"/>
        <w:tblLayout w:type="fixed"/>
        <w:tblLook w:val="0620" w:firstRow="1" w:lastRow="0" w:firstColumn="0" w:lastColumn="0" w:noHBand="1" w:noVBand="1"/>
      </w:tblPr>
      <w:tblGrid>
        <w:gridCol w:w="5731"/>
        <w:gridCol w:w="1791"/>
      </w:tblGrid>
      <w:tr w:rsidR="00BB380C" w:rsidRPr="00731E39" w:rsidTr="00E45B97">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BB380C" w:rsidRDefault="00BB380C" w:rsidP="00E45B97">
            <w:pPr>
              <w:pStyle w:val="Tableheader"/>
              <w:rPr>
                <w:rFonts w:eastAsia="Arial Unicode MS"/>
              </w:rPr>
            </w:pPr>
            <w:r w:rsidRPr="00673D01">
              <w:t>Administered</w:t>
            </w:r>
          </w:p>
        </w:tc>
      </w:tr>
      <w:tr w:rsidR="00BB380C" w:rsidRPr="00731E39" w:rsidTr="00E45B97">
        <w:tc>
          <w:tcPr>
            <w:tcW w:w="5731" w:type="dxa"/>
          </w:tcPr>
          <w:p w:rsidR="00BB380C" w:rsidRPr="00731E39" w:rsidRDefault="0083708B" w:rsidP="00004E80">
            <w:pPr>
              <w:pStyle w:val="Tabletext"/>
              <w:rPr>
                <w:rFonts w:eastAsia="Arial Unicode MS"/>
              </w:rPr>
            </w:pPr>
            <w:r>
              <w:rPr>
                <w:rFonts w:eastAsia="Arial Unicode MS"/>
              </w:rPr>
              <w:t xml:space="preserve">DR </w:t>
            </w:r>
            <w:r w:rsidR="00BB380C" w:rsidRPr="00731E39">
              <w:rPr>
                <w:rFonts w:eastAsia="Arial Unicode MS"/>
              </w:rPr>
              <w:t>Cash/receivable</w:t>
            </w:r>
          </w:p>
        </w:tc>
        <w:tc>
          <w:tcPr>
            <w:tcW w:w="1791" w:type="dxa"/>
          </w:tcPr>
          <w:p w:rsidR="00BB380C" w:rsidRPr="00731E39" w:rsidRDefault="00BB380C" w:rsidP="00004E80">
            <w:pPr>
              <w:pStyle w:val="Tabletext"/>
              <w:jc w:val="right"/>
              <w:rPr>
                <w:rFonts w:eastAsia="Arial Unicode MS"/>
              </w:rPr>
            </w:pPr>
            <w:r w:rsidRPr="00731E39">
              <w:rPr>
                <w:rFonts w:eastAsia="Arial Unicode MS"/>
              </w:rPr>
              <w:t>125</w:t>
            </w:r>
          </w:p>
        </w:tc>
      </w:tr>
      <w:tr w:rsidR="00BB380C" w:rsidRPr="00731E39" w:rsidTr="00E45B97">
        <w:tc>
          <w:tcPr>
            <w:tcW w:w="5731" w:type="dxa"/>
          </w:tcPr>
          <w:p w:rsidR="00BB380C" w:rsidRPr="00731E39" w:rsidRDefault="0083708B" w:rsidP="003A1B1A">
            <w:pPr>
              <w:pStyle w:val="Tabletext"/>
              <w:rPr>
                <w:rFonts w:eastAsia="Arial Unicode MS"/>
              </w:rPr>
            </w:pPr>
            <w:r>
              <w:rPr>
                <w:rFonts w:eastAsia="Arial Unicode MS"/>
              </w:rPr>
              <w:t xml:space="preserve">CR </w:t>
            </w:r>
            <w:r w:rsidR="00BB380C" w:rsidRPr="00731E39">
              <w:rPr>
                <w:rFonts w:eastAsia="Arial Unicode MS"/>
              </w:rPr>
              <w:t xml:space="preserve">Revenue – </w:t>
            </w:r>
            <w:r w:rsidR="003A1B1A">
              <w:rPr>
                <w:rFonts w:eastAsia="Arial Unicode MS"/>
              </w:rPr>
              <w:t>g</w:t>
            </w:r>
            <w:r w:rsidR="00BB380C" w:rsidRPr="00731E39">
              <w:rPr>
                <w:rFonts w:eastAsia="Arial Unicode MS"/>
              </w:rPr>
              <w:t>ross sale proceeds</w:t>
            </w:r>
          </w:p>
        </w:tc>
        <w:tc>
          <w:tcPr>
            <w:tcW w:w="1791" w:type="dxa"/>
          </w:tcPr>
          <w:p w:rsidR="00BB380C" w:rsidRPr="00731E39" w:rsidRDefault="00BB380C" w:rsidP="00004E80">
            <w:pPr>
              <w:pStyle w:val="Tabletext"/>
              <w:jc w:val="right"/>
              <w:rPr>
                <w:rFonts w:eastAsia="Arial Unicode MS"/>
              </w:rPr>
            </w:pPr>
            <w:r w:rsidRPr="00731E39">
              <w:rPr>
                <w:rFonts w:eastAsia="Arial Unicode MS"/>
              </w:rPr>
              <w:t>125</w:t>
            </w:r>
          </w:p>
        </w:tc>
      </w:tr>
      <w:tr w:rsidR="00BB380C" w:rsidRPr="00731E39" w:rsidTr="00E45B97">
        <w:tc>
          <w:tcPr>
            <w:tcW w:w="5731" w:type="dxa"/>
          </w:tcPr>
          <w:p w:rsidR="00BB380C" w:rsidRPr="00731E39" w:rsidRDefault="0083708B" w:rsidP="00004E80">
            <w:pPr>
              <w:pStyle w:val="Tabletext"/>
              <w:rPr>
                <w:rFonts w:eastAsia="Arial Unicode MS"/>
              </w:rPr>
            </w:pPr>
            <w:r>
              <w:rPr>
                <w:rFonts w:eastAsia="Arial Unicode MS"/>
              </w:rPr>
              <w:t xml:space="preserve">DR </w:t>
            </w:r>
            <w:r w:rsidR="003A1B1A">
              <w:rPr>
                <w:rFonts w:eastAsia="Arial Unicode MS"/>
              </w:rPr>
              <w:t>Revenue – g</w:t>
            </w:r>
            <w:r w:rsidR="00BB380C" w:rsidRPr="00731E39">
              <w:rPr>
                <w:rFonts w:eastAsia="Arial Unicode MS"/>
              </w:rPr>
              <w:t>ross value of asset disposed</w:t>
            </w:r>
          </w:p>
        </w:tc>
        <w:tc>
          <w:tcPr>
            <w:tcW w:w="1791" w:type="dxa"/>
          </w:tcPr>
          <w:p w:rsidR="00BB380C" w:rsidRPr="00731E39" w:rsidRDefault="00BB380C" w:rsidP="00004E80">
            <w:pPr>
              <w:pStyle w:val="Tabletext"/>
              <w:jc w:val="right"/>
              <w:rPr>
                <w:rFonts w:eastAsia="Arial Unicode MS"/>
              </w:rPr>
            </w:pPr>
            <w:r w:rsidRPr="00731E39">
              <w:rPr>
                <w:rFonts w:eastAsia="Arial Unicode MS"/>
              </w:rPr>
              <w:t>110</w:t>
            </w:r>
          </w:p>
        </w:tc>
      </w:tr>
      <w:tr w:rsidR="00BB380C" w:rsidRPr="00731E39" w:rsidTr="00E45B97">
        <w:tc>
          <w:tcPr>
            <w:tcW w:w="5731" w:type="dxa"/>
          </w:tcPr>
          <w:p w:rsidR="00BB380C" w:rsidRPr="00731E39" w:rsidRDefault="0083708B" w:rsidP="00004E80">
            <w:pPr>
              <w:pStyle w:val="Tabletext"/>
              <w:rPr>
                <w:rFonts w:eastAsia="Arial Unicode MS"/>
              </w:rPr>
            </w:pPr>
            <w:r>
              <w:rPr>
                <w:rFonts w:eastAsia="Arial Unicode MS"/>
              </w:rPr>
              <w:t xml:space="preserve">CR </w:t>
            </w:r>
            <w:r w:rsidR="003A1B1A">
              <w:rPr>
                <w:rFonts w:eastAsia="Arial Unicode MS"/>
              </w:rPr>
              <w:t>Revenue – a</w:t>
            </w:r>
            <w:r w:rsidR="00BB380C" w:rsidRPr="00731E39">
              <w:rPr>
                <w:rFonts w:eastAsia="Arial Unicode MS"/>
              </w:rPr>
              <w:t>ccumulated depreciation of asset disposed</w:t>
            </w:r>
          </w:p>
        </w:tc>
        <w:tc>
          <w:tcPr>
            <w:tcW w:w="1791" w:type="dxa"/>
          </w:tcPr>
          <w:p w:rsidR="00BB380C" w:rsidRPr="00731E39" w:rsidRDefault="00BB380C" w:rsidP="00004E80">
            <w:pPr>
              <w:pStyle w:val="Tabletext"/>
              <w:jc w:val="right"/>
              <w:rPr>
                <w:rFonts w:eastAsia="Arial Unicode MS"/>
              </w:rPr>
            </w:pPr>
            <w:r w:rsidRPr="00731E39">
              <w:rPr>
                <w:rFonts w:eastAsia="Arial Unicode MS"/>
              </w:rPr>
              <w:t>10</w:t>
            </w:r>
          </w:p>
        </w:tc>
      </w:tr>
      <w:tr w:rsidR="00BB380C" w:rsidRPr="00731E39" w:rsidTr="00E45B97">
        <w:tc>
          <w:tcPr>
            <w:tcW w:w="5731" w:type="dxa"/>
          </w:tcPr>
          <w:p w:rsidR="00BB380C" w:rsidRPr="00731E39" w:rsidRDefault="0083708B" w:rsidP="00004E80">
            <w:pPr>
              <w:pStyle w:val="Tabletext"/>
              <w:rPr>
                <w:rFonts w:eastAsia="Arial Unicode MS"/>
              </w:rPr>
            </w:pPr>
            <w:r>
              <w:rPr>
                <w:rFonts w:eastAsia="Arial Unicode MS"/>
              </w:rPr>
              <w:t xml:space="preserve">CR </w:t>
            </w:r>
            <w:r w:rsidR="00BB380C" w:rsidRPr="00731E39">
              <w:rPr>
                <w:rFonts w:eastAsia="Arial Unicode MS"/>
              </w:rPr>
              <w:t>Asset</w:t>
            </w:r>
          </w:p>
        </w:tc>
        <w:tc>
          <w:tcPr>
            <w:tcW w:w="1791" w:type="dxa"/>
          </w:tcPr>
          <w:p w:rsidR="00BB380C" w:rsidRPr="00731E39" w:rsidRDefault="00BB380C" w:rsidP="00004E80">
            <w:pPr>
              <w:pStyle w:val="Tabletext"/>
              <w:jc w:val="right"/>
              <w:rPr>
                <w:rFonts w:eastAsia="Arial Unicode MS"/>
              </w:rPr>
            </w:pPr>
            <w:r w:rsidRPr="00731E39">
              <w:rPr>
                <w:rFonts w:eastAsia="Arial Unicode MS"/>
              </w:rPr>
              <w:t>110</w:t>
            </w:r>
          </w:p>
        </w:tc>
      </w:tr>
      <w:tr w:rsidR="00BB380C" w:rsidRPr="00731E39" w:rsidTr="00E45B97">
        <w:tc>
          <w:tcPr>
            <w:tcW w:w="5731" w:type="dxa"/>
          </w:tcPr>
          <w:p w:rsidR="00BB380C" w:rsidRPr="00731E39" w:rsidRDefault="0083708B" w:rsidP="00004E80">
            <w:pPr>
              <w:pStyle w:val="Tabletext"/>
              <w:rPr>
                <w:rFonts w:eastAsia="Arial Unicode MS"/>
              </w:rPr>
            </w:pPr>
            <w:r>
              <w:rPr>
                <w:rFonts w:eastAsia="Arial Unicode MS"/>
              </w:rPr>
              <w:t xml:space="preserve">DR </w:t>
            </w:r>
            <w:r w:rsidR="00BB380C" w:rsidRPr="00731E39">
              <w:rPr>
                <w:rFonts w:eastAsia="Arial Unicode MS"/>
              </w:rPr>
              <w:t>Accumulated depreciation</w:t>
            </w:r>
          </w:p>
        </w:tc>
        <w:tc>
          <w:tcPr>
            <w:tcW w:w="1791" w:type="dxa"/>
          </w:tcPr>
          <w:p w:rsidR="00BB380C" w:rsidRPr="00731E39" w:rsidRDefault="00BB380C" w:rsidP="00004E80">
            <w:pPr>
              <w:pStyle w:val="Tabletext"/>
              <w:jc w:val="right"/>
              <w:rPr>
                <w:rFonts w:eastAsia="Arial Unicode MS"/>
              </w:rPr>
            </w:pPr>
            <w:r w:rsidRPr="00731E39">
              <w:rPr>
                <w:rFonts w:eastAsia="Arial Unicode MS"/>
              </w:rPr>
              <w:t>10</w:t>
            </w:r>
          </w:p>
        </w:tc>
      </w:tr>
    </w:tbl>
    <w:p w:rsidR="00BB380C" w:rsidRDefault="00BB380C" w:rsidP="00314B6A">
      <w:pPr>
        <w:pStyle w:val="Heading4"/>
        <w:spacing w:before="360"/>
      </w:pPr>
      <w:r w:rsidRPr="006965B1">
        <w:t>Step C</w:t>
      </w:r>
      <w:r w:rsidR="00E45B97">
        <w:t xml:space="preserve"> –</w:t>
      </w:r>
      <w:r w:rsidRPr="006965B1">
        <w:t xml:space="preserve"> Department remits $100 of the sale to Consolidated Fund as a return of capital. </w:t>
      </w:r>
      <w:r w:rsidR="001659F2">
        <w:t>The </w:t>
      </w:r>
      <w:r w:rsidRPr="006965B1">
        <w:t>remainder, equivalent to the profit on sale, is treated as a</w:t>
      </w:r>
      <w:r w:rsidR="001659F2">
        <w:t xml:space="preserve">n ‘expense’ in the </w:t>
      </w:r>
      <w:r w:rsidR="007C6CCA">
        <w:t>d</w:t>
      </w:r>
      <w:r w:rsidR="001659F2">
        <w:t>epartmental </w:t>
      </w:r>
      <w:r w:rsidRPr="006965B1">
        <w:t>administered accounts.</w:t>
      </w:r>
      <w:r w:rsidRPr="006F1C24">
        <w:t xml:space="preserve"> </w:t>
      </w:r>
      <w:r w:rsidRPr="00E45B97">
        <w:rPr>
          <w:b w:val="0"/>
        </w:rPr>
        <w:t>This treatment of the profit c</w:t>
      </w:r>
      <w:r w:rsidR="001659F2">
        <w:rPr>
          <w:b w:val="0"/>
        </w:rPr>
        <w:t>omponent is consistent with all </w:t>
      </w:r>
      <w:r w:rsidRPr="00E45B97">
        <w:rPr>
          <w:b w:val="0"/>
        </w:rPr>
        <w:t xml:space="preserve">other administered revenue items where the cash is remitted to the </w:t>
      </w:r>
      <w:r w:rsidR="003A1B1A">
        <w:rPr>
          <w:b w:val="0"/>
        </w:rPr>
        <w:t>c</w:t>
      </w:r>
      <w:r w:rsidRPr="00E45B97">
        <w:rPr>
          <w:b w:val="0"/>
        </w:rPr>
        <w:t>entral SAU.</w:t>
      </w:r>
    </w:p>
    <w:tbl>
      <w:tblPr>
        <w:tblStyle w:val="DTFtexttable"/>
        <w:tblW w:w="7483" w:type="dxa"/>
        <w:tblInd w:w="864" w:type="dxa"/>
        <w:tblLayout w:type="fixed"/>
        <w:tblLook w:val="0620" w:firstRow="1" w:lastRow="0" w:firstColumn="0" w:lastColumn="0" w:noHBand="1" w:noVBand="1"/>
      </w:tblPr>
      <w:tblGrid>
        <w:gridCol w:w="5869"/>
        <w:gridCol w:w="1614"/>
      </w:tblGrid>
      <w:tr w:rsidR="00BB380C" w:rsidTr="00E45B97">
        <w:trPr>
          <w:cnfStyle w:val="100000000000" w:firstRow="1" w:lastRow="0" w:firstColumn="0" w:lastColumn="0" w:oddVBand="0" w:evenVBand="0" w:oddHBand="0" w:evenHBand="0" w:firstRowFirstColumn="0" w:firstRowLastColumn="0" w:lastRowFirstColumn="0" w:lastRowLastColumn="0"/>
          <w:trHeight w:val="292"/>
        </w:trPr>
        <w:tc>
          <w:tcPr>
            <w:tcW w:w="7483" w:type="dxa"/>
            <w:gridSpan w:val="2"/>
          </w:tcPr>
          <w:p w:rsidR="00BB380C" w:rsidRDefault="00BB380C" w:rsidP="00E45B97">
            <w:pPr>
              <w:pStyle w:val="Tableheader"/>
              <w:rPr>
                <w:rFonts w:eastAsia="Arial Unicode MS"/>
              </w:rPr>
            </w:pPr>
            <w:r w:rsidRPr="00673D01">
              <w:t>Administered</w:t>
            </w:r>
          </w:p>
        </w:tc>
      </w:tr>
      <w:tr w:rsidR="00BB380C" w:rsidRPr="00731E39" w:rsidTr="00E45B97">
        <w:trPr>
          <w:trHeight w:val="279"/>
        </w:trPr>
        <w:tc>
          <w:tcPr>
            <w:tcW w:w="5869" w:type="dxa"/>
          </w:tcPr>
          <w:p w:rsidR="00BB380C" w:rsidRPr="00731E39" w:rsidRDefault="0083708B" w:rsidP="00004E80">
            <w:pPr>
              <w:pStyle w:val="Tabletext"/>
              <w:rPr>
                <w:rFonts w:eastAsia="Arial Unicode MS"/>
              </w:rPr>
            </w:pPr>
            <w:r>
              <w:rPr>
                <w:rFonts w:eastAsia="Arial Unicode MS"/>
              </w:rPr>
              <w:t xml:space="preserve">DR </w:t>
            </w:r>
            <w:r w:rsidR="00BB380C">
              <w:rPr>
                <w:rFonts w:eastAsia="Arial Unicode MS"/>
              </w:rPr>
              <w:t>Contributed capital</w:t>
            </w:r>
            <w:r w:rsidR="00BB380C" w:rsidRPr="00731E39">
              <w:rPr>
                <w:rFonts w:eastAsia="Arial Unicode MS"/>
              </w:rPr>
              <w:t xml:space="preserve"> (equity transfer to Central SAU)</w:t>
            </w:r>
          </w:p>
        </w:tc>
        <w:tc>
          <w:tcPr>
            <w:tcW w:w="1614" w:type="dxa"/>
          </w:tcPr>
          <w:p w:rsidR="00BB380C" w:rsidRPr="00731E39" w:rsidRDefault="00BB380C" w:rsidP="00004E80">
            <w:pPr>
              <w:pStyle w:val="Tabletext"/>
              <w:jc w:val="right"/>
              <w:rPr>
                <w:rFonts w:eastAsia="Arial Unicode MS"/>
              </w:rPr>
            </w:pPr>
            <w:r w:rsidRPr="00731E39">
              <w:rPr>
                <w:rFonts w:eastAsia="Arial Unicode MS"/>
              </w:rPr>
              <w:t>100</w:t>
            </w:r>
          </w:p>
        </w:tc>
      </w:tr>
      <w:tr w:rsidR="00BB380C" w:rsidRPr="00731E39" w:rsidTr="00E45B97">
        <w:trPr>
          <w:trHeight w:val="292"/>
        </w:trPr>
        <w:tc>
          <w:tcPr>
            <w:tcW w:w="5869" w:type="dxa"/>
          </w:tcPr>
          <w:p w:rsidR="00BB380C" w:rsidRPr="00731E39" w:rsidRDefault="0083708B" w:rsidP="00004E80">
            <w:pPr>
              <w:pStyle w:val="Tabletext"/>
              <w:rPr>
                <w:rFonts w:eastAsia="Arial Unicode MS"/>
              </w:rPr>
            </w:pPr>
            <w:r>
              <w:rPr>
                <w:rFonts w:eastAsia="Arial Unicode MS"/>
              </w:rPr>
              <w:t xml:space="preserve">DR </w:t>
            </w:r>
            <w:r w:rsidR="00BB380C">
              <w:rPr>
                <w:rFonts w:eastAsia="Arial Unicode MS"/>
              </w:rPr>
              <w:t>R</w:t>
            </w:r>
            <w:r w:rsidR="00BB380C" w:rsidRPr="00731E39">
              <w:rPr>
                <w:rFonts w:eastAsia="Arial Unicode MS"/>
              </w:rPr>
              <w:t>eallocation of revenue to Central SAU</w:t>
            </w:r>
          </w:p>
        </w:tc>
        <w:tc>
          <w:tcPr>
            <w:tcW w:w="1614" w:type="dxa"/>
          </w:tcPr>
          <w:p w:rsidR="00BB380C" w:rsidRPr="00731E39" w:rsidRDefault="00BB380C" w:rsidP="00004E80">
            <w:pPr>
              <w:pStyle w:val="Tabletext"/>
              <w:jc w:val="right"/>
              <w:rPr>
                <w:rFonts w:eastAsia="Arial Unicode MS"/>
              </w:rPr>
            </w:pPr>
            <w:r w:rsidRPr="00731E39">
              <w:rPr>
                <w:rFonts w:eastAsia="Arial Unicode MS"/>
              </w:rPr>
              <w:t>25</w:t>
            </w:r>
          </w:p>
        </w:tc>
      </w:tr>
      <w:tr w:rsidR="00BB380C" w:rsidRPr="00731E39" w:rsidTr="00E45B97">
        <w:trPr>
          <w:trHeight w:val="274"/>
        </w:trPr>
        <w:tc>
          <w:tcPr>
            <w:tcW w:w="5869" w:type="dxa"/>
          </w:tcPr>
          <w:p w:rsidR="00BB380C" w:rsidRPr="00731E39" w:rsidRDefault="0083708B" w:rsidP="00004E80">
            <w:pPr>
              <w:pStyle w:val="Tabletext"/>
              <w:rPr>
                <w:rFonts w:eastAsia="Arial Unicode MS"/>
              </w:rPr>
            </w:pPr>
            <w:r>
              <w:rPr>
                <w:rFonts w:eastAsia="Arial Unicode MS"/>
              </w:rPr>
              <w:t xml:space="preserve">CR </w:t>
            </w:r>
            <w:r w:rsidR="00BB380C" w:rsidRPr="00731E39">
              <w:rPr>
                <w:rFonts w:eastAsia="Arial Unicode MS"/>
              </w:rPr>
              <w:t>Cash</w:t>
            </w:r>
          </w:p>
        </w:tc>
        <w:tc>
          <w:tcPr>
            <w:tcW w:w="1614" w:type="dxa"/>
          </w:tcPr>
          <w:p w:rsidR="00BB380C" w:rsidRPr="00731E39" w:rsidRDefault="00BB380C" w:rsidP="00004E80">
            <w:pPr>
              <w:pStyle w:val="Tabletext"/>
              <w:jc w:val="right"/>
              <w:rPr>
                <w:rFonts w:eastAsia="Arial Unicode MS"/>
              </w:rPr>
            </w:pPr>
            <w:r w:rsidRPr="00731E39">
              <w:rPr>
                <w:rFonts w:eastAsia="Arial Unicode MS"/>
              </w:rPr>
              <w:t>125</w:t>
            </w:r>
          </w:p>
        </w:tc>
      </w:tr>
    </w:tbl>
    <w:p w:rsidR="00BB380C" w:rsidRDefault="00BB380C" w:rsidP="00BB380C"/>
    <w:p w:rsidR="00BB380C" w:rsidRDefault="00E45B97" w:rsidP="00E45B97">
      <w:pPr>
        <w:pStyle w:val="Heading4"/>
      </w:pPr>
      <w:r>
        <w:t>Step D –</w:t>
      </w:r>
      <w:r w:rsidR="00BB380C" w:rsidRPr="006965B1">
        <w:t xml:space="preserve"> DTF (as the central agency) records the sale proceeds and profit on sale in the </w:t>
      </w:r>
      <w:r w:rsidR="003A1B1A">
        <w:t>c</w:t>
      </w:r>
      <w:r w:rsidR="00BB380C" w:rsidRPr="006965B1">
        <w:t>entral SAU (Consolidated Fund), as a reduction in the SAU’s investment in controlled entities, and the profit on sale component as ‘revenue’.</w:t>
      </w:r>
    </w:p>
    <w:tbl>
      <w:tblPr>
        <w:tblStyle w:val="DTFtexttable"/>
        <w:tblW w:w="7466" w:type="dxa"/>
        <w:tblInd w:w="864" w:type="dxa"/>
        <w:tblLayout w:type="fixed"/>
        <w:tblLook w:val="0620" w:firstRow="1" w:lastRow="0" w:firstColumn="0" w:lastColumn="0" w:noHBand="1" w:noVBand="1"/>
      </w:tblPr>
      <w:tblGrid>
        <w:gridCol w:w="5969"/>
        <w:gridCol w:w="1497"/>
      </w:tblGrid>
      <w:tr w:rsidR="00BB380C" w:rsidRPr="00731E39" w:rsidTr="00E45B97">
        <w:trPr>
          <w:cnfStyle w:val="100000000000" w:firstRow="1" w:lastRow="0" w:firstColumn="0" w:lastColumn="0" w:oddVBand="0" w:evenVBand="0" w:oddHBand="0" w:evenHBand="0" w:firstRowFirstColumn="0" w:firstRowLastColumn="0" w:lastRowFirstColumn="0" w:lastRowLastColumn="0"/>
          <w:trHeight w:val="265"/>
        </w:trPr>
        <w:tc>
          <w:tcPr>
            <w:tcW w:w="7466" w:type="dxa"/>
            <w:gridSpan w:val="2"/>
          </w:tcPr>
          <w:p w:rsidR="00BB380C" w:rsidRPr="00731E39" w:rsidRDefault="003A1B1A" w:rsidP="00E45B97">
            <w:pPr>
              <w:pStyle w:val="Tableheader"/>
            </w:pPr>
            <w:r>
              <w:t>DTF – c</w:t>
            </w:r>
            <w:r w:rsidR="00BB380C" w:rsidRPr="00CD5B5A">
              <w:t>entral SAU</w:t>
            </w:r>
          </w:p>
        </w:tc>
      </w:tr>
      <w:tr w:rsidR="00BB380C" w:rsidRPr="00731E39" w:rsidTr="00E45B97">
        <w:trPr>
          <w:trHeight w:val="265"/>
        </w:trPr>
        <w:tc>
          <w:tcPr>
            <w:tcW w:w="5969" w:type="dxa"/>
          </w:tcPr>
          <w:p w:rsidR="00BB380C" w:rsidRPr="00731E39" w:rsidRDefault="0083708B" w:rsidP="00004E80">
            <w:pPr>
              <w:pStyle w:val="Tabletext"/>
              <w:rPr>
                <w:rFonts w:eastAsia="Arial Unicode MS"/>
              </w:rPr>
            </w:pPr>
            <w:r>
              <w:rPr>
                <w:rFonts w:eastAsia="Arial Unicode MS"/>
              </w:rPr>
              <w:t xml:space="preserve">DR </w:t>
            </w:r>
            <w:r w:rsidR="00BB380C" w:rsidRPr="00731E39">
              <w:rPr>
                <w:rFonts w:eastAsia="Arial Unicode MS"/>
              </w:rPr>
              <w:t>SAU Bank</w:t>
            </w:r>
          </w:p>
        </w:tc>
        <w:tc>
          <w:tcPr>
            <w:tcW w:w="1497" w:type="dxa"/>
          </w:tcPr>
          <w:p w:rsidR="00BB380C" w:rsidRPr="00731E39" w:rsidRDefault="00BB380C" w:rsidP="00004E80">
            <w:pPr>
              <w:pStyle w:val="Tabletext"/>
              <w:jc w:val="right"/>
              <w:rPr>
                <w:rFonts w:eastAsia="Arial Unicode MS"/>
              </w:rPr>
            </w:pPr>
            <w:r w:rsidRPr="00731E39">
              <w:rPr>
                <w:rFonts w:eastAsia="Arial Unicode MS"/>
              </w:rPr>
              <w:t>125</w:t>
            </w:r>
          </w:p>
        </w:tc>
      </w:tr>
      <w:tr w:rsidR="00BB380C" w:rsidRPr="00731E39" w:rsidTr="00E45B97">
        <w:trPr>
          <w:trHeight w:val="253"/>
        </w:trPr>
        <w:tc>
          <w:tcPr>
            <w:tcW w:w="5969" w:type="dxa"/>
          </w:tcPr>
          <w:p w:rsidR="00BB380C" w:rsidRPr="00731E39" w:rsidRDefault="0083708B" w:rsidP="00004E80">
            <w:pPr>
              <w:pStyle w:val="Tabletext"/>
              <w:rPr>
                <w:rFonts w:eastAsia="Arial Unicode MS"/>
              </w:rPr>
            </w:pPr>
            <w:r>
              <w:rPr>
                <w:rFonts w:eastAsia="Arial Unicode MS"/>
              </w:rPr>
              <w:t xml:space="preserve">CR </w:t>
            </w:r>
            <w:r w:rsidR="00BB380C" w:rsidRPr="00731E39">
              <w:rPr>
                <w:rFonts w:eastAsia="Arial Unicode MS"/>
              </w:rPr>
              <w:t>Investment in co</w:t>
            </w:r>
            <w:r w:rsidR="005E79DC">
              <w:rPr>
                <w:rFonts w:eastAsia="Arial Unicode MS"/>
              </w:rPr>
              <w:t>ntrolled entities (transfer to c</w:t>
            </w:r>
            <w:r w:rsidR="00BB380C" w:rsidRPr="00731E39">
              <w:rPr>
                <w:rFonts w:eastAsia="Arial Unicode MS"/>
              </w:rPr>
              <w:t>entral SAU)</w:t>
            </w:r>
          </w:p>
        </w:tc>
        <w:tc>
          <w:tcPr>
            <w:tcW w:w="1497" w:type="dxa"/>
          </w:tcPr>
          <w:p w:rsidR="00BB380C" w:rsidRPr="00731E39" w:rsidRDefault="00BB380C" w:rsidP="00004E80">
            <w:pPr>
              <w:pStyle w:val="Tabletext"/>
              <w:jc w:val="right"/>
              <w:rPr>
                <w:rFonts w:eastAsia="Arial Unicode MS"/>
              </w:rPr>
            </w:pPr>
            <w:r w:rsidRPr="00731E39">
              <w:rPr>
                <w:rFonts w:eastAsia="Arial Unicode MS"/>
              </w:rPr>
              <w:t>100</w:t>
            </w:r>
          </w:p>
        </w:tc>
      </w:tr>
      <w:tr w:rsidR="00BB380C" w:rsidRPr="00731E39" w:rsidTr="00E45B97">
        <w:trPr>
          <w:trHeight w:val="277"/>
        </w:trPr>
        <w:tc>
          <w:tcPr>
            <w:tcW w:w="5969" w:type="dxa"/>
          </w:tcPr>
          <w:p w:rsidR="00BB380C" w:rsidRPr="00731E39" w:rsidRDefault="0083708B" w:rsidP="00004E80">
            <w:pPr>
              <w:pStyle w:val="Tabletext"/>
              <w:rPr>
                <w:rFonts w:eastAsia="Arial Unicode MS"/>
              </w:rPr>
            </w:pPr>
            <w:r>
              <w:rPr>
                <w:rFonts w:eastAsia="Arial Unicode MS"/>
              </w:rPr>
              <w:t xml:space="preserve">CR </w:t>
            </w:r>
            <w:r w:rsidR="005E79DC">
              <w:rPr>
                <w:rFonts w:eastAsia="Arial Unicode MS"/>
              </w:rPr>
              <w:t>Reallocation of revenue from b</w:t>
            </w:r>
            <w:r w:rsidR="00BB380C" w:rsidRPr="00731E39">
              <w:rPr>
                <w:rFonts w:eastAsia="Arial Unicode MS"/>
              </w:rPr>
              <w:t>ranch SAU</w:t>
            </w:r>
          </w:p>
        </w:tc>
        <w:tc>
          <w:tcPr>
            <w:tcW w:w="1497" w:type="dxa"/>
          </w:tcPr>
          <w:p w:rsidR="00BB380C" w:rsidRPr="00731E39" w:rsidRDefault="00BB380C" w:rsidP="00004E80">
            <w:pPr>
              <w:pStyle w:val="Tabletext"/>
              <w:jc w:val="right"/>
              <w:rPr>
                <w:rFonts w:eastAsia="Arial Unicode MS"/>
              </w:rPr>
            </w:pPr>
            <w:r w:rsidRPr="00731E39">
              <w:rPr>
                <w:rFonts w:eastAsia="Arial Unicode MS"/>
              </w:rPr>
              <w:t>25</w:t>
            </w:r>
          </w:p>
        </w:tc>
      </w:tr>
    </w:tbl>
    <w:p w:rsidR="00BB380C" w:rsidRPr="00314B6A" w:rsidRDefault="00BB380C" w:rsidP="00314B6A">
      <w:pPr>
        <w:pStyle w:val="Heading3"/>
        <w:spacing w:before="480"/>
      </w:pPr>
      <w:r w:rsidRPr="00314B6A">
        <w:t>Example two</w:t>
      </w:r>
      <w:r w:rsidR="00413A48" w:rsidRPr="00314B6A">
        <w:t xml:space="preserve"> – </w:t>
      </w:r>
      <w:r w:rsidRPr="00731E39">
        <w:t xml:space="preserve">Department sells/disposes of an asset </w:t>
      </w:r>
      <w:r w:rsidR="003A1B1A">
        <w:t>for</w:t>
      </w:r>
      <w:r w:rsidRPr="00731E39">
        <w:t xml:space="preserve"> less tha</w:t>
      </w:r>
      <w:r w:rsidR="00690ADE">
        <w:t>n</w:t>
      </w:r>
      <w:r w:rsidRPr="00731E39">
        <w:t xml:space="preserve"> the carrying value (loss on disposal)</w:t>
      </w:r>
    </w:p>
    <w:p w:rsidR="00BB380C" w:rsidRPr="00731E39" w:rsidRDefault="00BB380C" w:rsidP="00BB380C">
      <w:r w:rsidRPr="00731E39">
        <w:t>In this example</w:t>
      </w:r>
      <w:r>
        <w:t>, the original cost of the asset disposed is $110,</w:t>
      </w:r>
      <w:r w:rsidRPr="00731E39">
        <w:t xml:space="preserve"> the net carrying value of the asset disposed is $100</w:t>
      </w:r>
      <w:r>
        <w:t>,</w:t>
      </w:r>
      <w:r w:rsidRPr="00731E39">
        <w:t xml:space="preserve"> and the loss on sale is $5.</w:t>
      </w:r>
    </w:p>
    <w:p w:rsidR="00BB380C" w:rsidRDefault="00BB380C" w:rsidP="00BB380C">
      <w:r>
        <w:t>The accounting entries to record the sale, the loss on sale, and the return of funds to the Consolidated Fund are detailed below:</w:t>
      </w:r>
    </w:p>
    <w:p w:rsidR="00BB380C" w:rsidRDefault="00BB380C" w:rsidP="00314B6A">
      <w:pPr>
        <w:pStyle w:val="Heading4"/>
        <w:spacing w:before="360"/>
      </w:pPr>
      <w:r w:rsidRPr="00DD3F0C">
        <w:t>Step A</w:t>
      </w:r>
      <w:r w:rsidR="00E45B97">
        <w:t xml:space="preserve"> –</w:t>
      </w:r>
      <w:r w:rsidRPr="00DD3F0C">
        <w:t xml:space="preserve"> Department transfers net carrying value of asset to be disposed from its controlled entity to its administered entity (branch SAU)</w:t>
      </w:r>
      <w:r w:rsidR="003A1B1A">
        <w:t>.</w:t>
      </w:r>
    </w:p>
    <w:tbl>
      <w:tblPr>
        <w:tblStyle w:val="DTFtexttable"/>
        <w:tblW w:w="7428" w:type="dxa"/>
        <w:tblInd w:w="864" w:type="dxa"/>
        <w:tblLayout w:type="fixed"/>
        <w:tblLook w:val="0620" w:firstRow="1" w:lastRow="0" w:firstColumn="0" w:lastColumn="0" w:noHBand="1" w:noVBand="1"/>
      </w:tblPr>
      <w:tblGrid>
        <w:gridCol w:w="2938"/>
        <w:gridCol w:w="706"/>
        <w:gridCol w:w="3068"/>
        <w:gridCol w:w="716"/>
      </w:tblGrid>
      <w:tr w:rsidR="00BB380C" w:rsidRPr="00731E39" w:rsidTr="00E45B97">
        <w:trPr>
          <w:cnfStyle w:val="100000000000" w:firstRow="1" w:lastRow="0" w:firstColumn="0" w:lastColumn="0" w:oddVBand="0" w:evenVBand="0" w:oddHBand="0" w:evenHBand="0" w:firstRowFirstColumn="0" w:firstRowLastColumn="0" w:lastRowFirstColumn="0" w:lastRowLastColumn="0"/>
          <w:trHeight w:val="332"/>
        </w:trPr>
        <w:tc>
          <w:tcPr>
            <w:tcW w:w="3644" w:type="dxa"/>
            <w:gridSpan w:val="2"/>
            <w:tcBorders>
              <w:bottom w:val="nil"/>
            </w:tcBorders>
          </w:tcPr>
          <w:p w:rsidR="00BB380C" w:rsidRPr="00673D01" w:rsidRDefault="00BB380C" w:rsidP="00E45B97">
            <w:pPr>
              <w:pStyle w:val="Tableheader"/>
              <w:rPr>
                <w:b w:val="0"/>
              </w:rPr>
            </w:pPr>
            <w:r w:rsidRPr="00673D01">
              <w:t>Controlled</w:t>
            </w:r>
          </w:p>
        </w:tc>
        <w:tc>
          <w:tcPr>
            <w:tcW w:w="3784" w:type="dxa"/>
            <w:gridSpan w:val="2"/>
            <w:tcBorders>
              <w:bottom w:val="nil"/>
            </w:tcBorders>
          </w:tcPr>
          <w:p w:rsidR="00BB380C" w:rsidRPr="00673D01" w:rsidRDefault="00BB380C" w:rsidP="00E45B97">
            <w:pPr>
              <w:pStyle w:val="Tableheader"/>
              <w:rPr>
                <w:rFonts w:eastAsia="Arial Unicode MS"/>
                <w:b w:val="0"/>
                <w:color w:val="000000"/>
              </w:rPr>
            </w:pPr>
            <w:r w:rsidRPr="00673D01">
              <w:t>Administered</w:t>
            </w:r>
          </w:p>
        </w:tc>
      </w:tr>
      <w:tr w:rsidR="00BB380C" w:rsidRPr="00731E39" w:rsidTr="00E45B97">
        <w:trPr>
          <w:trHeight w:val="558"/>
        </w:trPr>
        <w:tc>
          <w:tcPr>
            <w:tcW w:w="2938" w:type="dxa"/>
            <w:tcBorders>
              <w:left w:val="single" w:sz="6" w:space="0" w:color="0063A6" w:themeColor="accent1"/>
              <w:bottom w:val="nil"/>
            </w:tcBorders>
          </w:tcPr>
          <w:p w:rsidR="00BB380C" w:rsidRPr="00731E39" w:rsidRDefault="0083708B" w:rsidP="00004E80">
            <w:pPr>
              <w:pStyle w:val="Tabletext"/>
              <w:rPr>
                <w:rFonts w:eastAsia="Arial Unicode MS"/>
              </w:rPr>
            </w:pPr>
            <w:r>
              <w:rPr>
                <w:rFonts w:eastAsia="Arial Unicode MS"/>
              </w:rPr>
              <w:t xml:space="preserve">DR </w:t>
            </w:r>
            <w:r w:rsidR="00BB380C">
              <w:rPr>
                <w:rFonts w:eastAsia="Arial Unicode MS"/>
              </w:rPr>
              <w:t>Contributed capital</w:t>
            </w:r>
            <w:r w:rsidR="00BB380C" w:rsidRPr="00731E39">
              <w:rPr>
                <w:rFonts w:eastAsia="Arial Unicode MS"/>
              </w:rPr>
              <w:t xml:space="preserve"> (equity transfer to other entities)</w:t>
            </w:r>
          </w:p>
        </w:tc>
        <w:tc>
          <w:tcPr>
            <w:tcW w:w="706" w:type="dxa"/>
            <w:tcBorders>
              <w:bottom w:val="nil"/>
              <w:right w:val="single" w:sz="6" w:space="0" w:color="0063A6" w:themeColor="accent1"/>
            </w:tcBorders>
          </w:tcPr>
          <w:p w:rsidR="00BB380C" w:rsidRPr="00731E39" w:rsidRDefault="00BB380C" w:rsidP="00004E80">
            <w:pPr>
              <w:pStyle w:val="Tabletext"/>
              <w:jc w:val="right"/>
              <w:rPr>
                <w:rFonts w:eastAsia="Arial Unicode MS"/>
              </w:rPr>
            </w:pPr>
            <w:r w:rsidRPr="00731E39">
              <w:rPr>
                <w:rFonts w:eastAsia="Arial Unicode MS"/>
              </w:rPr>
              <w:t>100</w:t>
            </w:r>
          </w:p>
        </w:tc>
        <w:tc>
          <w:tcPr>
            <w:tcW w:w="3068" w:type="dxa"/>
            <w:tcBorders>
              <w:left w:val="single" w:sz="6" w:space="0" w:color="0063A6" w:themeColor="accent1"/>
              <w:bottom w:val="nil"/>
            </w:tcBorders>
          </w:tcPr>
          <w:p w:rsidR="00BB380C" w:rsidRPr="00731E39" w:rsidRDefault="0083708B" w:rsidP="00004E80">
            <w:pPr>
              <w:pStyle w:val="Tabletext"/>
              <w:rPr>
                <w:rFonts w:eastAsia="Arial Unicode MS"/>
              </w:rPr>
            </w:pPr>
            <w:r>
              <w:rPr>
                <w:rFonts w:eastAsia="Arial Unicode MS"/>
              </w:rPr>
              <w:t xml:space="preserve">DR </w:t>
            </w:r>
            <w:r w:rsidR="00BB380C" w:rsidRPr="00731E39">
              <w:rPr>
                <w:rFonts w:eastAsia="Arial Unicode MS"/>
              </w:rPr>
              <w:t>Asset</w:t>
            </w:r>
          </w:p>
        </w:tc>
        <w:tc>
          <w:tcPr>
            <w:tcW w:w="716" w:type="dxa"/>
            <w:tcBorders>
              <w:bottom w:val="nil"/>
              <w:right w:val="single" w:sz="6" w:space="0" w:color="0063A6" w:themeColor="accent1"/>
            </w:tcBorders>
          </w:tcPr>
          <w:p w:rsidR="00BB380C" w:rsidRPr="00731E39" w:rsidRDefault="00BB380C" w:rsidP="00004E80">
            <w:pPr>
              <w:pStyle w:val="Tabletext"/>
              <w:jc w:val="right"/>
              <w:rPr>
                <w:rFonts w:eastAsia="Arial Unicode MS"/>
              </w:rPr>
            </w:pPr>
            <w:r w:rsidRPr="00731E39">
              <w:rPr>
                <w:rFonts w:eastAsia="Arial Unicode MS"/>
              </w:rPr>
              <w:t>110</w:t>
            </w:r>
          </w:p>
        </w:tc>
      </w:tr>
      <w:tr w:rsidR="00BB380C" w:rsidRPr="00731E39" w:rsidTr="00E45B97">
        <w:trPr>
          <w:trHeight w:val="279"/>
        </w:trPr>
        <w:tc>
          <w:tcPr>
            <w:tcW w:w="2938" w:type="dxa"/>
            <w:tcBorders>
              <w:left w:val="single" w:sz="6" w:space="0" w:color="0063A6" w:themeColor="accent1"/>
              <w:bottom w:val="nil"/>
            </w:tcBorders>
          </w:tcPr>
          <w:p w:rsidR="00BB380C" w:rsidRPr="00731E39" w:rsidRDefault="0083708B" w:rsidP="00004E80">
            <w:pPr>
              <w:pStyle w:val="Tabletext"/>
              <w:rPr>
                <w:rFonts w:eastAsia="Arial Unicode MS"/>
              </w:rPr>
            </w:pPr>
            <w:r>
              <w:rPr>
                <w:rFonts w:eastAsia="Arial Unicode MS"/>
              </w:rPr>
              <w:t xml:space="preserve">DR </w:t>
            </w:r>
            <w:r w:rsidR="00BB380C" w:rsidRPr="00731E39">
              <w:rPr>
                <w:rFonts w:eastAsia="Arial Unicode MS"/>
              </w:rPr>
              <w:t>Accumulated depreciation</w:t>
            </w:r>
          </w:p>
        </w:tc>
        <w:tc>
          <w:tcPr>
            <w:tcW w:w="706" w:type="dxa"/>
            <w:tcBorders>
              <w:bottom w:val="nil"/>
              <w:right w:val="single" w:sz="6" w:space="0" w:color="0063A6" w:themeColor="accent1"/>
            </w:tcBorders>
          </w:tcPr>
          <w:p w:rsidR="00BB380C" w:rsidRPr="00731E39" w:rsidRDefault="00BB380C" w:rsidP="0083708B">
            <w:pPr>
              <w:pStyle w:val="Tabletext"/>
              <w:jc w:val="right"/>
              <w:rPr>
                <w:rFonts w:eastAsia="Arial Unicode MS"/>
              </w:rPr>
            </w:pPr>
            <w:r w:rsidRPr="00731E39">
              <w:rPr>
                <w:rFonts w:eastAsia="Arial Unicode MS"/>
              </w:rPr>
              <w:t>10</w:t>
            </w:r>
          </w:p>
        </w:tc>
        <w:tc>
          <w:tcPr>
            <w:tcW w:w="3068" w:type="dxa"/>
            <w:tcBorders>
              <w:left w:val="single" w:sz="6" w:space="0" w:color="0063A6" w:themeColor="accent1"/>
              <w:bottom w:val="nil"/>
            </w:tcBorders>
          </w:tcPr>
          <w:p w:rsidR="00BB380C" w:rsidRPr="00731E39" w:rsidRDefault="0083708B" w:rsidP="00004E80">
            <w:pPr>
              <w:pStyle w:val="Tabletext"/>
              <w:rPr>
                <w:rFonts w:eastAsia="Arial Unicode MS"/>
              </w:rPr>
            </w:pPr>
            <w:r>
              <w:rPr>
                <w:rFonts w:eastAsia="Arial Unicode MS"/>
              </w:rPr>
              <w:t xml:space="preserve">CR </w:t>
            </w:r>
            <w:r w:rsidR="00BB380C" w:rsidRPr="00731E39">
              <w:rPr>
                <w:rFonts w:eastAsia="Arial Unicode MS"/>
              </w:rPr>
              <w:t>Accumulated depreciation</w:t>
            </w:r>
          </w:p>
        </w:tc>
        <w:tc>
          <w:tcPr>
            <w:tcW w:w="716" w:type="dxa"/>
            <w:tcBorders>
              <w:bottom w:val="nil"/>
              <w:right w:val="single" w:sz="6" w:space="0" w:color="0063A6" w:themeColor="accent1"/>
            </w:tcBorders>
          </w:tcPr>
          <w:p w:rsidR="00BB380C" w:rsidRPr="00731E39" w:rsidRDefault="00BB380C" w:rsidP="00004E80">
            <w:pPr>
              <w:pStyle w:val="Tabletext"/>
              <w:jc w:val="right"/>
              <w:rPr>
                <w:rFonts w:eastAsia="Arial Unicode MS"/>
              </w:rPr>
            </w:pPr>
            <w:r w:rsidRPr="00731E39">
              <w:rPr>
                <w:rFonts w:eastAsia="Arial Unicode MS"/>
              </w:rPr>
              <w:t>10</w:t>
            </w:r>
          </w:p>
        </w:tc>
      </w:tr>
      <w:tr w:rsidR="00BB380C" w:rsidRPr="00731E39" w:rsidTr="00E45B97">
        <w:trPr>
          <w:trHeight w:val="583"/>
        </w:trPr>
        <w:tc>
          <w:tcPr>
            <w:tcW w:w="2938" w:type="dxa"/>
            <w:tcBorders>
              <w:left w:val="single" w:sz="6" w:space="0" w:color="0063A6" w:themeColor="accent1"/>
              <w:bottom w:val="single" w:sz="12" w:space="0" w:color="0063A6" w:themeColor="accent1"/>
            </w:tcBorders>
          </w:tcPr>
          <w:p w:rsidR="00BB380C" w:rsidRPr="00731E39" w:rsidRDefault="0083708B" w:rsidP="00004E80">
            <w:pPr>
              <w:pStyle w:val="Tabletext"/>
              <w:rPr>
                <w:rFonts w:eastAsia="Arial Unicode MS"/>
              </w:rPr>
            </w:pPr>
            <w:r>
              <w:rPr>
                <w:rFonts w:eastAsia="Arial Unicode MS"/>
              </w:rPr>
              <w:t xml:space="preserve">CR </w:t>
            </w:r>
            <w:r w:rsidR="00BB380C" w:rsidRPr="00731E39">
              <w:rPr>
                <w:rFonts w:eastAsia="Arial Unicode MS"/>
              </w:rPr>
              <w:t>Asset</w:t>
            </w:r>
          </w:p>
        </w:tc>
        <w:tc>
          <w:tcPr>
            <w:tcW w:w="706" w:type="dxa"/>
            <w:tcBorders>
              <w:bottom w:val="single" w:sz="12" w:space="0" w:color="0063A6" w:themeColor="accent1"/>
              <w:right w:val="single" w:sz="6" w:space="0" w:color="0063A6" w:themeColor="accent1"/>
            </w:tcBorders>
          </w:tcPr>
          <w:p w:rsidR="00BB380C" w:rsidRPr="00731E39" w:rsidRDefault="00BB380C" w:rsidP="00004E80">
            <w:pPr>
              <w:pStyle w:val="Tabletext"/>
              <w:jc w:val="right"/>
              <w:rPr>
                <w:rFonts w:eastAsia="Arial Unicode MS"/>
              </w:rPr>
            </w:pPr>
            <w:r w:rsidRPr="00731E39">
              <w:rPr>
                <w:rFonts w:eastAsia="Arial Unicode MS"/>
              </w:rPr>
              <w:t>110</w:t>
            </w:r>
          </w:p>
        </w:tc>
        <w:tc>
          <w:tcPr>
            <w:tcW w:w="3068" w:type="dxa"/>
            <w:tcBorders>
              <w:left w:val="single" w:sz="6" w:space="0" w:color="0063A6" w:themeColor="accent1"/>
              <w:bottom w:val="single" w:sz="12" w:space="0" w:color="0063A6" w:themeColor="accent1"/>
            </w:tcBorders>
          </w:tcPr>
          <w:p w:rsidR="00BB380C" w:rsidRPr="00731E39" w:rsidRDefault="0083708B" w:rsidP="00004E80">
            <w:pPr>
              <w:pStyle w:val="Tabletext"/>
              <w:rPr>
                <w:rFonts w:eastAsia="Arial Unicode MS"/>
              </w:rPr>
            </w:pPr>
            <w:r>
              <w:rPr>
                <w:rFonts w:eastAsia="Arial Unicode MS"/>
              </w:rPr>
              <w:t xml:space="preserve">CR </w:t>
            </w:r>
            <w:r w:rsidR="00BB380C">
              <w:rPr>
                <w:rFonts w:eastAsia="Arial Unicode MS"/>
              </w:rPr>
              <w:t>Contributed capital</w:t>
            </w:r>
            <w:r w:rsidR="00BB380C" w:rsidRPr="00731E39">
              <w:rPr>
                <w:rFonts w:eastAsia="Arial Unicode MS"/>
              </w:rPr>
              <w:t xml:space="preserve"> (equity transfer from other entities)</w:t>
            </w:r>
          </w:p>
        </w:tc>
        <w:tc>
          <w:tcPr>
            <w:tcW w:w="716" w:type="dxa"/>
            <w:tcBorders>
              <w:bottom w:val="single" w:sz="12" w:space="0" w:color="0063A6" w:themeColor="accent1"/>
              <w:right w:val="single" w:sz="6" w:space="0" w:color="0063A6" w:themeColor="accent1"/>
            </w:tcBorders>
          </w:tcPr>
          <w:p w:rsidR="00BB380C" w:rsidRPr="00731E39" w:rsidRDefault="00BB380C" w:rsidP="00004E80">
            <w:pPr>
              <w:pStyle w:val="Tabletext"/>
              <w:jc w:val="right"/>
              <w:rPr>
                <w:rFonts w:eastAsia="Arial Unicode MS"/>
              </w:rPr>
            </w:pPr>
            <w:r w:rsidRPr="00731E39">
              <w:rPr>
                <w:rFonts w:eastAsia="Arial Unicode MS"/>
              </w:rPr>
              <w:t>100</w:t>
            </w:r>
          </w:p>
        </w:tc>
      </w:tr>
    </w:tbl>
    <w:p w:rsidR="00BB380C" w:rsidRDefault="00BB380C" w:rsidP="00314B6A">
      <w:pPr>
        <w:pStyle w:val="Heading4"/>
        <w:spacing w:before="360"/>
      </w:pPr>
      <w:r w:rsidRPr="00DD3F0C">
        <w:t>Step B</w:t>
      </w:r>
      <w:r w:rsidR="00E45B97">
        <w:t xml:space="preserve"> –</w:t>
      </w:r>
      <w:r w:rsidRPr="00DD3F0C">
        <w:t xml:space="preserve"> Department records the impact on the administered operating statement where the asset is sold at a loss of $5 with cash proceeds/receivable of $95.</w:t>
      </w:r>
    </w:p>
    <w:tbl>
      <w:tblPr>
        <w:tblStyle w:val="DTFtexttable"/>
        <w:tblW w:w="7425" w:type="dxa"/>
        <w:tblInd w:w="864" w:type="dxa"/>
        <w:tblLayout w:type="fixed"/>
        <w:tblLook w:val="0620" w:firstRow="1" w:lastRow="0" w:firstColumn="0" w:lastColumn="0" w:noHBand="1" w:noVBand="1"/>
      </w:tblPr>
      <w:tblGrid>
        <w:gridCol w:w="5658"/>
        <w:gridCol w:w="1767"/>
      </w:tblGrid>
      <w:tr w:rsidR="00BB380C" w:rsidRPr="00731E39" w:rsidTr="00E45B97">
        <w:trPr>
          <w:cnfStyle w:val="100000000000" w:firstRow="1" w:lastRow="0" w:firstColumn="0" w:lastColumn="0" w:oddVBand="0" w:evenVBand="0" w:oddHBand="0" w:evenHBand="0" w:firstRowFirstColumn="0" w:firstRowLastColumn="0" w:lastRowFirstColumn="0" w:lastRowLastColumn="0"/>
          <w:cantSplit/>
        </w:trPr>
        <w:tc>
          <w:tcPr>
            <w:tcW w:w="7425" w:type="dxa"/>
            <w:gridSpan w:val="2"/>
          </w:tcPr>
          <w:p w:rsidR="00BB380C" w:rsidRDefault="00BB380C" w:rsidP="00E45B97">
            <w:pPr>
              <w:pStyle w:val="Tableheader"/>
              <w:rPr>
                <w:rFonts w:eastAsia="Arial Unicode MS"/>
              </w:rPr>
            </w:pPr>
            <w:r w:rsidRPr="00673D01">
              <w:t>Administered</w:t>
            </w:r>
          </w:p>
        </w:tc>
      </w:tr>
      <w:tr w:rsidR="00BB380C" w:rsidRPr="00731E39" w:rsidTr="00E45B97">
        <w:tc>
          <w:tcPr>
            <w:tcW w:w="5658" w:type="dxa"/>
          </w:tcPr>
          <w:p w:rsidR="00BB380C" w:rsidRPr="00731E39" w:rsidRDefault="0083708B" w:rsidP="00004E80">
            <w:pPr>
              <w:pStyle w:val="Tabletext"/>
              <w:rPr>
                <w:rFonts w:eastAsia="Arial Unicode MS"/>
              </w:rPr>
            </w:pPr>
            <w:r>
              <w:rPr>
                <w:rFonts w:eastAsia="Arial Unicode MS"/>
              </w:rPr>
              <w:t xml:space="preserve">DR </w:t>
            </w:r>
            <w:r w:rsidR="00BB380C" w:rsidRPr="00731E39">
              <w:rPr>
                <w:rFonts w:eastAsia="Arial Unicode MS"/>
              </w:rPr>
              <w:t>Cash/receivable</w:t>
            </w:r>
          </w:p>
        </w:tc>
        <w:tc>
          <w:tcPr>
            <w:tcW w:w="1767" w:type="dxa"/>
          </w:tcPr>
          <w:p w:rsidR="00BB380C" w:rsidRPr="00731E39" w:rsidRDefault="00BB380C" w:rsidP="00004E80">
            <w:pPr>
              <w:pStyle w:val="Tabletext"/>
              <w:jc w:val="right"/>
              <w:rPr>
                <w:rFonts w:eastAsia="Arial Unicode MS"/>
              </w:rPr>
            </w:pPr>
            <w:r>
              <w:rPr>
                <w:rFonts w:eastAsia="Arial Unicode MS"/>
              </w:rPr>
              <w:t>9</w:t>
            </w:r>
            <w:r w:rsidRPr="00731E39">
              <w:rPr>
                <w:rFonts w:eastAsia="Arial Unicode MS"/>
              </w:rPr>
              <w:t>5</w:t>
            </w:r>
          </w:p>
        </w:tc>
      </w:tr>
      <w:tr w:rsidR="00BB380C" w:rsidRPr="00731E39" w:rsidTr="00E45B97">
        <w:tc>
          <w:tcPr>
            <w:tcW w:w="5658" w:type="dxa"/>
          </w:tcPr>
          <w:p w:rsidR="00BB380C" w:rsidRPr="00731E39" w:rsidRDefault="0083708B" w:rsidP="003A1B1A">
            <w:pPr>
              <w:pStyle w:val="Tabletext"/>
              <w:rPr>
                <w:rFonts w:eastAsia="Arial Unicode MS"/>
              </w:rPr>
            </w:pPr>
            <w:r>
              <w:rPr>
                <w:rFonts w:eastAsia="Arial Unicode MS"/>
              </w:rPr>
              <w:t xml:space="preserve">CR </w:t>
            </w:r>
            <w:r w:rsidR="00BB380C" w:rsidRPr="00731E39">
              <w:rPr>
                <w:rFonts w:eastAsia="Arial Unicode MS"/>
              </w:rPr>
              <w:t xml:space="preserve">Revenue – </w:t>
            </w:r>
            <w:r w:rsidR="003A1B1A">
              <w:rPr>
                <w:rFonts w:eastAsia="Arial Unicode MS"/>
              </w:rPr>
              <w:t>g</w:t>
            </w:r>
            <w:r w:rsidR="00BB380C" w:rsidRPr="00731E39">
              <w:rPr>
                <w:rFonts w:eastAsia="Arial Unicode MS"/>
              </w:rPr>
              <w:t>ross sale proceeds</w:t>
            </w:r>
          </w:p>
        </w:tc>
        <w:tc>
          <w:tcPr>
            <w:tcW w:w="1767" w:type="dxa"/>
          </w:tcPr>
          <w:p w:rsidR="00BB380C" w:rsidRPr="00731E39" w:rsidRDefault="00BB380C" w:rsidP="00004E80">
            <w:pPr>
              <w:pStyle w:val="Tabletext"/>
              <w:jc w:val="right"/>
              <w:rPr>
                <w:rFonts w:eastAsia="Arial Unicode MS"/>
              </w:rPr>
            </w:pPr>
            <w:r>
              <w:rPr>
                <w:rFonts w:eastAsia="Arial Unicode MS"/>
              </w:rPr>
              <w:t>9</w:t>
            </w:r>
            <w:r w:rsidRPr="00731E39">
              <w:rPr>
                <w:rFonts w:eastAsia="Arial Unicode MS"/>
              </w:rPr>
              <w:t>5</w:t>
            </w:r>
          </w:p>
        </w:tc>
      </w:tr>
      <w:tr w:rsidR="00BB380C" w:rsidRPr="00731E39" w:rsidTr="00E45B97">
        <w:tc>
          <w:tcPr>
            <w:tcW w:w="5658" w:type="dxa"/>
          </w:tcPr>
          <w:p w:rsidR="00BB380C" w:rsidRPr="00731E39" w:rsidRDefault="0083708B" w:rsidP="00004E80">
            <w:pPr>
              <w:pStyle w:val="Tabletext"/>
              <w:rPr>
                <w:rFonts w:eastAsia="Arial Unicode MS"/>
              </w:rPr>
            </w:pPr>
            <w:r>
              <w:rPr>
                <w:rFonts w:eastAsia="Arial Unicode MS"/>
              </w:rPr>
              <w:t xml:space="preserve">DR </w:t>
            </w:r>
            <w:r w:rsidR="003A1B1A">
              <w:rPr>
                <w:rFonts w:eastAsia="Arial Unicode MS"/>
              </w:rPr>
              <w:t>Revenue – g</w:t>
            </w:r>
            <w:r w:rsidR="00BB380C" w:rsidRPr="00731E39">
              <w:rPr>
                <w:rFonts w:eastAsia="Arial Unicode MS"/>
              </w:rPr>
              <w:t>ross value of asset disposed</w:t>
            </w:r>
          </w:p>
        </w:tc>
        <w:tc>
          <w:tcPr>
            <w:tcW w:w="1767" w:type="dxa"/>
          </w:tcPr>
          <w:p w:rsidR="00BB380C" w:rsidRPr="00731E39" w:rsidRDefault="00BB380C" w:rsidP="00004E80">
            <w:pPr>
              <w:pStyle w:val="Tabletext"/>
              <w:jc w:val="right"/>
              <w:rPr>
                <w:rFonts w:eastAsia="Arial Unicode MS"/>
              </w:rPr>
            </w:pPr>
            <w:r w:rsidRPr="00731E39">
              <w:rPr>
                <w:rFonts w:eastAsia="Arial Unicode MS"/>
              </w:rPr>
              <w:t>110</w:t>
            </w:r>
          </w:p>
        </w:tc>
      </w:tr>
      <w:tr w:rsidR="00BB380C" w:rsidRPr="00731E39" w:rsidTr="00E45B97">
        <w:tc>
          <w:tcPr>
            <w:tcW w:w="5658" w:type="dxa"/>
          </w:tcPr>
          <w:p w:rsidR="00BB380C" w:rsidRPr="00731E39" w:rsidRDefault="0083708B" w:rsidP="00004E80">
            <w:pPr>
              <w:pStyle w:val="Tabletext"/>
              <w:rPr>
                <w:rFonts w:eastAsia="Arial Unicode MS"/>
              </w:rPr>
            </w:pPr>
            <w:r>
              <w:rPr>
                <w:rFonts w:eastAsia="Arial Unicode MS"/>
              </w:rPr>
              <w:t xml:space="preserve">CR </w:t>
            </w:r>
            <w:r w:rsidR="003A1B1A">
              <w:rPr>
                <w:rFonts w:eastAsia="Arial Unicode MS"/>
              </w:rPr>
              <w:t>Revenue – a</w:t>
            </w:r>
            <w:r w:rsidR="00BB380C" w:rsidRPr="00731E39">
              <w:rPr>
                <w:rFonts w:eastAsia="Arial Unicode MS"/>
              </w:rPr>
              <w:t>ccumulated depreciation of asset disposed</w:t>
            </w:r>
          </w:p>
        </w:tc>
        <w:tc>
          <w:tcPr>
            <w:tcW w:w="1767" w:type="dxa"/>
          </w:tcPr>
          <w:p w:rsidR="00BB380C" w:rsidRPr="00731E39" w:rsidRDefault="00BB380C" w:rsidP="00004E80">
            <w:pPr>
              <w:pStyle w:val="Tabletext"/>
              <w:jc w:val="right"/>
              <w:rPr>
                <w:rFonts w:eastAsia="Arial Unicode MS"/>
              </w:rPr>
            </w:pPr>
            <w:r w:rsidRPr="00731E39">
              <w:rPr>
                <w:rFonts w:eastAsia="Arial Unicode MS"/>
              </w:rPr>
              <w:t>10</w:t>
            </w:r>
          </w:p>
        </w:tc>
      </w:tr>
      <w:tr w:rsidR="00BB380C" w:rsidRPr="00731E39" w:rsidTr="00E45B97">
        <w:tc>
          <w:tcPr>
            <w:tcW w:w="5658" w:type="dxa"/>
          </w:tcPr>
          <w:p w:rsidR="00BB380C" w:rsidRPr="00731E39" w:rsidRDefault="0083708B" w:rsidP="00004E80">
            <w:pPr>
              <w:pStyle w:val="Tabletext"/>
              <w:rPr>
                <w:rFonts w:eastAsia="Arial Unicode MS"/>
              </w:rPr>
            </w:pPr>
            <w:r>
              <w:rPr>
                <w:rFonts w:eastAsia="Arial Unicode MS"/>
              </w:rPr>
              <w:t xml:space="preserve">CR </w:t>
            </w:r>
            <w:r w:rsidR="00BB380C" w:rsidRPr="00731E39">
              <w:rPr>
                <w:rFonts w:eastAsia="Arial Unicode MS"/>
              </w:rPr>
              <w:t>Asset</w:t>
            </w:r>
          </w:p>
        </w:tc>
        <w:tc>
          <w:tcPr>
            <w:tcW w:w="1767" w:type="dxa"/>
          </w:tcPr>
          <w:p w:rsidR="00BB380C" w:rsidRPr="00731E39" w:rsidRDefault="00BB380C" w:rsidP="00004E80">
            <w:pPr>
              <w:pStyle w:val="Tabletext"/>
              <w:jc w:val="right"/>
              <w:rPr>
                <w:rFonts w:eastAsia="Arial Unicode MS"/>
              </w:rPr>
            </w:pPr>
            <w:r w:rsidRPr="00731E39">
              <w:rPr>
                <w:rFonts w:eastAsia="Arial Unicode MS"/>
              </w:rPr>
              <w:t>110</w:t>
            </w:r>
          </w:p>
        </w:tc>
      </w:tr>
      <w:tr w:rsidR="00BB380C" w:rsidRPr="00731E39" w:rsidTr="00E45B97">
        <w:tc>
          <w:tcPr>
            <w:tcW w:w="5658" w:type="dxa"/>
          </w:tcPr>
          <w:p w:rsidR="00BB380C" w:rsidRPr="00731E39" w:rsidRDefault="0083708B" w:rsidP="00004E80">
            <w:pPr>
              <w:pStyle w:val="Tabletext"/>
              <w:rPr>
                <w:rFonts w:eastAsia="Arial Unicode MS"/>
              </w:rPr>
            </w:pPr>
            <w:r>
              <w:rPr>
                <w:rFonts w:eastAsia="Arial Unicode MS"/>
              </w:rPr>
              <w:t xml:space="preserve">DR </w:t>
            </w:r>
            <w:r w:rsidR="00BB380C" w:rsidRPr="00731E39">
              <w:rPr>
                <w:rFonts w:eastAsia="Arial Unicode MS"/>
              </w:rPr>
              <w:t>Accumulated depreciation</w:t>
            </w:r>
          </w:p>
        </w:tc>
        <w:tc>
          <w:tcPr>
            <w:tcW w:w="1767" w:type="dxa"/>
          </w:tcPr>
          <w:p w:rsidR="00BB380C" w:rsidRPr="00731E39" w:rsidRDefault="00BB380C" w:rsidP="00004E80">
            <w:pPr>
              <w:pStyle w:val="Tabletext"/>
              <w:jc w:val="right"/>
              <w:rPr>
                <w:rFonts w:eastAsia="Arial Unicode MS"/>
              </w:rPr>
            </w:pPr>
            <w:r w:rsidRPr="00731E39">
              <w:rPr>
                <w:rFonts w:eastAsia="Arial Unicode MS"/>
              </w:rPr>
              <w:t>10</w:t>
            </w:r>
          </w:p>
        </w:tc>
      </w:tr>
    </w:tbl>
    <w:p w:rsidR="00BB380C" w:rsidRDefault="00BB380C" w:rsidP="00314B6A">
      <w:pPr>
        <w:pStyle w:val="Heading4"/>
        <w:spacing w:before="360"/>
      </w:pPr>
      <w:r w:rsidRPr="00DD3F0C">
        <w:t>Step C</w:t>
      </w:r>
      <w:r w:rsidR="00E45B97">
        <w:t xml:space="preserve"> –</w:t>
      </w:r>
      <w:r w:rsidR="00413A48">
        <w:t xml:space="preserve"> </w:t>
      </w:r>
      <w:r w:rsidRPr="00DD3F0C">
        <w:t>Department remits $95 of the sale to Consolidated Fund as a return of capital. The remainder, equivalent to the loss on sale, is treated as ‘revenue’ in the departmental administered accounts.</w:t>
      </w:r>
      <w:r w:rsidRPr="006F1C24">
        <w:t xml:space="preserve"> </w:t>
      </w:r>
      <w:r w:rsidRPr="00E45B97">
        <w:rPr>
          <w:b w:val="0"/>
        </w:rPr>
        <w:t xml:space="preserve">This treatment of the profit component is consistent with all other administered revenue items where the cash is remitted to the </w:t>
      </w:r>
      <w:r w:rsidR="003A1B1A">
        <w:rPr>
          <w:b w:val="0"/>
        </w:rPr>
        <w:t>c</w:t>
      </w:r>
      <w:r w:rsidRPr="00E45B97">
        <w:rPr>
          <w:b w:val="0"/>
        </w:rPr>
        <w:t>entral SAU.</w:t>
      </w:r>
    </w:p>
    <w:tbl>
      <w:tblPr>
        <w:tblStyle w:val="DTFtexttable"/>
        <w:tblW w:w="7394" w:type="dxa"/>
        <w:tblInd w:w="864" w:type="dxa"/>
        <w:tblLayout w:type="fixed"/>
        <w:tblLook w:val="0620" w:firstRow="1" w:lastRow="0" w:firstColumn="0" w:lastColumn="0" w:noHBand="1" w:noVBand="1"/>
      </w:tblPr>
      <w:tblGrid>
        <w:gridCol w:w="5799"/>
        <w:gridCol w:w="1595"/>
      </w:tblGrid>
      <w:tr w:rsidR="00BB380C" w:rsidRPr="00731E39" w:rsidTr="00E45B97">
        <w:trPr>
          <w:cnfStyle w:val="100000000000" w:firstRow="1" w:lastRow="0" w:firstColumn="0" w:lastColumn="0" w:oddVBand="0" w:evenVBand="0" w:oddHBand="0" w:evenHBand="0" w:firstRowFirstColumn="0" w:firstRowLastColumn="0" w:lastRowFirstColumn="0" w:lastRowLastColumn="0"/>
          <w:trHeight w:val="274"/>
        </w:trPr>
        <w:tc>
          <w:tcPr>
            <w:tcW w:w="7394" w:type="dxa"/>
            <w:gridSpan w:val="2"/>
          </w:tcPr>
          <w:p w:rsidR="00BB380C" w:rsidRDefault="00BB380C" w:rsidP="00E45B97">
            <w:pPr>
              <w:pStyle w:val="Tableheader"/>
              <w:rPr>
                <w:rFonts w:eastAsia="Arial Unicode MS"/>
              </w:rPr>
            </w:pPr>
            <w:r w:rsidRPr="00673D01">
              <w:t>Administered</w:t>
            </w:r>
          </w:p>
        </w:tc>
      </w:tr>
      <w:tr w:rsidR="00BB380C" w:rsidRPr="00731E39" w:rsidTr="00E45B97">
        <w:trPr>
          <w:trHeight w:val="261"/>
        </w:trPr>
        <w:tc>
          <w:tcPr>
            <w:tcW w:w="5799" w:type="dxa"/>
          </w:tcPr>
          <w:p w:rsidR="00BB380C" w:rsidRPr="00731E39" w:rsidRDefault="0083708B" w:rsidP="003A1B1A">
            <w:pPr>
              <w:pStyle w:val="Tabletext"/>
              <w:rPr>
                <w:rFonts w:eastAsia="Arial Unicode MS"/>
              </w:rPr>
            </w:pPr>
            <w:r>
              <w:rPr>
                <w:rFonts w:eastAsia="Arial Unicode MS"/>
              </w:rPr>
              <w:t xml:space="preserve">DR </w:t>
            </w:r>
            <w:r w:rsidR="00BB380C">
              <w:rPr>
                <w:rFonts w:eastAsia="Arial Unicode MS"/>
              </w:rPr>
              <w:t>Contributed capital</w:t>
            </w:r>
            <w:r w:rsidR="00BB380C" w:rsidRPr="00731E39">
              <w:rPr>
                <w:rFonts w:eastAsia="Arial Unicode MS"/>
              </w:rPr>
              <w:t xml:space="preserve"> (equity transfer to </w:t>
            </w:r>
            <w:r w:rsidR="003A1B1A">
              <w:rPr>
                <w:rFonts w:eastAsia="Arial Unicode MS"/>
              </w:rPr>
              <w:t>c</w:t>
            </w:r>
            <w:r w:rsidR="00BB380C" w:rsidRPr="00731E39">
              <w:rPr>
                <w:rFonts w:eastAsia="Arial Unicode MS"/>
              </w:rPr>
              <w:t>entral SAU)</w:t>
            </w:r>
          </w:p>
        </w:tc>
        <w:tc>
          <w:tcPr>
            <w:tcW w:w="1595" w:type="dxa"/>
          </w:tcPr>
          <w:p w:rsidR="00BB380C" w:rsidRPr="00731E39" w:rsidRDefault="00BB380C" w:rsidP="00004E80">
            <w:pPr>
              <w:pStyle w:val="Tabletext"/>
              <w:jc w:val="right"/>
              <w:rPr>
                <w:rFonts w:eastAsia="Arial Unicode MS"/>
              </w:rPr>
            </w:pPr>
            <w:r w:rsidRPr="00731E39">
              <w:rPr>
                <w:rFonts w:eastAsia="Arial Unicode MS"/>
              </w:rPr>
              <w:t>100</w:t>
            </w:r>
          </w:p>
        </w:tc>
      </w:tr>
      <w:tr w:rsidR="00BB380C" w:rsidRPr="00731E39" w:rsidTr="00E45B97">
        <w:trPr>
          <w:trHeight w:val="274"/>
        </w:trPr>
        <w:tc>
          <w:tcPr>
            <w:tcW w:w="5799" w:type="dxa"/>
          </w:tcPr>
          <w:p w:rsidR="00BB380C" w:rsidRPr="00731E39" w:rsidRDefault="0083708B" w:rsidP="003A1B1A">
            <w:pPr>
              <w:pStyle w:val="Tabletext"/>
              <w:rPr>
                <w:rFonts w:eastAsia="Arial Unicode MS"/>
              </w:rPr>
            </w:pPr>
            <w:r>
              <w:rPr>
                <w:rFonts w:eastAsia="Arial Unicode MS"/>
              </w:rPr>
              <w:t xml:space="preserve">CR </w:t>
            </w:r>
            <w:r w:rsidR="00BB380C">
              <w:rPr>
                <w:rFonts w:eastAsia="Arial Unicode MS"/>
              </w:rPr>
              <w:t>R</w:t>
            </w:r>
            <w:r w:rsidR="00BB380C" w:rsidRPr="00731E39">
              <w:rPr>
                <w:rFonts w:eastAsia="Arial Unicode MS"/>
              </w:rPr>
              <w:t xml:space="preserve">eallocation of revenue to </w:t>
            </w:r>
            <w:r w:rsidR="003A1B1A">
              <w:rPr>
                <w:rFonts w:eastAsia="Arial Unicode MS"/>
              </w:rPr>
              <w:t>c</w:t>
            </w:r>
            <w:r w:rsidR="00BB380C" w:rsidRPr="00731E39">
              <w:rPr>
                <w:rFonts w:eastAsia="Arial Unicode MS"/>
              </w:rPr>
              <w:t>entral SAU</w:t>
            </w:r>
          </w:p>
        </w:tc>
        <w:tc>
          <w:tcPr>
            <w:tcW w:w="1595" w:type="dxa"/>
          </w:tcPr>
          <w:p w:rsidR="00BB380C" w:rsidRPr="00731E39" w:rsidRDefault="00BB380C" w:rsidP="00004E80">
            <w:pPr>
              <w:pStyle w:val="Tabletext"/>
              <w:jc w:val="right"/>
              <w:rPr>
                <w:rFonts w:eastAsia="Arial Unicode MS"/>
              </w:rPr>
            </w:pPr>
            <w:r w:rsidRPr="00731E39">
              <w:rPr>
                <w:rFonts w:eastAsia="Arial Unicode MS"/>
              </w:rPr>
              <w:t>5</w:t>
            </w:r>
          </w:p>
        </w:tc>
      </w:tr>
      <w:tr w:rsidR="00BB380C" w:rsidRPr="00731E39" w:rsidTr="00E45B97">
        <w:trPr>
          <w:trHeight w:val="257"/>
        </w:trPr>
        <w:tc>
          <w:tcPr>
            <w:tcW w:w="5799" w:type="dxa"/>
          </w:tcPr>
          <w:p w:rsidR="00BB380C" w:rsidRPr="00731E39" w:rsidRDefault="0083708B" w:rsidP="00004E80">
            <w:pPr>
              <w:pStyle w:val="Tabletext"/>
              <w:rPr>
                <w:rFonts w:eastAsia="Arial Unicode MS"/>
              </w:rPr>
            </w:pPr>
            <w:r>
              <w:rPr>
                <w:rFonts w:eastAsia="Arial Unicode MS"/>
              </w:rPr>
              <w:t xml:space="preserve">CR </w:t>
            </w:r>
            <w:r w:rsidR="00BB380C" w:rsidRPr="00731E39">
              <w:rPr>
                <w:rFonts w:eastAsia="Arial Unicode MS"/>
              </w:rPr>
              <w:t>Cash</w:t>
            </w:r>
          </w:p>
        </w:tc>
        <w:tc>
          <w:tcPr>
            <w:tcW w:w="1595" w:type="dxa"/>
          </w:tcPr>
          <w:p w:rsidR="00BB380C" w:rsidRPr="00731E39" w:rsidRDefault="00BB380C" w:rsidP="00004E80">
            <w:pPr>
              <w:pStyle w:val="Tabletext"/>
              <w:jc w:val="right"/>
              <w:rPr>
                <w:rFonts w:eastAsia="Arial Unicode MS"/>
              </w:rPr>
            </w:pPr>
            <w:r>
              <w:rPr>
                <w:rFonts w:eastAsia="Arial Unicode MS"/>
              </w:rPr>
              <w:t>9</w:t>
            </w:r>
            <w:r w:rsidRPr="00731E39">
              <w:rPr>
                <w:rFonts w:eastAsia="Arial Unicode MS"/>
              </w:rPr>
              <w:t>5</w:t>
            </w:r>
          </w:p>
        </w:tc>
      </w:tr>
    </w:tbl>
    <w:p w:rsidR="00BB380C" w:rsidRDefault="00E45B97" w:rsidP="00314B6A">
      <w:pPr>
        <w:pStyle w:val="Heading4"/>
        <w:spacing w:before="360"/>
      </w:pPr>
      <w:r>
        <w:t>Step D –</w:t>
      </w:r>
      <w:r w:rsidR="00BB380C" w:rsidRPr="00DD3F0C">
        <w:t xml:space="preserve"> DTF (as the central agency) records the sale proceeds and loss on sale in the </w:t>
      </w:r>
      <w:r w:rsidR="003A1B1A">
        <w:t>c</w:t>
      </w:r>
      <w:r w:rsidR="00BB380C" w:rsidRPr="00DD3F0C">
        <w:t>entral SAU (Consolidated Fund), as a reduction in the SAU’s inv</w:t>
      </w:r>
      <w:r w:rsidR="00BB380C">
        <w:t xml:space="preserve">estment in controlled entities, </w:t>
      </w:r>
      <w:r w:rsidR="00BB380C" w:rsidRPr="00DD3F0C">
        <w:t xml:space="preserve">and the loss on sale component as an </w:t>
      </w:r>
      <w:r w:rsidR="00BB380C">
        <w:t>‘</w:t>
      </w:r>
      <w:r w:rsidR="00BB380C" w:rsidRPr="00DD3F0C">
        <w:t>expense</w:t>
      </w:r>
      <w:r w:rsidR="00BB380C">
        <w:t>’</w:t>
      </w:r>
      <w:r w:rsidR="00BB380C" w:rsidRPr="00DD3F0C">
        <w:t>.</w:t>
      </w:r>
    </w:p>
    <w:tbl>
      <w:tblPr>
        <w:tblStyle w:val="DTFtexttable"/>
        <w:tblW w:w="7477" w:type="dxa"/>
        <w:tblInd w:w="864" w:type="dxa"/>
        <w:tblLayout w:type="fixed"/>
        <w:tblLook w:val="0620" w:firstRow="1" w:lastRow="0" w:firstColumn="0" w:lastColumn="0" w:noHBand="1" w:noVBand="1"/>
      </w:tblPr>
      <w:tblGrid>
        <w:gridCol w:w="5977"/>
        <w:gridCol w:w="1500"/>
      </w:tblGrid>
      <w:tr w:rsidR="00BB380C" w:rsidRPr="00731E39" w:rsidTr="00E45B97">
        <w:trPr>
          <w:cnfStyle w:val="100000000000" w:firstRow="1" w:lastRow="0" w:firstColumn="0" w:lastColumn="0" w:oddVBand="0" w:evenVBand="0" w:oddHBand="0" w:evenHBand="0" w:firstRowFirstColumn="0" w:firstRowLastColumn="0" w:lastRowFirstColumn="0" w:lastRowLastColumn="0"/>
          <w:trHeight w:val="288"/>
        </w:trPr>
        <w:tc>
          <w:tcPr>
            <w:tcW w:w="7477" w:type="dxa"/>
            <w:gridSpan w:val="2"/>
          </w:tcPr>
          <w:p w:rsidR="00BB380C" w:rsidRPr="00731E39" w:rsidRDefault="00BB380C" w:rsidP="003A1B1A">
            <w:pPr>
              <w:pStyle w:val="Tableheader"/>
            </w:pPr>
            <w:r w:rsidRPr="00CD5B5A">
              <w:t xml:space="preserve">DTF – </w:t>
            </w:r>
            <w:r w:rsidR="003A1B1A">
              <w:t>c</w:t>
            </w:r>
            <w:r w:rsidRPr="00CD5B5A">
              <w:t>entral SAU</w:t>
            </w:r>
          </w:p>
        </w:tc>
      </w:tr>
      <w:tr w:rsidR="00BB380C" w:rsidRPr="00731E39" w:rsidTr="00E45B97">
        <w:trPr>
          <w:trHeight w:val="301"/>
        </w:trPr>
        <w:tc>
          <w:tcPr>
            <w:tcW w:w="5977" w:type="dxa"/>
          </w:tcPr>
          <w:p w:rsidR="00BB380C" w:rsidRPr="00731E39" w:rsidRDefault="0083708B" w:rsidP="00004E80">
            <w:pPr>
              <w:pStyle w:val="Tabletext"/>
              <w:rPr>
                <w:rFonts w:eastAsia="Arial Unicode MS"/>
              </w:rPr>
            </w:pPr>
            <w:r>
              <w:rPr>
                <w:rFonts w:eastAsia="Arial Unicode MS"/>
              </w:rPr>
              <w:t xml:space="preserve">DR </w:t>
            </w:r>
            <w:r w:rsidR="00BB380C" w:rsidRPr="00731E39">
              <w:rPr>
                <w:rFonts w:eastAsia="Arial Unicode MS"/>
              </w:rPr>
              <w:t>SAU Bank</w:t>
            </w:r>
          </w:p>
        </w:tc>
        <w:tc>
          <w:tcPr>
            <w:tcW w:w="1500" w:type="dxa"/>
          </w:tcPr>
          <w:p w:rsidR="00BB380C" w:rsidRPr="00731E39" w:rsidRDefault="00BB380C" w:rsidP="00004E80">
            <w:pPr>
              <w:pStyle w:val="Tabletext"/>
              <w:jc w:val="right"/>
              <w:rPr>
                <w:rFonts w:eastAsia="Arial Unicode MS"/>
              </w:rPr>
            </w:pPr>
            <w:r>
              <w:rPr>
                <w:rFonts w:eastAsia="Arial Unicode MS"/>
              </w:rPr>
              <w:t>9</w:t>
            </w:r>
            <w:r w:rsidRPr="00731E39">
              <w:rPr>
                <w:rFonts w:eastAsia="Arial Unicode MS"/>
              </w:rPr>
              <w:t>5</w:t>
            </w:r>
          </w:p>
        </w:tc>
      </w:tr>
      <w:tr w:rsidR="00BB380C" w:rsidRPr="00731E39" w:rsidTr="00E45B97">
        <w:trPr>
          <w:trHeight w:val="301"/>
        </w:trPr>
        <w:tc>
          <w:tcPr>
            <w:tcW w:w="5977" w:type="dxa"/>
          </w:tcPr>
          <w:p w:rsidR="00BB380C" w:rsidRPr="00731E39" w:rsidRDefault="0083708B" w:rsidP="003A1B1A">
            <w:pPr>
              <w:pStyle w:val="Tabletext"/>
              <w:rPr>
                <w:rFonts w:eastAsia="Arial Unicode MS"/>
              </w:rPr>
            </w:pPr>
            <w:r>
              <w:rPr>
                <w:rFonts w:eastAsia="Arial Unicode MS"/>
              </w:rPr>
              <w:t xml:space="preserve">CR </w:t>
            </w:r>
            <w:r w:rsidR="00BB380C" w:rsidRPr="00731E39">
              <w:rPr>
                <w:rFonts w:eastAsia="Arial Unicode MS"/>
              </w:rPr>
              <w:t xml:space="preserve">Investment in controlled entities (transfer to </w:t>
            </w:r>
            <w:r w:rsidR="003A1B1A">
              <w:rPr>
                <w:rFonts w:eastAsia="Arial Unicode MS"/>
              </w:rPr>
              <w:t>c</w:t>
            </w:r>
            <w:r w:rsidR="00BB380C" w:rsidRPr="00731E39">
              <w:rPr>
                <w:rFonts w:eastAsia="Arial Unicode MS"/>
              </w:rPr>
              <w:t>entral SAU)</w:t>
            </w:r>
          </w:p>
        </w:tc>
        <w:tc>
          <w:tcPr>
            <w:tcW w:w="1500" w:type="dxa"/>
          </w:tcPr>
          <w:p w:rsidR="00BB380C" w:rsidRPr="00731E39" w:rsidRDefault="00BB380C" w:rsidP="00004E80">
            <w:pPr>
              <w:pStyle w:val="Tabletext"/>
              <w:jc w:val="right"/>
              <w:rPr>
                <w:rFonts w:eastAsia="Arial Unicode MS"/>
              </w:rPr>
            </w:pPr>
            <w:r w:rsidRPr="00731E39">
              <w:rPr>
                <w:rFonts w:eastAsia="Arial Unicode MS"/>
              </w:rPr>
              <w:t>100</w:t>
            </w:r>
          </w:p>
        </w:tc>
      </w:tr>
      <w:tr w:rsidR="00BB380C" w:rsidRPr="00731E39" w:rsidTr="00E45B97">
        <w:trPr>
          <w:trHeight w:val="301"/>
        </w:trPr>
        <w:tc>
          <w:tcPr>
            <w:tcW w:w="5977" w:type="dxa"/>
          </w:tcPr>
          <w:p w:rsidR="00BB380C" w:rsidRPr="00731E39" w:rsidRDefault="0083708B" w:rsidP="00004E80">
            <w:pPr>
              <w:pStyle w:val="Tabletext"/>
              <w:rPr>
                <w:rFonts w:eastAsia="Arial Unicode MS"/>
              </w:rPr>
            </w:pPr>
            <w:r>
              <w:rPr>
                <w:rFonts w:eastAsia="Arial Unicode MS"/>
              </w:rPr>
              <w:t xml:space="preserve">DR </w:t>
            </w:r>
            <w:r w:rsidR="003A1B1A">
              <w:rPr>
                <w:rFonts w:eastAsia="Arial Unicode MS"/>
              </w:rPr>
              <w:t>Reallocation of revenue from b</w:t>
            </w:r>
            <w:r w:rsidR="00BB380C" w:rsidRPr="00731E39">
              <w:rPr>
                <w:rFonts w:eastAsia="Arial Unicode MS"/>
              </w:rPr>
              <w:t>ranch SAU</w:t>
            </w:r>
          </w:p>
        </w:tc>
        <w:tc>
          <w:tcPr>
            <w:tcW w:w="1500" w:type="dxa"/>
          </w:tcPr>
          <w:p w:rsidR="00BB380C" w:rsidRPr="00731E39" w:rsidRDefault="00BB380C" w:rsidP="00004E80">
            <w:pPr>
              <w:pStyle w:val="Tabletext"/>
              <w:jc w:val="right"/>
              <w:rPr>
                <w:rFonts w:eastAsia="Arial Unicode MS"/>
              </w:rPr>
            </w:pPr>
            <w:r w:rsidRPr="00731E39">
              <w:rPr>
                <w:rFonts w:eastAsia="Arial Unicode MS"/>
              </w:rPr>
              <w:t>5</w:t>
            </w:r>
          </w:p>
        </w:tc>
      </w:tr>
    </w:tbl>
    <w:p w:rsidR="00C2099A" w:rsidRPr="0057232B" w:rsidRDefault="00C2099A" w:rsidP="00314B6A">
      <w:pPr>
        <w:pStyle w:val="Heading3"/>
        <w:spacing w:before="480"/>
        <w:rPr>
          <w:rStyle w:val="Strong"/>
          <w:rFonts w:asciiTheme="minorHAnsi" w:eastAsiaTheme="minorHAnsi" w:hAnsiTheme="minorHAnsi" w:cs="Arial"/>
          <w:b/>
          <w:bCs/>
          <w:color w:val="auto"/>
          <w:sz w:val="17"/>
          <w:szCs w:val="21"/>
          <w:lang w:eastAsia="en-US"/>
        </w:rPr>
      </w:pPr>
      <w:r w:rsidRPr="0057232B">
        <w:rPr>
          <w:rStyle w:val="Strong"/>
          <w:rFonts w:cs="Arial"/>
          <w:b/>
        </w:rPr>
        <w:t xml:space="preserve">Example </w:t>
      </w:r>
      <w:r>
        <w:rPr>
          <w:rStyle w:val="Strong"/>
          <w:rFonts w:cs="Arial"/>
          <w:b/>
        </w:rPr>
        <w:t xml:space="preserve">three – </w:t>
      </w:r>
      <w:r w:rsidRPr="00731E39">
        <w:t xml:space="preserve">Department </w:t>
      </w:r>
      <w:r>
        <w:t xml:space="preserve">gives away an asset free of charge </w:t>
      </w:r>
    </w:p>
    <w:p w:rsidR="00C2099A" w:rsidRDefault="00C2099A" w:rsidP="00C2099A">
      <w:r>
        <w:t xml:space="preserve">In this example, the original cost of the asset being given away free of charge is $110, the net carrying value of the asset is $100. </w:t>
      </w:r>
    </w:p>
    <w:p w:rsidR="00C2099A" w:rsidRDefault="00C2099A" w:rsidP="00314B6A">
      <w:pPr>
        <w:pStyle w:val="Heading4"/>
        <w:spacing w:before="360"/>
      </w:pPr>
      <w:r>
        <w:t>Step A – Department transfers net carrying value of asset to be given away from its controlled entity to its administered entity (branch SAU)</w:t>
      </w:r>
      <w:r w:rsidR="0010781C">
        <w:t>.</w:t>
      </w:r>
    </w:p>
    <w:tbl>
      <w:tblPr>
        <w:tblStyle w:val="DTFtexttable"/>
        <w:tblW w:w="7534" w:type="dxa"/>
        <w:tblInd w:w="864" w:type="dxa"/>
        <w:tblLayout w:type="fixed"/>
        <w:tblLook w:val="0620" w:firstRow="1" w:lastRow="0" w:firstColumn="0" w:lastColumn="0" w:noHBand="1" w:noVBand="1"/>
      </w:tblPr>
      <w:tblGrid>
        <w:gridCol w:w="2981"/>
        <w:gridCol w:w="716"/>
        <w:gridCol w:w="3111"/>
        <w:gridCol w:w="726"/>
      </w:tblGrid>
      <w:tr w:rsidR="00C2099A" w:rsidRPr="003A1B1A" w:rsidTr="0090614A">
        <w:trPr>
          <w:cnfStyle w:val="100000000000" w:firstRow="1" w:lastRow="0" w:firstColumn="0" w:lastColumn="0" w:oddVBand="0" w:evenVBand="0" w:oddHBand="0" w:evenHBand="0" w:firstRowFirstColumn="0" w:firstRowLastColumn="0" w:lastRowFirstColumn="0" w:lastRowLastColumn="0"/>
          <w:trHeight w:val="346"/>
        </w:trPr>
        <w:tc>
          <w:tcPr>
            <w:tcW w:w="3697" w:type="dxa"/>
            <w:gridSpan w:val="2"/>
            <w:tcBorders>
              <w:bottom w:val="nil"/>
            </w:tcBorders>
          </w:tcPr>
          <w:p w:rsidR="00C2099A" w:rsidRPr="003A1B1A" w:rsidRDefault="00C2099A" w:rsidP="0090614A">
            <w:pPr>
              <w:pStyle w:val="Tableheader"/>
              <w:rPr>
                <w:b w:val="0"/>
              </w:rPr>
            </w:pPr>
            <w:r w:rsidRPr="003A1B1A">
              <w:t>Controlled</w:t>
            </w:r>
          </w:p>
        </w:tc>
        <w:tc>
          <w:tcPr>
            <w:tcW w:w="3837" w:type="dxa"/>
            <w:gridSpan w:val="2"/>
            <w:tcBorders>
              <w:bottom w:val="nil"/>
            </w:tcBorders>
          </w:tcPr>
          <w:p w:rsidR="00C2099A" w:rsidRPr="003A1B1A" w:rsidRDefault="00C2099A" w:rsidP="0090614A">
            <w:pPr>
              <w:pStyle w:val="Tableheader"/>
              <w:rPr>
                <w:b w:val="0"/>
              </w:rPr>
            </w:pPr>
            <w:r w:rsidRPr="003A1B1A">
              <w:t>Administered</w:t>
            </w:r>
          </w:p>
        </w:tc>
      </w:tr>
      <w:tr w:rsidR="00C2099A" w:rsidRPr="00E45B97" w:rsidTr="0090614A">
        <w:trPr>
          <w:trHeight w:val="580"/>
        </w:trPr>
        <w:tc>
          <w:tcPr>
            <w:tcW w:w="2981" w:type="dxa"/>
            <w:tcBorders>
              <w:left w:val="single" w:sz="6" w:space="0" w:color="0063A6" w:themeColor="accent1"/>
              <w:bottom w:val="nil"/>
            </w:tcBorders>
          </w:tcPr>
          <w:p w:rsidR="00C2099A" w:rsidRPr="00E45B97" w:rsidRDefault="00C2099A" w:rsidP="0090614A">
            <w:pPr>
              <w:pStyle w:val="Tabletext"/>
            </w:pPr>
            <w:r>
              <w:t xml:space="preserve">DR </w:t>
            </w:r>
            <w:r w:rsidRPr="00E45B97">
              <w:t>Contributed capital (equity transfer to other entities)</w:t>
            </w:r>
          </w:p>
        </w:tc>
        <w:tc>
          <w:tcPr>
            <w:tcW w:w="716" w:type="dxa"/>
            <w:tcBorders>
              <w:bottom w:val="nil"/>
              <w:right w:val="single" w:sz="6" w:space="0" w:color="0063A6" w:themeColor="accent1"/>
            </w:tcBorders>
          </w:tcPr>
          <w:p w:rsidR="00C2099A" w:rsidRPr="00E45B97" w:rsidRDefault="00C2099A" w:rsidP="0090614A">
            <w:pPr>
              <w:pStyle w:val="Tabletext"/>
              <w:jc w:val="right"/>
            </w:pPr>
            <w:r w:rsidRPr="00E45B97">
              <w:t>100</w:t>
            </w:r>
          </w:p>
        </w:tc>
        <w:tc>
          <w:tcPr>
            <w:tcW w:w="3111" w:type="dxa"/>
            <w:tcBorders>
              <w:left w:val="single" w:sz="6" w:space="0" w:color="0063A6" w:themeColor="accent1"/>
              <w:bottom w:val="nil"/>
            </w:tcBorders>
          </w:tcPr>
          <w:p w:rsidR="00C2099A" w:rsidRPr="00E45B97" w:rsidRDefault="00C2099A" w:rsidP="0090614A">
            <w:pPr>
              <w:pStyle w:val="Tabletext"/>
            </w:pPr>
            <w:r>
              <w:t xml:space="preserve">DR </w:t>
            </w:r>
            <w:r w:rsidRPr="00E45B97">
              <w:t>Asset</w:t>
            </w:r>
          </w:p>
        </w:tc>
        <w:tc>
          <w:tcPr>
            <w:tcW w:w="726" w:type="dxa"/>
            <w:tcBorders>
              <w:bottom w:val="nil"/>
              <w:right w:val="single" w:sz="6" w:space="0" w:color="0063A6" w:themeColor="accent1"/>
            </w:tcBorders>
          </w:tcPr>
          <w:p w:rsidR="00C2099A" w:rsidRPr="00E45B97" w:rsidRDefault="00C2099A" w:rsidP="0090614A">
            <w:pPr>
              <w:pStyle w:val="Tabletext"/>
              <w:jc w:val="right"/>
            </w:pPr>
            <w:r w:rsidRPr="00E45B97">
              <w:t>110</w:t>
            </w:r>
          </w:p>
        </w:tc>
      </w:tr>
      <w:tr w:rsidR="00C2099A" w:rsidRPr="00E45B97" w:rsidTr="0090614A">
        <w:trPr>
          <w:trHeight w:val="290"/>
        </w:trPr>
        <w:tc>
          <w:tcPr>
            <w:tcW w:w="2981" w:type="dxa"/>
            <w:tcBorders>
              <w:left w:val="single" w:sz="6" w:space="0" w:color="0063A6" w:themeColor="accent1"/>
              <w:bottom w:val="nil"/>
            </w:tcBorders>
          </w:tcPr>
          <w:p w:rsidR="00C2099A" w:rsidRPr="00E45B97" w:rsidRDefault="00C2099A" w:rsidP="0090614A">
            <w:pPr>
              <w:pStyle w:val="Tabletext"/>
            </w:pPr>
            <w:r>
              <w:t xml:space="preserve">DR </w:t>
            </w:r>
            <w:r w:rsidRPr="00E45B97">
              <w:t>Accumulated depreciation</w:t>
            </w:r>
          </w:p>
        </w:tc>
        <w:tc>
          <w:tcPr>
            <w:tcW w:w="716" w:type="dxa"/>
            <w:tcBorders>
              <w:bottom w:val="nil"/>
              <w:right w:val="single" w:sz="6" w:space="0" w:color="0063A6" w:themeColor="accent1"/>
            </w:tcBorders>
          </w:tcPr>
          <w:p w:rsidR="00C2099A" w:rsidRPr="00E45B97" w:rsidRDefault="00C2099A" w:rsidP="0090614A">
            <w:pPr>
              <w:pStyle w:val="Tabletext"/>
              <w:jc w:val="right"/>
            </w:pPr>
            <w:r w:rsidRPr="00E45B97">
              <w:t xml:space="preserve"> 10</w:t>
            </w:r>
          </w:p>
        </w:tc>
        <w:tc>
          <w:tcPr>
            <w:tcW w:w="3111" w:type="dxa"/>
            <w:tcBorders>
              <w:left w:val="single" w:sz="6" w:space="0" w:color="0063A6" w:themeColor="accent1"/>
              <w:bottom w:val="nil"/>
            </w:tcBorders>
          </w:tcPr>
          <w:p w:rsidR="00C2099A" w:rsidRPr="00E45B97" w:rsidRDefault="00C2099A" w:rsidP="0090614A">
            <w:pPr>
              <w:pStyle w:val="Tabletext"/>
            </w:pPr>
            <w:r>
              <w:t xml:space="preserve">CR </w:t>
            </w:r>
            <w:r w:rsidRPr="00E45B97">
              <w:t>Accumulated depreciation</w:t>
            </w:r>
          </w:p>
        </w:tc>
        <w:tc>
          <w:tcPr>
            <w:tcW w:w="726" w:type="dxa"/>
            <w:tcBorders>
              <w:bottom w:val="nil"/>
              <w:right w:val="single" w:sz="6" w:space="0" w:color="0063A6" w:themeColor="accent1"/>
            </w:tcBorders>
          </w:tcPr>
          <w:p w:rsidR="00C2099A" w:rsidRPr="00E45B97" w:rsidRDefault="00C2099A" w:rsidP="0090614A">
            <w:pPr>
              <w:pStyle w:val="Tabletext"/>
              <w:jc w:val="right"/>
            </w:pPr>
            <w:r w:rsidRPr="00E45B97">
              <w:t>10</w:t>
            </w:r>
          </w:p>
        </w:tc>
      </w:tr>
      <w:tr w:rsidR="00C2099A" w:rsidRPr="00E45B97" w:rsidTr="0010781C">
        <w:trPr>
          <w:trHeight w:val="224"/>
        </w:trPr>
        <w:tc>
          <w:tcPr>
            <w:tcW w:w="2981" w:type="dxa"/>
            <w:tcBorders>
              <w:left w:val="single" w:sz="6" w:space="0" w:color="0063A6" w:themeColor="accent1"/>
              <w:bottom w:val="single" w:sz="12" w:space="0" w:color="0063A6" w:themeColor="accent1"/>
            </w:tcBorders>
          </w:tcPr>
          <w:p w:rsidR="00C2099A" w:rsidRPr="00E45B97" w:rsidRDefault="00C2099A" w:rsidP="0090614A">
            <w:pPr>
              <w:pStyle w:val="Tabletext"/>
            </w:pPr>
            <w:r>
              <w:t xml:space="preserve">CR </w:t>
            </w:r>
            <w:r w:rsidRPr="00E45B97">
              <w:t>Asset</w:t>
            </w:r>
          </w:p>
        </w:tc>
        <w:tc>
          <w:tcPr>
            <w:tcW w:w="716" w:type="dxa"/>
            <w:tcBorders>
              <w:bottom w:val="single" w:sz="12" w:space="0" w:color="0063A6" w:themeColor="accent1"/>
              <w:right w:val="single" w:sz="6" w:space="0" w:color="0063A6" w:themeColor="accent1"/>
            </w:tcBorders>
          </w:tcPr>
          <w:p w:rsidR="00C2099A" w:rsidRPr="00E45B97" w:rsidRDefault="00C2099A" w:rsidP="0090614A">
            <w:pPr>
              <w:pStyle w:val="Tabletext"/>
              <w:jc w:val="right"/>
            </w:pPr>
            <w:r w:rsidRPr="00E45B97">
              <w:t>110</w:t>
            </w:r>
          </w:p>
        </w:tc>
        <w:tc>
          <w:tcPr>
            <w:tcW w:w="3111" w:type="dxa"/>
            <w:tcBorders>
              <w:left w:val="single" w:sz="6" w:space="0" w:color="0063A6" w:themeColor="accent1"/>
              <w:bottom w:val="single" w:sz="12" w:space="0" w:color="0063A6" w:themeColor="accent1"/>
            </w:tcBorders>
          </w:tcPr>
          <w:p w:rsidR="00C2099A" w:rsidRPr="00E45B97" w:rsidRDefault="00C2099A" w:rsidP="0090614A">
            <w:pPr>
              <w:pStyle w:val="Tabletext"/>
            </w:pPr>
            <w:r>
              <w:t xml:space="preserve">CR </w:t>
            </w:r>
            <w:r w:rsidRPr="00E45B97">
              <w:t>Contributed capital (equity transfer from other entities)</w:t>
            </w:r>
          </w:p>
        </w:tc>
        <w:tc>
          <w:tcPr>
            <w:tcW w:w="726" w:type="dxa"/>
            <w:tcBorders>
              <w:bottom w:val="single" w:sz="12" w:space="0" w:color="0063A6" w:themeColor="accent1"/>
              <w:right w:val="single" w:sz="6" w:space="0" w:color="0063A6" w:themeColor="accent1"/>
            </w:tcBorders>
          </w:tcPr>
          <w:p w:rsidR="00C2099A" w:rsidRPr="00E45B97" w:rsidRDefault="00C2099A" w:rsidP="0090614A">
            <w:pPr>
              <w:pStyle w:val="Tabletext"/>
              <w:jc w:val="right"/>
            </w:pPr>
            <w:r w:rsidRPr="00E45B97">
              <w:t>100</w:t>
            </w:r>
          </w:p>
        </w:tc>
      </w:tr>
    </w:tbl>
    <w:p w:rsidR="00C2099A" w:rsidRDefault="00C2099A" w:rsidP="00314B6A">
      <w:pPr>
        <w:pStyle w:val="Heading4"/>
        <w:spacing w:before="360"/>
      </w:pPr>
      <w:r w:rsidRPr="00BB380C">
        <w:t>Step B</w:t>
      </w:r>
      <w:r>
        <w:t xml:space="preserve"> – </w:t>
      </w:r>
      <w:r w:rsidRPr="00BB380C">
        <w:t xml:space="preserve">Department records the impact on the administered operating statement where the asset </w:t>
      </w:r>
      <w:r>
        <w:t>is given away free of charge</w:t>
      </w:r>
      <w:r w:rsidRPr="00BB380C">
        <w:t>.</w:t>
      </w:r>
    </w:p>
    <w:tbl>
      <w:tblPr>
        <w:tblStyle w:val="DTFtexttable"/>
        <w:tblW w:w="7522" w:type="dxa"/>
        <w:tblInd w:w="864" w:type="dxa"/>
        <w:tblLayout w:type="fixed"/>
        <w:tblLook w:val="0620" w:firstRow="1" w:lastRow="0" w:firstColumn="0" w:lastColumn="0" w:noHBand="1" w:noVBand="1"/>
      </w:tblPr>
      <w:tblGrid>
        <w:gridCol w:w="5731"/>
        <w:gridCol w:w="1791"/>
      </w:tblGrid>
      <w:tr w:rsidR="00C2099A" w:rsidRPr="00731E39" w:rsidTr="0090614A">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C2099A" w:rsidRDefault="00C2099A" w:rsidP="0090614A">
            <w:pPr>
              <w:pStyle w:val="Tableheader"/>
              <w:rPr>
                <w:rFonts w:eastAsia="Arial Unicode MS"/>
              </w:rPr>
            </w:pPr>
            <w:r w:rsidRPr="00673D01">
              <w:t>Administered</w:t>
            </w:r>
          </w:p>
        </w:tc>
      </w:tr>
      <w:tr w:rsidR="00C2099A" w:rsidRPr="00731E39" w:rsidTr="0090614A">
        <w:tc>
          <w:tcPr>
            <w:tcW w:w="5731" w:type="dxa"/>
          </w:tcPr>
          <w:p w:rsidR="00C2099A" w:rsidRPr="00094401" w:rsidRDefault="00C2099A" w:rsidP="0090614A">
            <w:pPr>
              <w:pStyle w:val="Tabletext"/>
              <w:rPr>
                <w:rFonts w:eastAsia="Arial Unicode MS"/>
              </w:rPr>
            </w:pPr>
            <w:r w:rsidRPr="00CD7832">
              <w:rPr>
                <w:rFonts w:eastAsia="Arial Unicode MS"/>
              </w:rPr>
              <w:t xml:space="preserve">DR </w:t>
            </w:r>
            <w:r w:rsidRPr="00094401">
              <w:rPr>
                <w:rFonts w:eastAsia="Arial Unicode MS"/>
              </w:rPr>
              <w:t>Expense –</w:t>
            </w:r>
            <w:r w:rsidRPr="00CD7832">
              <w:rPr>
                <w:rFonts w:eastAsia="Arial Unicode MS"/>
              </w:rPr>
              <w:t xml:space="preserve"> asset</w:t>
            </w:r>
            <w:r w:rsidRPr="00094401">
              <w:rPr>
                <w:rFonts w:eastAsia="Arial Unicode MS"/>
              </w:rPr>
              <w:t xml:space="preserve"> given free of charge </w:t>
            </w:r>
            <w:r w:rsidRPr="00CD7832">
              <w:rPr>
                <w:rFonts w:eastAsia="Arial Unicode MS"/>
              </w:rPr>
              <w:t xml:space="preserve"> </w:t>
            </w:r>
          </w:p>
        </w:tc>
        <w:tc>
          <w:tcPr>
            <w:tcW w:w="1791" w:type="dxa"/>
          </w:tcPr>
          <w:p w:rsidR="00C2099A" w:rsidRPr="00CD7832" w:rsidRDefault="00C2099A" w:rsidP="0090614A">
            <w:pPr>
              <w:pStyle w:val="Tabletext"/>
              <w:jc w:val="right"/>
              <w:rPr>
                <w:rFonts w:eastAsia="Arial Unicode MS"/>
              </w:rPr>
            </w:pPr>
            <w:r w:rsidRPr="00CD7832">
              <w:rPr>
                <w:rFonts w:eastAsia="Arial Unicode MS"/>
              </w:rPr>
              <w:t>1</w:t>
            </w:r>
            <w:r>
              <w:rPr>
                <w:rFonts w:eastAsia="Arial Unicode MS"/>
              </w:rPr>
              <w:t>0</w:t>
            </w:r>
            <w:r w:rsidRPr="00CD7832">
              <w:rPr>
                <w:rFonts w:eastAsia="Arial Unicode MS"/>
              </w:rPr>
              <w:t>0</w:t>
            </w:r>
          </w:p>
        </w:tc>
      </w:tr>
      <w:tr w:rsidR="00C2099A" w:rsidRPr="00731E39" w:rsidTr="0090614A">
        <w:tc>
          <w:tcPr>
            <w:tcW w:w="5731" w:type="dxa"/>
          </w:tcPr>
          <w:p w:rsidR="00C2099A" w:rsidRPr="005E08AB" w:rsidRDefault="00C2099A" w:rsidP="0090614A">
            <w:pPr>
              <w:pStyle w:val="Tabletext"/>
              <w:rPr>
                <w:rFonts w:eastAsia="Arial Unicode MS"/>
                <w:highlight w:val="yellow"/>
              </w:rPr>
            </w:pPr>
            <w:r w:rsidRPr="00DF36BB">
              <w:rPr>
                <w:rFonts w:eastAsia="Arial Unicode MS"/>
              </w:rPr>
              <w:t>DR Accumulated depreciation</w:t>
            </w:r>
          </w:p>
        </w:tc>
        <w:tc>
          <w:tcPr>
            <w:tcW w:w="1791" w:type="dxa"/>
          </w:tcPr>
          <w:p w:rsidR="00C2099A" w:rsidRPr="00094401" w:rsidRDefault="00C2099A" w:rsidP="0090614A">
            <w:pPr>
              <w:pStyle w:val="Tabletext"/>
              <w:jc w:val="right"/>
              <w:rPr>
                <w:rFonts w:eastAsia="Arial Unicode MS"/>
                <w:highlight w:val="yellow"/>
              </w:rPr>
            </w:pPr>
            <w:r w:rsidRPr="00A964ED">
              <w:rPr>
                <w:rFonts w:eastAsia="Arial Unicode MS"/>
              </w:rPr>
              <w:t>10</w:t>
            </w:r>
          </w:p>
        </w:tc>
      </w:tr>
      <w:tr w:rsidR="00C2099A" w:rsidRPr="00731E39" w:rsidTr="0010781C">
        <w:trPr>
          <w:trHeight w:val="72"/>
        </w:trPr>
        <w:tc>
          <w:tcPr>
            <w:tcW w:w="5731" w:type="dxa"/>
          </w:tcPr>
          <w:p w:rsidR="00C2099A" w:rsidRPr="00DF36BB" w:rsidRDefault="00C2099A" w:rsidP="0090614A">
            <w:pPr>
              <w:pStyle w:val="Tabletext"/>
              <w:rPr>
                <w:rFonts w:eastAsia="Arial Unicode MS"/>
              </w:rPr>
            </w:pPr>
            <w:r w:rsidRPr="00DF36BB">
              <w:rPr>
                <w:rFonts w:eastAsia="Arial Unicode MS"/>
              </w:rPr>
              <w:t>CR Asset</w:t>
            </w:r>
          </w:p>
        </w:tc>
        <w:tc>
          <w:tcPr>
            <w:tcW w:w="1791" w:type="dxa"/>
          </w:tcPr>
          <w:p w:rsidR="00C2099A" w:rsidRPr="00A964ED" w:rsidRDefault="00C2099A" w:rsidP="0090614A">
            <w:pPr>
              <w:pStyle w:val="Tabletext"/>
              <w:jc w:val="right"/>
              <w:rPr>
                <w:rFonts w:eastAsia="Arial Unicode MS"/>
              </w:rPr>
            </w:pPr>
            <w:r w:rsidRPr="00A964ED">
              <w:rPr>
                <w:rFonts w:eastAsia="Arial Unicode MS"/>
              </w:rPr>
              <w:t>110</w:t>
            </w:r>
          </w:p>
        </w:tc>
      </w:tr>
    </w:tbl>
    <w:p w:rsidR="00C2099A" w:rsidRPr="0010781C" w:rsidRDefault="00C2099A" w:rsidP="00EE3550">
      <w:pPr>
        <w:ind w:left="810" w:right="746"/>
        <w:rPr>
          <w:rStyle w:val="Strong"/>
          <w:rFonts w:cs="Arial"/>
          <w:b w:val="0"/>
          <w:sz w:val="16"/>
          <w:szCs w:val="16"/>
        </w:rPr>
      </w:pPr>
      <w:r w:rsidRPr="0010781C">
        <w:rPr>
          <w:b/>
          <w:sz w:val="16"/>
          <w:szCs w:val="16"/>
        </w:rPr>
        <w:t>Note:</w:t>
      </w:r>
      <w:r w:rsidRPr="0010781C">
        <w:rPr>
          <w:sz w:val="16"/>
          <w:szCs w:val="16"/>
        </w:rPr>
        <w:t xml:space="preserve"> where the asset is not held by the </w:t>
      </w:r>
      <w:r w:rsidR="007C6CCA">
        <w:rPr>
          <w:sz w:val="16"/>
          <w:szCs w:val="16"/>
        </w:rPr>
        <w:t>d</w:t>
      </w:r>
      <w:r w:rsidRPr="0010781C">
        <w:rPr>
          <w:sz w:val="16"/>
          <w:szCs w:val="16"/>
        </w:rPr>
        <w:t xml:space="preserve">epartment of the Minister making the contribution, the asset must be returned by the entity holding the asset to the administering </w:t>
      </w:r>
      <w:r w:rsidR="007C6CCA">
        <w:rPr>
          <w:sz w:val="16"/>
          <w:szCs w:val="16"/>
        </w:rPr>
        <w:t>d</w:t>
      </w:r>
      <w:r w:rsidRPr="0010781C">
        <w:rPr>
          <w:sz w:val="16"/>
          <w:szCs w:val="16"/>
        </w:rPr>
        <w:t xml:space="preserve">epartment as a return of contributions by owners, in accordance with Financial Reporting Direction (FRD) 117A </w:t>
      </w:r>
      <w:r w:rsidRPr="0010781C">
        <w:rPr>
          <w:i/>
          <w:sz w:val="16"/>
          <w:szCs w:val="16"/>
        </w:rPr>
        <w:t>Contributions of existing non-financial assets to third parties.</w:t>
      </w:r>
    </w:p>
    <w:p w:rsidR="00C2099A" w:rsidRPr="0057232B" w:rsidRDefault="00C2099A" w:rsidP="00314B6A">
      <w:pPr>
        <w:pStyle w:val="Heading3"/>
        <w:spacing w:before="480"/>
        <w:rPr>
          <w:rStyle w:val="Strong"/>
          <w:rFonts w:asciiTheme="minorHAnsi" w:eastAsiaTheme="minorHAnsi" w:hAnsiTheme="minorHAnsi" w:cs="Arial"/>
          <w:b/>
          <w:bCs/>
          <w:color w:val="auto"/>
          <w:sz w:val="17"/>
          <w:szCs w:val="21"/>
          <w:lang w:eastAsia="en-US"/>
        </w:rPr>
      </w:pPr>
      <w:r w:rsidRPr="0057232B">
        <w:rPr>
          <w:rStyle w:val="Strong"/>
          <w:rFonts w:cs="Arial"/>
          <w:b/>
        </w:rPr>
        <w:t xml:space="preserve">Example </w:t>
      </w:r>
      <w:r>
        <w:rPr>
          <w:rStyle w:val="Strong"/>
          <w:rFonts w:cs="Arial"/>
          <w:b/>
        </w:rPr>
        <w:t xml:space="preserve">four – </w:t>
      </w:r>
      <w:r w:rsidRPr="00731E39">
        <w:t xml:space="preserve">Department </w:t>
      </w:r>
      <w:r>
        <w:t xml:space="preserve">receives an asset free of charge </w:t>
      </w:r>
    </w:p>
    <w:p w:rsidR="00C2099A" w:rsidRDefault="00C2099A" w:rsidP="00C2099A">
      <w:r>
        <w:t xml:space="preserve">In this example, the carrying value of the asset being received free of charge is $100. </w:t>
      </w:r>
    </w:p>
    <w:p w:rsidR="00C2099A" w:rsidRDefault="00C2099A" w:rsidP="00C2099A">
      <w:r w:rsidRPr="00E1424F">
        <w:rPr>
          <w:b/>
        </w:rPr>
        <w:t>Note:</w:t>
      </w:r>
      <w:r>
        <w:t xml:space="preserve"> as the acquisition and recording of assets by a </w:t>
      </w:r>
      <w:r w:rsidR="007C6CCA">
        <w:t>d</w:t>
      </w:r>
      <w:r>
        <w:t xml:space="preserve">epartment for use in the delivery of services is treated as a controlled transaction, there is no requirement to transfer the asset to its administered entity (branch SAU). </w:t>
      </w:r>
    </w:p>
    <w:p w:rsidR="00C2099A" w:rsidRDefault="00C2099A" w:rsidP="00314B6A">
      <w:pPr>
        <w:pStyle w:val="Heading4"/>
        <w:spacing w:before="360"/>
      </w:pPr>
      <w:r>
        <w:t xml:space="preserve">Step A – Department records the impact on the controlled operating statement where the asset is received free of charge. </w:t>
      </w:r>
    </w:p>
    <w:tbl>
      <w:tblPr>
        <w:tblStyle w:val="DTFtexttable"/>
        <w:tblW w:w="7522" w:type="dxa"/>
        <w:tblInd w:w="864" w:type="dxa"/>
        <w:tblLayout w:type="fixed"/>
        <w:tblLook w:val="0620" w:firstRow="1" w:lastRow="0" w:firstColumn="0" w:lastColumn="0" w:noHBand="1" w:noVBand="1"/>
      </w:tblPr>
      <w:tblGrid>
        <w:gridCol w:w="5731"/>
        <w:gridCol w:w="1791"/>
      </w:tblGrid>
      <w:tr w:rsidR="00C2099A" w:rsidRPr="00731E39" w:rsidTr="0090614A">
        <w:trPr>
          <w:cnfStyle w:val="100000000000" w:firstRow="1" w:lastRow="0" w:firstColumn="0" w:lastColumn="0" w:oddVBand="0" w:evenVBand="0" w:oddHBand="0" w:evenHBand="0" w:firstRowFirstColumn="0" w:firstRowLastColumn="0" w:lastRowFirstColumn="0" w:lastRowLastColumn="0"/>
          <w:cantSplit/>
        </w:trPr>
        <w:tc>
          <w:tcPr>
            <w:tcW w:w="7522" w:type="dxa"/>
            <w:gridSpan w:val="2"/>
          </w:tcPr>
          <w:p w:rsidR="00C2099A" w:rsidRDefault="00C2099A" w:rsidP="0090614A">
            <w:pPr>
              <w:pStyle w:val="Tableheader"/>
              <w:rPr>
                <w:rFonts w:eastAsia="Arial Unicode MS"/>
              </w:rPr>
            </w:pPr>
            <w:r>
              <w:t>Controlled</w:t>
            </w:r>
          </w:p>
        </w:tc>
      </w:tr>
      <w:tr w:rsidR="00C2099A" w:rsidRPr="00731E39" w:rsidTr="0090614A">
        <w:tc>
          <w:tcPr>
            <w:tcW w:w="5731" w:type="dxa"/>
          </w:tcPr>
          <w:p w:rsidR="00C2099A" w:rsidRPr="00094401" w:rsidRDefault="00C2099A" w:rsidP="0090614A">
            <w:pPr>
              <w:pStyle w:val="Tabletext"/>
              <w:rPr>
                <w:rFonts w:eastAsia="Arial Unicode MS"/>
              </w:rPr>
            </w:pPr>
            <w:r w:rsidRPr="00094401">
              <w:rPr>
                <w:rFonts w:eastAsia="Arial Unicode MS"/>
              </w:rPr>
              <w:t xml:space="preserve">DR Asset </w:t>
            </w:r>
          </w:p>
        </w:tc>
        <w:tc>
          <w:tcPr>
            <w:tcW w:w="1791" w:type="dxa"/>
          </w:tcPr>
          <w:p w:rsidR="00C2099A" w:rsidRPr="00094401" w:rsidRDefault="00C2099A" w:rsidP="0090614A">
            <w:pPr>
              <w:pStyle w:val="Tabletext"/>
              <w:jc w:val="right"/>
              <w:rPr>
                <w:rFonts w:eastAsia="Arial Unicode MS"/>
              </w:rPr>
            </w:pPr>
            <w:r w:rsidRPr="00094401">
              <w:rPr>
                <w:rFonts w:eastAsia="Arial Unicode MS"/>
              </w:rPr>
              <w:t>100</w:t>
            </w:r>
          </w:p>
        </w:tc>
      </w:tr>
      <w:tr w:rsidR="00C2099A" w:rsidRPr="00731E39" w:rsidTr="0090614A">
        <w:tc>
          <w:tcPr>
            <w:tcW w:w="5731" w:type="dxa"/>
          </w:tcPr>
          <w:p w:rsidR="00C2099A" w:rsidRPr="00A9653A" w:rsidRDefault="00C2099A" w:rsidP="0090614A">
            <w:pPr>
              <w:pStyle w:val="Tabletext"/>
              <w:rPr>
                <w:rFonts w:eastAsia="Arial Unicode MS"/>
              </w:rPr>
            </w:pPr>
            <w:r w:rsidRPr="00CD7832">
              <w:rPr>
                <w:rFonts w:eastAsia="Arial Unicode MS"/>
              </w:rPr>
              <w:t>CR Revenue –</w:t>
            </w:r>
            <w:r>
              <w:rPr>
                <w:rFonts w:eastAsia="Arial Unicode MS"/>
              </w:rPr>
              <w:t xml:space="preserve"> asset</w:t>
            </w:r>
            <w:r w:rsidRPr="00A9653A">
              <w:rPr>
                <w:rFonts w:eastAsia="Arial Unicode MS"/>
              </w:rPr>
              <w:t xml:space="preserve"> received free of charge </w:t>
            </w:r>
          </w:p>
        </w:tc>
        <w:tc>
          <w:tcPr>
            <w:tcW w:w="1791" w:type="dxa"/>
          </w:tcPr>
          <w:p w:rsidR="00C2099A" w:rsidRPr="00A9653A" w:rsidRDefault="00C2099A" w:rsidP="0090614A">
            <w:pPr>
              <w:pStyle w:val="Tabletext"/>
              <w:jc w:val="right"/>
              <w:rPr>
                <w:rFonts w:eastAsia="Arial Unicode MS"/>
              </w:rPr>
            </w:pPr>
            <w:r w:rsidRPr="00A9653A">
              <w:rPr>
                <w:rFonts w:eastAsia="Arial Unicode MS"/>
              </w:rPr>
              <w:t>100</w:t>
            </w:r>
          </w:p>
        </w:tc>
      </w:tr>
    </w:tbl>
    <w:p w:rsidR="00C2099A" w:rsidRDefault="00C2099A" w:rsidP="00387A01">
      <w:pPr>
        <w:rPr>
          <w:rStyle w:val="Strong"/>
          <w:rFonts w:cs="Arial"/>
          <w:b w:val="0"/>
        </w:rPr>
      </w:pPr>
      <w:r>
        <w:t xml:space="preserve">Subsequent measurement of the asset is performed in accordance with the requirements of FRD 103F </w:t>
      </w:r>
      <w:r>
        <w:rPr>
          <w:i/>
        </w:rPr>
        <w:t>Non-financial physical assets</w:t>
      </w:r>
      <w:r>
        <w:t>.</w:t>
      </w:r>
    </w:p>
    <w:p w:rsidR="00C2099A" w:rsidRPr="0057232B" w:rsidRDefault="00C2099A" w:rsidP="00314B6A">
      <w:pPr>
        <w:pStyle w:val="Heading3"/>
        <w:spacing w:before="480"/>
        <w:rPr>
          <w:rStyle w:val="Strong"/>
          <w:rFonts w:asciiTheme="minorHAnsi" w:eastAsiaTheme="minorHAnsi" w:hAnsiTheme="minorHAnsi" w:cs="Arial"/>
          <w:b/>
          <w:bCs/>
          <w:color w:val="auto"/>
          <w:sz w:val="17"/>
          <w:szCs w:val="21"/>
          <w:lang w:eastAsia="en-US"/>
        </w:rPr>
      </w:pPr>
      <w:r w:rsidRPr="0057232B">
        <w:rPr>
          <w:rStyle w:val="Strong"/>
          <w:rFonts w:cs="Arial"/>
          <w:b/>
        </w:rPr>
        <w:t xml:space="preserve">Example </w:t>
      </w:r>
      <w:r>
        <w:rPr>
          <w:rStyle w:val="Strong"/>
          <w:rFonts w:cs="Arial"/>
          <w:b/>
        </w:rPr>
        <w:t xml:space="preserve">five – </w:t>
      </w:r>
      <w:r w:rsidRPr="00731E39">
        <w:t xml:space="preserve">Department </w:t>
      </w:r>
      <w:r>
        <w:t xml:space="preserve">swaps/exchanges an asset with another controlled entity </w:t>
      </w:r>
    </w:p>
    <w:p w:rsidR="00C2099A" w:rsidRDefault="00C2099A" w:rsidP="00C2099A">
      <w:r>
        <w:t xml:space="preserve">Internal swaps or exchanges of assets should be assessed to determine whether the arrangement meets the criteria to be recognised as a transfer through contributed capital in accordance with the requirements of FRD 119A </w:t>
      </w:r>
      <w:r>
        <w:rPr>
          <w:i/>
        </w:rPr>
        <w:t>Transfers through Contributed Capital</w:t>
      </w:r>
      <w:r>
        <w:t xml:space="preserve">.  </w:t>
      </w:r>
    </w:p>
    <w:p w:rsidR="00BB380C" w:rsidRDefault="00BB380C" w:rsidP="00BB380C"/>
    <w:p w:rsidR="00A75461" w:rsidRDefault="00A75461" w:rsidP="005476DA"/>
    <w:p w:rsidR="0063451F" w:rsidRDefault="0063451F">
      <w:pPr>
        <w:spacing w:before="0" w:after="200"/>
      </w:pPr>
    </w:p>
    <w:p w:rsidR="00014213" w:rsidRDefault="00014213" w:rsidP="00D2312F">
      <w:pPr>
        <w:sectPr w:rsidR="00014213" w:rsidSect="003672C0">
          <w:headerReference w:type="even" r:id="rId45"/>
          <w:headerReference w:type="default" r:id="rId46"/>
          <w:footerReference w:type="even" r:id="rId47"/>
          <w:footerReference w:type="default" r:id="rId48"/>
          <w:pgSz w:w="11906" w:h="16838" w:code="9"/>
          <w:pgMar w:top="2160" w:right="1440" w:bottom="1712" w:left="1440" w:header="709" w:footer="459" w:gutter="0"/>
          <w:cols w:space="708"/>
          <w:docGrid w:linePitch="360"/>
        </w:sectPr>
      </w:pPr>
    </w:p>
    <w:p w:rsidR="00014213" w:rsidRPr="00D2312F" w:rsidRDefault="00014213" w:rsidP="00D2312F"/>
    <w:sectPr w:rsidR="00014213" w:rsidRPr="00D2312F" w:rsidSect="00014213">
      <w:headerReference w:type="even" r:id="rId49"/>
      <w:headerReference w:type="default" r:id="rId50"/>
      <w:footerReference w:type="even" r:id="rId51"/>
      <w:footerReference w:type="default" r:id="rId52"/>
      <w:headerReference w:type="first" r:id="rId53"/>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91F" w:rsidRDefault="00A2591F" w:rsidP="002D711A">
      <w:pPr>
        <w:spacing w:after="0" w:line="240" w:lineRule="auto"/>
      </w:pPr>
      <w:r>
        <w:separator/>
      </w:r>
    </w:p>
  </w:endnote>
  <w:endnote w:type="continuationSeparator" w:id="0">
    <w:p w:rsidR="00A2591F" w:rsidRDefault="00A2591F"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rsidP="00CB3976">
    <w:pPr>
      <w:pStyle w:val="Spacer"/>
    </w:pPr>
  </w:p>
  <w:p w:rsidR="003D4CD6" w:rsidRDefault="003D4CD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rsidP="00165E66">
    <w:pPr>
      <w:pStyle w:val="Spacer"/>
    </w:pPr>
  </w:p>
  <w:p w:rsidR="003D4CD6" w:rsidRPr="00C022F9" w:rsidRDefault="003D4CD6" w:rsidP="00EE3550">
    <w:pPr>
      <w:pStyle w:val="Footer"/>
      <w:tabs>
        <w:tab w:val="clear" w:pos="9026"/>
        <w:tab w:val="right" w:pos="12960"/>
      </w:tabs>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A23E4C">
      <w:rPr>
        <w:b/>
        <w:color w:val="0063A6" w:themeColor="accent1"/>
      </w:rPr>
      <w:t>Financial Reporting Operations Framework</w:t>
    </w:r>
    <w:r w:rsidRPr="00C022F9">
      <w:rPr>
        <w:b/>
        <w:color w:val="0063A6" w:themeColor="accent1"/>
      </w:rPr>
      <w:fldChar w:fldCharType="end"/>
    </w:r>
    <w:r>
      <w:rPr>
        <w:b/>
        <w:color w:val="0063A6" w:themeColor="accent1"/>
      </w:rPr>
      <w:t xml:space="preserve"> </w:t>
    </w:r>
    <w:r>
      <w:t>– Updated February 2019</w:t>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45</w:t>
    </w:r>
    <w:r w:rsidRPr="00DE60CC">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Pr="00297281" w:rsidRDefault="003D4CD6" w:rsidP="000A3312">
    <w:pPr>
      <w:pStyle w:val="Footer"/>
    </w:pPr>
    <w:r w:rsidRPr="00D542F3">
      <w:t xml:space="preserve">Page </w:t>
    </w:r>
    <w:r w:rsidRPr="00D542F3">
      <w:rPr>
        <w:rStyle w:val="PageNumber"/>
      </w:rPr>
      <w:fldChar w:fldCharType="begin"/>
    </w:r>
    <w:r w:rsidRPr="00D542F3">
      <w:rPr>
        <w:rStyle w:val="PageNumber"/>
      </w:rPr>
      <w:instrText xml:space="preserve"> Page </w:instrText>
    </w:r>
    <w:r w:rsidRPr="00D542F3">
      <w:rPr>
        <w:rStyle w:val="PageNumber"/>
      </w:rPr>
      <w:fldChar w:fldCharType="separate"/>
    </w:r>
    <w:r>
      <w:rPr>
        <w:rStyle w:val="PageNumber"/>
      </w:rPr>
      <w:t>44</w:t>
    </w:r>
    <w:r w:rsidRPr="00D542F3">
      <w:rPr>
        <w:rStyle w:val="PageNumber"/>
      </w:rPr>
      <w:fldChar w:fldCharType="end"/>
    </w:r>
    <w:r>
      <w:rPr>
        <w:rStyle w:val="PageNumber"/>
      </w:rPr>
      <w:tab/>
      <w:t xml:space="preserve">   </w:t>
    </w:r>
    <w:r w:rsidRPr="00C92338">
      <w:rPr>
        <w:b/>
        <w:noProof w:val="0"/>
        <w:color w:val="0063A6" w:themeColor="accent1"/>
        <w:sz w:val="20"/>
      </w:rPr>
      <w:fldChar w:fldCharType="begin"/>
    </w:r>
    <w:r w:rsidRPr="00C92338">
      <w:rPr>
        <w:b/>
        <w:color w:val="0063A6" w:themeColor="accent1"/>
        <w:sz w:val="20"/>
      </w:rPr>
      <w:instrText xml:space="preserve"> StyleRef “Title” </w:instrText>
    </w:r>
    <w:r w:rsidRPr="00C92338">
      <w:rPr>
        <w:b/>
        <w:noProof w:val="0"/>
        <w:color w:val="0063A6" w:themeColor="accent1"/>
        <w:sz w:val="20"/>
      </w:rPr>
      <w:fldChar w:fldCharType="separate"/>
    </w:r>
    <w:r w:rsidR="00A23E4C">
      <w:rPr>
        <w:b/>
        <w:color w:val="0063A6" w:themeColor="accent1"/>
        <w:sz w:val="20"/>
      </w:rPr>
      <w:t>Financial Reporting Operations Framework</w:t>
    </w:r>
    <w:r w:rsidRPr="00C92338">
      <w:rPr>
        <w:b/>
        <w:color w:val="0063A6" w:themeColor="accent1"/>
        <w:sz w:val="20"/>
      </w:rPr>
      <w:fldChar w:fldCharType="end"/>
    </w:r>
    <w:r>
      <w:rPr>
        <w:b/>
        <w:color w:val="0063A6" w:themeColor="accent1"/>
        <w:sz w:val="20"/>
      </w:rPr>
      <w:t xml:space="preserve"> </w:t>
    </w:r>
    <w:r>
      <w:t>– Updated February 2019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rsidP="00165E66">
    <w:pPr>
      <w:pStyle w:val="Spacer"/>
    </w:pPr>
  </w:p>
  <w:p w:rsidR="003D4CD6" w:rsidRPr="00C022F9" w:rsidRDefault="003D4CD6"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A23E4C">
      <w:rPr>
        <w:b/>
        <w:color w:val="0063A6" w:themeColor="accent1"/>
      </w:rPr>
      <w:t>Financial Reporting Operations Framework</w:t>
    </w:r>
    <w:r w:rsidRPr="00C022F9">
      <w:rPr>
        <w:b/>
        <w:color w:val="0063A6" w:themeColor="accent1"/>
      </w:rPr>
      <w:fldChar w:fldCharType="end"/>
    </w:r>
    <w:r>
      <w:rPr>
        <w:b/>
        <w:color w:val="0063A6" w:themeColor="accent1"/>
      </w:rPr>
      <w:t xml:space="preserve"> </w:t>
    </w:r>
    <w:r>
      <w:t>– Updated February 2019</w:t>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45</w:t>
    </w:r>
    <w:r w:rsidRPr="00DE60CC">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Pr="00014213" w:rsidRDefault="003D4CD6" w:rsidP="00C022F9">
    <w:pPr>
      <w:pStyle w:val="Footer"/>
    </w:pPr>
    <w:r>
      <w:drawing>
        <wp:anchor distT="0" distB="0" distL="114300" distR="114300" simplePos="0" relativeHeight="251651584" behindDoc="0" locked="0" layoutInCell="1" allowOverlap="1" wp14:anchorId="43AA63BD" wp14:editId="7AC126B8">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rsidP="00CB3976">
    <w:pPr>
      <w:pStyle w:val="Spacer"/>
    </w:pPr>
  </w:p>
  <w:p w:rsidR="003D4CD6" w:rsidRPr="00CB3976" w:rsidRDefault="003D4CD6" w:rsidP="00CB3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rsidP="00CB3976">
    <w:pPr>
      <w:pStyle w:val="Spacer"/>
    </w:pPr>
  </w:p>
  <w:p w:rsidR="003D4CD6" w:rsidRDefault="003D4CD6" w:rsidP="00C022F9">
    <w:pPr>
      <w:pStyle w:val="Footer"/>
    </w:pPr>
    <w:r>
      <w:drawing>
        <wp:anchor distT="0" distB="0" distL="114300" distR="114300" simplePos="0" relativeHeight="251658752" behindDoc="0" locked="0" layoutInCell="1" allowOverlap="1" wp14:anchorId="45802D9F" wp14:editId="6162F9A3">
          <wp:simplePos x="0" y="0"/>
          <wp:positionH relativeFrom="column">
            <wp:posOffset>4224020</wp:posOffset>
          </wp:positionH>
          <wp:positionV relativeFrom="page">
            <wp:posOffset>9498330</wp:posOffset>
          </wp:positionV>
          <wp:extent cx="1956435" cy="582930"/>
          <wp:effectExtent l="0" t="0" r="5715" b="7620"/>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rsidP="00A47634">
    <w:pPr>
      <w:pStyle w:val="Spacer"/>
    </w:pPr>
  </w:p>
  <w:p w:rsidR="003D4CD6" w:rsidRPr="00297281" w:rsidRDefault="003D4CD6" w:rsidP="00E26733">
    <w:pPr>
      <w:pStyle w:val="Footer"/>
      <w:jc w:val="right"/>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Pr="00CB3976" w:rsidRDefault="003D4CD6" w:rsidP="00CB3976">
    <w:pPr>
      <w:pStyle w:val="Spacer"/>
    </w:pPr>
  </w:p>
  <w:p w:rsidR="003D4CD6" w:rsidRPr="00297281" w:rsidRDefault="003D4CD6"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Pr="000A3312" w:rsidRDefault="003D4CD6" w:rsidP="000A3312">
    <w:pPr>
      <w:pStyle w:val="Footer"/>
    </w:pPr>
    <w:r>
      <w:rPr>
        <w:noProof w:val="0"/>
      </w:rPr>
      <w:t xml:space="preserve">Page </w:t>
    </w:r>
    <w:sdt>
      <w:sdtPr>
        <w:rPr>
          <w:noProof w:val="0"/>
        </w:rPr>
        <w:id w:val="-1528015146"/>
        <w:docPartObj>
          <w:docPartGallery w:val="Page Numbers (Bottom of Page)"/>
          <w:docPartUnique/>
        </w:docPartObj>
      </w:sdtPr>
      <w:sdtEndPr>
        <w:rPr>
          <w:noProof/>
        </w:rPr>
      </w:sdtEndPr>
      <w:sdtContent>
        <w:r>
          <w:rPr>
            <w:noProof w:val="0"/>
          </w:rPr>
          <w:fldChar w:fldCharType="begin"/>
        </w:r>
        <w:r>
          <w:instrText xml:space="preserve"> PAGE   \* MERGEFORMAT </w:instrText>
        </w:r>
        <w:r>
          <w:rPr>
            <w:noProof w:val="0"/>
          </w:rPr>
          <w:fldChar w:fldCharType="separate"/>
        </w:r>
        <w:r>
          <w:t>1</w:t>
        </w:r>
        <w:r>
          <w:fldChar w:fldCharType="end"/>
        </w:r>
      </w:sdtContent>
    </w:sdt>
    <w:r>
      <w:tab/>
    </w:r>
    <w:r w:rsidRPr="00643550">
      <w:rPr>
        <w:b/>
        <w:color w:val="0063A6" w:themeColor="accent1"/>
      </w:rPr>
      <w:fldChar w:fldCharType="begin"/>
    </w:r>
    <w:r w:rsidRPr="00643550">
      <w:rPr>
        <w:b/>
        <w:color w:val="0063A6" w:themeColor="accent1"/>
      </w:rPr>
      <w:instrText xml:space="preserve"> StyleRef “Title” </w:instrText>
    </w:r>
    <w:r w:rsidRPr="00643550">
      <w:rPr>
        <w:b/>
        <w:color w:val="0063A6" w:themeColor="accent1"/>
      </w:rPr>
      <w:fldChar w:fldCharType="separate"/>
    </w:r>
    <w:r w:rsidR="00A23E4C">
      <w:rPr>
        <w:b/>
        <w:color w:val="0063A6" w:themeColor="accent1"/>
      </w:rPr>
      <w:t>Financial Reporting Operations Framework</w:t>
    </w:r>
    <w:r w:rsidRPr="00643550">
      <w:rPr>
        <w:b/>
        <w:color w:val="0063A6" w:themeColor="accent1"/>
      </w:rPr>
      <w:fldChar w:fldCharType="end"/>
    </w:r>
    <w:r>
      <w:rPr>
        <w:b/>
        <w:color w:val="0063A6" w:themeColor="accent1"/>
      </w:rPr>
      <w:t xml:space="preserve"> </w:t>
    </w:r>
    <w:r w:rsidRPr="000A3312">
      <w:t>– Updated February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pPr>
      <w:pStyle w:val="Footer"/>
      <w:jc w:val="right"/>
    </w:pPr>
  </w:p>
  <w:p w:rsidR="003D4CD6" w:rsidRPr="00C022F9" w:rsidRDefault="003D4CD6" w:rsidP="008B11FB">
    <w:pPr>
      <w:pStyle w:val="Footer"/>
    </w:pPr>
    <w:r w:rsidRPr="00643550">
      <w:rPr>
        <w:b/>
        <w:color w:val="0063A6" w:themeColor="accent1"/>
      </w:rPr>
      <w:fldChar w:fldCharType="begin"/>
    </w:r>
    <w:r w:rsidRPr="00643550">
      <w:rPr>
        <w:b/>
        <w:color w:val="0063A6" w:themeColor="accent1"/>
      </w:rPr>
      <w:instrText xml:space="preserve"> StyleRef “Title” </w:instrText>
    </w:r>
    <w:r w:rsidRPr="00643550">
      <w:rPr>
        <w:b/>
        <w:color w:val="0063A6" w:themeColor="accent1"/>
      </w:rPr>
      <w:fldChar w:fldCharType="separate"/>
    </w:r>
    <w:r w:rsidR="00A23E4C">
      <w:rPr>
        <w:b/>
        <w:color w:val="0063A6" w:themeColor="accent1"/>
      </w:rPr>
      <w:t>Financial Reporting Operations Framework</w:t>
    </w:r>
    <w:r w:rsidRPr="00643550">
      <w:rPr>
        <w:b/>
        <w:color w:val="0063A6" w:themeColor="accent1"/>
      </w:rPr>
      <w:fldChar w:fldCharType="end"/>
    </w:r>
    <w:r w:rsidRPr="0029666A">
      <w:t xml:space="preserve"> </w:t>
    </w:r>
    <w:r>
      <w:t>– Updated February 2019</w:t>
    </w:r>
    <w:r>
      <w:rPr>
        <w:b/>
        <w:color w:val="0063A6" w:themeColor="accent1"/>
      </w:rPr>
      <w:tab/>
    </w:r>
    <w:r>
      <w:rPr>
        <w:noProof w:val="0"/>
      </w:rPr>
      <w:t xml:space="preserve">Page </w:t>
    </w:r>
    <w:sdt>
      <w:sdtPr>
        <w:rPr>
          <w:noProof w:val="0"/>
        </w:rPr>
        <w:id w:val="-1328360754"/>
        <w:docPartObj>
          <w:docPartGallery w:val="Page Numbers (Bottom of Page)"/>
          <w:docPartUnique/>
        </w:docPartObj>
      </w:sdtPr>
      <w:sdtEndPr>
        <w:rPr>
          <w:noProof/>
        </w:rPr>
      </w:sdtEndPr>
      <w:sdtContent>
        <w:r>
          <w:rPr>
            <w:noProof w:val="0"/>
          </w:rPr>
          <w:fldChar w:fldCharType="begin"/>
        </w:r>
        <w:r>
          <w:instrText xml:space="preserve"> PAGE   \* MERGEFORMAT </w:instrText>
        </w:r>
        <w:r>
          <w:rPr>
            <w:noProof w:val="0"/>
          </w:rPr>
          <w:fldChar w:fldCharType="separate"/>
        </w:r>
        <w:r>
          <w:t>1</w:t>
        </w:r>
        <w: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Pr="00297281" w:rsidRDefault="003D4CD6" w:rsidP="000A3312">
    <w:pPr>
      <w:pStyle w:val="Footer"/>
    </w:pPr>
    <w:r w:rsidRPr="00D542F3">
      <w:t xml:space="preserve">Page </w:t>
    </w:r>
    <w:r w:rsidRPr="00D542F3">
      <w:rPr>
        <w:rStyle w:val="PageNumber"/>
      </w:rPr>
      <w:fldChar w:fldCharType="begin"/>
    </w:r>
    <w:r w:rsidRPr="00D542F3">
      <w:rPr>
        <w:rStyle w:val="PageNumber"/>
      </w:rPr>
      <w:instrText xml:space="preserve"> Page </w:instrText>
    </w:r>
    <w:r w:rsidRPr="00D542F3">
      <w:rPr>
        <w:rStyle w:val="PageNumber"/>
      </w:rPr>
      <w:fldChar w:fldCharType="separate"/>
    </w:r>
    <w:r>
      <w:rPr>
        <w:rStyle w:val="PageNumber"/>
      </w:rPr>
      <w:t>44</w:t>
    </w:r>
    <w:r w:rsidRPr="00D542F3">
      <w:rPr>
        <w:rStyle w:val="PageNumber"/>
      </w:rPr>
      <w:fldChar w:fldCharType="end"/>
    </w:r>
    <w:r>
      <w:rPr>
        <w:rStyle w:val="PageNumber"/>
      </w:rPr>
      <w:tab/>
      <w:t xml:space="preserve">   </w:t>
    </w:r>
    <w:r w:rsidRPr="00C92338">
      <w:rPr>
        <w:b/>
        <w:noProof w:val="0"/>
        <w:color w:val="0063A6" w:themeColor="accent1"/>
        <w:sz w:val="20"/>
      </w:rPr>
      <w:fldChar w:fldCharType="begin"/>
    </w:r>
    <w:r w:rsidRPr="00C92338">
      <w:rPr>
        <w:b/>
        <w:color w:val="0063A6" w:themeColor="accent1"/>
        <w:sz w:val="20"/>
      </w:rPr>
      <w:instrText xml:space="preserve"> StyleRef “Title” </w:instrText>
    </w:r>
    <w:r w:rsidRPr="00C92338">
      <w:rPr>
        <w:b/>
        <w:noProof w:val="0"/>
        <w:color w:val="0063A6" w:themeColor="accent1"/>
        <w:sz w:val="20"/>
      </w:rPr>
      <w:fldChar w:fldCharType="separate"/>
    </w:r>
    <w:r w:rsidR="00A23E4C">
      <w:rPr>
        <w:b/>
        <w:color w:val="0063A6" w:themeColor="accent1"/>
        <w:sz w:val="20"/>
      </w:rPr>
      <w:t>Financial Reporting Operations Framework</w:t>
    </w:r>
    <w:r w:rsidRPr="00C92338">
      <w:rPr>
        <w:b/>
        <w:color w:val="0063A6" w:themeColor="accent1"/>
        <w:sz w:val="20"/>
      </w:rPr>
      <w:fldChar w:fldCharType="end"/>
    </w:r>
    <w:r>
      <w:rPr>
        <w:b/>
        <w:color w:val="0063A6" w:themeColor="accent1"/>
        <w:sz w:val="20"/>
      </w:rPr>
      <w:t xml:space="preserve"> </w:t>
    </w:r>
    <w:r>
      <w:t>– Updated February 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rsidP="00165E66">
    <w:pPr>
      <w:pStyle w:val="Spacer"/>
    </w:pPr>
  </w:p>
  <w:p w:rsidR="003D4CD6" w:rsidRPr="00C022F9" w:rsidRDefault="003D4CD6"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A23E4C">
      <w:rPr>
        <w:b/>
        <w:color w:val="0063A6" w:themeColor="accent1"/>
      </w:rPr>
      <w:t>Financial Reporting Operations Framework</w:t>
    </w:r>
    <w:r w:rsidRPr="00C022F9">
      <w:rPr>
        <w:b/>
        <w:color w:val="0063A6" w:themeColor="accent1"/>
      </w:rPr>
      <w:fldChar w:fldCharType="end"/>
    </w:r>
    <w:r>
      <w:rPr>
        <w:b/>
        <w:color w:val="0063A6" w:themeColor="accent1"/>
      </w:rPr>
      <w:t xml:space="preserve"> </w:t>
    </w:r>
    <w:r>
      <w:t>– Updated February 2019</w:t>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45</w:t>
    </w:r>
    <w:r w:rsidRPr="00DE60CC">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Pr="00297281" w:rsidRDefault="003D4CD6" w:rsidP="00EE3550">
    <w:pPr>
      <w:pStyle w:val="Footer"/>
      <w:tabs>
        <w:tab w:val="clear" w:pos="9026"/>
        <w:tab w:val="right" w:pos="12960"/>
      </w:tabs>
    </w:pPr>
    <w:r w:rsidRPr="00D542F3">
      <w:t xml:space="preserve">Page </w:t>
    </w:r>
    <w:r w:rsidRPr="00D542F3">
      <w:rPr>
        <w:rStyle w:val="PageNumber"/>
      </w:rPr>
      <w:fldChar w:fldCharType="begin"/>
    </w:r>
    <w:r w:rsidRPr="00D542F3">
      <w:rPr>
        <w:rStyle w:val="PageNumber"/>
      </w:rPr>
      <w:instrText xml:space="preserve"> Page </w:instrText>
    </w:r>
    <w:r w:rsidRPr="00D542F3">
      <w:rPr>
        <w:rStyle w:val="PageNumber"/>
      </w:rPr>
      <w:fldChar w:fldCharType="separate"/>
    </w:r>
    <w:r>
      <w:rPr>
        <w:rStyle w:val="PageNumber"/>
      </w:rPr>
      <w:t>44</w:t>
    </w:r>
    <w:r w:rsidRPr="00D542F3">
      <w:rPr>
        <w:rStyle w:val="PageNumber"/>
      </w:rPr>
      <w:fldChar w:fldCharType="end"/>
    </w:r>
    <w:r>
      <w:rPr>
        <w:rStyle w:val="PageNumber"/>
      </w:rPr>
      <w:tab/>
      <w:t xml:space="preserve">   </w:t>
    </w:r>
    <w:r w:rsidRPr="00C92338">
      <w:rPr>
        <w:b/>
        <w:noProof w:val="0"/>
        <w:color w:val="0063A6" w:themeColor="accent1"/>
        <w:sz w:val="20"/>
      </w:rPr>
      <w:fldChar w:fldCharType="begin"/>
    </w:r>
    <w:r w:rsidRPr="00C92338">
      <w:rPr>
        <w:b/>
        <w:color w:val="0063A6" w:themeColor="accent1"/>
        <w:sz w:val="20"/>
      </w:rPr>
      <w:instrText xml:space="preserve"> StyleRef “Title” </w:instrText>
    </w:r>
    <w:r w:rsidRPr="00C92338">
      <w:rPr>
        <w:b/>
        <w:noProof w:val="0"/>
        <w:color w:val="0063A6" w:themeColor="accent1"/>
        <w:sz w:val="20"/>
      </w:rPr>
      <w:fldChar w:fldCharType="separate"/>
    </w:r>
    <w:r w:rsidR="00A23E4C">
      <w:rPr>
        <w:b/>
        <w:color w:val="0063A6" w:themeColor="accent1"/>
        <w:sz w:val="20"/>
      </w:rPr>
      <w:t>Financial Reporting Operations Framework</w:t>
    </w:r>
    <w:r w:rsidRPr="00C92338">
      <w:rPr>
        <w:b/>
        <w:color w:val="0063A6" w:themeColor="accent1"/>
        <w:sz w:val="20"/>
      </w:rPr>
      <w:fldChar w:fldCharType="end"/>
    </w:r>
    <w:r>
      <w:rPr>
        <w:b/>
        <w:color w:val="0063A6" w:themeColor="accent1"/>
        <w:sz w:val="20"/>
      </w:rPr>
      <w:t xml:space="preserve"> </w:t>
    </w:r>
    <w:r>
      <w:t>– Updated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91F" w:rsidRDefault="00A2591F" w:rsidP="002D711A">
      <w:pPr>
        <w:spacing w:after="0" w:line="240" w:lineRule="auto"/>
      </w:pPr>
      <w:r>
        <w:separator/>
      </w:r>
    </w:p>
  </w:footnote>
  <w:footnote w:type="continuationSeparator" w:id="0">
    <w:p w:rsidR="00A2591F" w:rsidRDefault="00A2591F" w:rsidP="002D711A">
      <w:pPr>
        <w:spacing w:after="0" w:line="240" w:lineRule="auto"/>
      </w:pPr>
      <w:r>
        <w:continuationSeparator/>
      </w:r>
    </w:p>
  </w:footnote>
  <w:footnote w:id="1">
    <w:p w:rsidR="003D4CD6" w:rsidRDefault="003D4CD6" w:rsidP="00BF6584">
      <w:pPr>
        <w:pStyle w:val="FootnoteText"/>
      </w:pPr>
      <w:r w:rsidRPr="006C604B">
        <w:rPr>
          <w:rStyle w:val="FootnoteReference"/>
          <w:sz w:val="18"/>
        </w:rPr>
        <w:footnoteRef/>
      </w:r>
      <w:r w:rsidRPr="006C604B">
        <w:rPr>
          <w:sz w:val="18"/>
        </w:rPr>
        <w:t xml:space="preserve"> See </w:t>
      </w:r>
      <w:r>
        <w:rPr>
          <w:sz w:val="18"/>
        </w:rPr>
        <w:t xml:space="preserve">Standing </w:t>
      </w:r>
      <w:r w:rsidRPr="006C604B">
        <w:rPr>
          <w:sz w:val="18"/>
        </w:rPr>
        <w:t>Direction 4.4</w:t>
      </w:r>
      <w:r>
        <w:rPr>
          <w:sz w:val="18"/>
        </w:rPr>
        <w:t>.</w:t>
      </w:r>
    </w:p>
  </w:footnote>
  <w:footnote w:id="2">
    <w:p w:rsidR="003D4CD6" w:rsidRPr="00FB6FF7" w:rsidRDefault="003D4CD6" w:rsidP="00B81007">
      <w:pPr>
        <w:pStyle w:val="FootnoteText"/>
        <w:rPr>
          <w:sz w:val="18"/>
        </w:rPr>
      </w:pPr>
      <w:r w:rsidRPr="00FB6FF7">
        <w:rPr>
          <w:rStyle w:val="FootnoteReference"/>
          <w:sz w:val="18"/>
        </w:rPr>
        <w:footnoteRef/>
      </w:r>
      <w:r w:rsidRPr="00FB6FF7">
        <w:rPr>
          <w:sz w:val="18"/>
        </w:rPr>
        <w:t xml:space="preserve"> ‘Department’ is defined </w:t>
      </w:r>
      <w:r>
        <w:rPr>
          <w:sz w:val="18"/>
        </w:rPr>
        <w:t>a</w:t>
      </w:r>
      <w:r w:rsidRPr="00FB6FF7">
        <w:rPr>
          <w:sz w:val="18"/>
        </w:rPr>
        <w:t xml:space="preserve">s having the same meaning as </w:t>
      </w:r>
      <w:r>
        <w:rPr>
          <w:sz w:val="18"/>
        </w:rPr>
        <w:t xml:space="preserve">para (a) of </w:t>
      </w:r>
      <w:r w:rsidRPr="00FB6FF7">
        <w:rPr>
          <w:i/>
          <w:sz w:val="18"/>
        </w:rPr>
        <w:t>department</w:t>
      </w:r>
      <w:r w:rsidRPr="00FB6FF7">
        <w:rPr>
          <w:sz w:val="18"/>
        </w:rPr>
        <w:t xml:space="preserve"> in </w:t>
      </w:r>
      <w:r>
        <w:rPr>
          <w:sz w:val="18"/>
        </w:rPr>
        <w:t>s</w:t>
      </w:r>
      <w:r w:rsidRPr="00FB6FF7">
        <w:rPr>
          <w:sz w:val="18"/>
        </w:rPr>
        <w:t>ection 3 of the FMA.</w:t>
      </w:r>
    </w:p>
  </w:footnote>
  <w:footnote w:id="3">
    <w:p w:rsidR="003D4CD6" w:rsidRDefault="003D4CD6" w:rsidP="00B81007">
      <w:pPr>
        <w:pStyle w:val="FootnoteText"/>
      </w:pPr>
      <w:r w:rsidRPr="00FB6FF7">
        <w:rPr>
          <w:rStyle w:val="FootnoteReference"/>
          <w:sz w:val="18"/>
        </w:rPr>
        <w:footnoteRef/>
      </w:r>
      <w:r w:rsidRPr="00FB6FF7">
        <w:rPr>
          <w:sz w:val="18"/>
        </w:rPr>
        <w:t xml:space="preserve"> </w:t>
      </w:r>
      <w:r w:rsidRPr="00CE6657">
        <w:rPr>
          <w:sz w:val="18"/>
        </w:rPr>
        <w:t>See Standing Direction 4.4.</w:t>
      </w:r>
    </w:p>
  </w:footnote>
  <w:footnote w:id="4">
    <w:p w:rsidR="003D4CD6" w:rsidRDefault="003D4CD6" w:rsidP="007D065F">
      <w:pPr>
        <w:pStyle w:val="FootnoteText"/>
      </w:pPr>
      <w:r w:rsidRPr="002F2258">
        <w:rPr>
          <w:rStyle w:val="FootnoteReference"/>
          <w:sz w:val="18"/>
        </w:rPr>
        <w:footnoteRef/>
      </w:r>
      <w:r w:rsidRPr="002F2258">
        <w:rPr>
          <w:sz w:val="18"/>
        </w:rPr>
        <w:t xml:space="preserve"> For example, revenue, expenses, assets or liabilities.</w:t>
      </w:r>
    </w:p>
  </w:footnote>
  <w:footnote w:id="5">
    <w:p w:rsidR="003D4CD6" w:rsidRDefault="003D4CD6" w:rsidP="002A28F7">
      <w:pPr>
        <w:pStyle w:val="FootnoteText"/>
      </w:pPr>
      <w:r>
        <w:rPr>
          <w:rStyle w:val="FootnoteReference"/>
        </w:rPr>
        <w:footnoteRef/>
      </w:r>
      <w:r>
        <w:t xml:space="preserve"> Examples of appropriate base amounts could include, but are not limited to, ‘net purchases of non-financial assets’, ‘total expenses from transactions’, or ‘total </w:t>
      </w:r>
      <w:r>
        <w:t>assets’.</w:t>
      </w:r>
    </w:p>
  </w:footnote>
  <w:footnote w:id="6">
    <w:p w:rsidR="003D4CD6" w:rsidRPr="002F2258" w:rsidRDefault="003D4CD6" w:rsidP="003562F9">
      <w:pPr>
        <w:pStyle w:val="FootnoteText"/>
      </w:pPr>
      <w:r w:rsidRPr="002F2258">
        <w:rPr>
          <w:rStyle w:val="FootnoteReference"/>
          <w:sz w:val="18"/>
          <w:szCs w:val="18"/>
        </w:rPr>
        <w:footnoteRef/>
      </w:r>
      <w:r>
        <w:t xml:space="preserve"> This coincides with the mid</w:t>
      </w:r>
      <w:r>
        <w:noBreakHyphen/>
        <w:t>year and annual financial r</w:t>
      </w:r>
      <w:r w:rsidRPr="002F2258">
        <w:t>eporting requirements.</w:t>
      </w:r>
    </w:p>
  </w:footnote>
  <w:footnote w:id="7">
    <w:p w:rsidR="003D4CD6" w:rsidRPr="002F2258" w:rsidRDefault="003D4CD6" w:rsidP="003562F9">
      <w:pPr>
        <w:pStyle w:val="FootnoteText"/>
      </w:pPr>
      <w:r w:rsidRPr="002F2258">
        <w:rPr>
          <w:rStyle w:val="FootnoteReference"/>
          <w:sz w:val="18"/>
          <w:szCs w:val="18"/>
        </w:rPr>
        <w:footnoteRef/>
      </w:r>
      <w:r w:rsidRPr="002F2258">
        <w:t xml:space="preserve"> The certified </w:t>
      </w:r>
      <w:r w:rsidRPr="003562F9">
        <w:t>contributed</w:t>
      </w:r>
      <w:r>
        <w:t xml:space="preserve"> capital</w:t>
      </w:r>
      <w:r w:rsidRPr="002F2258">
        <w:t>/</w:t>
      </w:r>
      <w:r>
        <w:t>e</w:t>
      </w:r>
      <w:r w:rsidRPr="002F2258">
        <w:t xml:space="preserve">quity </w:t>
      </w:r>
      <w:r>
        <w:t>i</w:t>
      </w:r>
      <w:r w:rsidRPr="002F2258">
        <w:t>nvestment reconciliations are required to support acquittal of balances as required by the Victoria</w:t>
      </w:r>
      <w:r>
        <w:t>n</w:t>
      </w:r>
      <w:r w:rsidRPr="002F2258">
        <w:t xml:space="preserve"> Auditor</w:t>
      </w:r>
      <w:r>
        <w:t>-</w:t>
      </w:r>
      <w:r w:rsidRPr="002F2258">
        <w:t>General’s Office.</w:t>
      </w:r>
    </w:p>
  </w:footnote>
  <w:footnote w:id="8">
    <w:p w:rsidR="003D4CD6" w:rsidRDefault="003D4CD6" w:rsidP="003562F9">
      <w:pPr>
        <w:pStyle w:val="FootnoteText"/>
      </w:pPr>
      <w:r w:rsidRPr="002F2258">
        <w:rPr>
          <w:rStyle w:val="FootnoteReference"/>
          <w:sz w:val="18"/>
          <w:szCs w:val="18"/>
        </w:rPr>
        <w:footnoteRef/>
      </w:r>
      <w:r w:rsidRPr="002F2258">
        <w:t xml:space="preserve"> If there is insufficient time to undertake the matching process between a </w:t>
      </w:r>
      <w:r>
        <w:t>dep</w:t>
      </w:r>
      <w:r w:rsidRPr="002F2258">
        <w:t xml:space="preserve">artment and its agency, then the </w:t>
      </w:r>
      <w:r>
        <w:t>dep</w:t>
      </w:r>
      <w:r w:rsidRPr="002F2258">
        <w:t xml:space="preserve">artment must provide an explanation to DTF </w:t>
      </w:r>
      <w:r>
        <w:t>and come to an agreement</w:t>
      </w:r>
      <w:r w:rsidRPr="002F2258">
        <w:t>.</w:t>
      </w:r>
    </w:p>
  </w:footnote>
  <w:footnote w:id="9">
    <w:p w:rsidR="003D4CD6" w:rsidRDefault="003D4CD6" w:rsidP="003562F9">
      <w:pPr>
        <w:pStyle w:val="FootnoteText"/>
      </w:pPr>
      <w:r w:rsidRPr="00C248C6">
        <w:rPr>
          <w:rStyle w:val="FootnoteReference"/>
          <w:sz w:val="18"/>
        </w:rPr>
        <w:footnoteRef/>
      </w:r>
      <w:r w:rsidRPr="00C248C6">
        <w:t xml:space="preserve"> Such returns will also</w:t>
      </w:r>
      <w:r w:rsidRPr="003562F9">
        <w:t xml:space="preserve"> </w:t>
      </w:r>
      <w:r w:rsidRPr="00C248C6">
        <w:t>be adjusted in the SAU as a reduction in the Government’s investment in its agencies.</w:t>
      </w:r>
    </w:p>
  </w:footnote>
  <w:footnote w:id="10">
    <w:p w:rsidR="003D4CD6" w:rsidRDefault="003D4CD6" w:rsidP="008037F0">
      <w:pPr>
        <w:pStyle w:val="FootnoteText"/>
      </w:pPr>
      <w:r w:rsidRPr="00C248C6">
        <w:rPr>
          <w:rStyle w:val="FootnoteReference"/>
          <w:sz w:val="18"/>
        </w:rPr>
        <w:footnoteRef/>
      </w:r>
      <w:r w:rsidRPr="00C248C6">
        <w:rPr>
          <w:sz w:val="18"/>
        </w:rPr>
        <w:t xml:space="preserve"> Equity transfers between </w:t>
      </w:r>
      <w:r>
        <w:rPr>
          <w:sz w:val="18"/>
        </w:rPr>
        <w:t>dep</w:t>
      </w:r>
      <w:r w:rsidRPr="00C248C6">
        <w:rPr>
          <w:sz w:val="18"/>
        </w:rPr>
        <w:t xml:space="preserve">artments are generally </w:t>
      </w:r>
      <w:r w:rsidRPr="00C248C6">
        <w:rPr>
          <w:sz w:val="18"/>
        </w:rPr>
        <w:t xml:space="preserve">as a result of </w:t>
      </w:r>
      <w:r>
        <w:rPr>
          <w:sz w:val="18"/>
        </w:rPr>
        <w:t>m</w:t>
      </w:r>
      <w:r w:rsidRPr="00C248C6">
        <w:rPr>
          <w:sz w:val="18"/>
        </w:rPr>
        <w:t xml:space="preserve">achinery of </w:t>
      </w:r>
      <w:r>
        <w:rPr>
          <w:sz w:val="18"/>
        </w:rPr>
        <w:t>g</w:t>
      </w:r>
      <w:r w:rsidRPr="00C248C6">
        <w:rPr>
          <w:sz w:val="18"/>
        </w:rPr>
        <w:t xml:space="preserve">overnment </w:t>
      </w:r>
      <w:r>
        <w:rPr>
          <w:sz w:val="18"/>
        </w:rPr>
        <w:t>changes</w:t>
      </w:r>
      <w:r w:rsidRPr="00C248C6">
        <w:rPr>
          <w:sz w:val="18"/>
        </w:rPr>
        <w:t>.</w:t>
      </w:r>
    </w:p>
  </w:footnote>
  <w:footnote w:id="11">
    <w:p w:rsidR="003D4CD6" w:rsidRDefault="003D4CD6" w:rsidP="009D26A8">
      <w:pPr>
        <w:pStyle w:val="FootnoteText"/>
      </w:pPr>
      <w:r w:rsidRPr="00E63100">
        <w:rPr>
          <w:rStyle w:val="FootnoteReference"/>
          <w:sz w:val="18"/>
        </w:rPr>
        <w:footnoteRef/>
      </w:r>
      <w:r w:rsidRPr="00E63100">
        <w:rPr>
          <w:sz w:val="18"/>
        </w:rPr>
        <w:t xml:space="preserve"> These balances are recorded centrally by DTF.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pPr>
      <w:pStyle w:val="Header"/>
    </w:pPr>
    <w:r>
      <w:rPr>
        <w:noProof/>
      </w:rPr>
      <w:drawing>
        <wp:anchor distT="0" distB="0" distL="114300" distR="114300" simplePos="0" relativeHeight="251654656" behindDoc="0" locked="0" layoutInCell="1" allowOverlap="1" wp14:anchorId="728B2B07" wp14:editId="5FFE9AA9">
          <wp:simplePos x="0" y="0"/>
          <wp:positionH relativeFrom="column">
            <wp:posOffset>-909902</wp:posOffset>
          </wp:positionH>
          <wp:positionV relativeFrom="page">
            <wp:posOffset>-264</wp:posOffset>
          </wp:positionV>
          <wp:extent cx="7562088" cy="10698480"/>
          <wp:effectExtent l="0" t="0" r="1270" b="7620"/>
          <wp:wrapNone/>
          <wp:docPr id="13"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pPr>
      <w:pStyle w:val="Header"/>
    </w:pPr>
    <w:r>
      <w:rPr>
        <w:noProof/>
      </w:rPr>
      <w:drawing>
        <wp:anchor distT="0" distB="0" distL="114300" distR="114300" simplePos="0" relativeHeight="251662336" behindDoc="0" locked="0" layoutInCell="1" allowOverlap="1" wp14:anchorId="1F57FA14" wp14:editId="0D2193A8">
          <wp:simplePos x="0" y="0"/>
          <wp:positionH relativeFrom="column">
            <wp:posOffset>-931849</wp:posOffset>
          </wp:positionH>
          <wp:positionV relativeFrom="page">
            <wp:posOffset>0</wp:posOffset>
          </wp:positionV>
          <wp:extent cx="7591245" cy="740985"/>
          <wp:effectExtent l="0" t="0" r="0" b="2540"/>
          <wp:wrapNone/>
          <wp:docPr id="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pPr>
      <w:pStyle w:val="Header"/>
    </w:pPr>
    <w:r>
      <w:rPr>
        <w:noProof/>
      </w:rPr>
      <w:drawing>
        <wp:anchor distT="0" distB="0" distL="114300" distR="114300" simplePos="0" relativeHeight="251664384" behindDoc="0" locked="0" layoutInCell="1" allowOverlap="1" wp14:anchorId="5272C706" wp14:editId="184A1330">
          <wp:simplePos x="0" y="0"/>
          <wp:positionH relativeFrom="column">
            <wp:posOffset>-1100262</wp:posOffset>
          </wp:positionH>
          <wp:positionV relativeFrom="page">
            <wp:posOffset>-63583</wp:posOffset>
          </wp:positionV>
          <wp:extent cx="10963981" cy="739140"/>
          <wp:effectExtent l="0" t="0" r="8890" b="3810"/>
          <wp:wrapNone/>
          <wp:docPr id="60"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63981" cy="739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pPr>
      <w:pStyle w:val="Header"/>
    </w:pPr>
    <w:r>
      <w:rPr>
        <w:noProof/>
      </w:rPr>
      <w:drawing>
        <wp:anchor distT="0" distB="0" distL="114300" distR="114300" simplePos="0" relativeHeight="251663360" behindDoc="0" locked="0" layoutInCell="1" allowOverlap="1" wp14:anchorId="60E232A5" wp14:editId="60BDCDF7">
          <wp:simplePos x="0" y="0"/>
          <wp:positionH relativeFrom="column">
            <wp:posOffset>-1096830</wp:posOffset>
          </wp:positionH>
          <wp:positionV relativeFrom="page">
            <wp:posOffset>0</wp:posOffset>
          </wp:positionV>
          <wp:extent cx="10694228" cy="740391"/>
          <wp:effectExtent l="0" t="0" r="0" b="3175"/>
          <wp:wrapNone/>
          <wp:docPr id="6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4228" cy="740391"/>
                  </a:xfrm>
                  <a:prstGeom prst="rect">
                    <a:avLst/>
                  </a:prstGeom>
                </pic:spPr>
              </pic:pic>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pPr>
      <w:pStyle w:val="Header"/>
    </w:pPr>
    <w:r>
      <w:rPr>
        <w:noProof/>
      </w:rPr>
      <w:drawing>
        <wp:anchor distT="0" distB="0" distL="114300" distR="114300" simplePos="0" relativeHeight="251661824" behindDoc="0" locked="0" layoutInCell="1" allowOverlap="1" wp14:anchorId="619CE862" wp14:editId="5B8BDDF4">
          <wp:simplePos x="0" y="0"/>
          <wp:positionH relativeFrom="column">
            <wp:posOffset>-946205</wp:posOffset>
          </wp:positionH>
          <wp:positionV relativeFrom="page">
            <wp:posOffset>10988</wp:posOffset>
          </wp:positionV>
          <wp:extent cx="7591245" cy="740985"/>
          <wp:effectExtent l="0" t="0" r="0" b="2540"/>
          <wp:wrapNone/>
          <wp:docPr id="1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pPr>
      <w:pStyle w:val="Header"/>
    </w:pPr>
    <w:r>
      <w:rPr>
        <w:noProof/>
      </w:rPr>
      <w:drawing>
        <wp:anchor distT="0" distB="0" distL="114300" distR="114300" simplePos="0" relativeHeight="251657728" behindDoc="0" locked="0" layoutInCell="1" allowOverlap="1" wp14:anchorId="619CE862" wp14:editId="5B8BDDF4">
          <wp:simplePos x="0" y="0"/>
          <wp:positionH relativeFrom="column">
            <wp:posOffset>-922158</wp:posOffset>
          </wp:positionH>
          <wp:positionV relativeFrom="page">
            <wp:posOffset>18912</wp:posOffset>
          </wp:positionV>
          <wp:extent cx="7591245" cy="740985"/>
          <wp:effectExtent l="0" t="0" r="0" b="2540"/>
          <wp:wrapNone/>
          <wp:docPr id="1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pPr>
      <w:pStyle w:val="Header"/>
    </w:pPr>
    <w:r>
      <w:rPr>
        <w:noProof/>
      </w:rPr>
      <w:drawing>
        <wp:anchor distT="0" distB="0" distL="114300" distR="114300" simplePos="0" relativeHeight="251650560" behindDoc="0" locked="0" layoutInCell="1" allowOverlap="1" wp14:anchorId="6BB3AB11" wp14:editId="66B69C51">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9536" behindDoc="1" locked="0" layoutInCell="1" allowOverlap="1" wp14:anchorId="0697B3E9" wp14:editId="04DD9504">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pPr>
      <w:pStyle w:val="Header"/>
    </w:pPr>
    <w:r>
      <w:rPr>
        <w:noProof/>
      </w:rPr>
      <w:drawing>
        <wp:anchor distT="0" distB="0" distL="114300" distR="114300" simplePos="0" relativeHeight="251664896" behindDoc="1" locked="0" layoutInCell="1" allowOverlap="1" wp14:anchorId="5DD3FD74" wp14:editId="28AF328B">
          <wp:simplePos x="0" y="0"/>
          <wp:positionH relativeFrom="column">
            <wp:posOffset>-965674</wp:posOffset>
          </wp:positionH>
          <wp:positionV relativeFrom="page">
            <wp:posOffset>-13163</wp:posOffset>
          </wp:positionV>
          <wp:extent cx="7589520" cy="10725912"/>
          <wp:effectExtent l="0" t="0" r="0" b="0"/>
          <wp:wrapNone/>
          <wp:docPr id="19719"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pPr>
      <w:pStyle w:val="Header"/>
    </w:pPr>
    <w:r>
      <w:rPr>
        <w:noProof/>
      </w:rPr>
      <w:drawing>
        <wp:anchor distT="0" distB="0" distL="114300" distR="114300" simplePos="0" relativeHeight="251665920" behindDoc="1" locked="0" layoutInCell="1" allowOverlap="1" wp14:anchorId="1FCA4A31" wp14:editId="2E8D01CF">
          <wp:simplePos x="0" y="0"/>
          <wp:positionH relativeFrom="column">
            <wp:posOffset>-961300</wp:posOffset>
          </wp:positionH>
          <wp:positionV relativeFrom="page">
            <wp:posOffset>28575</wp:posOffset>
          </wp:positionV>
          <wp:extent cx="7589520" cy="10725912"/>
          <wp:effectExtent l="0" t="0" r="0" b="0"/>
          <wp:wrapNone/>
          <wp:docPr id="1"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pPr>
      <w:pStyle w:val="Header"/>
    </w:pPr>
    <w:r>
      <w:rPr>
        <w:noProof/>
      </w:rPr>
      <w:drawing>
        <wp:anchor distT="0" distB="0" distL="114300" distR="114300" simplePos="0" relativeHeight="251661312" behindDoc="0" locked="0" layoutInCell="1" allowOverlap="1" wp14:anchorId="4ABB2978" wp14:editId="0932D02A">
          <wp:simplePos x="0" y="0"/>
          <wp:positionH relativeFrom="column">
            <wp:posOffset>-932815</wp:posOffset>
          </wp:positionH>
          <wp:positionV relativeFrom="page">
            <wp:posOffset>-3546</wp:posOffset>
          </wp:positionV>
          <wp:extent cx="7591245" cy="740985"/>
          <wp:effectExtent l="0" t="0" r="0" b="2540"/>
          <wp:wrapNone/>
          <wp:docPr id="54"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pPr>
      <w:pStyle w:val="Header"/>
    </w:pPr>
    <w:r>
      <w:rPr>
        <w:noProof/>
      </w:rPr>
      <w:drawing>
        <wp:anchor distT="0" distB="0" distL="114300" distR="114300" simplePos="0" relativeHeight="251657216" behindDoc="0" locked="0" layoutInCell="1" allowOverlap="1" wp14:anchorId="31E1D552" wp14:editId="3FC172A5">
          <wp:simplePos x="0" y="0"/>
          <wp:positionH relativeFrom="column">
            <wp:posOffset>-931849</wp:posOffset>
          </wp:positionH>
          <wp:positionV relativeFrom="page">
            <wp:posOffset>0</wp:posOffset>
          </wp:positionV>
          <wp:extent cx="7591245" cy="740985"/>
          <wp:effectExtent l="0" t="0" r="0" b="2540"/>
          <wp:wrapNone/>
          <wp:docPr id="5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pPr>
      <w:pStyle w:val="Header"/>
    </w:pPr>
    <w:r>
      <w:rPr>
        <w:noProof/>
      </w:rPr>
      <w:drawing>
        <wp:anchor distT="0" distB="0" distL="114300" distR="114300" simplePos="0" relativeHeight="251652096" behindDoc="0" locked="0" layoutInCell="1" allowOverlap="1" wp14:anchorId="09BA6A29" wp14:editId="4F875486">
          <wp:simplePos x="0" y="0"/>
          <wp:positionH relativeFrom="column">
            <wp:posOffset>-923290</wp:posOffset>
          </wp:positionH>
          <wp:positionV relativeFrom="page">
            <wp:posOffset>-3175</wp:posOffset>
          </wp:positionV>
          <wp:extent cx="7591245" cy="740985"/>
          <wp:effectExtent l="0" t="0" r="0" b="2540"/>
          <wp:wrapNone/>
          <wp:docPr id="56"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pPr>
      <w:pStyle w:val="Header"/>
    </w:pPr>
    <w:r>
      <w:rPr>
        <w:noProof/>
      </w:rPr>
      <w:drawing>
        <wp:anchor distT="0" distB="0" distL="114300" distR="114300" simplePos="0" relativeHeight="251651072" behindDoc="0" locked="0" layoutInCell="1" allowOverlap="1" wp14:anchorId="633F60FD" wp14:editId="1178C7A5">
          <wp:simplePos x="0" y="0"/>
          <wp:positionH relativeFrom="column">
            <wp:posOffset>-931849</wp:posOffset>
          </wp:positionH>
          <wp:positionV relativeFrom="page">
            <wp:posOffset>0</wp:posOffset>
          </wp:positionV>
          <wp:extent cx="7591245" cy="740985"/>
          <wp:effectExtent l="0" t="0" r="0" b="2540"/>
          <wp:wrapNone/>
          <wp:docPr id="5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D6" w:rsidRDefault="003D4CD6">
    <w:pPr>
      <w:pStyle w:val="Header"/>
    </w:pPr>
    <w:r>
      <w:rPr>
        <w:noProof/>
      </w:rPr>
      <w:drawing>
        <wp:anchor distT="0" distB="0" distL="114300" distR="114300" simplePos="0" relativeHeight="251653120" behindDoc="0" locked="0" layoutInCell="1" allowOverlap="1" wp14:anchorId="619CE862" wp14:editId="5B8BDDF4">
          <wp:simplePos x="0" y="0"/>
          <wp:positionH relativeFrom="column">
            <wp:posOffset>-914400</wp:posOffset>
          </wp:positionH>
          <wp:positionV relativeFrom="page">
            <wp:posOffset>-28768</wp:posOffset>
          </wp:positionV>
          <wp:extent cx="7591245" cy="740985"/>
          <wp:effectExtent l="0" t="0" r="0" b="2540"/>
          <wp:wrapNone/>
          <wp:docPr id="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3AE3A9B"/>
    <w:multiLevelType w:val="hybridMultilevel"/>
    <w:tmpl w:val="021A1434"/>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 w15:restartNumberingAfterBreak="0">
    <w:nsid w:val="1FC153E8"/>
    <w:multiLevelType w:val="hybridMultilevel"/>
    <w:tmpl w:val="A1A0FED4"/>
    <w:lvl w:ilvl="0" w:tplc="B3262A7A">
      <w:start w:val="1"/>
      <w:numFmt w:val="lowerLetter"/>
      <w:lvlText w:val="(%1)"/>
      <w:lvlJc w:val="left"/>
      <w:pPr>
        <w:ind w:left="720" w:hanging="360"/>
      </w:pPr>
      <w:rPr>
        <w:rFonts w:asciiTheme="minorHAnsi" w:hAnsiTheme="minorHAnsi" w:cstheme="minorHAnsi" w:hint="default"/>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6"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E37C7C"/>
    <w:multiLevelType w:val="hybridMultilevel"/>
    <w:tmpl w:val="B4ACA0F0"/>
    <w:lvl w:ilvl="0" w:tplc="5DF881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C465D6"/>
    <w:multiLevelType w:val="hybridMultilevel"/>
    <w:tmpl w:val="07CA2394"/>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1"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2"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83C5124"/>
    <w:multiLevelType w:val="multilevel"/>
    <w:tmpl w:val="533213AE"/>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4"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E0332E4"/>
    <w:multiLevelType w:val="hybridMultilevel"/>
    <w:tmpl w:val="DC2E6FFA"/>
    <w:lvl w:ilvl="0" w:tplc="60225110">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0700B9"/>
    <w:multiLevelType w:val="hybridMultilevel"/>
    <w:tmpl w:val="C186D396"/>
    <w:lvl w:ilvl="0" w:tplc="0C090001">
      <w:start w:val="1"/>
      <w:numFmt w:val="bullet"/>
      <w:lvlText w:val=""/>
      <w:lvlJc w:val="left"/>
      <w:pPr>
        <w:ind w:left="1656" w:hanging="360"/>
      </w:pPr>
      <w:rPr>
        <w:rFonts w:ascii="Symbol" w:hAnsi="Symbol" w:hint="default"/>
      </w:rPr>
    </w:lvl>
    <w:lvl w:ilvl="1" w:tplc="0C090003" w:tentative="1">
      <w:start w:val="1"/>
      <w:numFmt w:val="bullet"/>
      <w:lvlText w:val="o"/>
      <w:lvlJc w:val="left"/>
      <w:pPr>
        <w:ind w:left="2376" w:hanging="360"/>
      </w:pPr>
      <w:rPr>
        <w:rFonts w:ascii="Courier New" w:hAnsi="Courier New" w:cs="Courier New" w:hint="default"/>
      </w:rPr>
    </w:lvl>
    <w:lvl w:ilvl="2" w:tplc="0C090005" w:tentative="1">
      <w:start w:val="1"/>
      <w:numFmt w:val="bullet"/>
      <w:lvlText w:val=""/>
      <w:lvlJc w:val="left"/>
      <w:pPr>
        <w:ind w:left="3096" w:hanging="360"/>
      </w:pPr>
      <w:rPr>
        <w:rFonts w:ascii="Wingdings" w:hAnsi="Wingdings" w:hint="default"/>
      </w:rPr>
    </w:lvl>
    <w:lvl w:ilvl="3" w:tplc="0C090001" w:tentative="1">
      <w:start w:val="1"/>
      <w:numFmt w:val="bullet"/>
      <w:lvlText w:val=""/>
      <w:lvlJc w:val="left"/>
      <w:pPr>
        <w:ind w:left="3816" w:hanging="360"/>
      </w:pPr>
      <w:rPr>
        <w:rFonts w:ascii="Symbol" w:hAnsi="Symbol" w:hint="default"/>
      </w:rPr>
    </w:lvl>
    <w:lvl w:ilvl="4" w:tplc="0C090003" w:tentative="1">
      <w:start w:val="1"/>
      <w:numFmt w:val="bullet"/>
      <w:lvlText w:val="o"/>
      <w:lvlJc w:val="left"/>
      <w:pPr>
        <w:ind w:left="4536" w:hanging="360"/>
      </w:pPr>
      <w:rPr>
        <w:rFonts w:ascii="Courier New" w:hAnsi="Courier New" w:cs="Courier New" w:hint="default"/>
      </w:rPr>
    </w:lvl>
    <w:lvl w:ilvl="5" w:tplc="0C090005" w:tentative="1">
      <w:start w:val="1"/>
      <w:numFmt w:val="bullet"/>
      <w:lvlText w:val=""/>
      <w:lvlJc w:val="left"/>
      <w:pPr>
        <w:ind w:left="5256" w:hanging="360"/>
      </w:pPr>
      <w:rPr>
        <w:rFonts w:ascii="Wingdings" w:hAnsi="Wingdings" w:hint="default"/>
      </w:rPr>
    </w:lvl>
    <w:lvl w:ilvl="6" w:tplc="0C090001" w:tentative="1">
      <w:start w:val="1"/>
      <w:numFmt w:val="bullet"/>
      <w:lvlText w:val=""/>
      <w:lvlJc w:val="left"/>
      <w:pPr>
        <w:ind w:left="5976" w:hanging="360"/>
      </w:pPr>
      <w:rPr>
        <w:rFonts w:ascii="Symbol" w:hAnsi="Symbol" w:hint="default"/>
      </w:rPr>
    </w:lvl>
    <w:lvl w:ilvl="7" w:tplc="0C090003" w:tentative="1">
      <w:start w:val="1"/>
      <w:numFmt w:val="bullet"/>
      <w:lvlText w:val="o"/>
      <w:lvlJc w:val="left"/>
      <w:pPr>
        <w:ind w:left="6696" w:hanging="360"/>
      </w:pPr>
      <w:rPr>
        <w:rFonts w:ascii="Courier New" w:hAnsi="Courier New" w:cs="Courier New" w:hint="default"/>
      </w:rPr>
    </w:lvl>
    <w:lvl w:ilvl="8" w:tplc="0C090005" w:tentative="1">
      <w:start w:val="1"/>
      <w:numFmt w:val="bullet"/>
      <w:lvlText w:val=""/>
      <w:lvlJc w:val="left"/>
      <w:pPr>
        <w:ind w:left="7416" w:hanging="360"/>
      </w:pPr>
      <w:rPr>
        <w:rFonts w:ascii="Wingdings" w:hAnsi="Wingdings" w:hint="default"/>
      </w:rPr>
    </w:lvl>
  </w:abstractNum>
  <w:abstractNum w:abstractNumId="17"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C867B1"/>
    <w:multiLevelType w:val="hybridMultilevel"/>
    <w:tmpl w:val="BC825006"/>
    <w:lvl w:ilvl="0" w:tplc="8BD4C14E">
      <w:start w:val="1"/>
      <w:numFmt w:val="lowerLetter"/>
      <w:lvlText w:val="(%1)"/>
      <w:lvlJc w:val="left"/>
      <w:pPr>
        <w:ind w:left="720" w:hanging="360"/>
      </w:pPr>
      <w:rPr>
        <w:rFonts w:hint="default"/>
        <w:b w:val="0"/>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D44514"/>
    <w:multiLevelType w:val="multilevel"/>
    <w:tmpl w:val="B80C19CA"/>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1"/>
  </w:num>
  <w:num w:numId="2">
    <w:abstractNumId w:val="19"/>
  </w:num>
  <w:num w:numId="3">
    <w:abstractNumId w:val="6"/>
  </w:num>
  <w:num w:numId="4">
    <w:abstractNumId w:val="17"/>
  </w:num>
  <w:num w:numId="5">
    <w:abstractNumId w:val="7"/>
  </w:num>
  <w:num w:numId="6">
    <w:abstractNumId w:val="14"/>
  </w:num>
  <w:num w:numId="7">
    <w:abstractNumId w:val="12"/>
  </w:num>
  <w:num w:numId="8">
    <w:abstractNumId w:val="2"/>
  </w:num>
  <w:num w:numId="9">
    <w:abstractNumId w:val="1"/>
  </w:num>
  <w:num w:numId="10">
    <w:abstractNumId w:val="0"/>
  </w:num>
  <w:num w:numId="11">
    <w:abstractNumId w:val="5"/>
  </w:num>
  <w:num w:numId="12">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6"/>
  </w:num>
  <w:num w:numId="20">
    <w:abstractNumId w:val="3"/>
  </w:num>
  <w:num w:numId="21">
    <w:abstractNumId w:val="10"/>
  </w:num>
  <w:num w:numId="22">
    <w:abstractNumId w:val="19"/>
  </w:num>
  <w:num w:numId="23">
    <w:abstractNumId w:val="19"/>
  </w:num>
  <w:num w:numId="24">
    <w:abstractNumId w:val="8"/>
  </w:num>
  <w:num w:numId="25">
    <w:abstractNumId w:val="15"/>
  </w:num>
  <w:num w:numId="26">
    <w:abstractNumId w:val="4"/>
  </w:num>
  <w:num w:numId="27">
    <w:abstractNumId w:val="18"/>
  </w:num>
  <w:num w:numId="28">
    <w:abstractNumId w:val="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5B4"/>
    <w:rsid w:val="00003607"/>
    <w:rsid w:val="00004E80"/>
    <w:rsid w:val="00007FEA"/>
    <w:rsid w:val="00012F6F"/>
    <w:rsid w:val="00013786"/>
    <w:rsid w:val="00014213"/>
    <w:rsid w:val="00014B55"/>
    <w:rsid w:val="00020BD8"/>
    <w:rsid w:val="00020E3E"/>
    <w:rsid w:val="00023BF3"/>
    <w:rsid w:val="000245D3"/>
    <w:rsid w:val="00026811"/>
    <w:rsid w:val="00027FBC"/>
    <w:rsid w:val="0003100F"/>
    <w:rsid w:val="00035ED2"/>
    <w:rsid w:val="0004039F"/>
    <w:rsid w:val="00047A37"/>
    <w:rsid w:val="000532B0"/>
    <w:rsid w:val="0005346C"/>
    <w:rsid w:val="000535E1"/>
    <w:rsid w:val="000605F1"/>
    <w:rsid w:val="00071F59"/>
    <w:rsid w:val="00071FBB"/>
    <w:rsid w:val="00072F35"/>
    <w:rsid w:val="00073DCE"/>
    <w:rsid w:val="00075E6C"/>
    <w:rsid w:val="00081C12"/>
    <w:rsid w:val="0008213F"/>
    <w:rsid w:val="00083A12"/>
    <w:rsid w:val="0008601F"/>
    <w:rsid w:val="00090DB6"/>
    <w:rsid w:val="00095B63"/>
    <w:rsid w:val="000A3312"/>
    <w:rsid w:val="000A5E66"/>
    <w:rsid w:val="000B1A18"/>
    <w:rsid w:val="000B29AD"/>
    <w:rsid w:val="000B6900"/>
    <w:rsid w:val="000C06BD"/>
    <w:rsid w:val="000C0C26"/>
    <w:rsid w:val="000C4C1F"/>
    <w:rsid w:val="000C6372"/>
    <w:rsid w:val="000E2696"/>
    <w:rsid w:val="000E2A89"/>
    <w:rsid w:val="000E392D"/>
    <w:rsid w:val="000E3AB2"/>
    <w:rsid w:val="000E661F"/>
    <w:rsid w:val="000E7E21"/>
    <w:rsid w:val="000F4288"/>
    <w:rsid w:val="000F43A0"/>
    <w:rsid w:val="000F51C4"/>
    <w:rsid w:val="000F6BC3"/>
    <w:rsid w:val="000F7165"/>
    <w:rsid w:val="00100F7A"/>
    <w:rsid w:val="00102379"/>
    <w:rsid w:val="001065D6"/>
    <w:rsid w:val="001068D5"/>
    <w:rsid w:val="001074A0"/>
    <w:rsid w:val="0010781C"/>
    <w:rsid w:val="00114E72"/>
    <w:rsid w:val="00116D4E"/>
    <w:rsid w:val="00121252"/>
    <w:rsid w:val="00121F70"/>
    <w:rsid w:val="00122D91"/>
    <w:rsid w:val="00124609"/>
    <w:rsid w:val="001254CE"/>
    <w:rsid w:val="0012626B"/>
    <w:rsid w:val="00132968"/>
    <w:rsid w:val="00132E0D"/>
    <w:rsid w:val="00132FB8"/>
    <w:rsid w:val="00135DF2"/>
    <w:rsid w:val="001422CC"/>
    <w:rsid w:val="001466BE"/>
    <w:rsid w:val="00146C0C"/>
    <w:rsid w:val="001602DF"/>
    <w:rsid w:val="001617B6"/>
    <w:rsid w:val="00162750"/>
    <w:rsid w:val="00164CE6"/>
    <w:rsid w:val="001659F2"/>
    <w:rsid w:val="00165E66"/>
    <w:rsid w:val="001834DF"/>
    <w:rsid w:val="00192D77"/>
    <w:rsid w:val="00196143"/>
    <w:rsid w:val="001A1090"/>
    <w:rsid w:val="001A15E2"/>
    <w:rsid w:val="001A77DC"/>
    <w:rsid w:val="001B0ED0"/>
    <w:rsid w:val="001B6E62"/>
    <w:rsid w:val="001C7BAE"/>
    <w:rsid w:val="001C7C39"/>
    <w:rsid w:val="001D07DE"/>
    <w:rsid w:val="001D61B2"/>
    <w:rsid w:val="001E31FA"/>
    <w:rsid w:val="001E382F"/>
    <w:rsid w:val="001E64F6"/>
    <w:rsid w:val="001E7B8A"/>
    <w:rsid w:val="00200ECD"/>
    <w:rsid w:val="002010BC"/>
    <w:rsid w:val="00204B82"/>
    <w:rsid w:val="00204F25"/>
    <w:rsid w:val="00206B12"/>
    <w:rsid w:val="00214AB9"/>
    <w:rsid w:val="00214C70"/>
    <w:rsid w:val="00220793"/>
    <w:rsid w:val="0022175E"/>
    <w:rsid w:val="00222534"/>
    <w:rsid w:val="00222BEB"/>
    <w:rsid w:val="00225E60"/>
    <w:rsid w:val="00232014"/>
    <w:rsid w:val="0023202C"/>
    <w:rsid w:val="00241517"/>
    <w:rsid w:val="00245043"/>
    <w:rsid w:val="0025361C"/>
    <w:rsid w:val="002537E0"/>
    <w:rsid w:val="0025621E"/>
    <w:rsid w:val="0025725A"/>
    <w:rsid w:val="00261EA4"/>
    <w:rsid w:val="00263307"/>
    <w:rsid w:val="00270866"/>
    <w:rsid w:val="00271AA6"/>
    <w:rsid w:val="002810AD"/>
    <w:rsid w:val="00283CA3"/>
    <w:rsid w:val="00285213"/>
    <w:rsid w:val="00292D36"/>
    <w:rsid w:val="0029666A"/>
    <w:rsid w:val="00297111"/>
    <w:rsid w:val="00297281"/>
    <w:rsid w:val="002A084D"/>
    <w:rsid w:val="002A27C5"/>
    <w:rsid w:val="002A28F7"/>
    <w:rsid w:val="002B0BBD"/>
    <w:rsid w:val="002B5E2B"/>
    <w:rsid w:val="002C0B64"/>
    <w:rsid w:val="002C2797"/>
    <w:rsid w:val="002D02F5"/>
    <w:rsid w:val="002D4EE5"/>
    <w:rsid w:val="002D6C85"/>
    <w:rsid w:val="002D711A"/>
    <w:rsid w:val="002D7336"/>
    <w:rsid w:val="002E3396"/>
    <w:rsid w:val="002E3AEC"/>
    <w:rsid w:val="002E5B41"/>
    <w:rsid w:val="002E5CDD"/>
    <w:rsid w:val="002E7931"/>
    <w:rsid w:val="002F4151"/>
    <w:rsid w:val="002F7A0C"/>
    <w:rsid w:val="003010E6"/>
    <w:rsid w:val="00301677"/>
    <w:rsid w:val="0030280A"/>
    <w:rsid w:val="00303406"/>
    <w:rsid w:val="0030656E"/>
    <w:rsid w:val="0031149C"/>
    <w:rsid w:val="00314B6A"/>
    <w:rsid w:val="00316A4E"/>
    <w:rsid w:val="00326EEF"/>
    <w:rsid w:val="00330C4C"/>
    <w:rsid w:val="00331FF5"/>
    <w:rsid w:val="0033298B"/>
    <w:rsid w:val="00334580"/>
    <w:rsid w:val="00335A67"/>
    <w:rsid w:val="00335B26"/>
    <w:rsid w:val="003467BF"/>
    <w:rsid w:val="003533CE"/>
    <w:rsid w:val="003554BF"/>
    <w:rsid w:val="003562F9"/>
    <w:rsid w:val="00364F1A"/>
    <w:rsid w:val="003672C0"/>
    <w:rsid w:val="0038771C"/>
    <w:rsid w:val="00387A01"/>
    <w:rsid w:val="00391C82"/>
    <w:rsid w:val="003924C6"/>
    <w:rsid w:val="00393A20"/>
    <w:rsid w:val="003A1B1A"/>
    <w:rsid w:val="003A2419"/>
    <w:rsid w:val="003A541A"/>
    <w:rsid w:val="003A6923"/>
    <w:rsid w:val="003A7D85"/>
    <w:rsid w:val="003B6A70"/>
    <w:rsid w:val="003C2C67"/>
    <w:rsid w:val="003C3537"/>
    <w:rsid w:val="003C3FCA"/>
    <w:rsid w:val="003C4FAA"/>
    <w:rsid w:val="003C5BA4"/>
    <w:rsid w:val="003D4CD6"/>
    <w:rsid w:val="003E2345"/>
    <w:rsid w:val="003E3E26"/>
    <w:rsid w:val="003F1295"/>
    <w:rsid w:val="003F17D5"/>
    <w:rsid w:val="003F76FC"/>
    <w:rsid w:val="004002EB"/>
    <w:rsid w:val="004006B2"/>
    <w:rsid w:val="00403780"/>
    <w:rsid w:val="00403D43"/>
    <w:rsid w:val="00406234"/>
    <w:rsid w:val="00406471"/>
    <w:rsid w:val="00407BA8"/>
    <w:rsid w:val="0041128D"/>
    <w:rsid w:val="004122AE"/>
    <w:rsid w:val="00412DA0"/>
    <w:rsid w:val="00413A48"/>
    <w:rsid w:val="00413AB9"/>
    <w:rsid w:val="004231B5"/>
    <w:rsid w:val="004236C8"/>
    <w:rsid w:val="00423753"/>
    <w:rsid w:val="00427681"/>
    <w:rsid w:val="00427ACE"/>
    <w:rsid w:val="00433845"/>
    <w:rsid w:val="00433DB7"/>
    <w:rsid w:val="004347A8"/>
    <w:rsid w:val="00435EE9"/>
    <w:rsid w:val="00444AC8"/>
    <w:rsid w:val="00445DEE"/>
    <w:rsid w:val="00450FD9"/>
    <w:rsid w:val="004523BC"/>
    <w:rsid w:val="00453750"/>
    <w:rsid w:val="00454ABB"/>
    <w:rsid w:val="00456739"/>
    <w:rsid w:val="00456941"/>
    <w:rsid w:val="00464D04"/>
    <w:rsid w:val="004658DA"/>
    <w:rsid w:val="00467100"/>
    <w:rsid w:val="004702EA"/>
    <w:rsid w:val="004719E6"/>
    <w:rsid w:val="00471D9A"/>
    <w:rsid w:val="004725FB"/>
    <w:rsid w:val="00481610"/>
    <w:rsid w:val="0048259C"/>
    <w:rsid w:val="00482AE7"/>
    <w:rsid w:val="00482D02"/>
    <w:rsid w:val="00486591"/>
    <w:rsid w:val="00493FFD"/>
    <w:rsid w:val="004975E4"/>
    <w:rsid w:val="004A359A"/>
    <w:rsid w:val="004A5FC4"/>
    <w:rsid w:val="004A7519"/>
    <w:rsid w:val="004B03A0"/>
    <w:rsid w:val="004B7ABC"/>
    <w:rsid w:val="004C01C3"/>
    <w:rsid w:val="004C2812"/>
    <w:rsid w:val="004D1079"/>
    <w:rsid w:val="004D1C89"/>
    <w:rsid w:val="004D3518"/>
    <w:rsid w:val="004D483D"/>
    <w:rsid w:val="004D4D61"/>
    <w:rsid w:val="004D62D6"/>
    <w:rsid w:val="004E41AF"/>
    <w:rsid w:val="004E49E1"/>
    <w:rsid w:val="004E54C3"/>
    <w:rsid w:val="004E6956"/>
    <w:rsid w:val="004F4803"/>
    <w:rsid w:val="00504EE7"/>
    <w:rsid w:val="00506B48"/>
    <w:rsid w:val="00513235"/>
    <w:rsid w:val="005162CD"/>
    <w:rsid w:val="0053416C"/>
    <w:rsid w:val="00541C2F"/>
    <w:rsid w:val="0054341B"/>
    <w:rsid w:val="005434B1"/>
    <w:rsid w:val="005457A4"/>
    <w:rsid w:val="005476DA"/>
    <w:rsid w:val="00547CEA"/>
    <w:rsid w:val="00552D07"/>
    <w:rsid w:val="005532E7"/>
    <w:rsid w:val="00554BC6"/>
    <w:rsid w:val="00563527"/>
    <w:rsid w:val="005702D4"/>
    <w:rsid w:val="0057219C"/>
    <w:rsid w:val="005728F0"/>
    <w:rsid w:val="00573F52"/>
    <w:rsid w:val="00573FF9"/>
    <w:rsid w:val="00574AF6"/>
    <w:rsid w:val="00576428"/>
    <w:rsid w:val="00580339"/>
    <w:rsid w:val="0058124E"/>
    <w:rsid w:val="00581FB6"/>
    <w:rsid w:val="0058456A"/>
    <w:rsid w:val="005875A3"/>
    <w:rsid w:val="00590246"/>
    <w:rsid w:val="005975AF"/>
    <w:rsid w:val="005A015B"/>
    <w:rsid w:val="005A247A"/>
    <w:rsid w:val="005A3416"/>
    <w:rsid w:val="005B27FE"/>
    <w:rsid w:val="005B3496"/>
    <w:rsid w:val="005B4B08"/>
    <w:rsid w:val="005B79CB"/>
    <w:rsid w:val="005B7A5A"/>
    <w:rsid w:val="005C0CE6"/>
    <w:rsid w:val="005D3A7C"/>
    <w:rsid w:val="005E0786"/>
    <w:rsid w:val="005E4C16"/>
    <w:rsid w:val="005E51EE"/>
    <w:rsid w:val="005E79DC"/>
    <w:rsid w:val="005F09E3"/>
    <w:rsid w:val="005F61DF"/>
    <w:rsid w:val="006023F9"/>
    <w:rsid w:val="0060329E"/>
    <w:rsid w:val="00610266"/>
    <w:rsid w:val="00610559"/>
    <w:rsid w:val="0061303B"/>
    <w:rsid w:val="00613DC6"/>
    <w:rsid w:val="00615586"/>
    <w:rsid w:val="0061592F"/>
    <w:rsid w:val="006205B4"/>
    <w:rsid w:val="00621A5F"/>
    <w:rsid w:val="00623130"/>
    <w:rsid w:val="00623510"/>
    <w:rsid w:val="00630CCE"/>
    <w:rsid w:val="00632F2E"/>
    <w:rsid w:val="006332F6"/>
    <w:rsid w:val="0063451F"/>
    <w:rsid w:val="006458C7"/>
    <w:rsid w:val="006534B2"/>
    <w:rsid w:val="006550E7"/>
    <w:rsid w:val="0065615D"/>
    <w:rsid w:val="00657011"/>
    <w:rsid w:val="00657E81"/>
    <w:rsid w:val="006650B5"/>
    <w:rsid w:val="006651B1"/>
    <w:rsid w:val="00665778"/>
    <w:rsid w:val="00672A6D"/>
    <w:rsid w:val="00675354"/>
    <w:rsid w:val="00675384"/>
    <w:rsid w:val="00676588"/>
    <w:rsid w:val="00686974"/>
    <w:rsid w:val="00690ADE"/>
    <w:rsid w:val="006911FB"/>
    <w:rsid w:val="006926C1"/>
    <w:rsid w:val="006940B6"/>
    <w:rsid w:val="0069470E"/>
    <w:rsid w:val="00697E9E"/>
    <w:rsid w:val="006A1E42"/>
    <w:rsid w:val="006A5B34"/>
    <w:rsid w:val="006B4663"/>
    <w:rsid w:val="006C14F4"/>
    <w:rsid w:val="006C1DCD"/>
    <w:rsid w:val="006C333C"/>
    <w:rsid w:val="006C6042"/>
    <w:rsid w:val="006C77A9"/>
    <w:rsid w:val="006E0348"/>
    <w:rsid w:val="006E217D"/>
    <w:rsid w:val="006E3692"/>
    <w:rsid w:val="006F1332"/>
    <w:rsid w:val="006F37F2"/>
    <w:rsid w:val="006F6693"/>
    <w:rsid w:val="006F7A03"/>
    <w:rsid w:val="00702D24"/>
    <w:rsid w:val="00707FE8"/>
    <w:rsid w:val="00710A2C"/>
    <w:rsid w:val="00711854"/>
    <w:rsid w:val="00711EBD"/>
    <w:rsid w:val="00714207"/>
    <w:rsid w:val="00714D5A"/>
    <w:rsid w:val="00724962"/>
    <w:rsid w:val="00724A0F"/>
    <w:rsid w:val="0072604A"/>
    <w:rsid w:val="00727C2A"/>
    <w:rsid w:val="00734E4D"/>
    <w:rsid w:val="00736732"/>
    <w:rsid w:val="00736E97"/>
    <w:rsid w:val="007406EB"/>
    <w:rsid w:val="0074118E"/>
    <w:rsid w:val="00741B2A"/>
    <w:rsid w:val="00745E05"/>
    <w:rsid w:val="00750CBE"/>
    <w:rsid w:val="00757A17"/>
    <w:rsid w:val="007659F3"/>
    <w:rsid w:val="00766B5A"/>
    <w:rsid w:val="00772F0A"/>
    <w:rsid w:val="00775667"/>
    <w:rsid w:val="007770A5"/>
    <w:rsid w:val="00782A05"/>
    <w:rsid w:val="007834F2"/>
    <w:rsid w:val="00791020"/>
    <w:rsid w:val="00791754"/>
    <w:rsid w:val="0079444F"/>
    <w:rsid w:val="0079509A"/>
    <w:rsid w:val="00797603"/>
    <w:rsid w:val="007A04D2"/>
    <w:rsid w:val="007A2755"/>
    <w:rsid w:val="007A5F82"/>
    <w:rsid w:val="007B1C17"/>
    <w:rsid w:val="007B5FE9"/>
    <w:rsid w:val="007B790F"/>
    <w:rsid w:val="007C49BD"/>
    <w:rsid w:val="007C6CCA"/>
    <w:rsid w:val="007C7EAC"/>
    <w:rsid w:val="007D0366"/>
    <w:rsid w:val="007D065F"/>
    <w:rsid w:val="007D6D15"/>
    <w:rsid w:val="007E6CF8"/>
    <w:rsid w:val="007E7B3A"/>
    <w:rsid w:val="007E7BDA"/>
    <w:rsid w:val="007F1438"/>
    <w:rsid w:val="007F1A4C"/>
    <w:rsid w:val="007F257F"/>
    <w:rsid w:val="00800AE4"/>
    <w:rsid w:val="008016AA"/>
    <w:rsid w:val="008022C3"/>
    <w:rsid w:val="008033C8"/>
    <w:rsid w:val="008034E6"/>
    <w:rsid w:val="008037F0"/>
    <w:rsid w:val="008041E6"/>
    <w:rsid w:val="00804202"/>
    <w:rsid w:val="008065D2"/>
    <w:rsid w:val="00811477"/>
    <w:rsid w:val="00816903"/>
    <w:rsid w:val="0082194C"/>
    <w:rsid w:val="008222FF"/>
    <w:rsid w:val="008241FF"/>
    <w:rsid w:val="008303F3"/>
    <w:rsid w:val="008306D9"/>
    <w:rsid w:val="008359F6"/>
    <w:rsid w:val="0083708B"/>
    <w:rsid w:val="008411E9"/>
    <w:rsid w:val="0084200F"/>
    <w:rsid w:val="00843B2C"/>
    <w:rsid w:val="00845118"/>
    <w:rsid w:val="008612E2"/>
    <w:rsid w:val="00867676"/>
    <w:rsid w:val="008736D0"/>
    <w:rsid w:val="00874162"/>
    <w:rsid w:val="008769D3"/>
    <w:rsid w:val="008808E8"/>
    <w:rsid w:val="00880AC4"/>
    <w:rsid w:val="008827BD"/>
    <w:rsid w:val="00883F5E"/>
    <w:rsid w:val="008859F9"/>
    <w:rsid w:val="00886082"/>
    <w:rsid w:val="00893367"/>
    <w:rsid w:val="00893DE6"/>
    <w:rsid w:val="008A12DC"/>
    <w:rsid w:val="008A4900"/>
    <w:rsid w:val="008A512D"/>
    <w:rsid w:val="008A73C2"/>
    <w:rsid w:val="008B0867"/>
    <w:rsid w:val="008B11FB"/>
    <w:rsid w:val="008B7164"/>
    <w:rsid w:val="008C452E"/>
    <w:rsid w:val="008C476B"/>
    <w:rsid w:val="008C7254"/>
    <w:rsid w:val="008C7A22"/>
    <w:rsid w:val="008D0281"/>
    <w:rsid w:val="008E2BB2"/>
    <w:rsid w:val="008E7200"/>
    <w:rsid w:val="008F22BC"/>
    <w:rsid w:val="008F6D45"/>
    <w:rsid w:val="00904771"/>
    <w:rsid w:val="00905BD9"/>
    <w:rsid w:val="0090614A"/>
    <w:rsid w:val="00906443"/>
    <w:rsid w:val="00906EB5"/>
    <w:rsid w:val="009074EB"/>
    <w:rsid w:val="00910CAF"/>
    <w:rsid w:val="00915DD7"/>
    <w:rsid w:val="009160B0"/>
    <w:rsid w:val="00924B0F"/>
    <w:rsid w:val="00931A8D"/>
    <w:rsid w:val="0093568E"/>
    <w:rsid w:val="00937A10"/>
    <w:rsid w:val="009401C3"/>
    <w:rsid w:val="00940955"/>
    <w:rsid w:val="00944EC1"/>
    <w:rsid w:val="00956A65"/>
    <w:rsid w:val="00957224"/>
    <w:rsid w:val="009578A1"/>
    <w:rsid w:val="009653A1"/>
    <w:rsid w:val="00965D23"/>
    <w:rsid w:val="00967717"/>
    <w:rsid w:val="00972E1C"/>
    <w:rsid w:val="0098143A"/>
    <w:rsid w:val="009834C0"/>
    <w:rsid w:val="00986AAC"/>
    <w:rsid w:val="00990373"/>
    <w:rsid w:val="009A1DA2"/>
    <w:rsid w:val="009A1F40"/>
    <w:rsid w:val="009A2249"/>
    <w:rsid w:val="009A243A"/>
    <w:rsid w:val="009A3704"/>
    <w:rsid w:val="009A4739"/>
    <w:rsid w:val="009A6679"/>
    <w:rsid w:val="009A674F"/>
    <w:rsid w:val="009B199C"/>
    <w:rsid w:val="009B61F1"/>
    <w:rsid w:val="009B62E0"/>
    <w:rsid w:val="009B76E1"/>
    <w:rsid w:val="009C3D88"/>
    <w:rsid w:val="009C70DB"/>
    <w:rsid w:val="009C7CB4"/>
    <w:rsid w:val="009D23FB"/>
    <w:rsid w:val="009D26A8"/>
    <w:rsid w:val="009D2FCD"/>
    <w:rsid w:val="009E3858"/>
    <w:rsid w:val="009E70DD"/>
    <w:rsid w:val="009E7E79"/>
    <w:rsid w:val="009F12D3"/>
    <w:rsid w:val="009F2ED9"/>
    <w:rsid w:val="009F3231"/>
    <w:rsid w:val="009F5ABA"/>
    <w:rsid w:val="009F5C58"/>
    <w:rsid w:val="00A00CA4"/>
    <w:rsid w:val="00A00CD6"/>
    <w:rsid w:val="00A023A0"/>
    <w:rsid w:val="00A05683"/>
    <w:rsid w:val="00A0573D"/>
    <w:rsid w:val="00A1060E"/>
    <w:rsid w:val="00A115E3"/>
    <w:rsid w:val="00A13839"/>
    <w:rsid w:val="00A1562B"/>
    <w:rsid w:val="00A170F4"/>
    <w:rsid w:val="00A21CFD"/>
    <w:rsid w:val="00A227C2"/>
    <w:rsid w:val="00A23E4C"/>
    <w:rsid w:val="00A2591F"/>
    <w:rsid w:val="00A25A72"/>
    <w:rsid w:val="00A35D5E"/>
    <w:rsid w:val="00A4375C"/>
    <w:rsid w:val="00A43B81"/>
    <w:rsid w:val="00A45018"/>
    <w:rsid w:val="00A45BD8"/>
    <w:rsid w:val="00A46BA8"/>
    <w:rsid w:val="00A47634"/>
    <w:rsid w:val="00A47865"/>
    <w:rsid w:val="00A53FA5"/>
    <w:rsid w:val="00A579B4"/>
    <w:rsid w:val="00A60194"/>
    <w:rsid w:val="00A612FE"/>
    <w:rsid w:val="00A67225"/>
    <w:rsid w:val="00A75461"/>
    <w:rsid w:val="00A80724"/>
    <w:rsid w:val="00A83405"/>
    <w:rsid w:val="00A83426"/>
    <w:rsid w:val="00A85335"/>
    <w:rsid w:val="00A85967"/>
    <w:rsid w:val="00A90630"/>
    <w:rsid w:val="00A94229"/>
    <w:rsid w:val="00AA26B8"/>
    <w:rsid w:val="00AA699D"/>
    <w:rsid w:val="00AA6E9C"/>
    <w:rsid w:val="00AA7403"/>
    <w:rsid w:val="00AB0348"/>
    <w:rsid w:val="00AD0022"/>
    <w:rsid w:val="00AD3261"/>
    <w:rsid w:val="00AD68FD"/>
    <w:rsid w:val="00AD7E4E"/>
    <w:rsid w:val="00AE3F88"/>
    <w:rsid w:val="00AE4CC0"/>
    <w:rsid w:val="00AE5C8A"/>
    <w:rsid w:val="00AF35D8"/>
    <w:rsid w:val="00AF43E8"/>
    <w:rsid w:val="00AF4D58"/>
    <w:rsid w:val="00AF6666"/>
    <w:rsid w:val="00B14FFE"/>
    <w:rsid w:val="00B15666"/>
    <w:rsid w:val="00B16641"/>
    <w:rsid w:val="00B21C3F"/>
    <w:rsid w:val="00B30401"/>
    <w:rsid w:val="00B33A67"/>
    <w:rsid w:val="00B36236"/>
    <w:rsid w:val="00B40361"/>
    <w:rsid w:val="00B61B92"/>
    <w:rsid w:val="00B63969"/>
    <w:rsid w:val="00B640DC"/>
    <w:rsid w:val="00B73A0F"/>
    <w:rsid w:val="00B81007"/>
    <w:rsid w:val="00B81B44"/>
    <w:rsid w:val="00B82A0A"/>
    <w:rsid w:val="00B83528"/>
    <w:rsid w:val="00B9053B"/>
    <w:rsid w:val="00B90C74"/>
    <w:rsid w:val="00B95729"/>
    <w:rsid w:val="00B960BF"/>
    <w:rsid w:val="00BA1147"/>
    <w:rsid w:val="00BA2147"/>
    <w:rsid w:val="00BA38FD"/>
    <w:rsid w:val="00BA4826"/>
    <w:rsid w:val="00BB0897"/>
    <w:rsid w:val="00BB2A3C"/>
    <w:rsid w:val="00BB380C"/>
    <w:rsid w:val="00BB44A9"/>
    <w:rsid w:val="00BB49CB"/>
    <w:rsid w:val="00BB6AA8"/>
    <w:rsid w:val="00BC3422"/>
    <w:rsid w:val="00BC5ACF"/>
    <w:rsid w:val="00BC77B2"/>
    <w:rsid w:val="00BD287C"/>
    <w:rsid w:val="00BF2F2F"/>
    <w:rsid w:val="00BF3B80"/>
    <w:rsid w:val="00BF5437"/>
    <w:rsid w:val="00BF6584"/>
    <w:rsid w:val="00BF70ED"/>
    <w:rsid w:val="00C00C5D"/>
    <w:rsid w:val="00C015B9"/>
    <w:rsid w:val="00C022F9"/>
    <w:rsid w:val="00C032EA"/>
    <w:rsid w:val="00C04113"/>
    <w:rsid w:val="00C06EB5"/>
    <w:rsid w:val="00C1145F"/>
    <w:rsid w:val="00C1154D"/>
    <w:rsid w:val="00C11CD1"/>
    <w:rsid w:val="00C122FE"/>
    <w:rsid w:val="00C2099A"/>
    <w:rsid w:val="00C27FE9"/>
    <w:rsid w:val="00C327F8"/>
    <w:rsid w:val="00C33AD3"/>
    <w:rsid w:val="00C35140"/>
    <w:rsid w:val="00C36AA2"/>
    <w:rsid w:val="00C37A74"/>
    <w:rsid w:val="00C40B44"/>
    <w:rsid w:val="00C43D51"/>
    <w:rsid w:val="00C53CF7"/>
    <w:rsid w:val="00C60440"/>
    <w:rsid w:val="00C637E1"/>
    <w:rsid w:val="00C70D50"/>
    <w:rsid w:val="00C72252"/>
    <w:rsid w:val="00C748C0"/>
    <w:rsid w:val="00C84DAF"/>
    <w:rsid w:val="00C85E91"/>
    <w:rsid w:val="00C86EDB"/>
    <w:rsid w:val="00C907D7"/>
    <w:rsid w:val="00C90A63"/>
    <w:rsid w:val="00C92091"/>
    <w:rsid w:val="00C92338"/>
    <w:rsid w:val="00C93AD6"/>
    <w:rsid w:val="00C96337"/>
    <w:rsid w:val="00CB3976"/>
    <w:rsid w:val="00CB7410"/>
    <w:rsid w:val="00CC5D96"/>
    <w:rsid w:val="00CC6E40"/>
    <w:rsid w:val="00CD0307"/>
    <w:rsid w:val="00CD29FF"/>
    <w:rsid w:val="00CD3D1B"/>
    <w:rsid w:val="00CE0437"/>
    <w:rsid w:val="00CE2684"/>
    <w:rsid w:val="00CE3600"/>
    <w:rsid w:val="00CE5742"/>
    <w:rsid w:val="00D00949"/>
    <w:rsid w:val="00D104D2"/>
    <w:rsid w:val="00D12CCD"/>
    <w:rsid w:val="00D12E74"/>
    <w:rsid w:val="00D14FC7"/>
    <w:rsid w:val="00D20526"/>
    <w:rsid w:val="00D2312F"/>
    <w:rsid w:val="00D23592"/>
    <w:rsid w:val="00D269C1"/>
    <w:rsid w:val="00D26E17"/>
    <w:rsid w:val="00D30F9E"/>
    <w:rsid w:val="00D3405E"/>
    <w:rsid w:val="00D40E61"/>
    <w:rsid w:val="00D415FB"/>
    <w:rsid w:val="00D41B2F"/>
    <w:rsid w:val="00D425E3"/>
    <w:rsid w:val="00D44953"/>
    <w:rsid w:val="00D51D32"/>
    <w:rsid w:val="00D542F3"/>
    <w:rsid w:val="00D5447F"/>
    <w:rsid w:val="00D54513"/>
    <w:rsid w:val="00D56398"/>
    <w:rsid w:val="00D5644B"/>
    <w:rsid w:val="00D56E25"/>
    <w:rsid w:val="00D57E89"/>
    <w:rsid w:val="00D60E06"/>
    <w:rsid w:val="00D63329"/>
    <w:rsid w:val="00D64488"/>
    <w:rsid w:val="00D646E2"/>
    <w:rsid w:val="00D718D7"/>
    <w:rsid w:val="00D71BB3"/>
    <w:rsid w:val="00D7503D"/>
    <w:rsid w:val="00D814B7"/>
    <w:rsid w:val="00D820F6"/>
    <w:rsid w:val="00D870A6"/>
    <w:rsid w:val="00D90688"/>
    <w:rsid w:val="00D9389F"/>
    <w:rsid w:val="00D948EB"/>
    <w:rsid w:val="00D96F95"/>
    <w:rsid w:val="00DA213A"/>
    <w:rsid w:val="00DA2759"/>
    <w:rsid w:val="00DA3AAD"/>
    <w:rsid w:val="00DA689B"/>
    <w:rsid w:val="00DA717E"/>
    <w:rsid w:val="00DB1075"/>
    <w:rsid w:val="00DB312B"/>
    <w:rsid w:val="00DB6B4B"/>
    <w:rsid w:val="00DB6F4C"/>
    <w:rsid w:val="00DC4F90"/>
    <w:rsid w:val="00DC5654"/>
    <w:rsid w:val="00DC658F"/>
    <w:rsid w:val="00DE0A4E"/>
    <w:rsid w:val="00DE60CC"/>
    <w:rsid w:val="00DE62B5"/>
    <w:rsid w:val="00DF01ED"/>
    <w:rsid w:val="00E02EF1"/>
    <w:rsid w:val="00E0468E"/>
    <w:rsid w:val="00E05155"/>
    <w:rsid w:val="00E07BF3"/>
    <w:rsid w:val="00E11984"/>
    <w:rsid w:val="00E15C30"/>
    <w:rsid w:val="00E213BF"/>
    <w:rsid w:val="00E26733"/>
    <w:rsid w:val="00E26B32"/>
    <w:rsid w:val="00E2791B"/>
    <w:rsid w:val="00E35A92"/>
    <w:rsid w:val="00E37B4E"/>
    <w:rsid w:val="00E407B6"/>
    <w:rsid w:val="00E41EF1"/>
    <w:rsid w:val="00E42942"/>
    <w:rsid w:val="00E43053"/>
    <w:rsid w:val="00E44F81"/>
    <w:rsid w:val="00E45B97"/>
    <w:rsid w:val="00E50EC4"/>
    <w:rsid w:val="00E6132C"/>
    <w:rsid w:val="00E61524"/>
    <w:rsid w:val="00E6534C"/>
    <w:rsid w:val="00E71BDF"/>
    <w:rsid w:val="00E751EF"/>
    <w:rsid w:val="00E76539"/>
    <w:rsid w:val="00E80EE0"/>
    <w:rsid w:val="00E83CA7"/>
    <w:rsid w:val="00E9003A"/>
    <w:rsid w:val="00E91E6B"/>
    <w:rsid w:val="00E92192"/>
    <w:rsid w:val="00E93F5E"/>
    <w:rsid w:val="00EA52E1"/>
    <w:rsid w:val="00EB7C38"/>
    <w:rsid w:val="00EC7FC1"/>
    <w:rsid w:val="00ED487E"/>
    <w:rsid w:val="00EE2BAB"/>
    <w:rsid w:val="00EE3550"/>
    <w:rsid w:val="00EE4E00"/>
    <w:rsid w:val="00EE7A0D"/>
    <w:rsid w:val="00EF0537"/>
    <w:rsid w:val="00EF09DC"/>
    <w:rsid w:val="00EF430B"/>
    <w:rsid w:val="00F027D8"/>
    <w:rsid w:val="00F0546B"/>
    <w:rsid w:val="00F05D26"/>
    <w:rsid w:val="00F14349"/>
    <w:rsid w:val="00F15D7A"/>
    <w:rsid w:val="00F17CE1"/>
    <w:rsid w:val="00F2115C"/>
    <w:rsid w:val="00F22A92"/>
    <w:rsid w:val="00F22ABA"/>
    <w:rsid w:val="00F232C5"/>
    <w:rsid w:val="00F27BDB"/>
    <w:rsid w:val="00F33DA3"/>
    <w:rsid w:val="00F36B12"/>
    <w:rsid w:val="00F40095"/>
    <w:rsid w:val="00F40F93"/>
    <w:rsid w:val="00F47792"/>
    <w:rsid w:val="00F47BDB"/>
    <w:rsid w:val="00F553CC"/>
    <w:rsid w:val="00F60F9F"/>
    <w:rsid w:val="00F64432"/>
    <w:rsid w:val="00F64F08"/>
    <w:rsid w:val="00F6612C"/>
    <w:rsid w:val="00F70055"/>
    <w:rsid w:val="00F734F5"/>
    <w:rsid w:val="00F73B5B"/>
    <w:rsid w:val="00F74523"/>
    <w:rsid w:val="00F77BBC"/>
    <w:rsid w:val="00F77F63"/>
    <w:rsid w:val="00F82ABD"/>
    <w:rsid w:val="00F83A4A"/>
    <w:rsid w:val="00F92842"/>
    <w:rsid w:val="00F966B1"/>
    <w:rsid w:val="00F97739"/>
    <w:rsid w:val="00F97AFF"/>
    <w:rsid w:val="00F97D48"/>
    <w:rsid w:val="00FA0311"/>
    <w:rsid w:val="00FA0690"/>
    <w:rsid w:val="00FA1E17"/>
    <w:rsid w:val="00FB47D4"/>
    <w:rsid w:val="00FB646D"/>
    <w:rsid w:val="00FC11DA"/>
    <w:rsid w:val="00FC19A1"/>
    <w:rsid w:val="00FD469E"/>
    <w:rsid w:val="00FD534A"/>
    <w:rsid w:val="00FD640F"/>
    <w:rsid w:val="00FD6B4C"/>
    <w:rsid w:val="00FE2597"/>
    <w:rsid w:val="00FE5D7B"/>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38F1F8-DC63-45CA-8590-729D16D0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unhideWhenUsed="1"/>
    <w:lsdException w:name="index 2" w:unhideWhenUsed="1"/>
    <w:lsdException w:name="index 3" w:semiHidden="1" w:uiPriority="49" w:unhideWhenUsed="1"/>
    <w:lsdException w:name="index 4" w:semiHidden="1" w:uiPriority="49" w:unhideWhenUsed="1"/>
    <w:lsdException w:name="index 5" w:semiHidden="1" w:uiPriority="49" w:unhideWhenUsed="1"/>
    <w:lsdException w:name="index 6" w:semiHidden="1" w:uiPriority="49" w:unhideWhenUsed="1"/>
    <w:lsdException w:name="index 7" w:semiHidden="1" w:uiPriority="49" w:unhideWhenUsed="1"/>
    <w:lsdException w:name="index 8" w:semiHidden="1" w:uiPriority="49" w:unhideWhenUsed="1"/>
    <w:lsdException w:name="index 9" w:semiHidden="1" w:uiPriority="4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49" w:unhideWhenUsed="1"/>
    <w:lsdException w:name="toc 8" w:semiHidden="1" w:uiPriority="49" w:unhideWhenUsed="1"/>
    <w:lsdException w:name="toc 9" w:semiHidden="1" w:uiPriority="49" w:unhideWhenUsed="1"/>
    <w:lsdException w:name="Normal Indent" w:uiPriority="9"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qFormat="1"/>
    <w:lsdException w:name="table of figures" w:semiHidden="1" w:unhideWhenUsed="1"/>
    <w:lsdException w:name="envelope address" w:semiHidden="1" w:uiPriority="49" w:unhideWhenUsed="1"/>
    <w:lsdException w:name="envelope return" w:semiHidden="1" w:uiPriority="49" w:unhideWhenUsed="1"/>
    <w:lsdException w:name="footnote reference" w:semiHidden="1" w:unhideWhenUsed="1"/>
    <w:lsdException w:name="annotation reference" w:semiHidden="1" w:unhideWhenUsed="1"/>
    <w:lsdException w:name="line number" w:semiHidden="1" w:uiPriority="49" w:unhideWhenUsed="1"/>
    <w:lsdException w:name="page number" w:uiPriority="49"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iPriority="49"/>
    <w:lsdException w:name="toa heading" w:semiHidden="1" w:uiPriority="39" w:unhideWhenUsed="1"/>
    <w:lsdException w:name="List" w:semiHidden="1" w:uiPriority="49" w:unhideWhenUsed="1"/>
    <w:lsdException w:name="List Bullet" w:semiHidden="1"/>
    <w:lsdException w:name="List Number" w:semiHidden="1" w:uiPriority="7" w:qFormat="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nhideWhenUsed="1"/>
    <w:lsdException w:name="List Bullet 3" w:semiHidden="1" w:unhideWhenUsed="1"/>
    <w:lsdException w:name="List Bullet 4" w:semiHidden="1" w:uiPriority="49" w:unhideWhenUsed="1"/>
    <w:lsdException w:name="List Bullet 5" w:semiHidden="1" w:uiPriority="49" w:unhideWhenUsed="1"/>
    <w:lsdException w:name="List Number 2" w:semiHidden="1" w:uiPriority="7" w:unhideWhenUsed="1"/>
    <w:lsdException w:name="List Number 3" w:semiHidden="1" w:uiPriority="7" w:unhideWhenUsed="1"/>
    <w:lsdException w:name="List Number 4" w:semiHidden="1" w:uiPriority="49" w:unhideWhenUsed="1"/>
    <w:lsdException w:name="List Number 5" w:semiHidden="1" w:uiPriority="49" w:unhideWhenUsed="1"/>
    <w:lsdException w:name="Title" w:qFormat="1"/>
    <w:lsdException w:name="Closing" w:semiHidden="1" w:uiPriority="49" w:unhideWhenUsed="1"/>
    <w:lsdException w:name="Signature" w:semiHidden="1" w:uiPriority="49" w:unhideWhenUsed="1"/>
    <w:lsdException w:name="Default Paragraph Font" w:semiHidden="1" w:uiPriority="1" w:unhideWhenUsed="1"/>
    <w:lsdException w:name="Body Text" w:semiHidden="1" w:uiPriority="49" w:unhideWhenUsed="1"/>
    <w:lsdException w:name="Body Text Indent" w:semiHidden="1" w:uiPriority="49" w:unhideWhenUsed="1"/>
    <w:lsdException w:name="List Continue" w:semiHidden="1" w:uiPriority="8" w:unhideWhenUsed="1" w:qFormat="1"/>
    <w:lsdException w:name="List Continue 2" w:semiHidden="1" w:uiPriority="8" w:unhideWhenUsed="1"/>
    <w:lsdException w:name="List Continue 3" w:semiHidden="1" w:uiPriority="8"/>
    <w:lsdException w:name="List Continue 4" w:semiHidden="1" w:uiPriority="49"/>
    <w:lsdException w:name="List Continue 5" w:semiHidden="1" w:uiPriority="49"/>
    <w:lsdException w:name="Message Header" w:semiHidden="1" w:uiPriority="49"/>
    <w:lsdException w:name="Subtitle" w:qFormat="1"/>
    <w:lsdException w:name="Salutation" w:semiHidden="1" w:uiPriority="49" w:unhideWhenUsed="1"/>
    <w:lsdException w:name="Date" w:semiHidden="1" w:uiPriority="49" w:unhideWhenUsed="1"/>
    <w:lsdException w:name="Body Text First Indent" w:semiHidden="1" w:uiPriority="49" w:unhideWhenUsed="1"/>
    <w:lsdException w:name="Body Text First Indent 2" w:semiHidden="1" w:uiPriority="49" w:unhideWhenUsed="1"/>
    <w:lsdException w:name="Note Heading" w:semiHidden="1"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49" w:unhideWhenUsed="1"/>
    <w:lsdException w:name="Hyperlink" w:unhideWhenUsed="1"/>
    <w:lsdException w:name="FollowedHyperlink" w:semiHidden="1" w:unhideWhenUsed="1"/>
    <w:lsdException w:name="Strong" w:uiPriority="0" w:qFormat="1"/>
    <w:lsdException w:name="Emphasis" w:uiPriority="20" w:qFormat="1"/>
    <w:lsdException w:name="Document Map" w:semiHidden="1" w:uiPriority="49" w:unhideWhenUsed="1"/>
    <w:lsdException w:name="Plain Text" w:semiHidden="1" w:uiPriority="49" w:unhideWhenUsed="1"/>
    <w:lsdException w:name="E-mail Signature" w:semiHidden="1" w:uiPriority="4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4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4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229"/>
    <w:pPr>
      <w:spacing w:before="160" w:after="100"/>
    </w:pPr>
    <w:rPr>
      <w:spacing w:val="2"/>
    </w:rPr>
  </w:style>
  <w:style w:type="paragraph" w:styleId="Heading1">
    <w:name w:val="heading 1"/>
    <w:next w:val="Normal"/>
    <w:link w:val="Heading1Char"/>
    <w:qFormat/>
    <w:rsid w:val="00A94229"/>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94229"/>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A94229"/>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A94229"/>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NormalIndent"/>
    <w:next w:val="Normal"/>
    <w:link w:val="Heading5Char"/>
    <w:uiPriority w:val="3"/>
    <w:qFormat/>
    <w:rsid w:val="006926C1"/>
    <w:pPr>
      <w:keepNext/>
      <w:outlineLvl w:val="4"/>
    </w:pPr>
    <w:rPr>
      <w:b/>
      <w:color w:val="0063A6" w:themeColor="accent1"/>
    </w:rPr>
  </w:style>
  <w:style w:type="paragraph" w:styleId="Heading6">
    <w:name w:val="heading 6"/>
    <w:basedOn w:val="Normal"/>
    <w:next w:val="Normal"/>
    <w:link w:val="Heading6Char"/>
    <w:uiPriority w:val="3"/>
    <w:semiHidden/>
    <w:qFormat/>
    <w:rsid w:val="005476DA"/>
    <w:pPr>
      <w:keepNext/>
      <w:keepLines/>
      <w:spacing w:before="200" w:after="0"/>
      <w:outlineLvl w:val="5"/>
    </w:pPr>
    <w:rPr>
      <w:rFonts w:asciiTheme="majorHAnsi" w:eastAsiaTheme="majorEastAsia" w:hAnsiTheme="majorHAnsi" w:cstheme="majorBidi"/>
      <w:i/>
      <w:iCs/>
      <w:color w:val="003152" w:themeColor="accent1" w:themeShade="7F"/>
    </w:rPr>
  </w:style>
  <w:style w:type="paragraph" w:styleId="Heading7">
    <w:name w:val="heading 7"/>
    <w:basedOn w:val="Heading6"/>
    <w:next w:val="Normal"/>
    <w:link w:val="Heading7Char"/>
    <w:uiPriority w:val="3"/>
    <w:semiHidden/>
    <w:qFormat/>
    <w:rsid w:val="005476DA"/>
    <w:pPr>
      <w:widowControl w:val="0"/>
      <w:spacing w:before="160" w:after="120" w:line="228" w:lineRule="auto"/>
      <w:ind w:left="794"/>
      <w:outlineLvl w:val="6"/>
    </w:pPr>
    <w:rPr>
      <w:rFonts w:ascii="Calibri" w:eastAsia="Times New Roman" w:hAnsi="Calibri" w:cs="Calibri"/>
      <w:b/>
      <w:bCs/>
      <w:i w:val="0"/>
      <w:color w:val="404040"/>
      <w:spacing w:val="0"/>
      <w:sz w:val="22"/>
      <w:szCs w:val="22"/>
      <w:lang w:eastAsia="en-US"/>
    </w:rPr>
  </w:style>
  <w:style w:type="paragraph" w:styleId="Heading8">
    <w:name w:val="heading 8"/>
    <w:basedOn w:val="Heading7"/>
    <w:next w:val="Normal"/>
    <w:link w:val="Heading8Char"/>
    <w:uiPriority w:val="3"/>
    <w:semiHidden/>
    <w:qFormat/>
    <w:rsid w:val="005476DA"/>
    <w:pPr>
      <w:outlineLvl w:val="7"/>
    </w:pPr>
    <w:rPr>
      <w:b w:val="0"/>
    </w:rPr>
  </w:style>
  <w:style w:type="paragraph" w:styleId="Heading9">
    <w:name w:val="heading 9"/>
    <w:basedOn w:val="Heading8"/>
    <w:next w:val="Normal"/>
    <w:link w:val="Heading9Char"/>
    <w:uiPriority w:val="3"/>
    <w:semiHidden/>
    <w:qFormat/>
    <w:rsid w:val="005476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A942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94229"/>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A94229"/>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A94229"/>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A94229"/>
    <w:pPr>
      <w:tabs>
        <w:tab w:val="right" w:leader="dot" w:pos="9000"/>
      </w:tabs>
      <w:ind w:right="432"/>
    </w:pPr>
    <w:rPr>
      <w:sz w:val="24"/>
      <w:szCs w:val="24"/>
    </w:rPr>
  </w:style>
  <w:style w:type="paragraph" w:styleId="TOC2">
    <w:name w:val="toc 2"/>
    <w:next w:val="Normal"/>
    <w:uiPriority w:val="39"/>
    <w:rsid w:val="00A94229"/>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A94229"/>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A94229"/>
    <w:pPr>
      <w:spacing w:after="60" w:line="240" w:lineRule="auto"/>
    </w:pPr>
    <w:rPr>
      <w:sz w:val="16"/>
    </w:rPr>
  </w:style>
  <w:style w:type="paragraph" w:styleId="Index2">
    <w:name w:val="index 2"/>
    <w:basedOn w:val="Normal"/>
    <w:next w:val="Normal"/>
    <w:uiPriority w:val="99"/>
    <w:semiHidden/>
    <w:rsid w:val="00A94229"/>
    <w:pPr>
      <w:spacing w:after="0" w:line="240" w:lineRule="auto"/>
      <w:ind w:left="216"/>
    </w:pPr>
    <w:rPr>
      <w:sz w:val="16"/>
      <w:szCs w:val="16"/>
    </w:rPr>
  </w:style>
  <w:style w:type="character" w:styleId="Hyperlink">
    <w:name w:val="Hyperlink"/>
    <w:basedOn w:val="DefaultParagraphFont"/>
    <w:uiPriority w:val="99"/>
    <w:rsid w:val="00A94229"/>
    <w:rPr>
      <w:color w:val="53565A" w:themeColor="hyperlink"/>
      <w:u w:val="none"/>
    </w:rPr>
  </w:style>
  <w:style w:type="character" w:customStyle="1" w:styleId="Heading1Char">
    <w:name w:val="Heading 1 Char"/>
    <w:basedOn w:val="DefaultParagraphFont"/>
    <w:link w:val="Heading1"/>
    <w:rsid w:val="00A9422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94229"/>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94229"/>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A94229"/>
    <w:pPr>
      <w:numPr>
        <w:ilvl w:val="1"/>
      </w:numPr>
    </w:pPr>
  </w:style>
  <w:style w:type="paragraph" w:customStyle="1" w:styleId="Bulletindent">
    <w:name w:val="Bullet indent"/>
    <w:basedOn w:val="Bullet2"/>
    <w:uiPriority w:val="9"/>
    <w:qFormat/>
    <w:rsid w:val="00A94229"/>
    <w:pPr>
      <w:numPr>
        <w:ilvl w:val="2"/>
      </w:numPr>
    </w:pPr>
  </w:style>
  <w:style w:type="paragraph" w:customStyle="1" w:styleId="Heading1numbered">
    <w:name w:val="Heading 1 numbered"/>
    <w:basedOn w:val="Heading1"/>
    <w:next w:val="NormalIndent"/>
    <w:uiPriority w:val="8"/>
    <w:qFormat/>
    <w:rsid w:val="00A94229"/>
    <w:pPr>
      <w:numPr>
        <w:ilvl w:val="2"/>
        <w:numId w:val="2"/>
      </w:numPr>
    </w:pPr>
  </w:style>
  <w:style w:type="paragraph" w:customStyle="1" w:styleId="Heading2numbered">
    <w:name w:val="Heading 2 numbered"/>
    <w:basedOn w:val="Heading2"/>
    <w:next w:val="NormalIndent"/>
    <w:uiPriority w:val="8"/>
    <w:qFormat/>
    <w:rsid w:val="00A94229"/>
    <w:pPr>
      <w:numPr>
        <w:ilvl w:val="3"/>
        <w:numId w:val="2"/>
      </w:numPr>
    </w:pPr>
  </w:style>
  <w:style w:type="paragraph" w:customStyle="1" w:styleId="Heading3numbered">
    <w:name w:val="Heading 3 numbered"/>
    <w:basedOn w:val="Heading3"/>
    <w:next w:val="NormalIndent"/>
    <w:uiPriority w:val="8"/>
    <w:qFormat/>
    <w:rsid w:val="00A94229"/>
    <w:pPr>
      <w:numPr>
        <w:ilvl w:val="4"/>
        <w:numId w:val="2"/>
      </w:numPr>
    </w:pPr>
  </w:style>
  <w:style w:type="character" w:customStyle="1" w:styleId="Heading3Char">
    <w:name w:val="Heading 3 Char"/>
    <w:basedOn w:val="DefaultParagraphFont"/>
    <w:link w:val="Heading3"/>
    <w:rsid w:val="00A94229"/>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A94229"/>
    <w:pPr>
      <w:numPr>
        <w:ilvl w:val="5"/>
        <w:numId w:val="2"/>
      </w:numPr>
    </w:pPr>
  </w:style>
  <w:style w:type="character" w:customStyle="1" w:styleId="Heading4Char">
    <w:name w:val="Heading 4 Char"/>
    <w:basedOn w:val="DefaultParagraphFont"/>
    <w:link w:val="Heading4"/>
    <w:rsid w:val="00A94229"/>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A94229"/>
    <w:pPr>
      <w:spacing w:line="252" w:lineRule="auto"/>
      <w:ind w:left="792"/>
    </w:pPr>
  </w:style>
  <w:style w:type="paragraph" w:customStyle="1" w:styleId="NoteNormal">
    <w:name w:val="Note Normal"/>
    <w:basedOn w:val="Normal"/>
    <w:rsid w:val="00A94229"/>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qFormat/>
    <w:rsid w:val="00A94229"/>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A94229"/>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A94229"/>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A94229"/>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A94229"/>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A94229"/>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A94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229"/>
    <w:rPr>
      <w:rFonts w:ascii="Tahoma" w:hAnsi="Tahoma" w:cs="Tahoma"/>
      <w:spacing w:val="2"/>
      <w:sz w:val="16"/>
      <w:szCs w:val="16"/>
    </w:rPr>
  </w:style>
  <w:style w:type="paragraph" w:customStyle="1" w:styleId="Bulletindent2">
    <w:name w:val="Bullet indent 2"/>
    <w:basedOn w:val="Normal"/>
    <w:uiPriority w:val="9"/>
    <w:qFormat/>
    <w:rsid w:val="00A94229"/>
    <w:pPr>
      <w:numPr>
        <w:ilvl w:val="3"/>
        <w:numId w:val="1"/>
      </w:numPr>
      <w:spacing w:before="100"/>
      <w:contextualSpacing/>
    </w:pPr>
  </w:style>
  <w:style w:type="paragraph" w:styleId="IndexHeading">
    <w:name w:val="index heading"/>
    <w:basedOn w:val="Normal"/>
    <w:next w:val="Index1"/>
    <w:uiPriority w:val="99"/>
    <w:semiHidden/>
    <w:rsid w:val="00A94229"/>
    <w:rPr>
      <w:rFonts w:asciiTheme="majorHAnsi" w:eastAsiaTheme="majorEastAsia" w:hAnsiTheme="majorHAnsi" w:cstheme="majorBidi"/>
      <w:b/>
      <w:bCs/>
    </w:rPr>
  </w:style>
  <w:style w:type="paragraph" w:styleId="Header">
    <w:name w:val="header"/>
    <w:basedOn w:val="Normal"/>
    <w:link w:val="HeaderChar"/>
    <w:uiPriority w:val="99"/>
    <w:rsid w:val="00A94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229"/>
    <w:rPr>
      <w:spacing w:val="2"/>
    </w:rPr>
  </w:style>
  <w:style w:type="paragraph" w:styleId="Footer">
    <w:name w:val="footer"/>
    <w:basedOn w:val="Normal"/>
    <w:link w:val="FooterChar"/>
    <w:uiPriority w:val="24"/>
    <w:rsid w:val="00A94229"/>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A94229"/>
    <w:rPr>
      <w:noProof/>
      <w:spacing w:val="2"/>
      <w:sz w:val="18"/>
      <w:szCs w:val="18"/>
    </w:rPr>
  </w:style>
  <w:style w:type="character" w:styleId="PageNumber">
    <w:name w:val="page number"/>
    <w:uiPriority w:val="49"/>
    <w:semiHidden/>
    <w:rsid w:val="00A94229"/>
    <w:rPr>
      <w:rFonts w:asciiTheme="minorHAnsi" w:hAnsiTheme="minorHAnsi"/>
      <w:b w:val="0"/>
      <w:color w:val="000000" w:themeColor="text1"/>
    </w:rPr>
  </w:style>
  <w:style w:type="paragraph" w:styleId="TOCHeading">
    <w:name w:val="TOC Heading"/>
    <w:basedOn w:val="Heading1"/>
    <w:next w:val="Normal"/>
    <w:uiPriority w:val="39"/>
    <w:rsid w:val="00A94229"/>
    <w:pPr>
      <w:spacing w:before="480" w:after="720"/>
      <w:outlineLvl w:val="9"/>
    </w:pPr>
    <w:rPr>
      <w:spacing w:val="2"/>
    </w:rPr>
  </w:style>
  <w:style w:type="paragraph" w:customStyle="1" w:styleId="NormalTight">
    <w:name w:val="Normal Tight"/>
    <w:uiPriority w:val="99"/>
    <w:rsid w:val="00A94229"/>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A94229"/>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A94229"/>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A94229"/>
    <w:pPr>
      <w:spacing w:before="5800"/>
      <w:ind w:right="1382"/>
    </w:pPr>
  </w:style>
  <w:style w:type="paragraph" w:styleId="TOC4">
    <w:name w:val="toc 4"/>
    <w:basedOn w:val="TOC1"/>
    <w:next w:val="Normal"/>
    <w:uiPriority w:val="39"/>
    <w:rsid w:val="00A94229"/>
    <w:pPr>
      <w:ind w:left="450" w:hanging="450"/>
    </w:pPr>
    <w:rPr>
      <w:noProof/>
      <w:lang w:eastAsia="en-US"/>
    </w:rPr>
  </w:style>
  <w:style w:type="paragraph" w:styleId="TOC5">
    <w:name w:val="toc 5"/>
    <w:basedOn w:val="TOC2"/>
    <w:next w:val="Normal"/>
    <w:uiPriority w:val="39"/>
    <w:rsid w:val="00A94229"/>
    <w:pPr>
      <w:ind w:left="1080" w:hanging="634"/>
    </w:pPr>
    <w:rPr>
      <w:lang w:eastAsia="en-US"/>
    </w:rPr>
  </w:style>
  <w:style w:type="paragraph" w:styleId="TOC6">
    <w:name w:val="toc 6"/>
    <w:basedOn w:val="TOC3"/>
    <w:next w:val="Normal"/>
    <w:uiPriority w:val="39"/>
    <w:rsid w:val="00A94229"/>
    <w:pPr>
      <w:ind w:left="1800" w:hanging="720"/>
    </w:pPr>
    <w:rPr>
      <w:lang w:eastAsia="en-US"/>
    </w:rPr>
  </w:style>
  <w:style w:type="table" w:customStyle="1" w:styleId="DTFtexttable">
    <w:name w:val="DTF text table"/>
    <w:basedOn w:val="TableGrid"/>
    <w:uiPriority w:val="99"/>
    <w:rsid w:val="008037F0"/>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Mandatory">
    <w:name w:val="Mandatory"/>
    <w:basedOn w:val="TableGrid"/>
    <w:uiPriority w:val="99"/>
    <w:rsid w:val="008037F0"/>
    <w:pPr>
      <w:spacing w:before="30" w:after="30" w:line="264" w:lineRule="auto"/>
      <w:jc w:val="left"/>
    </w:pPr>
    <w:tblPr>
      <w:tblStyleRowBandSize w:val="1"/>
      <w:tblInd w:w="864" w:type="dxa"/>
      <w:tblBorders>
        <w:top w:val="single" w:sz="6" w:space="0" w:color="0063A6" w:themeColor="accent1"/>
        <w:left w:val="single" w:sz="6" w:space="0" w:color="0063A6" w:themeColor="accent1"/>
        <w:bottom w:val="single" w:sz="6" w:space="0" w:color="0063A6" w:themeColor="accent1"/>
        <w:right w:val="single" w:sz="6" w:space="0" w:color="0063A6" w:themeColor="accent1"/>
      </w:tblBorders>
    </w:tblPr>
    <w:tcPr>
      <w:shd w:val="clear" w:color="auto" w:fill="FFFFFF" w:themeFill="background1"/>
    </w:tc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A94229"/>
    <w:pPr>
      <w:spacing w:before="60" w:after="60" w:line="264" w:lineRule="auto"/>
    </w:pPr>
    <w:rPr>
      <w:sz w:val="17"/>
    </w:rPr>
  </w:style>
  <w:style w:type="paragraph" w:customStyle="1" w:styleId="Tabletextright">
    <w:name w:val="Table text right"/>
    <w:basedOn w:val="Tabletext"/>
    <w:uiPriority w:val="5"/>
    <w:qFormat/>
    <w:rsid w:val="00A94229"/>
    <w:pPr>
      <w:jc w:val="right"/>
    </w:pPr>
  </w:style>
  <w:style w:type="paragraph" w:customStyle="1" w:styleId="Listnumindent2">
    <w:name w:val="List num indent 2"/>
    <w:basedOn w:val="Normal"/>
    <w:uiPriority w:val="9"/>
    <w:qFormat/>
    <w:rsid w:val="00A94229"/>
    <w:pPr>
      <w:numPr>
        <w:ilvl w:val="7"/>
        <w:numId w:val="2"/>
      </w:numPr>
      <w:spacing w:before="100"/>
      <w:contextualSpacing/>
    </w:pPr>
  </w:style>
  <w:style w:type="paragraph" w:customStyle="1" w:styleId="Listnumindent">
    <w:name w:val="List num indent"/>
    <w:basedOn w:val="Normal"/>
    <w:uiPriority w:val="9"/>
    <w:qFormat/>
    <w:rsid w:val="00A94229"/>
    <w:pPr>
      <w:numPr>
        <w:ilvl w:val="6"/>
        <w:numId w:val="2"/>
      </w:numPr>
      <w:spacing w:before="100"/>
    </w:pPr>
  </w:style>
  <w:style w:type="paragraph" w:customStyle="1" w:styleId="Listnum">
    <w:name w:val="List num"/>
    <w:basedOn w:val="Normal"/>
    <w:uiPriority w:val="2"/>
    <w:qFormat/>
    <w:rsid w:val="00A94229"/>
    <w:pPr>
      <w:numPr>
        <w:numId w:val="2"/>
      </w:numPr>
    </w:pPr>
  </w:style>
  <w:style w:type="paragraph" w:customStyle="1" w:styleId="Listnum2">
    <w:name w:val="List num 2"/>
    <w:basedOn w:val="Normal"/>
    <w:uiPriority w:val="2"/>
    <w:qFormat/>
    <w:rsid w:val="00A94229"/>
    <w:pPr>
      <w:numPr>
        <w:ilvl w:val="1"/>
        <w:numId w:val="2"/>
      </w:numPr>
    </w:pPr>
  </w:style>
  <w:style w:type="paragraph" w:customStyle="1" w:styleId="Tabletextcentred">
    <w:name w:val="Table text centred"/>
    <w:basedOn w:val="Tabletext"/>
    <w:uiPriority w:val="5"/>
    <w:qFormat/>
    <w:rsid w:val="00A94229"/>
    <w:pPr>
      <w:jc w:val="center"/>
    </w:pPr>
  </w:style>
  <w:style w:type="paragraph" w:customStyle="1" w:styleId="Tableheader">
    <w:name w:val="Table header"/>
    <w:basedOn w:val="Tabletext"/>
    <w:uiPriority w:val="5"/>
    <w:qFormat/>
    <w:rsid w:val="00A94229"/>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A94229"/>
    <w:pPr>
      <w:numPr>
        <w:numId w:val="3"/>
      </w:numPr>
    </w:pPr>
  </w:style>
  <w:style w:type="paragraph" w:customStyle="1" w:styleId="Tabledash">
    <w:name w:val="Table dash"/>
    <w:basedOn w:val="Tablebullet"/>
    <w:uiPriority w:val="6"/>
    <w:rsid w:val="00A94229"/>
    <w:pPr>
      <w:numPr>
        <w:ilvl w:val="1"/>
      </w:numPr>
    </w:pPr>
  </w:style>
  <w:style w:type="paragraph" w:customStyle="1" w:styleId="Tabletextindent">
    <w:name w:val="Table text indent"/>
    <w:basedOn w:val="Tabletext"/>
    <w:uiPriority w:val="5"/>
    <w:qFormat/>
    <w:rsid w:val="00A94229"/>
    <w:pPr>
      <w:ind w:left="288"/>
    </w:pPr>
  </w:style>
  <w:style w:type="paragraph" w:customStyle="1" w:styleId="Numparaindent">
    <w:name w:val="Num para indent"/>
    <w:basedOn w:val="Numpara"/>
    <w:uiPriority w:val="9"/>
    <w:qFormat/>
    <w:rsid w:val="00A94229"/>
    <w:pPr>
      <w:numPr>
        <w:ilvl w:val="8"/>
        <w:numId w:val="2"/>
      </w:numPr>
      <w:tabs>
        <w:tab w:val="clear" w:pos="540"/>
      </w:tabs>
    </w:pPr>
  </w:style>
  <w:style w:type="paragraph" w:customStyle="1" w:styleId="Numpara">
    <w:name w:val="Num para"/>
    <w:basedOn w:val="ListParagraph"/>
    <w:uiPriority w:val="2"/>
    <w:qFormat/>
    <w:rsid w:val="00A94229"/>
    <w:pPr>
      <w:numPr>
        <w:numId w:val="4"/>
      </w:numPr>
      <w:tabs>
        <w:tab w:val="left" w:pos="540"/>
      </w:tabs>
      <w:ind w:left="504" w:hanging="504"/>
    </w:pPr>
  </w:style>
  <w:style w:type="character" w:styleId="FootnoteReference">
    <w:name w:val="footnote reference"/>
    <w:basedOn w:val="DefaultParagraphFont"/>
    <w:uiPriority w:val="99"/>
    <w:rsid w:val="00A94229"/>
    <w:rPr>
      <w:vertAlign w:val="superscript"/>
    </w:rPr>
  </w:style>
  <w:style w:type="paragraph" w:styleId="FootnoteText">
    <w:name w:val="footnote text"/>
    <w:basedOn w:val="Normal"/>
    <w:link w:val="FootnoteTextChar"/>
    <w:uiPriority w:val="99"/>
    <w:semiHidden/>
    <w:rsid w:val="003562F9"/>
    <w:pPr>
      <w:spacing w:before="0" w:after="0" w:line="240" w:lineRule="auto"/>
    </w:pPr>
    <w:rPr>
      <w:sz w:val="17"/>
    </w:rPr>
  </w:style>
  <w:style w:type="character" w:customStyle="1" w:styleId="FootnoteTextChar">
    <w:name w:val="Footnote Text Char"/>
    <w:basedOn w:val="DefaultParagraphFont"/>
    <w:link w:val="FootnoteText"/>
    <w:uiPriority w:val="99"/>
    <w:semiHidden/>
    <w:rsid w:val="003562F9"/>
    <w:rPr>
      <w:spacing w:val="2"/>
      <w:sz w:val="17"/>
    </w:rPr>
  </w:style>
  <w:style w:type="paragraph" w:styleId="Caption">
    <w:name w:val="caption"/>
    <w:basedOn w:val="Normal"/>
    <w:next w:val="Normal"/>
    <w:uiPriority w:val="35"/>
    <w:rsid w:val="00A94229"/>
    <w:pPr>
      <w:spacing w:before="0" w:after="200" w:line="240" w:lineRule="auto"/>
    </w:pPr>
    <w:rPr>
      <w:b/>
      <w:bCs/>
      <w:color w:val="383834" w:themeColor="background2" w:themeShade="40"/>
      <w:sz w:val="18"/>
      <w:szCs w:val="18"/>
    </w:rPr>
  </w:style>
  <w:style w:type="character" w:styleId="CommentReference">
    <w:name w:val="annotation reference"/>
    <w:uiPriority w:val="99"/>
    <w:semiHidden/>
    <w:rsid w:val="005476DA"/>
    <w:rPr>
      <w:rFonts w:ascii="Calibri" w:hAnsi="Calibri"/>
      <w:sz w:val="16"/>
    </w:rPr>
  </w:style>
  <w:style w:type="paragraph" w:styleId="CommentText">
    <w:name w:val="annotation text"/>
    <w:basedOn w:val="Normal"/>
    <w:link w:val="CommentTextChar"/>
    <w:uiPriority w:val="99"/>
    <w:semiHidden/>
    <w:rsid w:val="005476DA"/>
    <w:pPr>
      <w:spacing w:before="100" w:line="240" w:lineRule="auto"/>
      <w:ind w:left="794"/>
    </w:pPr>
    <w:rPr>
      <w:rFonts w:ascii="Calibri" w:eastAsia="Times New Roman" w:hAnsi="Calibri" w:cs="Calibri"/>
      <w:spacing w:val="0"/>
      <w:sz w:val="22"/>
      <w:szCs w:val="22"/>
    </w:rPr>
  </w:style>
  <w:style w:type="character" w:customStyle="1" w:styleId="CommentTextChar">
    <w:name w:val="Comment Text Char"/>
    <w:basedOn w:val="DefaultParagraphFont"/>
    <w:link w:val="CommentText"/>
    <w:uiPriority w:val="99"/>
    <w:semiHidden/>
    <w:rsid w:val="005476DA"/>
    <w:rPr>
      <w:rFonts w:ascii="Calibri" w:eastAsia="Times New Roman" w:hAnsi="Calibri" w:cs="Calibri"/>
      <w:sz w:val="22"/>
      <w:szCs w:val="22"/>
    </w:rPr>
  </w:style>
  <w:style w:type="paragraph" w:customStyle="1" w:styleId="Heading4indent">
    <w:name w:val="Heading 4 indent"/>
    <w:basedOn w:val="Heading4"/>
    <w:uiPriority w:val="4"/>
    <w:qFormat/>
    <w:rsid w:val="00241517"/>
    <w:pPr>
      <w:ind w:left="792"/>
    </w:pPr>
    <w:rPr>
      <w:sz w:val="21"/>
    </w:rPr>
  </w:style>
  <w:style w:type="character" w:customStyle="1" w:styleId="Heading6Char">
    <w:name w:val="Heading 6 Char"/>
    <w:basedOn w:val="DefaultParagraphFont"/>
    <w:link w:val="Heading6"/>
    <w:uiPriority w:val="3"/>
    <w:semiHidden/>
    <w:rsid w:val="005476DA"/>
    <w:rPr>
      <w:rFonts w:asciiTheme="majorHAnsi" w:eastAsiaTheme="majorEastAsia" w:hAnsiTheme="majorHAnsi" w:cstheme="majorBidi"/>
      <w:i/>
      <w:iCs/>
      <w:color w:val="003152" w:themeColor="accent1" w:themeShade="7F"/>
      <w:spacing w:val="2"/>
    </w:rPr>
  </w:style>
  <w:style w:type="character" w:customStyle="1" w:styleId="Heading7Char">
    <w:name w:val="Heading 7 Char"/>
    <w:basedOn w:val="DefaultParagraphFont"/>
    <w:link w:val="Heading7"/>
    <w:uiPriority w:val="3"/>
    <w:semiHidden/>
    <w:rsid w:val="005476DA"/>
    <w:rPr>
      <w:rFonts w:ascii="Calibri" w:eastAsia="Times New Roman" w:hAnsi="Calibri" w:cs="Calibri"/>
      <w:b/>
      <w:bCs/>
      <w:iCs/>
      <w:color w:val="404040"/>
      <w:sz w:val="22"/>
      <w:szCs w:val="22"/>
      <w:lang w:eastAsia="en-US"/>
    </w:rPr>
  </w:style>
  <w:style w:type="character" w:customStyle="1" w:styleId="Heading8Char">
    <w:name w:val="Heading 8 Char"/>
    <w:basedOn w:val="DefaultParagraphFont"/>
    <w:link w:val="Heading8"/>
    <w:uiPriority w:val="3"/>
    <w:semiHidden/>
    <w:rsid w:val="005476DA"/>
    <w:rPr>
      <w:rFonts w:ascii="Calibri" w:eastAsia="Times New Roman" w:hAnsi="Calibri" w:cs="Calibri"/>
      <w:bCs/>
      <w:iCs/>
      <w:color w:val="404040"/>
      <w:sz w:val="22"/>
      <w:szCs w:val="22"/>
      <w:lang w:eastAsia="en-US"/>
    </w:rPr>
  </w:style>
  <w:style w:type="character" w:customStyle="1" w:styleId="Heading9Char">
    <w:name w:val="Heading 9 Char"/>
    <w:basedOn w:val="DefaultParagraphFont"/>
    <w:link w:val="Heading9"/>
    <w:uiPriority w:val="3"/>
    <w:semiHidden/>
    <w:rsid w:val="005476DA"/>
    <w:rPr>
      <w:rFonts w:ascii="Calibri" w:eastAsia="Times New Roman" w:hAnsi="Calibri" w:cs="Calibri"/>
      <w:bCs/>
      <w:iCs/>
      <w:color w:val="404040"/>
      <w:sz w:val="22"/>
      <w:szCs w:val="22"/>
      <w:lang w:eastAsia="en-US"/>
    </w:rPr>
  </w:style>
  <w:style w:type="paragraph" w:customStyle="1" w:styleId="NormalIndent2">
    <w:name w:val="Normal Indent 2"/>
    <w:basedOn w:val="NormalIndent"/>
    <w:uiPriority w:val="4"/>
    <w:qFormat/>
    <w:rsid w:val="00D00949"/>
    <w:pPr>
      <w:ind w:left="1440"/>
    </w:pPr>
  </w:style>
  <w:style w:type="paragraph" w:customStyle="1" w:styleId="Tabletextnum">
    <w:name w:val="Table text num"/>
    <w:basedOn w:val="Listnumindent"/>
    <w:uiPriority w:val="4"/>
    <w:qFormat/>
    <w:rsid w:val="00406471"/>
    <w:pPr>
      <w:spacing w:line="264" w:lineRule="auto"/>
    </w:pPr>
    <w:rPr>
      <w:rFonts w:eastAsiaTheme="minorHAnsi"/>
      <w:sz w:val="17"/>
      <w:szCs w:val="21"/>
      <w:lang w:eastAsia="en-US"/>
    </w:rPr>
  </w:style>
  <w:style w:type="table" w:customStyle="1" w:styleId="VMIABasicTable1">
    <w:name w:val="VMIA Basic Table1"/>
    <w:basedOn w:val="TableNormal"/>
    <w:uiPriority w:val="99"/>
    <w:rsid w:val="005476DA"/>
    <w:pPr>
      <w:spacing w:after="0" w:line="240" w:lineRule="auto"/>
    </w:pPr>
    <w:rPr>
      <w:rFonts w:ascii="Arial" w:eastAsiaTheme="minorHAnsi" w:hAnsi="Arial"/>
      <w:sz w:val="22"/>
      <w:szCs w:val="22"/>
      <w:lang w:eastAsia="en-US"/>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pPr>
        <w:wordWrap/>
        <w:spacing w:beforeLines="0" w:before="0" w:beforeAutospacing="0" w:afterLines="0" w:after="0" w:afterAutospacing="0" w:line="240" w:lineRule="auto"/>
        <w:ind w:leftChars="0" w:left="0" w:rightChars="0" w:right="0" w:firstLineChars="0" w:firstLine="0"/>
        <w:jc w:val="left"/>
      </w:pPr>
      <w:rPr>
        <w:rFonts w:ascii="Arial" w:hAnsi="Arial"/>
        <w:b w:val="0"/>
        <w:color w:val="FFFFFF" w:themeColor="background1"/>
        <w:sz w:val="22"/>
      </w:rPr>
      <w:tblPr/>
      <w:tcPr>
        <w:shd w:val="clear" w:color="auto" w:fill="003366"/>
        <w:vAlign w:val="center"/>
      </w:tcPr>
    </w:tblStylePr>
  </w:style>
  <w:style w:type="character" w:customStyle="1" w:styleId="Heading5Char">
    <w:name w:val="Heading 5 Char"/>
    <w:basedOn w:val="DefaultParagraphFont"/>
    <w:link w:val="Heading5"/>
    <w:uiPriority w:val="3"/>
    <w:rsid w:val="005457A4"/>
    <w:rPr>
      <w:b/>
      <w:color w:val="0063A6" w:themeColor="accent1"/>
      <w:spacing w:val="2"/>
    </w:rPr>
  </w:style>
  <w:style w:type="paragraph" w:customStyle="1" w:styleId="TableBulletindent">
    <w:name w:val="Table Bullet indent"/>
    <w:basedOn w:val="Tablebullet"/>
    <w:uiPriority w:val="6"/>
    <w:qFormat/>
    <w:rsid w:val="0060329E"/>
    <w:pPr>
      <w:ind w:left="1584"/>
    </w:pPr>
    <w:rPr>
      <w:rFonts w:eastAsiaTheme="minorHAnsi"/>
      <w:szCs w:val="21"/>
      <w:lang w:eastAsia="en-US"/>
    </w:rPr>
  </w:style>
  <w:style w:type="paragraph" w:customStyle="1" w:styleId="CaptionTable">
    <w:name w:val="Caption Table"/>
    <w:basedOn w:val="Normal"/>
    <w:uiPriority w:val="14"/>
    <w:rsid w:val="005476DA"/>
    <w:pPr>
      <w:spacing w:before="100" w:line="240" w:lineRule="auto"/>
      <w:ind w:left="794"/>
    </w:pPr>
    <w:rPr>
      <w:rFonts w:ascii="Calibri" w:eastAsia="Times New Roman" w:hAnsi="Calibri" w:cs="Calibri"/>
      <w:b/>
      <w:spacing w:val="0"/>
      <w:sz w:val="22"/>
      <w:szCs w:val="22"/>
    </w:rPr>
  </w:style>
  <w:style w:type="numbering" w:styleId="111111">
    <w:name w:val="Outline List 2"/>
    <w:basedOn w:val="NoList"/>
    <w:uiPriority w:val="99"/>
    <w:semiHidden/>
    <w:unhideWhenUsed/>
    <w:rsid w:val="005476DA"/>
    <w:pPr>
      <w:numPr>
        <w:numId w:val="5"/>
      </w:numPr>
    </w:pPr>
  </w:style>
  <w:style w:type="numbering" w:styleId="1ai">
    <w:name w:val="Outline List 1"/>
    <w:basedOn w:val="NoList"/>
    <w:uiPriority w:val="99"/>
    <w:semiHidden/>
    <w:unhideWhenUsed/>
    <w:rsid w:val="005476DA"/>
    <w:pPr>
      <w:numPr>
        <w:numId w:val="6"/>
      </w:numPr>
    </w:pPr>
  </w:style>
  <w:style w:type="numbering" w:styleId="ArticleSection">
    <w:name w:val="Outline List 3"/>
    <w:basedOn w:val="NoList"/>
    <w:uiPriority w:val="99"/>
    <w:semiHidden/>
    <w:unhideWhenUsed/>
    <w:rsid w:val="005476DA"/>
    <w:pPr>
      <w:numPr>
        <w:numId w:val="7"/>
      </w:numPr>
    </w:pPr>
  </w:style>
  <w:style w:type="paragraph" w:styleId="Bibliography">
    <w:name w:val="Bibliography"/>
    <w:basedOn w:val="Normal"/>
    <w:next w:val="Normal"/>
    <w:uiPriority w:val="37"/>
    <w:semiHidden/>
    <w:unhideWhenUsed/>
    <w:rsid w:val="005476DA"/>
    <w:pPr>
      <w:spacing w:before="100" w:after="120" w:line="240" w:lineRule="auto"/>
      <w:ind w:left="794"/>
    </w:pPr>
    <w:rPr>
      <w:rFonts w:ascii="Calibri" w:eastAsia="Times New Roman" w:hAnsi="Calibri" w:cs="Calibri"/>
      <w:i/>
      <w:spacing w:val="0"/>
      <w:sz w:val="18"/>
      <w:szCs w:val="22"/>
    </w:rPr>
  </w:style>
  <w:style w:type="paragraph" w:styleId="BlockText">
    <w:name w:val="Block Text"/>
    <w:basedOn w:val="Normal"/>
    <w:uiPriority w:val="49"/>
    <w:semiHidden/>
    <w:rsid w:val="005476DA"/>
    <w:pPr>
      <w:spacing w:before="100" w:after="120" w:line="240" w:lineRule="auto"/>
      <w:ind w:left="1440" w:right="1440"/>
    </w:pPr>
    <w:rPr>
      <w:rFonts w:ascii="Calibri" w:eastAsia="Times New Roman" w:hAnsi="Calibri" w:cs="Calibri"/>
      <w:spacing w:val="0"/>
      <w:sz w:val="22"/>
      <w:szCs w:val="22"/>
    </w:rPr>
  </w:style>
  <w:style w:type="paragraph" w:styleId="BodyText2">
    <w:name w:val="Body Text 2"/>
    <w:basedOn w:val="Normal"/>
    <w:link w:val="BodyText2Char"/>
    <w:uiPriority w:val="49"/>
    <w:semiHidden/>
    <w:rsid w:val="005476DA"/>
    <w:pPr>
      <w:spacing w:before="100" w:after="120" w:line="480" w:lineRule="auto"/>
      <w:ind w:left="794"/>
    </w:pPr>
    <w:rPr>
      <w:rFonts w:ascii="Calibri" w:eastAsia="Times New Roman" w:hAnsi="Calibri" w:cs="Calibri"/>
      <w:spacing w:val="0"/>
      <w:sz w:val="22"/>
      <w:szCs w:val="22"/>
    </w:rPr>
  </w:style>
  <w:style w:type="character" w:customStyle="1" w:styleId="BodyText2Char">
    <w:name w:val="Body Text 2 Char"/>
    <w:basedOn w:val="DefaultParagraphFont"/>
    <w:link w:val="BodyText2"/>
    <w:uiPriority w:val="49"/>
    <w:semiHidden/>
    <w:rsid w:val="005476DA"/>
    <w:rPr>
      <w:rFonts w:ascii="Calibri" w:eastAsia="Times New Roman" w:hAnsi="Calibri" w:cs="Calibri"/>
      <w:sz w:val="22"/>
      <w:szCs w:val="22"/>
    </w:rPr>
  </w:style>
  <w:style w:type="paragraph" w:styleId="BodyText3">
    <w:name w:val="Body Text 3"/>
    <w:basedOn w:val="Normal"/>
    <w:link w:val="BodyText3Char"/>
    <w:uiPriority w:val="49"/>
    <w:semiHidden/>
    <w:rsid w:val="005476DA"/>
    <w:pPr>
      <w:spacing w:before="100" w:after="120" w:line="240" w:lineRule="auto"/>
      <w:ind w:left="794"/>
    </w:pPr>
    <w:rPr>
      <w:rFonts w:ascii="Calibri" w:eastAsia="Times New Roman" w:hAnsi="Calibri" w:cs="Calibri"/>
      <w:spacing w:val="0"/>
      <w:sz w:val="16"/>
      <w:szCs w:val="16"/>
    </w:rPr>
  </w:style>
  <w:style w:type="character" w:customStyle="1" w:styleId="BodyText3Char">
    <w:name w:val="Body Text 3 Char"/>
    <w:basedOn w:val="DefaultParagraphFont"/>
    <w:link w:val="BodyText3"/>
    <w:uiPriority w:val="49"/>
    <w:semiHidden/>
    <w:rsid w:val="005476DA"/>
    <w:rPr>
      <w:rFonts w:ascii="Calibri" w:eastAsia="Times New Roman" w:hAnsi="Calibri" w:cs="Calibri"/>
      <w:sz w:val="16"/>
      <w:szCs w:val="16"/>
    </w:rPr>
  </w:style>
  <w:style w:type="paragraph" w:styleId="BodyTextFirstIndent">
    <w:name w:val="Body Text First Indent"/>
    <w:basedOn w:val="BodyText"/>
    <w:link w:val="BodyTextFirstIndentChar"/>
    <w:uiPriority w:val="49"/>
    <w:semiHidden/>
    <w:rsid w:val="005476DA"/>
    <w:pPr>
      <w:spacing w:after="120"/>
      <w:ind w:firstLine="210"/>
    </w:pPr>
  </w:style>
  <w:style w:type="character" w:customStyle="1" w:styleId="BodyTextFirstIndentChar">
    <w:name w:val="Body Text First Indent Char"/>
    <w:basedOn w:val="BodyTextChar"/>
    <w:link w:val="BodyTextFirstIndent"/>
    <w:uiPriority w:val="49"/>
    <w:semiHidden/>
    <w:rsid w:val="005476DA"/>
    <w:rPr>
      <w:rFonts w:ascii="Calibri" w:eastAsia="Times New Roman" w:hAnsi="Calibri" w:cs="Calibri"/>
      <w:sz w:val="22"/>
      <w:szCs w:val="22"/>
    </w:rPr>
  </w:style>
  <w:style w:type="paragraph" w:styleId="BodyTextIndent">
    <w:name w:val="Body Text Indent"/>
    <w:basedOn w:val="Normal"/>
    <w:link w:val="BodyTextIndentChar"/>
    <w:uiPriority w:val="49"/>
    <w:semiHidden/>
    <w:rsid w:val="005476DA"/>
    <w:pPr>
      <w:spacing w:before="100" w:after="120" w:line="240" w:lineRule="auto"/>
      <w:ind w:left="283"/>
    </w:pPr>
    <w:rPr>
      <w:rFonts w:ascii="Calibri" w:eastAsia="Times New Roman" w:hAnsi="Calibri" w:cs="Calibri"/>
      <w:spacing w:val="0"/>
      <w:sz w:val="22"/>
      <w:szCs w:val="22"/>
    </w:rPr>
  </w:style>
  <w:style w:type="character" w:customStyle="1" w:styleId="BodyTextIndentChar">
    <w:name w:val="Body Text Indent Char"/>
    <w:basedOn w:val="DefaultParagraphFont"/>
    <w:link w:val="BodyTextIndent"/>
    <w:uiPriority w:val="49"/>
    <w:semiHidden/>
    <w:rsid w:val="005476DA"/>
    <w:rPr>
      <w:rFonts w:ascii="Calibri" w:eastAsia="Times New Roman" w:hAnsi="Calibri" w:cs="Calibri"/>
      <w:sz w:val="22"/>
      <w:szCs w:val="22"/>
    </w:rPr>
  </w:style>
  <w:style w:type="paragraph" w:styleId="BodyTextFirstIndent2">
    <w:name w:val="Body Text First Indent 2"/>
    <w:basedOn w:val="BodyTextIndent"/>
    <w:link w:val="BodyTextFirstIndent2Char"/>
    <w:uiPriority w:val="49"/>
    <w:semiHidden/>
    <w:rsid w:val="005476DA"/>
    <w:pPr>
      <w:ind w:firstLine="210"/>
    </w:pPr>
  </w:style>
  <w:style w:type="character" w:customStyle="1" w:styleId="BodyTextFirstIndent2Char">
    <w:name w:val="Body Text First Indent 2 Char"/>
    <w:basedOn w:val="BodyTextIndentChar"/>
    <w:link w:val="BodyTextFirstIndent2"/>
    <w:uiPriority w:val="49"/>
    <w:semiHidden/>
    <w:rsid w:val="005476DA"/>
    <w:rPr>
      <w:rFonts w:ascii="Calibri" w:eastAsia="Times New Roman" w:hAnsi="Calibri" w:cs="Calibri"/>
      <w:sz w:val="22"/>
      <w:szCs w:val="22"/>
    </w:rPr>
  </w:style>
  <w:style w:type="paragraph" w:styleId="BodyTextIndent2">
    <w:name w:val="Body Text Indent 2"/>
    <w:basedOn w:val="Normal"/>
    <w:link w:val="BodyTextIndent2Char"/>
    <w:uiPriority w:val="49"/>
    <w:semiHidden/>
    <w:rsid w:val="005476DA"/>
    <w:pPr>
      <w:spacing w:before="100" w:after="120" w:line="480" w:lineRule="auto"/>
      <w:ind w:left="283"/>
    </w:pPr>
    <w:rPr>
      <w:rFonts w:ascii="Calibri" w:eastAsia="Times New Roman" w:hAnsi="Calibri" w:cs="Calibri"/>
      <w:spacing w:val="0"/>
      <w:sz w:val="22"/>
      <w:szCs w:val="22"/>
    </w:rPr>
  </w:style>
  <w:style w:type="character" w:customStyle="1" w:styleId="BodyTextIndent2Char">
    <w:name w:val="Body Text Indent 2 Char"/>
    <w:basedOn w:val="DefaultParagraphFont"/>
    <w:link w:val="BodyTextIndent2"/>
    <w:uiPriority w:val="49"/>
    <w:semiHidden/>
    <w:rsid w:val="005476DA"/>
    <w:rPr>
      <w:rFonts w:ascii="Calibri" w:eastAsia="Times New Roman" w:hAnsi="Calibri" w:cs="Calibri"/>
      <w:sz w:val="22"/>
      <w:szCs w:val="22"/>
    </w:rPr>
  </w:style>
  <w:style w:type="paragraph" w:styleId="BodyTextIndent3">
    <w:name w:val="Body Text Indent 3"/>
    <w:basedOn w:val="Normal"/>
    <w:link w:val="BodyTextIndent3Char"/>
    <w:uiPriority w:val="49"/>
    <w:semiHidden/>
    <w:rsid w:val="005476DA"/>
    <w:pPr>
      <w:spacing w:before="100" w:after="120" w:line="240" w:lineRule="auto"/>
      <w:ind w:left="283"/>
    </w:pPr>
    <w:rPr>
      <w:rFonts w:ascii="Calibri" w:eastAsia="Times New Roman" w:hAnsi="Calibri" w:cs="Calibri"/>
      <w:spacing w:val="0"/>
      <w:sz w:val="16"/>
      <w:szCs w:val="16"/>
    </w:rPr>
  </w:style>
  <w:style w:type="character" w:customStyle="1" w:styleId="BodyTextIndent3Char">
    <w:name w:val="Body Text Indent 3 Char"/>
    <w:basedOn w:val="DefaultParagraphFont"/>
    <w:link w:val="BodyTextIndent3"/>
    <w:uiPriority w:val="49"/>
    <w:semiHidden/>
    <w:rsid w:val="005476DA"/>
    <w:rPr>
      <w:rFonts w:ascii="Calibri" w:eastAsia="Times New Roman" w:hAnsi="Calibri" w:cs="Calibri"/>
      <w:sz w:val="16"/>
      <w:szCs w:val="16"/>
    </w:rPr>
  </w:style>
  <w:style w:type="paragraph" w:styleId="Closing">
    <w:name w:val="Closing"/>
    <w:basedOn w:val="Normal"/>
    <w:link w:val="ClosingChar"/>
    <w:uiPriority w:val="49"/>
    <w:semiHidden/>
    <w:rsid w:val="005476DA"/>
    <w:pPr>
      <w:spacing w:before="100" w:line="240" w:lineRule="auto"/>
      <w:ind w:left="4252"/>
    </w:pPr>
    <w:rPr>
      <w:rFonts w:ascii="Calibri" w:eastAsia="Times New Roman" w:hAnsi="Calibri" w:cs="Calibri"/>
      <w:spacing w:val="0"/>
      <w:sz w:val="22"/>
      <w:szCs w:val="22"/>
    </w:rPr>
  </w:style>
  <w:style w:type="character" w:customStyle="1" w:styleId="ClosingChar">
    <w:name w:val="Closing Char"/>
    <w:basedOn w:val="DefaultParagraphFont"/>
    <w:link w:val="Closing"/>
    <w:uiPriority w:val="49"/>
    <w:semiHidden/>
    <w:rsid w:val="005476DA"/>
    <w:rPr>
      <w:rFonts w:ascii="Calibri" w:eastAsia="Times New Roman" w:hAnsi="Calibri" w:cs="Calibri"/>
      <w:sz w:val="22"/>
      <w:szCs w:val="22"/>
    </w:rPr>
  </w:style>
  <w:style w:type="table" w:styleId="ColorfulGrid">
    <w:name w:val="Colorful Grid"/>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476DA"/>
    <w:pPr>
      <w:spacing w:after="0" w:line="240" w:lineRule="auto"/>
    </w:pPr>
    <w:rPr>
      <w:rFonts w:ascii="Arial" w:eastAsia="Times New Roman" w:hAnsi="Arial"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5476DA"/>
    <w:pPr>
      <w:spacing w:after="0" w:line="240" w:lineRule="auto"/>
    </w:pPr>
    <w:rPr>
      <w:rFonts w:ascii="Arial" w:eastAsia="Times New Roman" w:hAnsi="Arial"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49"/>
    <w:semiHidden/>
    <w:rsid w:val="005476DA"/>
    <w:rPr>
      <w:b/>
      <w:bCs/>
    </w:rPr>
  </w:style>
  <w:style w:type="character" w:customStyle="1" w:styleId="CommentSubjectChar">
    <w:name w:val="Comment Subject Char"/>
    <w:basedOn w:val="CommentTextChar"/>
    <w:link w:val="CommentSubject"/>
    <w:uiPriority w:val="49"/>
    <w:semiHidden/>
    <w:rsid w:val="005476DA"/>
    <w:rPr>
      <w:rFonts w:ascii="Calibri" w:eastAsia="Times New Roman" w:hAnsi="Calibri" w:cs="Calibri"/>
      <w:b/>
      <w:bCs/>
      <w:sz w:val="22"/>
      <w:szCs w:val="22"/>
    </w:rPr>
  </w:style>
  <w:style w:type="table" w:styleId="DarkList">
    <w:name w:val="Dark List"/>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476DA"/>
    <w:pPr>
      <w:spacing w:after="0" w:line="240" w:lineRule="auto"/>
    </w:pPr>
    <w:rPr>
      <w:rFonts w:ascii="Arial" w:eastAsia="Times New Roman" w:hAnsi="Arial"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5476DA"/>
    <w:pPr>
      <w:spacing w:after="0" w:line="240" w:lineRule="auto"/>
    </w:pPr>
    <w:rPr>
      <w:rFonts w:ascii="Arial" w:eastAsia="Times New Roman" w:hAnsi="Arial"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5476DA"/>
    <w:pPr>
      <w:spacing w:before="100" w:line="240" w:lineRule="auto"/>
      <w:ind w:left="1411"/>
    </w:pPr>
    <w:rPr>
      <w:rFonts w:ascii="Calibri" w:eastAsia="Times New Roman" w:hAnsi="Calibri" w:cs="Calibri"/>
      <w:spacing w:val="0"/>
      <w:sz w:val="22"/>
      <w:szCs w:val="22"/>
    </w:rPr>
  </w:style>
  <w:style w:type="character" w:customStyle="1" w:styleId="DateChar">
    <w:name w:val="Date Char"/>
    <w:basedOn w:val="DefaultParagraphFont"/>
    <w:link w:val="Date"/>
    <w:uiPriority w:val="49"/>
    <w:semiHidden/>
    <w:rsid w:val="005476DA"/>
    <w:rPr>
      <w:rFonts w:ascii="Calibri" w:eastAsia="Times New Roman" w:hAnsi="Calibri" w:cs="Calibri"/>
      <w:sz w:val="22"/>
      <w:szCs w:val="22"/>
    </w:rPr>
  </w:style>
  <w:style w:type="paragraph" w:styleId="DocumentMap">
    <w:name w:val="Document Map"/>
    <w:basedOn w:val="Normal"/>
    <w:link w:val="DocumentMapChar"/>
    <w:uiPriority w:val="49"/>
    <w:semiHidden/>
    <w:rsid w:val="005476DA"/>
    <w:pPr>
      <w:shd w:val="clear" w:color="auto" w:fill="000080"/>
      <w:spacing w:before="100" w:line="240" w:lineRule="auto"/>
      <w:ind w:left="794"/>
    </w:pPr>
    <w:rPr>
      <w:rFonts w:ascii="Calibri" w:eastAsia="Times New Roman" w:hAnsi="Calibri" w:cs="Calibri"/>
      <w:spacing w:val="0"/>
      <w:sz w:val="22"/>
      <w:szCs w:val="22"/>
    </w:rPr>
  </w:style>
  <w:style w:type="character" w:customStyle="1" w:styleId="DocumentMapChar">
    <w:name w:val="Document Map Char"/>
    <w:basedOn w:val="DefaultParagraphFont"/>
    <w:link w:val="DocumentMap"/>
    <w:uiPriority w:val="49"/>
    <w:semiHidden/>
    <w:rsid w:val="005476DA"/>
    <w:rPr>
      <w:rFonts w:ascii="Calibri" w:eastAsia="Times New Roman" w:hAnsi="Calibri" w:cs="Calibri"/>
      <w:sz w:val="22"/>
      <w:szCs w:val="22"/>
      <w:shd w:val="clear" w:color="auto" w:fill="000080"/>
    </w:rPr>
  </w:style>
  <w:style w:type="paragraph" w:styleId="E-mailSignature">
    <w:name w:val="E-mail Signature"/>
    <w:basedOn w:val="Normal"/>
    <w:link w:val="E-mailSignature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E-mailSignatureChar">
    <w:name w:val="E-mail Signature Char"/>
    <w:basedOn w:val="DefaultParagraphFont"/>
    <w:link w:val="E-mailSignature"/>
    <w:uiPriority w:val="49"/>
    <w:semiHidden/>
    <w:rsid w:val="005476DA"/>
    <w:rPr>
      <w:rFonts w:ascii="Calibri" w:eastAsia="Times New Roman" w:hAnsi="Calibri" w:cs="Calibri"/>
      <w:sz w:val="22"/>
      <w:szCs w:val="22"/>
    </w:rPr>
  </w:style>
  <w:style w:type="character" w:styleId="EndnoteReference">
    <w:name w:val="endnote reference"/>
    <w:uiPriority w:val="49"/>
    <w:semiHidden/>
    <w:rsid w:val="005476DA"/>
    <w:rPr>
      <w:vertAlign w:val="superscript"/>
    </w:rPr>
  </w:style>
  <w:style w:type="paragraph" w:styleId="EndnoteText">
    <w:name w:val="endnote text"/>
    <w:basedOn w:val="Normal"/>
    <w:link w:val="EndnoteText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EndnoteTextChar">
    <w:name w:val="Endnote Text Char"/>
    <w:basedOn w:val="DefaultParagraphFont"/>
    <w:link w:val="EndnoteText"/>
    <w:uiPriority w:val="49"/>
    <w:semiHidden/>
    <w:rsid w:val="005476DA"/>
    <w:rPr>
      <w:rFonts w:ascii="Calibri" w:eastAsia="Times New Roman" w:hAnsi="Calibri" w:cs="Calibri"/>
      <w:sz w:val="22"/>
      <w:szCs w:val="22"/>
    </w:rPr>
  </w:style>
  <w:style w:type="paragraph" w:styleId="EnvelopeAddress">
    <w:name w:val="envelope address"/>
    <w:basedOn w:val="Normal"/>
    <w:uiPriority w:val="49"/>
    <w:semiHidden/>
    <w:rsid w:val="005476DA"/>
    <w:pPr>
      <w:framePr w:w="7920" w:h="1980" w:hRule="exact" w:hSpace="180" w:wrap="auto" w:hAnchor="page" w:xAlign="center" w:yAlign="bottom"/>
      <w:spacing w:before="100" w:line="240" w:lineRule="auto"/>
      <w:ind w:left="2880"/>
    </w:pPr>
    <w:rPr>
      <w:rFonts w:ascii="Calibri" w:eastAsia="Times New Roman" w:hAnsi="Calibri" w:cs="Calibri"/>
      <w:spacing w:val="0"/>
      <w:sz w:val="24"/>
      <w:szCs w:val="24"/>
    </w:rPr>
  </w:style>
  <w:style w:type="paragraph" w:styleId="EnvelopeReturn">
    <w:name w:val="envelope return"/>
    <w:basedOn w:val="Normal"/>
    <w:uiPriority w:val="49"/>
    <w:semiHidden/>
    <w:rsid w:val="005476DA"/>
    <w:pPr>
      <w:spacing w:before="100" w:line="240" w:lineRule="auto"/>
      <w:ind w:left="794"/>
    </w:pPr>
    <w:rPr>
      <w:rFonts w:ascii="Calibri" w:eastAsia="Times New Roman" w:hAnsi="Calibri" w:cs="Calibri"/>
      <w:spacing w:val="0"/>
      <w:sz w:val="22"/>
      <w:szCs w:val="22"/>
    </w:rPr>
  </w:style>
  <w:style w:type="paragraph" w:customStyle="1" w:styleId="FactSheetBullet1">
    <w:name w:val="Fact Sheet Bullet 1"/>
    <w:basedOn w:val="Normal"/>
    <w:semiHidden/>
    <w:rsid w:val="005476DA"/>
    <w:pPr>
      <w:spacing w:before="100" w:after="60" w:line="220" w:lineRule="atLeast"/>
      <w:contextualSpacing/>
    </w:pPr>
    <w:rPr>
      <w:rFonts w:ascii="Calibri" w:eastAsia="Times New Roman" w:hAnsi="Calibri" w:cs="Calibri"/>
      <w:spacing w:val="0"/>
      <w:sz w:val="18"/>
      <w:szCs w:val="22"/>
    </w:rPr>
  </w:style>
  <w:style w:type="paragraph" w:customStyle="1" w:styleId="FactSheetBullet2">
    <w:name w:val="Fact Sheet Bullet 2"/>
    <w:basedOn w:val="Normal"/>
    <w:semiHidden/>
    <w:rsid w:val="005476DA"/>
    <w:pPr>
      <w:spacing w:before="80" w:after="60" w:line="220" w:lineRule="atLeast"/>
      <w:contextualSpacing/>
    </w:pPr>
    <w:rPr>
      <w:rFonts w:ascii="Calibri" w:eastAsia="Times New Roman" w:hAnsi="Calibri" w:cs="Calibri"/>
      <w:spacing w:val="0"/>
      <w:sz w:val="18"/>
      <w:szCs w:val="22"/>
    </w:rPr>
  </w:style>
  <w:style w:type="paragraph" w:customStyle="1" w:styleId="FactSheetBullet3">
    <w:name w:val="Fact Sheet Bullet 3"/>
    <w:basedOn w:val="FactSheetBullet2"/>
    <w:semiHidden/>
    <w:rsid w:val="005476DA"/>
  </w:style>
  <w:style w:type="character" w:styleId="FollowedHyperlink">
    <w:name w:val="FollowedHyperlink"/>
    <w:uiPriority w:val="99"/>
    <w:semiHidden/>
    <w:rsid w:val="005476DA"/>
    <w:rPr>
      <w:color w:val="800080"/>
      <w:u w:val="single"/>
    </w:rPr>
  </w:style>
  <w:style w:type="character" w:styleId="HTMLAcronym">
    <w:name w:val="HTML Acronym"/>
    <w:basedOn w:val="DefaultParagraphFont"/>
    <w:uiPriority w:val="99"/>
    <w:semiHidden/>
    <w:rsid w:val="005476DA"/>
  </w:style>
  <w:style w:type="paragraph" w:styleId="HTMLAddress">
    <w:name w:val="HTML Address"/>
    <w:basedOn w:val="Normal"/>
    <w:link w:val="HTMLAddressChar"/>
    <w:uiPriority w:val="49"/>
    <w:semiHidden/>
    <w:rsid w:val="005476DA"/>
    <w:pPr>
      <w:spacing w:before="100" w:line="240" w:lineRule="auto"/>
      <w:ind w:left="794"/>
    </w:pPr>
    <w:rPr>
      <w:rFonts w:ascii="Calibri" w:eastAsia="Times New Roman" w:hAnsi="Calibri" w:cs="Calibri"/>
      <w:i/>
      <w:iCs/>
      <w:spacing w:val="0"/>
      <w:sz w:val="22"/>
      <w:szCs w:val="22"/>
    </w:rPr>
  </w:style>
  <w:style w:type="character" w:customStyle="1" w:styleId="HTMLAddressChar">
    <w:name w:val="HTML Address Char"/>
    <w:basedOn w:val="DefaultParagraphFont"/>
    <w:link w:val="HTMLAddress"/>
    <w:uiPriority w:val="49"/>
    <w:semiHidden/>
    <w:rsid w:val="005476DA"/>
    <w:rPr>
      <w:rFonts w:ascii="Calibri" w:eastAsia="Times New Roman" w:hAnsi="Calibri" w:cs="Calibri"/>
      <w:i/>
      <w:iCs/>
      <w:sz w:val="22"/>
      <w:szCs w:val="22"/>
    </w:rPr>
  </w:style>
  <w:style w:type="character" w:styleId="HTMLCite">
    <w:name w:val="HTML Cite"/>
    <w:uiPriority w:val="99"/>
    <w:semiHidden/>
    <w:rsid w:val="005476DA"/>
    <w:rPr>
      <w:i/>
      <w:iCs/>
    </w:rPr>
  </w:style>
  <w:style w:type="character" w:styleId="HTMLCode">
    <w:name w:val="HTML Code"/>
    <w:uiPriority w:val="99"/>
    <w:semiHidden/>
    <w:rsid w:val="005476DA"/>
    <w:rPr>
      <w:sz w:val="20"/>
      <w:szCs w:val="20"/>
    </w:rPr>
  </w:style>
  <w:style w:type="character" w:styleId="HTMLDefinition">
    <w:name w:val="HTML Definition"/>
    <w:uiPriority w:val="99"/>
    <w:semiHidden/>
    <w:rsid w:val="005476DA"/>
    <w:rPr>
      <w:i/>
      <w:iCs/>
    </w:rPr>
  </w:style>
  <w:style w:type="character" w:styleId="HTMLKeyboard">
    <w:name w:val="HTML Keyboard"/>
    <w:uiPriority w:val="99"/>
    <w:semiHidden/>
    <w:rsid w:val="005476DA"/>
    <w:rPr>
      <w:sz w:val="20"/>
      <w:szCs w:val="20"/>
    </w:rPr>
  </w:style>
  <w:style w:type="paragraph" w:styleId="HTMLPreformatted">
    <w:name w:val="HTML Preformatted"/>
    <w:basedOn w:val="Normal"/>
    <w:link w:val="HTMLPreformatted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HTMLPreformattedChar">
    <w:name w:val="HTML Preformatted Char"/>
    <w:basedOn w:val="DefaultParagraphFont"/>
    <w:link w:val="HTMLPreformatted"/>
    <w:uiPriority w:val="49"/>
    <w:semiHidden/>
    <w:rsid w:val="005476DA"/>
    <w:rPr>
      <w:rFonts w:ascii="Calibri" w:eastAsia="Times New Roman" w:hAnsi="Calibri" w:cs="Calibri"/>
      <w:sz w:val="22"/>
      <w:szCs w:val="22"/>
    </w:rPr>
  </w:style>
  <w:style w:type="character" w:styleId="HTMLSample">
    <w:name w:val="HTML Sample"/>
    <w:uiPriority w:val="99"/>
    <w:semiHidden/>
    <w:rsid w:val="005476DA"/>
    <w:rPr>
      <w:sz w:val="24"/>
      <w:szCs w:val="24"/>
    </w:rPr>
  </w:style>
  <w:style w:type="character" w:styleId="HTMLTypewriter">
    <w:name w:val="HTML Typewriter"/>
    <w:uiPriority w:val="99"/>
    <w:semiHidden/>
    <w:rsid w:val="005476DA"/>
    <w:rPr>
      <w:sz w:val="20"/>
      <w:szCs w:val="20"/>
    </w:rPr>
  </w:style>
  <w:style w:type="character" w:styleId="HTMLVariable">
    <w:name w:val="HTML Variable"/>
    <w:uiPriority w:val="99"/>
    <w:semiHidden/>
    <w:rsid w:val="005476DA"/>
    <w:rPr>
      <w:i/>
      <w:iCs/>
    </w:rPr>
  </w:style>
  <w:style w:type="paragraph" w:styleId="Index3">
    <w:name w:val="index 3"/>
    <w:basedOn w:val="Normal"/>
    <w:next w:val="Normal"/>
    <w:autoRedefine/>
    <w:uiPriority w:val="49"/>
    <w:semiHidden/>
    <w:rsid w:val="005476DA"/>
    <w:pPr>
      <w:spacing w:before="100" w:line="240" w:lineRule="auto"/>
      <w:ind w:left="600" w:hanging="200"/>
    </w:pPr>
    <w:rPr>
      <w:rFonts w:ascii="Calibri" w:eastAsia="Times New Roman" w:hAnsi="Calibri" w:cs="Calibri"/>
      <w:spacing w:val="0"/>
      <w:sz w:val="22"/>
      <w:szCs w:val="22"/>
    </w:rPr>
  </w:style>
  <w:style w:type="paragraph" w:styleId="Index4">
    <w:name w:val="index 4"/>
    <w:basedOn w:val="Normal"/>
    <w:next w:val="Normal"/>
    <w:autoRedefine/>
    <w:uiPriority w:val="49"/>
    <w:semiHidden/>
    <w:rsid w:val="005476DA"/>
    <w:pPr>
      <w:spacing w:before="100" w:line="240" w:lineRule="auto"/>
      <w:ind w:left="800" w:hanging="200"/>
    </w:pPr>
    <w:rPr>
      <w:rFonts w:ascii="Calibri" w:eastAsia="Times New Roman" w:hAnsi="Calibri" w:cs="Calibri"/>
      <w:spacing w:val="0"/>
      <w:sz w:val="22"/>
      <w:szCs w:val="22"/>
    </w:rPr>
  </w:style>
  <w:style w:type="paragraph" w:styleId="Index5">
    <w:name w:val="index 5"/>
    <w:basedOn w:val="Normal"/>
    <w:next w:val="Normal"/>
    <w:autoRedefine/>
    <w:uiPriority w:val="49"/>
    <w:semiHidden/>
    <w:rsid w:val="005476DA"/>
    <w:pPr>
      <w:spacing w:before="100" w:line="240" w:lineRule="auto"/>
      <w:ind w:left="1000" w:hanging="200"/>
    </w:pPr>
    <w:rPr>
      <w:rFonts w:ascii="Calibri" w:eastAsia="Times New Roman" w:hAnsi="Calibri" w:cs="Calibri"/>
      <w:spacing w:val="0"/>
      <w:sz w:val="22"/>
      <w:szCs w:val="22"/>
    </w:rPr>
  </w:style>
  <w:style w:type="paragraph" w:styleId="Index6">
    <w:name w:val="index 6"/>
    <w:basedOn w:val="Normal"/>
    <w:next w:val="Normal"/>
    <w:autoRedefine/>
    <w:uiPriority w:val="49"/>
    <w:semiHidden/>
    <w:rsid w:val="005476DA"/>
    <w:pPr>
      <w:spacing w:before="100" w:line="240" w:lineRule="auto"/>
      <w:ind w:left="1200" w:hanging="200"/>
    </w:pPr>
    <w:rPr>
      <w:rFonts w:ascii="Calibri" w:eastAsia="Times New Roman" w:hAnsi="Calibri" w:cs="Calibri"/>
      <w:spacing w:val="0"/>
      <w:sz w:val="22"/>
      <w:szCs w:val="22"/>
    </w:rPr>
  </w:style>
  <w:style w:type="paragraph" w:styleId="Index7">
    <w:name w:val="index 7"/>
    <w:basedOn w:val="Normal"/>
    <w:next w:val="Normal"/>
    <w:autoRedefine/>
    <w:uiPriority w:val="49"/>
    <w:semiHidden/>
    <w:rsid w:val="005476DA"/>
    <w:pPr>
      <w:spacing w:before="100" w:line="240" w:lineRule="auto"/>
      <w:ind w:left="1400" w:hanging="200"/>
    </w:pPr>
    <w:rPr>
      <w:rFonts w:ascii="Calibri" w:eastAsia="Times New Roman" w:hAnsi="Calibri" w:cs="Calibri"/>
      <w:spacing w:val="0"/>
      <w:sz w:val="22"/>
      <w:szCs w:val="22"/>
    </w:rPr>
  </w:style>
  <w:style w:type="paragraph" w:styleId="Index8">
    <w:name w:val="index 8"/>
    <w:basedOn w:val="Normal"/>
    <w:next w:val="Normal"/>
    <w:autoRedefine/>
    <w:uiPriority w:val="49"/>
    <w:semiHidden/>
    <w:rsid w:val="005476DA"/>
    <w:pPr>
      <w:spacing w:before="100" w:line="240" w:lineRule="auto"/>
      <w:ind w:left="1600" w:hanging="200"/>
    </w:pPr>
    <w:rPr>
      <w:rFonts w:ascii="Calibri" w:eastAsia="Times New Roman" w:hAnsi="Calibri" w:cs="Calibri"/>
      <w:spacing w:val="0"/>
      <w:sz w:val="22"/>
      <w:szCs w:val="22"/>
    </w:rPr>
  </w:style>
  <w:style w:type="paragraph" w:styleId="Index9">
    <w:name w:val="index 9"/>
    <w:basedOn w:val="Normal"/>
    <w:next w:val="Normal"/>
    <w:autoRedefine/>
    <w:uiPriority w:val="49"/>
    <w:semiHidden/>
    <w:rsid w:val="005476DA"/>
    <w:pPr>
      <w:spacing w:before="100" w:line="240" w:lineRule="auto"/>
      <w:ind w:left="1800" w:hanging="200"/>
    </w:pPr>
    <w:rPr>
      <w:rFonts w:ascii="Calibri" w:eastAsia="Times New Roman" w:hAnsi="Calibri" w:cs="Calibri"/>
      <w:spacing w:val="0"/>
      <w:sz w:val="22"/>
      <w:szCs w:val="22"/>
    </w:rPr>
  </w:style>
  <w:style w:type="table" w:styleId="LightGrid">
    <w:name w:val="Light Grid"/>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476DA"/>
    <w:pPr>
      <w:spacing w:after="0" w:line="240" w:lineRule="auto"/>
    </w:pPr>
    <w:rPr>
      <w:rFonts w:ascii="Arial" w:eastAsia="Times New Roman" w:hAnsi="Arial"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5">
    <w:name w:val="Light List Accent 5"/>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476DA"/>
    <w:pPr>
      <w:spacing w:after="0" w:line="240" w:lineRule="auto"/>
    </w:pPr>
    <w:rPr>
      <w:rFonts w:ascii="Arial" w:eastAsia="Times New Roman" w:hAnsi="Arial"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1">
    <w:name w:val="Light Shading Accent 1"/>
    <w:basedOn w:val="TableNormal"/>
    <w:uiPriority w:val="60"/>
    <w:rsid w:val="005476DA"/>
    <w:pPr>
      <w:spacing w:after="0" w:line="240" w:lineRule="auto"/>
    </w:pPr>
    <w:rPr>
      <w:rFonts w:ascii="Arial" w:eastAsia="Times New Roman" w:hAnsi="Arial"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5476DA"/>
    <w:pPr>
      <w:spacing w:after="0" w:line="240" w:lineRule="auto"/>
    </w:pPr>
    <w:rPr>
      <w:rFonts w:ascii="Arial" w:eastAsia="Times New Roman" w:hAnsi="Arial" w:cs="Times New Roman"/>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5476DA"/>
    <w:pPr>
      <w:spacing w:after="0" w:line="240" w:lineRule="auto"/>
    </w:pPr>
    <w:rPr>
      <w:rFonts w:ascii="Arial" w:eastAsia="Times New Roman" w:hAnsi="Arial"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476DA"/>
    <w:pPr>
      <w:spacing w:after="0" w:line="240" w:lineRule="auto"/>
    </w:pPr>
    <w:rPr>
      <w:rFonts w:ascii="Arial" w:eastAsia="Times New Roman" w:hAnsi="Arial"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476DA"/>
    <w:pPr>
      <w:spacing w:after="0" w:line="240" w:lineRule="auto"/>
    </w:pPr>
    <w:rPr>
      <w:rFonts w:ascii="Arial" w:eastAsia="Times New Roman" w:hAnsi="Arial"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476DA"/>
    <w:pPr>
      <w:spacing w:after="0" w:line="240" w:lineRule="auto"/>
    </w:pPr>
    <w:rPr>
      <w:rFonts w:ascii="Arial" w:eastAsia="Times New Roman" w:hAnsi="Arial"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476DA"/>
    <w:pPr>
      <w:spacing w:after="0" w:line="240" w:lineRule="auto"/>
    </w:pPr>
    <w:rPr>
      <w:rFonts w:ascii="Arial" w:eastAsia="Times New Roman" w:hAnsi="Arial"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5476DA"/>
  </w:style>
  <w:style w:type="paragraph" w:styleId="List">
    <w:name w:val="List"/>
    <w:basedOn w:val="Normal"/>
    <w:uiPriority w:val="49"/>
    <w:semiHidden/>
    <w:rsid w:val="005476DA"/>
    <w:pPr>
      <w:spacing w:before="100" w:line="240" w:lineRule="auto"/>
      <w:ind w:left="283" w:hanging="283"/>
    </w:pPr>
    <w:rPr>
      <w:rFonts w:ascii="Calibri" w:eastAsia="Times New Roman" w:hAnsi="Calibri" w:cs="Calibri"/>
      <w:spacing w:val="0"/>
      <w:sz w:val="22"/>
      <w:szCs w:val="22"/>
    </w:rPr>
  </w:style>
  <w:style w:type="paragraph" w:styleId="List2">
    <w:name w:val="List 2"/>
    <w:basedOn w:val="Normal"/>
    <w:uiPriority w:val="49"/>
    <w:semiHidden/>
    <w:rsid w:val="005476DA"/>
    <w:pPr>
      <w:spacing w:before="100" w:line="240" w:lineRule="auto"/>
      <w:ind w:left="566" w:hanging="283"/>
    </w:pPr>
    <w:rPr>
      <w:rFonts w:ascii="Calibri" w:eastAsia="Times New Roman" w:hAnsi="Calibri" w:cs="Calibri"/>
      <w:spacing w:val="0"/>
      <w:sz w:val="22"/>
      <w:szCs w:val="22"/>
    </w:rPr>
  </w:style>
  <w:style w:type="paragraph" w:styleId="List3">
    <w:name w:val="List 3"/>
    <w:basedOn w:val="Normal"/>
    <w:uiPriority w:val="49"/>
    <w:semiHidden/>
    <w:rsid w:val="005476DA"/>
    <w:pPr>
      <w:spacing w:before="100" w:line="240" w:lineRule="auto"/>
      <w:ind w:left="849" w:hanging="283"/>
    </w:pPr>
    <w:rPr>
      <w:rFonts w:ascii="Calibri" w:eastAsia="Times New Roman" w:hAnsi="Calibri" w:cs="Calibri"/>
      <w:spacing w:val="0"/>
      <w:sz w:val="22"/>
      <w:szCs w:val="22"/>
    </w:rPr>
  </w:style>
  <w:style w:type="paragraph" w:styleId="List4">
    <w:name w:val="List 4"/>
    <w:basedOn w:val="Normal"/>
    <w:uiPriority w:val="49"/>
    <w:semiHidden/>
    <w:rsid w:val="005476DA"/>
    <w:pPr>
      <w:spacing w:before="100" w:line="240" w:lineRule="auto"/>
      <w:ind w:left="1132" w:hanging="283"/>
    </w:pPr>
    <w:rPr>
      <w:rFonts w:ascii="Calibri" w:eastAsia="Times New Roman" w:hAnsi="Calibri" w:cs="Calibri"/>
      <w:spacing w:val="0"/>
      <w:sz w:val="22"/>
      <w:szCs w:val="22"/>
    </w:rPr>
  </w:style>
  <w:style w:type="paragraph" w:styleId="List5">
    <w:name w:val="List 5"/>
    <w:basedOn w:val="Normal"/>
    <w:uiPriority w:val="49"/>
    <w:semiHidden/>
    <w:rsid w:val="005476DA"/>
    <w:pPr>
      <w:spacing w:before="100" w:line="240" w:lineRule="auto"/>
      <w:ind w:left="1415" w:hanging="283"/>
    </w:pPr>
    <w:rPr>
      <w:rFonts w:ascii="Calibri" w:eastAsia="Times New Roman" w:hAnsi="Calibri" w:cs="Calibri"/>
      <w:spacing w:val="0"/>
      <w:sz w:val="22"/>
      <w:szCs w:val="22"/>
    </w:rPr>
  </w:style>
  <w:style w:type="paragraph" w:styleId="ListBullet">
    <w:name w:val="List Bullet"/>
    <w:basedOn w:val="Normal"/>
    <w:uiPriority w:val="99"/>
    <w:semiHidden/>
    <w:unhideWhenUsed/>
    <w:rsid w:val="005476DA"/>
    <w:pPr>
      <w:numPr>
        <w:numId w:val="8"/>
      </w:numPr>
      <w:spacing w:before="100" w:line="240" w:lineRule="auto"/>
      <w:contextualSpacing/>
    </w:pPr>
    <w:rPr>
      <w:rFonts w:ascii="Calibri" w:eastAsia="Times New Roman" w:hAnsi="Calibri" w:cs="Calibri"/>
      <w:spacing w:val="0"/>
      <w:sz w:val="22"/>
      <w:szCs w:val="22"/>
    </w:rPr>
  </w:style>
  <w:style w:type="paragraph" w:styleId="ListBullet2">
    <w:name w:val="List Bullet 2"/>
    <w:basedOn w:val="Normal"/>
    <w:uiPriority w:val="99"/>
    <w:semiHidden/>
    <w:rsid w:val="005476DA"/>
    <w:pPr>
      <w:numPr>
        <w:numId w:val="9"/>
      </w:numPr>
      <w:spacing w:before="100" w:line="240" w:lineRule="auto"/>
      <w:contextualSpacing/>
    </w:pPr>
    <w:rPr>
      <w:rFonts w:ascii="Calibri" w:eastAsia="Times New Roman" w:hAnsi="Calibri" w:cs="Calibri"/>
      <w:spacing w:val="0"/>
      <w:sz w:val="22"/>
      <w:szCs w:val="22"/>
    </w:rPr>
  </w:style>
  <w:style w:type="paragraph" w:styleId="ListBullet3">
    <w:name w:val="List Bullet 3"/>
    <w:basedOn w:val="Normal"/>
    <w:uiPriority w:val="99"/>
    <w:semiHidden/>
    <w:rsid w:val="005476DA"/>
    <w:pPr>
      <w:numPr>
        <w:numId w:val="10"/>
      </w:numPr>
      <w:spacing w:before="100" w:line="240" w:lineRule="auto"/>
      <w:contextualSpacing/>
    </w:pPr>
    <w:rPr>
      <w:rFonts w:ascii="Calibri" w:eastAsia="Times New Roman" w:hAnsi="Calibri" w:cs="Calibri"/>
      <w:spacing w:val="0"/>
      <w:sz w:val="22"/>
      <w:szCs w:val="22"/>
    </w:rPr>
  </w:style>
  <w:style w:type="paragraph" w:styleId="ListBullet4">
    <w:name w:val="List Bullet 4"/>
    <w:basedOn w:val="Normal"/>
    <w:uiPriority w:val="49"/>
    <w:semiHidden/>
    <w:rsid w:val="005476DA"/>
    <w:pPr>
      <w:tabs>
        <w:tab w:val="num" w:pos="1209"/>
      </w:tabs>
      <w:spacing w:before="100" w:line="240" w:lineRule="auto"/>
      <w:ind w:left="1209" w:hanging="360"/>
    </w:pPr>
    <w:rPr>
      <w:rFonts w:ascii="Calibri" w:eastAsia="Times New Roman" w:hAnsi="Calibri" w:cs="Calibri"/>
      <w:spacing w:val="0"/>
      <w:sz w:val="22"/>
      <w:szCs w:val="22"/>
    </w:rPr>
  </w:style>
  <w:style w:type="paragraph" w:styleId="ListBullet5">
    <w:name w:val="List Bullet 5"/>
    <w:basedOn w:val="Normal"/>
    <w:uiPriority w:val="49"/>
    <w:semiHidden/>
    <w:rsid w:val="005476DA"/>
    <w:pPr>
      <w:tabs>
        <w:tab w:val="num" w:pos="1492"/>
      </w:tabs>
      <w:spacing w:before="100" w:line="240" w:lineRule="auto"/>
      <w:ind w:left="1492" w:hanging="360"/>
    </w:pPr>
    <w:rPr>
      <w:rFonts w:ascii="Calibri" w:eastAsia="Times New Roman" w:hAnsi="Calibri" w:cs="Calibri"/>
      <w:spacing w:val="0"/>
      <w:sz w:val="22"/>
      <w:szCs w:val="22"/>
    </w:rPr>
  </w:style>
  <w:style w:type="paragraph" w:customStyle="1" w:styleId="ListBulletBold">
    <w:name w:val="List Bullet Bold"/>
    <w:basedOn w:val="Normal"/>
    <w:next w:val="Normal"/>
    <w:uiPriority w:val="49"/>
    <w:semiHidden/>
    <w:rsid w:val="005476DA"/>
    <w:pPr>
      <w:spacing w:before="100" w:line="240" w:lineRule="auto"/>
      <w:ind w:left="794"/>
    </w:pPr>
    <w:rPr>
      <w:rFonts w:ascii="Calibri" w:eastAsia="Times New Roman" w:hAnsi="Calibri" w:cs="Calibri"/>
      <w:b/>
      <w:spacing w:val="0"/>
      <w:sz w:val="22"/>
      <w:szCs w:val="22"/>
    </w:rPr>
  </w:style>
  <w:style w:type="paragraph" w:styleId="ListContinue">
    <w:name w:val="List Continue"/>
    <w:basedOn w:val="Normal"/>
    <w:uiPriority w:val="8"/>
    <w:semiHidden/>
    <w:qFormat/>
    <w:rsid w:val="005476DA"/>
    <w:pPr>
      <w:spacing w:before="0" w:after="0" w:line="240" w:lineRule="auto"/>
      <w:ind w:left="1077"/>
    </w:pPr>
    <w:rPr>
      <w:rFonts w:ascii="Calibri" w:eastAsia="Times New Roman" w:hAnsi="Calibri" w:cs="Calibri"/>
      <w:spacing w:val="0"/>
      <w:sz w:val="22"/>
      <w:szCs w:val="22"/>
    </w:rPr>
  </w:style>
  <w:style w:type="paragraph" w:styleId="ListContinue2">
    <w:name w:val="List Continue 2"/>
    <w:basedOn w:val="Normal"/>
    <w:uiPriority w:val="8"/>
    <w:semiHidden/>
    <w:rsid w:val="005476DA"/>
    <w:pPr>
      <w:spacing w:before="0" w:after="0" w:line="240" w:lineRule="auto"/>
      <w:ind w:left="1361"/>
    </w:pPr>
    <w:rPr>
      <w:rFonts w:ascii="Calibri" w:eastAsia="Times New Roman" w:hAnsi="Calibri" w:cs="Calibri"/>
      <w:spacing w:val="0"/>
      <w:sz w:val="22"/>
      <w:szCs w:val="22"/>
    </w:rPr>
  </w:style>
  <w:style w:type="paragraph" w:styleId="ListContinue3">
    <w:name w:val="List Continue 3"/>
    <w:basedOn w:val="Normal"/>
    <w:uiPriority w:val="8"/>
    <w:semiHidden/>
    <w:rsid w:val="005476DA"/>
    <w:pPr>
      <w:spacing w:before="0" w:after="0" w:line="240" w:lineRule="auto"/>
      <w:ind w:left="1644"/>
    </w:pPr>
    <w:rPr>
      <w:rFonts w:ascii="Calibri" w:eastAsia="Times New Roman" w:hAnsi="Calibri" w:cs="Calibri"/>
      <w:spacing w:val="0"/>
      <w:sz w:val="22"/>
      <w:szCs w:val="22"/>
    </w:rPr>
  </w:style>
  <w:style w:type="paragraph" w:styleId="ListContinue4">
    <w:name w:val="List Continue 4"/>
    <w:basedOn w:val="Normal"/>
    <w:uiPriority w:val="49"/>
    <w:semiHidden/>
    <w:rsid w:val="005476DA"/>
    <w:pPr>
      <w:spacing w:before="100" w:after="120" w:line="240" w:lineRule="auto"/>
      <w:ind w:left="1132"/>
    </w:pPr>
    <w:rPr>
      <w:rFonts w:ascii="Calibri" w:eastAsia="Times New Roman" w:hAnsi="Calibri" w:cs="Calibri"/>
      <w:spacing w:val="0"/>
      <w:sz w:val="22"/>
      <w:szCs w:val="22"/>
    </w:rPr>
  </w:style>
  <w:style w:type="paragraph" w:styleId="ListContinue5">
    <w:name w:val="List Continue 5"/>
    <w:basedOn w:val="Normal"/>
    <w:uiPriority w:val="49"/>
    <w:semiHidden/>
    <w:rsid w:val="005476DA"/>
    <w:pPr>
      <w:spacing w:before="100" w:after="120" w:line="240" w:lineRule="auto"/>
      <w:ind w:left="1415"/>
    </w:pPr>
    <w:rPr>
      <w:rFonts w:ascii="Calibri" w:eastAsia="Times New Roman" w:hAnsi="Calibri" w:cs="Calibri"/>
      <w:spacing w:val="0"/>
      <w:sz w:val="22"/>
      <w:szCs w:val="22"/>
    </w:rPr>
  </w:style>
  <w:style w:type="paragraph" w:styleId="ListNumber">
    <w:name w:val="List Number"/>
    <w:basedOn w:val="Normal"/>
    <w:uiPriority w:val="7"/>
    <w:semiHidden/>
    <w:qFormat/>
    <w:rsid w:val="005476DA"/>
    <w:pPr>
      <w:numPr>
        <w:numId w:val="11"/>
      </w:numPr>
      <w:spacing w:before="100" w:line="240" w:lineRule="auto"/>
      <w:contextualSpacing/>
    </w:pPr>
    <w:rPr>
      <w:rFonts w:ascii="Calibri" w:eastAsia="Times New Roman" w:hAnsi="Calibri" w:cs="Calibri"/>
      <w:spacing w:val="0"/>
      <w:sz w:val="22"/>
      <w:szCs w:val="22"/>
    </w:rPr>
  </w:style>
  <w:style w:type="paragraph" w:styleId="ListNumber2">
    <w:name w:val="List Number 2"/>
    <w:basedOn w:val="Normal"/>
    <w:uiPriority w:val="7"/>
    <w:semiHidden/>
    <w:rsid w:val="005476DA"/>
    <w:pPr>
      <w:numPr>
        <w:ilvl w:val="1"/>
        <w:numId w:val="11"/>
      </w:numPr>
      <w:spacing w:before="100" w:line="240" w:lineRule="auto"/>
      <w:contextualSpacing/>
    </w:pPr>
    <w:rPr>
      <w:rFonts w:ascii="Calibri" w:eastAsia="Times New Roman" w:hAnsi="Calibri" w:cs="Calibri"/>
      <w:spacing w:val="0"/>
      <w:sz w:val="22"/>
      <w:szCs w:val="22"/>
    </w:rPr>
  </w:style>
  <w:style w:type="paragraph" w:styleId="ListNumber3">
    <w:name w:val="List Number 3"/>
    <w:basedOn w:val="Normal"/>
    <w:uiPriority w:val="7"/>
    <w:semiHidden/>
    <w:rsid w:val="005476DA"/>
    <w:pPr>
      <w:numPr>
        <w:ilvl w:val="2"/>
        <w:numId w:val="11"/>
      </w:numPr>
      <w:spacing w:before="100" w:line="240" w:lineRule="auto"/>
      <w:contextualSpacing/>
    </w:pPr>
    <w:rPr>
      <w:rFonts w:ascii="Calibri" w:eastAsia="Times New Roman" w:hAnsi="Calibri" w:cs="Calibri"/>
      <w:spacing w:val="0"/>
      <w:sz w:val="22"/>
      <w:szCs w:val="22"/>
    </w:rPr>
  </w:style>
  <w:style w:type="paragraph" w:styleId="ListNumber4">
    <w:name w:val="List Number 4"/>
    <w:basedOn w:val="Normal"/>
    <w:uiPriority w:val="49"/>
    <w:semiHidden/>
    <w:rsid w:val="005476DA"/>
    <w:pPr>
      <w:tabs>
        <w:tab w:val="num" w:pos="1209"/>
      </w:tabs>
      <w:spacing w:before="100" w:line="240" w:lineRule="auto"/>
      <w:ind w:left="1209" w:hanging="360"/>
    </w:pPr>
    <w:rPr>
      <w:rFonts w:ascii="Calibri" w:eastAsia="Times New Roman" w:hAnsi="Calibri" w:cs="Calibri"/>
      <w:spacing w:val="0"/>
      <w:sz w:val="22"/>
      <w:szCs w:val="22"/>
    </w:rPr>
  </w:style>
  <w:style w:type="paragraph" w:styleId="ListNumber5">
    <w:name w:val="List Number 5"/>
    <w:basedOn w:val="Normal"/>
    <w:uiPriority w:val="49"/>
    <w:semiHidden/>
    <w:rsid w:val="005476DA"/>
    <w:pPr>
      <w:tabs>
        <w:tab w:val="num" w:pos="1492"/>
      </w:tabs>
      <w:spacing w:before="100" w:line="240" w:lineRule="auto"/>
      <w:ind w:left="1492" w:hanging="360"/>
    </w:pPr>
    <w:rPr>
      <w:rFonts w:ascii="Calibri" w:eastAsia="Times New Roman" w:hAnsi="Calibri" w:cs="Calibri"/>
      <w:spacing w:val="0"/>
      <w:sz w:val="22"/>
      <w:szCs w:val="22"/>
    </w:rPr>
  </w:style>
  <w:style w:type="paragraph" w:styleId="MacroText">
    <w:name w:val="macro"/>
    <w:link w:val="MacroTextChar"/>
    <w:uiPriority w:val="49"/>
    <w:semiHidden/>
    <w:rsid w:val="005476DA"/>
    <w:pPr>
      <w:spacing w:after="0" w:line="240" w:lineRule="auto"/>
    </w:pPr>
    <w:rPr>
      <w:rFonts w:ascii="Calibri" w:eastAsia="Times New Roman" w:hAnsi="Calibri" w:cs="Calibri"/>
      <w:sz w:val="22"/>
      <w:szCs w:val="22"/>
    </w:rPr>
  </w:style>
  <w:style w:type="character" w:customStyle="1" w:styleId="MacroTextChar">
    <w:name w:val="Macro Text Char"/>
    <w:basedOn w:val="DefaultParagraphFont"/>
    <w:link w:val="MacroText"/>
    <w:uiPriority w:val="49"/>
    <w:semiHidden/>
    <w:rsid w:val="005476DA"/>
    <w:rPr>
      <w:rFonts w:ascii="Calibri" w:eastAsia="Times New Roman" w:hAnsi="Calibri" w:cs="Calibri"/>
      <w:sz w:val="22"/>
      <w:szCs w:val="22"/>
    </w:rPr>
  </w:style>
  <w:style w:type="table" w:styleId="MediumGrid1">
    <w:name w:val="Medium Grid 1"/>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476DA"/>
    <w:pPr>
      <w:spacing w:after="0" w:line="240" w:lineRule="auto"/>
    </w:pPr>
    <w:rPr>
      <w:rFonts w:ascii="Arial" w:eastAsia="Times New Roman" w:hAnsi="Arial"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5476DA"/>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5476DA"/>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476DA"/>
    <w:pPr>
      <w:spacing w:after="0" w:line="240" w:lineRule="auto"/>
    </w:pPr>
    <w:rPr>
      <w:rFonts w:ascii="Arial" w:eastAsia="Times New Roman" w:hAnsi="Arial"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5476DA"/>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5476DA"/>
    <w:pPr>
      <w:pBdr>
        <w:top w:val="single" w:sz="6" w:space="1" w:color="auto"/>
        <w:left w:val="single" w:sz="6" w:space="1" w:color="auto"/>
        <w:bottom w:val="single" w:sz="6" w:space="1" w:color="auto"/>
        <w:right w:val="single" w:sz="6" w:space="1" w:color="auto"/>
      </w:pBdr>
      <w:shd w:val="pct20" w:color="auto" w:fill="auto"/>
      <w:spacing w:before="100" w:line="240" w:lineRule="auto"/>
      <w:ind w:left="1134" w:hanging="1134"/>
    </w:pPr>
    <w:rPr>
      <w:rFonts w:ascii="Calibri" w:eastAsia="Times New Roman" w:hAnsi="Calibri" w:cs="Calibri"/>
      <w:spacing w:val="0"/>
      <w:sz w:val="24"/>
      <w:szCs w:val="24"/>
    </w:rPr>
  </w:style>
  <w:style w:type="character" w:customStyle="1" w:styleId="MessageHeaderChar">
    <w:name w:val="Message Header Char"/>
    <w:basedOn w:val="DefaultParagraphFont"/>
    <w:link w:val="MessageHeader"/>
    <w:uiPriority w:val="49"/>
    <w:semiHidden/>
    <w:rsid w:val="005476DA"/>
    <w:rPr>
      <w:rFonts w:ascii="Calibri" w:eastAsia="Times New Roman" w:hAnsi="Calibri" w:cs="Calibri"/>
      <w:sz w:val="24"/>
      <w:szCs w:val="24"/>
      <w:shd w:val="pct20" w:color="auto" w:fill="auto"/>
    </w:rPr>
  </w:style>
  <w:style w:type="character" w:styleId="PlaceholderText">
    <w:name w:val="Placeholder Text"/>
    <w:basedOn w:val="DefaultParagraphFont"/>
    <w:uiPriority w:val="99"/>
    <w:semiHidden/>
    <w:rsid w:val="00A94229"/>
    <w:rPr>
      <w:color w:val="808080"/>
    </w:rPr>
  </w:style>
  <w:style w:type="paragraph" w:styleId="PlainText">
    <w:name w:val="Plain Text"/>
    <w:basedOn w:val="Normal"/>
    <w:link w:val="PlainText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PlainTextChar">
    <w:name w:val="Plain Text Char"/>
    <w:basedOn w:val="DefaultParagraphFont"/>
    <w:link w:val="PlainText"/>
    <w:uiPriority w:val="49"/>
    <w:semiHidden/>
    <w:rsid w:val="005476DA"/>
    <w:rPr>
      <w:rFonts w:ascii="Calibri" w:eastAsia="Times New Roman" w:hAnsi="Calibri" w:cs="Calibri"/>
      <w:sz w:val="22"/>
      <w:szCs w:val="22"/>
    </w:rPr>
  </w:style>
  <w:style w:type="paragraph" w:customStyle="1" w:styleId="Quotation">
    <w:name w:val="Quotation"/>
    <w:basedOn w:val="Normal"/>
    <w:next w:val="Normal"/>
    <w:uiPriority w:val="49"/>
    <w:semiHidden/>
    <w:rsid w:val="005476DA"/>
    <w:pPr>
      <w:keepLines/>
      <w:spacing w:before="40" w:line="240" w:lineRule="auto"/>
      <w:ind w:left="794"/>
      <w:jc w:val="center"/>
    </w:pPr>
    <w:rPr>
      <w:rFonts w:ascii="Calibri" w:eastAsia="Times New Roman" w:hAnsi="Calibri" w:cs="Calibri"/>
      <w:i/>
      <w:iCs/>
      <w:color w:val="003399"/>
      <w:spacing w:val="0"/>
      <w:sz w:val="18"/>
      <w:szCs w:val="22"/>
      <w:lang w:eastAsia="en-US"/>
    </w:rPr>
  </w:style>
  <w:style w:type="paragraph" w:customStyle="1" w:styleId="QuoteName">
    <w:name w:val="Quote Name"/>
    <w:basedOn w:val="Normal"/>
    <w:uiPriority w:val="49"/>
    <w:semiHidden/>
    <w:rsid w:val="005476DA"/>
    <w:pPr>
      <w:spacing w:before="100" w:after="0" w:line="240" w:lineRule="auto"/>
      <w:ind w:left="902" w:right="822"/>
      <w:jc w:val="right"/>
    </w:pPr>
    <w:rPr>
      <w:rFonts w:ascii="Calibri" w:eastAsia="Times New Roman" w:hAnsi="Calibri" w:cs="Calibri"/>
      <w:caps/>
      <w:color w:val="800000"/>
      <w:spacing w:val="0"/>
      <w:sz w:val="16"/>
      <w:szCs w:val="22"/>
    </w:rPr>
  </w:style>
  <w:style w:type="paragraph" w:styleId="Salutation">
    <w:name w:val="Salutation"/>
    <w:basedOn w:val="Normal"/>
    <w:next w:val="Normal"/>
    <w:link w:val="SalutationChar"/>
    <w:uiPriority w:val="49"/>
    <w:semiHidden/>
    <w:rsid w:val="005476DA"/>
    <w:pPr>
      <w:spacing w:before="100" w:line="240" w:lineRule="auto"/>
      <w:ind w:left="794"/>
    </w:pPr>
    <w:rPr>
      <w:rFonts w:ascii="Calibri" w:eastAsia="Times New Roman" w:hAnsi="Calibri" w:cs="Calibri"/>
      <w:spacing w:val="0"/>
      <w:sz w:val="22"/>
      <w:szCs w:val="22"/>
    </w:rPr>
  </w:style>
  <w:style w:type="character" w:customStyle="1" w:styleId="SalutationChar">
    <w:name w:val="Salutation Char"/>
    <w:basedOn w:val="DefaultParagraphFont"/>
    <w:link w:val="Salutation"/>
    <w:uiPriority w:val="49"/>
    <w:semiHidden/>
    <w:rsid w:val="005476DA"/>
    <w:rPr>
      <w:rFonts w:ascii="Calibri" w:eastAsia="Times New Roman" w:hAnsi="Calibri" w:cs="Calibri"/>
      <w:sz w:val="22"/>
      <w:szCs w:val="22"/>
    </w:rPr>
  </w:style>
  <w:style w:type="paragraph" w:styleId="Signature">
    <w:name w:val="Signature"/>
    <w:basedOn w:val="Normal"/>
    <w:link w:val="SignatureChar"/>
    <w:uiPriority w:val="49"/>
    <w:semiHidden/>
    <w:rsid w:val="005476DA"/>
    <w:pPr>
      <w:spacing w:before="100" w:line="240" w:lineRule="auto"/>
      <w:ind w:left="4252"/>
    </w:pPr>
    <w:rPr>
      <w:rFonts w:ascii="Calibri" w:eastAsia="Times New Roman" w:hAnsi="Calibri" w:cs="Calibri"/>
      <w:spacing w:val="0"/>
      <w:sz w:val="22"/>
      <w:szCs w:val="22"/>
    </w:rPr>
  </w:style>
  <w:style w:type="character" w:customStyle="1" w:styleId="SignatureChar">
    <w:name w:val="Signature Char"/>
    <w:basedOn w:val="DefaultParagraphFont"/>
    <w:link w:val="Signature"/>
    <w:uiPriority w:val="49"/>
    <w:semiHidden/>
    <w:rsid w:val="005476DA"/>
    <w:rPr>
      <w:rFonts w:ascii="Calibri" w:eastAsia="Times New Roman" w:hAnsi="Calibri" w:cs="Calibri"/>
      <w:sz w:val="22"/>
      <w:szCs w:val="22"/>
    </w:rPr>
  </w:style>
  <w:style w:type="table" w:styleId="Table3Deffects1">
    <w:name w:val="Table 3D effects 1"/>
    <w:basedOn w:val="TableNormal"/>
    <w:uiPriority w:val="99"/>
    <w:semiHidden/>
    <w:unhideWhenUsed/>
    <w:rsid w:val="005476DA"/>
    <w:pPr>
      <w:spacing w:before="80" w:after="80" w:line="240" w:lineRule="atLeast"/>
      <w:ind w:left="794"/>
    </w:pPr>
    <w:rPr>
      <w:rFonts w:ascii="Arial" w:eastAsia="Times New Roman" w:hAnsi="Arial"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Grid"/>
    <w:uiPriority w:val="99"/>
    <w:semiHidden/>
    <w:unhideWhenUsed/>
    <w:rsid w:val="005476DA"/>
    <w:pPr>
      <w:spacing w:before="0" w:after="120" w:line="280" w:lineRule="atLeast"/>
      <w:jc w:val="left"/>
    </w:pPr>
    <w:rPr>
      <w:rFonts w:ascii="Calibri" w:eastAsia="Times New Roman" w:hAnsi="Calibri" w:cs="Times New Roman"/>
      <w:spacing w:val="0"/>
      <w:sz w:val="20"/>
      <w:szCs w:val="20"/>
      <w:lang w:eastAsia="en-AU"/>
    </w:rPr>
    <w:tblPr>
      <w:tblStyleRowBandSize w:val="1"/>
      <w:tblInd w:w="907" w:type="dxa"/>
      <w:tblBorders>
        <w:top w:val="single" w:sz="12" w:space="0" w:color="000000"/>
        <w:bottom w:val="single" w:sz="12" w:space="0" w:color="000000"/>
      </w:tblBorders>
      <w:tblCellMar>
        <w:left w:w="113" w:type="dxa"/>
        <w:right w:w="113" w:type="dxa"/>
      </w:tblCellMar>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blHeader/>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vAlign w:val="bottom"/>
      </w:tcPr>
    </w:tblStylePr>
    <w:tblStylePr w:type="lastRow">
      <w:rPr>
        <w:b/>
        <w:color w:val="auto"/>
      </w:rPr>
      <w:tblPr/>
      <w:tcPr>
        <w:tcBorders>
          <w:top w:val="single" w:sz="6" w:space="0" w:color="000000"/>
          <w:left w:val="nil"/>
          <w:bottom w:val="single" w:sz="12" w:space="0" w:color="0063A6" w:themeColor="accent1"/>
          <w:right w:val="nil"/>
          <w:insideV w:val="nil"/>
          <w:tl2br w:val="none" w:sz="0" w:space="0" w:color="auto"/>
          <w:tr2bl w:val="none" w:sz="0" w:space="0" w:color="auto"/>
        </w:tcBorders>
      </w:tcPr>
    </w:tblStylePr>
    <w:tblStylePr w:type="firstCol">
      <w:pPr>
        <w:jc w:val="left"/>
      </w:pPr>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1Vert">
      <w:pPr>
        <w:jc w:val="right"/>
      </w:pPr>
    </w:tblStylePr>
    <w:tblStylePr w:type="band2Vert">
      <w:pPr>
        <w:jc w:val="right"/>
      </w:p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76DA"/>
    <w:pPr>
      <w:spacing w:before="80" w:after="80" w:line="240" w:lineRule="atLeast"/>
      <w:ind w:left="794"/>
    </w:pPr>
    <w:rPr>
      <w:rFonts w:ascii="Arial" w:eastAsia="Times New Roman" w:hAnsi="Arial"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76DA"/>
    <w:pPr>
      <w:spacing w:before="80" w:after="80" w:line="240" w:lineRule="atLeast"/>
      <w:ind w:left="794"/>
    </w:pPr>
    <w:rPr>
      <w:rFonts w:ascii="Arial" w:eastAsia="Times New Roman" w:hAnsi="Arial"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76DA"/>
    <w:pPr>
      <w:spacing w:before="80" w:after="80" w:line="240" w:lineRule="atLeast"/>
      <w:ind w:left="794"/>
    </w:pPr>
    <w:rPr>
      <w:rFonts w:ascii="Arial" w:eastAsia="Times New Roman" w:hAnsi="Arial"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76DA"/>
    <w:pPr>
      <w:spacing w:before="80" w:after="80" w:line="240" w:lineRule="atLeast"/>
      <w:ind w:left="794"/>
    </w:pPr>
    <w:rPr>
      <w:rFonts w:ascii="Arial" w:eastAsia="Times New Roman" w:hAnsi="Arial"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76DA"/>
    <w:pPr>
      <w:spacing w:before="80" w:after="80" w:line="240" w:lineRule="atLeast"/>
      <w:ind w:left="794"/>
    </w:pPr>
    <w:rPr>
      <w:rFonts w:ascii="Arial" w:eastAsia="Times New Roman" w:hAnsi="Arial"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76DA"/>
    <w:pPr>
      <w:spacing w:before="80" w:after="80" w:line="240" w:lineRule="atLeast"/>
      <w:ind w:left="794"/>
    </w:pPr>
    <w:rPr>
      <w:rFonts w:ascii="Arial" w:eastAsia="Times New Roman" w:hAnsi="Arial"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76DA"/>
    <w:pPr>
      <w:spacing w:before="80" w:after="80" w:line="240" w:lineRule="atLeast"/>
      <w:ind w:left="794"/>
    </w:pPr>
    <w:rPr>
      <w:rFonts w:ascii="Arial" w:eastAsia="Times New Roman" w:hAnsi="Arial"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76DA"/>
    <w:pPr>
      <w:spacing w:before="80" w:after="80" w:line="240" w:lineRule="atLeast"/>
      <w:ind w:left="794"/>
    </w:pPr>
    <w:rPr>
      <w:rFonts w:ascii="Arial" w:eastAsia="Times New Roman" w:hAnsi="Arial"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5476DA"/>
    <w:pPr>
      <w:spacing w:before="100" w:after="100"/>
      <w:ind w:left="794"/>
      <w:jc w:val="left"/>
    </w:pPr>
    <w:rPr>
      <w:rFonts w:ascii="Calibri" w:eastAsia="Times New Roman" w:hAnsi="Calibri" w:cs="Times New Roman"/>
      <w:spacing w:val="0"/>
      <w:sz w:val="20"/>
      <w:szCs w:val="20"/>
      <w:lang w:eastAsia="en-AU"/>
    </w:rPr>
    <w:tblPr>
      <w:tblStyleRowBandSize w:val="1"/>
      <w:tblInd w:w="907" w:type="dxa"/>
      <w:tblBorders>
        <w:top w:val="single" w:sz="2" w:space="0" w:color="000000"/>
        <w:bottom w:val="single" w:sz="2" w:space="0" w:color="000000"/>
        <w:insideH w:val="single" w:sz="2" w:space="0" w:color="000000"/>
      </w:tblBorders>
      <w:tblCellMar>
        <w:left w:w="113" w:type="dxa"/>
        <w:right w:w="113" w:type="dxa"/>
      </w:tblCellMar>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rPr>
        <w:tblHeader/>
      </w:trPr>
      <w:tcPr>
        <w:tcBorders>
          <w:top w:val="single" w:sz="2" w:space="0" w:color="auto"/>
          <w:left w:val="nil"/>
          <w:bottom w:val="single" w:sz="2" w:space="0" w:color="auto"/>
          <w:right w:val="nil"/>
          <w:insideH w:val="nil"/>
          <w:insideV w:val="nil"/>
          <w:tl2br w:val="nil"/>
          <w:tr2bl w:val="nil"/>
        </w:tcBorders>
        <w:shd w:val="clear" w:color="auto" w:fill="D9D9D9"/>
        <w:vAlign w:val="bottom"/>
      </w:tcPr>
    </w:tblStylePr>
    <w:tblStylePr w:type="lastRow">
      <w:rPr>
        <w:b/>
        <w:i w:val="0"/>
        <w:iCs/>
      </w:rPr>
      <w:tblPr/>
      <w:tcPr>
        <w:tcBorders>
          <w:top w:val="single" w:sz="6" w:space="0" w:color="0063A6" w:themeColor="accent1"/>
          <w:left w:val="nil"/>
          <w:bottom w:val="single" w:sz="12" w:space="0" w:color="0063A6" w:themeColor="accent1"/>
          <w:right w:val="nil"/>
          <w:insideV w:val="nil"/>
          <w:tl2br w:val="none" w:sz="0" w:space="0" w:color="auto"/>
          <w:tr2bl w:val="none" w:sz="0" w:space="0" w:color="auto"/>
        </w:tcBorders>
      </w:tcPr>
    </w:tblStylePr>
    <w:tblStylePr w:type="firstCol">
      <w:pPr>
        <w:jc w:val="left"/>
      </w:pPr>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band1Vert">
      <w:pPr>
        <w:jc w:val="right"/>
      </w:pPr>
    </w:tblStylePr>
    <w:tblStylePr w:type="band2Vert">
      <w:pPr>
        <w:jc w:val="right"/>
      </w:pPr>
    </w:tblStylePr>
    <w:tblStylePr w:type="nwCell">
      <w:rPr>
        <w:b/>
      </w:rPr>
    </w:tblStylePr>
  </w:style>
  <w:style w:type="table" w:styleId="TableGrid2">
    <w:name w:val="Table Grid 2"/>
    <w:basedOn w:val="TableGrid"/>
    <w:uiPriority w:val="99"/>
    <w:unhideWhenUsed/>
    <w:rsid w:val="005476DA"/>
    <w:pPr>
      <w:spacing w:before="0" w:after="120" w:line="280" w:lineRule="atLeast"/>
      <w:jc w:val="left"/>
    </w:pPr>
    <w:rPr>
      <w:rFonts w:ascii="Calibri" w:eastAsia="Times New Roman" w:hAnsi="Calibri" w:cs="Times New Roman"/>
      <w:spacing w:val="0"/>
      <w:sz w:val="20"/>
      <w:szCs w:val="20"/>
      <w:lang w:eastAsia="en-AU"/>
    </w:rPr>
    <w:tblPr>
      <w:tblStyleRowBandSize w:val="1"/>
      <w:tblInd w:w="907" w:type="dxa"/>
      <w:tblBorders>
        <w:top w:val="single" w:sz="4" w:space="0" w:color="auto"/>
        <w:bottom w:val="single" w:sz="4" w:space="0" w:color="auto"/>
        <w:insideH w:val="single" w:sz="4" w:space="0" w:color="auto"/>
      </w:tblBorders>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rPr>
        <w:tblHeader/>
      </w:trPr>
      <w:tcPr>
        <w:tcBorders>
          <w:top w:val="single" w:sz="4" w:space="0" w:color="auto"/>
          <w:left w:val="nil"/>
          <w:bottom w:val="nil"/>
          <w:right w:val="nil"/>
          <w:insideH w:val="nil"/>
          <w:insideV w:val="nil"/>
          <w:tl2br w:val="nil"/>
          <w:tr2bl w:val="nil"/>
        </w:tcBorders>
        <w:shd w:val="clear" w:color="auto" w:fill="D9D9D9"/>
        <w:vAlign w:val="bottom"/>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pPr>
        <w:jc w:val="left"/>
      </w:pPr>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band1Vert">
      <w:pPr>
        <w:jc w:val="right"/>
      </w:pPr>
    </w:tblStylePr>
    <w:tblStylePr w:type="band2Vert">
      <w:pPr>
        <w:jc w:val="right"/>
      </w:p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76DA"/>
    <w:pPr>
      <w:spacing w:before="80" w:after="80" w:line="240" w:lineRule="atLeast"/>
      <w:ind w:left="794"/>
    </w:pPr>
    <w:rPr>
      <w:rFonts w:ascii="Arial" w:eastAsia="Times New Roman" w:hAnsi="Arial"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76DA"/>
    <w:pPr>
      <w:spacing w:before="80" w:after="80" w:line="240" w:lineRule="atLeast"/>
      <w:ind w:left="794"/>
    </w:pPr>
    <w:rPr>
      <w:rFonts w:ascii="Arial" w:eastAsia="Times New Roman" w:hAnsi="Arial"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5476DA"/>
    <w:pPr>
      <w:tabs>
        <w:tab w:val="right" w:pos="9072"/>
      </w:tabs>
      <w:spacing w:before="100" w:line="240" w:lineRule="auto"/>
      <w:ind w:left="200" w:hanging="200"/>
    </w:pPr>
    <w:rPr>
      <w:rFonts w:ascii="Calibri" w:eastAsia="Times New Roman" w:hAnsi="Calibri" w:cs="Calibri"/>
      <w:spacing w:val="0"/>
      <w:sz w:val="22"/>
      <w:szCs w:val="22"/>
    </w:rPr>
  </w:style>
  <w:style w:type="paragraph" w:styleId="TableofFigures">
    <w:name w:val="table of figures"/>
    <w:basedOn w:val="TOCHeading"/>
    <w:next w:val="Normal"/>
    <w:uiPriority w:val="99"/>
    <w:semiHidden/>
    <w:unhideWhenUsed/>
    <w:rsid w:val="005476DA"/>
    <w:pPr>
      <w:keepLines w:val="0"/>
      <w:pageBreakBefore/>
      <w:spacing w:before="0" w:after="0" w:line="240" w:lineRule="auto"/>
    </w:pPr>
    <w:rPr>
      <w:rFonts w:ascii="Calibri" w:eastAsia="Times New Roman" w:hAnsi="Calibri" w:cs="Calibri"/>
      <w:b w:val="0"/>
      <w:bCs w:val="0"/>
      <w:color w:val="4C4C4C"/>
      <w:spacing w:val="0"/>
      <w:sz w:val="40"/>
      <w:szCs w:val="22"/>
    </w:rPr>
  </w:style>
  <w:style w:type="table" w:styleId="TableProfessional">
    <w:name w:val="Table Professional"/>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76DA"/>
    <w:pPr>
      <w:spacing w:before="80" w:after="80" w:line="240" w:lineRule="atLeast"/>
      <w:ind w:left="794"/>
    </w:pPr>
    <w:rPr>
      <w:rFonts w:ascii="Arial" w:eastAsia="Times New Roman" w:hAnsi="Arial"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76DA"/>
    <w:pPr>
      <w:spacing w:before="80" w:after="80" w:line="240" w:lineRule="atLeast"/>
      <w:ind w:left="794"/>
    </w:pPr>
    <w:rPr>
      <w:rFonts w:ascii="Arial" w:eastAsia="Times New Roman" w:hAnsi="Arial"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76DA"/>
    <w:pPr>
      <w:spacing w:before="80" w:after="80" w:line="240" w:lineRule="atLeast"/>
      <w:ind w:left="794"/>
    </w:pPr>
    <w:rPr>
      <w:rFonts w:ascii="Arial" w:eastAsia="Times New Roman" w:hAnsi="Arial"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76DA"/>
    <w:pPr>
      <w:spacing w:before="80" w:after="80" w:line="240" w:lineRule="atLeast"/>
      <w:ind w:left="794"/>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76DA"/>
    <w:pPr>
      <w:spacing w:before="80" w:after="80" w:line="240" w:lineRule="atLeast"/>
      <w:ind w:left="794"/>
    </w:pPr>
    <w:rPr>
      <w:rFonts w:ascii="Arial" w:eastAsia="Times New Roman" w:hAnsi="Arial"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76DA"/>
    <w:pPr>
      <w:spacing w:before="80" w:after="80" w:line="240" w:lineRule="atLeast"/>
      <w:ind w:left="794"/>
    </w:pPr>
    <w:rPr>
      <w:rFonts w:ascii="Arial" w:eastAsia="Times New Roman" w:hAnsi="Arial"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76DA"/>
    <w:pPr>
      <w:spacing w:before="80" w:after="80" w:line="240" w:lineRule="atLeast"/>
      <w:ind w:left="794"/>
    </w:pPr>
    <w:rPr>
      <w:rFonts w:ascii="Arial" w:eastAsia="Times New Roman" w:hAnsi="Arial"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5476DA"/>
    <w:pPr>
      <w:spacing w:before="120" w:line="240" w:lineRule="auto"/>
      <w:ind w:left="794"/>
    </w:pPr>
    <w:rPr>
      <w:rFonts w:ascii="Calibri" w:eastAsia="Times New Roman" w:hAnsi="Calibri" w:cs="Calibri"/>
      <w:b/>
      <w:bCs/>
      <w:spacing w:val="0"/>
      <w:sz w:val="24"/>
      <w:szCs w:val="24"/>
    </w:rPr>
  </w:style>
  <w:style w:type="paragraph" w:styleId="TOC7">
    <w:name w:val="toc 7"/>
    <w:basedOn w:val="Normal"/>
    <w:next w:val="Normal"/>
    <w:autoRedefine/>
    <w:uiPriority w:val="49"/>
    <w:semiHidden/>
    <w:rsid w:val="005476DA"/>
    <w:pPr>
      <w:spacing w:before="100" w:line="240" w:lineRule="auto"/>
      <w:ind w:left="1440"/>
    </w:pPr>
    <w:rPr>
      <w:rFonts w:ascii="Calibri" w:eastAsia="Times New Roman" w:hAnsi="Calibri" w:cs="Calibri"/>
      <w:spacing w:val="0"/>
      <w:sz w:val="22"/>
      <w:szCs w:val="22"/>
    </w:rPr>
  </w:style>
  <w:style w:type="paragraph" w:styleId="TOC8">
    <w:name w:val="toc 8"/>
    <w:basedOn w:val="Normal"/>
    <w:next w:val="Normal"/>
    <w:autoRedefine/>
    <w:uiPriority w:val="49"/>
    <w:semiHidden/>
    <w:rsid w:val="005476DA"/>
    <w:pPr>
      <w:spacing w:before="100" w:line="240" w:lineRule="auto"/>
      <w:ind w:left="1680"/>
    </w:pPr>
    <w:rPr>
      <w:rFonts w:ascii="Calibri" w:eastAsia="Times New Roman" w:hAnsi="Calibri" w:cs="Calibri"/>
      <w:spacing w:val="0"/>
      <w:sz w:val="22"/>
      <w:szCs w:val="22"/>
    </w:rPr>
  </w:style>
  <w:style w:type="paragraph" w:styleId="TOC9">
    <w:name w:val="toc 9"/>
    <w:basedOn w:val="Normal"/>
    <w:next w:val="Normal"/>
    <w:autoRedefine/>
    <w:uiPriority w:val="49"/>
    <w:semiHidden/>
    <w:rsid w:val="005476DA"/>
    <w:pPr>
      <w:spacing w:before="100" w:line="240" w:lineRule="auto"/>
      <w:ind w:left="2835" w:right="2835"/>
    </w:pPr>
    <w:rPr>
      <w:rFonts w:ascii="Calibri" w:eastAsia="Times New Roman" w:hAnsi="Calibri" w:cs="Calibri"/>
      <w:spacing w:val="0"/>
      <w:sz w:val="22"/>
      <w:szCs w:val="22"/>
    </w:rPr>
  </w:style>
  <w:style w:type="paragraph" w:styleId="Revision">
    <w:name w:val="Revision"/>
    <w:hidden/>
    <w:uiPriority w:val="99"/>
    <w:semiHidden/>
    <w:rsid w:val="005476DA"/>
    <w:pPr>
      <w:spacing w:after="0" w:line="240" w:lineRule="auto"/>
    </w:pPr>
    <w:rPr>
      <w:rFonts w:ascii="Calibri" w:eastAsia="Times New Roman" w:hAnsi="Calibri" w:cs="Calibri"/>
      <w:sz w:val="22"/>
      <w:szCs w:val="22"/>
    </w:rPr>
  </w:style>
  <w:style w:type="paragraph" w:styleId="NormalWeb">
    <w:name w:val="Normal (Web)"/>
    <w:basedOn w:val="Normal"/>
    <w:uiPriority w:val="99"/>
    <w:semiHidden/>
    <w:unhideWhenUsed/>
    <w:rsid w:val="005476DA"/>
    <w:pPr>
      <w:spacing w:before="100" w:beforeAutospacing="1" w:afterAutospacing="1" w:line="240" w:lineRule="auto"/>
    </w:pPr>
    <w:rPr>
      <w:rFonts w:ascii="Times New Roman" w:hAnsi="Times New Roman" w:cs="Times New Roman"/>
      <w:spacing w:val="0"/>
      <w:sz w:val="24"/>
      <w:szCs w:val="24"/>
    </w:rPr>
  </w:style>
  <w:style w:type="paragraph" w:customStyle="1" w:styleId="Normalhanging">
    <w:name w:val="Normal hanging"/>
    <w:basedOn w:val="NormalIndent"/>
    <w:qFormat/>
    <w:rsid w:val="001D07DE"/>
    <w:pPr>
      <w:ind w:left="1260" w:hanging="540"/>
    </w:pPr>
  </w:style>
  <w:style w:type="paragraph" w:customStyle="1" w:styleId="Num1">
    <w:name w:val="Num1"/>
    <w:basedOn w:val="Normal"/>
    <w:qFormat/>
    <w:rsid w:val="00C36AA2"/>
    <w:pPr>
      <w:tabs>
        <w:tab w:val="num" w:pos="1296"/>
      </w:tabs>
      <w:spacing w:before="100" w:line="240" w:lineRule="auto"/>
      <w:ind w:left="1296" w:hanging="502"/>
    </w:pPr>
    <w:rPr>
      <w:rFonts w:ascii="Calibri" w:eastAsia="Times New Roman" w:hAnsi="Calibri" w:cs="Calibri"/>
      <w:spacing w:val="0"/>
      <w:sz w:val="22"/>
      <w:szCs w:val="22"/>
    </w:rPr>
  </w:style>
  <w:style w:type="paragraph" w:customStyle="1" w:styleId="TableHeader0">
    <w:name w:val="Table Header"/>
    <w:basedOn w:val="Tabletext"/>
    <w:uiPriority w:val="15"/>
    <w:qFormat/>
    <w:rsid w:val="00BB380C"/>
    <w:pPr>
      <w:keepNext/>
      <w:spacing w:before="40" w:after="40" w:line="240" w:lineRule="auto"/>
    </w:pPr>
    <w:rPr>
      <w:rFonts w:ascii="Calibri" w:eastAsia="Times New Roman" w:hAnsi="Calibri" w:cs="Calibri"/>
      <w:color w:val="333333"/>
      <w:spacing w:val="0"/>
      <w:sz w:val="24"/>
      <w:szCs w:val="22"/>
    </w:rPr>
  </w:style>
  <w:style w:type="paragraph" w:styleId="ListParagraph">
    <w:name w:val="List Paragraph"/>
    <w:basedOn w:val="Normal"/>
    <w:uiPriority w:val="34"/>
    <w:qFormat/>
    <w:rsid w:val="00A94229"/>
    <w:pPr>
      <w:ind w:left="720"/>
      <w:contextualSpacing/>
    </w:pPr>
  </w:style>
  <w:style w:type="character" w:styleId="Strong">
    <w:name w:val="Strong"/>
    <w:qFormat/>
    <w:rsid w:val="00BB380C"/>
    <w:rPr>
      <w:b/>
      <w:bCs/>
    </w:rPr>
  </w:style>
  <w:style w:type="table" w:customStyle="1" w:styleId="Mandatory1">
    <w:name w:val="Mandatory1"/>
    <w:basedOn w:val="TableGrid"/>
    <w:uiPriority w:val="99"/>
    <w:rsid w:val="009D26A8"/>
    <w:pPr>
      <w:spacing w:before="30" w:after="30" w:line="264" w:lineRule="auto"/>
      <w:jc w:val="left"/>
    </w:pPr>
    <w:tblPr>
      <w:tblStyleRowBandSize w:val="1"/>
      <w:tblInd w:w="864" w:type="dxa"/>
      <w:tblBorders>
        <w:top w:val="single" w:sz="6" w:space="0" w:color="0063A6" w:themeColor="accent1"/>
        <w:left w:val="single" w:sz="6" w:space="0" w:color="0063A6" w:themeColor="accent1"/>
        <w:bottom w:val="single" w:sz="6" w:space="0" w:color="0063A6" w:themeColor="accent1"/>
        <w:right w:val="single" w:sz="6" w:space="0" w:color="0063A6" w:themeColor="accent1"/>
      </w:tblBorders>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Mandatory2">
    <w:name w:val="Mandatory2"/>
    <w:basedOn w:val="TableGrid"/>
    <w:uiPriority w:val="99"/>
    <w:rsid w:val="009D26A8"/>
    <w:pPr>
      <w:spacing w:before="30" w:after="30" w:line="264" w:lineRule="auto"/>
      <w:jc w:val="left"/>
    </w:pPr>
    <w:tblPr>
      <w:tblStyleRowBandSize w:val="1"/>
      <w:tblInd w:w="864" w:type="dxa"/>
      <w:tblBorders>
        <w:top w:val="single" w:sz="6" w:space="0" w:color="0063A6" w:themeColor="accent1"/>
        <w:left w:val="single" w:sz="6" w:space="0" w:color="0063A6" w:themeColor="accent1"/>
        <w:bottom w:val="single" w:sz="6" w:space="0" w:color="0063A6" w:themeColor="accent1"/>
        <w:right w:val="single" w:sz="6" w:space="0" w:color="0063A6" w:themeColor="accent1"/>
      </w:tblBorders>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num1">
    <w:name w:val="Table num 1"/>
    <w:basedOn w:val="Normal"/>
    <w:uiPriority w:val="6"/>
    <w:rsid w:val="00A94229"/>
    <w:pPr>
      <w:numPr>
        <w:ilvl w:val="2"/>
        <w:numId w:val="3"/>
      </w:numPr>
      <w:spacing w:before="60" w:after="60"/>
    </w:pPr>
    <w:rPr>
      <w:sz w:val="17"/>
    </w:rPr>
  </w:style>
  <w:style w:type="paragraph" w:customStyle="1" w:styleId="Tablenum2">
    <w:name w:val="Table num 2"/>
    <w:basedOn w:val="Normal"/>
    <w:uiPriority w:val="6"/>
    <w:rsid w:val="00A94229"/>
    <w:pPr>
      <w:numPr>
        <w:ilvl w:val="3"/>
        <w:numId w:val="3"/>
      </w:numPr>
      <w:spacing w:before="60" w:after="60"/>
    </w:pPr>
    <w:rPr>
      <w:sz w:val="17"/>
    </w:rPr>
  </w:style>
  <w:style w:type="table" w:customStyle="1" w:styleId="DTFfinancialtable">
    <w:name w:val="DTF financial table"/>
    <w:basedOn w:val="TableGrid"/>
    <w:uiPriority w:val="99"/>
    <w:rsid w:val="00A94229"/>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A94229"/>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A94229"/>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oteNormalindent">
    <w:name w:val="Note Normal indent"/>
    <w:basedOn w:val="NoteNormal"/>
    <w:uiPriority w:val="9"/>
    <w:rsid w:val="00A94229"/>
    <w:pPr>
      <w:ind w:left="792"/>
    </w:pPr>
  </w:style>
  <w:style w:type="paragraph" w:customStyle="1" w:styleId="Tablechartdiagramheading">
    <w:name w:val="Table/chart/diagram heading"/>
    <w:uiPriority w:val="4"/>
    <w:qFormat/>
    <w:rsid w:val="00A94229"/>
    <w:pPr>
      <w:tabs>
        <w:tab w:val="left" w:pos="1080"/>
      </w:tabs>
      <w:spacing w:before="160" w:after="100"/>
    </w:pPr>
    <w:rPr>
      <w:b/>
      <w:bCs/>
      <w:color w:val="0063A6" w:themeColor="accent1"/>
      <w:spacing w:val="2"/>
      <w:sz w:val="18"/>
      <w:szCs w:val="18"/>
    </w:rPr>
  </w:style>
  <w:style w:type="paragraph" w:customStyle="1" w:styleId="NormalIndenthanging">
    <w:name w:val="Normal Indent hanging"/>
    <w:basedOn w:val="NormalIndent"/>
    <w:qFormat/>
    <w:rsid w:val="008037F0"/>
    <w:pPr>
      <w:spacing w:before="140" w:line="280" w:lineRule="exact"/>
      <w:ind w:left="1440"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09827">
      <w:bodyDiv w:val="1"/>
      <w:marLeft w:val="0"/>
      <w:marRight w:val="0"/>
      <w:marTop w:val="0"/>
      <w:marBottom w:val="0"/>
      <w:divBdr>
        <w:top w:val="none" w:sz="0" w:space="0" w:color="auto"/>
        <w:left w:val="none" w:sz="0" w:space="0" w:color="auto"/>
        <w:bottom w:val="none" w:sz="0" w:space="0" w:color="auto"/>
        <w:right w:val="none" w:sz="0" w:space="0" w:color="auto"/>
      </w:divBdr>
    </w:div>
    <w:div w:id="5563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tf.vic.gov.au" TargetMode="External"/><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footer" Target="footer8.xml"/><Relationship Id="rId21" Type="http://schemas.openxmlformats.org/officeDocument/2006/relationships/footer" Target="footer4.xml"/><Relationship Id="rId34" Type="http://schemas.openxmlformats.org/officeDocument/2006/relationships/footer" Target="footer6.xml"/><Relationship Id="rId42" Type="http://schemas.openxmlformats.org/officeDocument/2006/relationships/header" Target="header13.xml"/><Relationship Id="rId47" Type="http://schemas.openxmlformats.org/officeDocument/2006/relationships/footer" Target="footer11.xml"/><Relationship Id="rId50" Type="http://schemas.openxmlformats.org/officeDocument/2006/relationships/header" Target="header1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rmation@dtf.vic.gov.au" TargetMode="External"/><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footer" Target="footer5.xml"/><Relationship Id="rId38" Type="http://schemas.openxmlformats.org/officeDocument/2006/relationships/footer" Target="footer7.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javascript:void%20window.open('Popup/CAC.htm','picture','height=200,width=300').focus()" TargetMode="External"/><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olicy@dtf.vic.gov.au" TargetMode="External"/><Relationship Id="rId24" Type="http://schemas.openxmlformats.org/officeDocument/2006/relationships/hyperlink" Target="mailto:Financial.Frameworks@dtf.vic.gov.au" TargetMode="Externa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header" Target="header11.xml"/><Relationship Id="rId45" Type="http://schemas.openxmlformats.org/officeDocument/2006/relationships/header" Target="header14.xml"/><Relationship Id="rId53"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hyperlink" Target="javascript:void%20window.open('Popup/Appropriation.htm','picture','height=200,width=300').focus()" TargetMode="External"/><Relationship Id="rId36" Type="http://schemas.openxmlformats.org/officeDocument/2006/relationships/header" Target="header9.xml"/><Relationship Id="rId49" Type="http://schemas.openxmlformats.org/officeDocument/2006/relationships/header" Target="header16.xml"/><Relationship Id="rId10" Type="http://schemas.openxmlformats.org/officeDocument/2006/relationships/hyperlink" Target="http://creativecommons.org/licenses/by/4.0/" TargetMode="External"/><Relationship Id="rId19" Type="http://schemas.openxmlformats.org/officeDocument/2006/relationships/header" Target="header4.xml"/><Relationship Id="rId31" Type="http://schemas.openxmlformats.org/officeDocument/2006/relationships/header" Target="header6.xml"/><Relationship Id="rId44" Type="http://schemas.openxmlformats.org/officeDocument/2006/relationships/footer" Target="footer10.xml"/><Relationship Id="rId52"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image" Target="media/image9.svg"/><Relationship Id="rId30" Type="http://schemas.openxmlformats.org/officeDocument/2006/relationships/hyperlink" Target="javascript:void%20window.open('Popup/Outputs.htm','picture','height=200,width=300').focus()" TargetMode="External"/><Relationship Id="rId35" Type="http://schemas.openxmlformats.org/officeDocument/2006/relationships/header" Target="header8.xml"/><Relationship Id="rId43" Type="http://schemas.openxmlformats.org/officeDocument/2006/relationships/footer" Target="footer9.xml"/><Relationship Id="rId48" Type="http://schemas.openxmlformats.org/officeDocument/2006/relationships/footer" Target="footer12.xml"/><Relationship Id="rId8" Type="http://schemas.openxmlformats.org/officeDocument/2006/relationships/hyperlink" Target="http://creativecommons.org/licenses/by/3.0/au/" TargetMode="External"/><Relationship Id="rId51" Type="http://schemas.openxmlformats.org/officeDocument/2006/relationships/footer" Target="footer13.xml"/><Relationship Id="rId3" Type="http://schemas.openxmlformats.org/officeDocument/2006/relationships/styles" Target="styles.xml"/></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13.xml.rels><?xml version="1.0" encoding="UTF-8" standalone="yes"?>
<Relationships xmlns="http://schemas.openxmlformats.org/package/2006/relationships"><Relationship Id="rId1" Type="http://schemas.openxmlformats.org/officeDocument/2006/relationships/image" Target="media/image5.png"/></Relationships>
</file>

<file path=word/_rels/header14.xml.rels><?xml version="1.0" encoding="UTF-8" standalone="yes"?>
<Relationships xmlns="http://schemas.openxmlformats.org/package/2006/relationships"><Relationship Id="rId1" Type="http://schemas.openxmlformats.org/officeDocument/2006/relationships/image" Target="media/image5.png"/></Relationships>
</file>

<file path=word/_rels/header15.xml.rels><?xml version="1.0" encoding="UTF-8" standalone="yes"?>
<Relationships xmlns="http://schemas.openxmlformats.org/package/2006/relationships"><Relationship Id="rId1" Type="http://schemas.openxmlformats.org/officeDocument/2006/relationships/image" Target="media/image5.png"/></Relationships>
</file>

<file path=word/_rels/header1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0.png"/></Relationships>
</file>

<file path=word/_rels/header17.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E3DCE-9E4C-4AF1-B09B-222F003F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1</TotalTime>
  <Pages>40</Pages>
  <Words>9725</Words>
  <Characters>55439</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Deidre Steain</dc:creator>
  <cp:lastModifiedBy>Paul Bowerman (DTF)</cp:lastModifiedBy>
  <cp:revision>2</cp:revision>
  <cp:lastPrinted>2019-02-11T02:53:00Z</cp:lastPrinted>
  <dcterms:created xsi:type="dcterms:W3CDTF">2019-02-11T22:35:00Z</dcterms:created>
  <dcterms:modified xsi:type="dcterms:W3CDTF">2019-02-11T22:35:00Z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ac9167d7-6f13-43ef-bfa6-cd53b9c4bab9</vt:lpwstr>
  </property>
  <property fmtid="{D5CDD505-2E9C-101B-9397-08002B2CF9AE}" pid="3" name="PSPFClassification">
    <vt:lpwstr>Do Not Mark</vt:lpwstr>
  </property>
  <property fmtid="{D5CDD505-2E9C-101B-9397-08002B2CF9AE}" pid="4" name="Classification">
    <vt:lpwstr>Do Not Mark</vt:lpwstr>
  </property>
</Properties>
</file>