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7CCC" w14:textId="77777777" w:rsidR="00FB1D38" w:rsidRDefault="00FB1D38" w:rsidP="00FB1D38">
      <w:pPr>
        <w:pStyle w:val="Heading1"/>
        <w:keepNext w:val="0"/>
        <w:keepLines w:val="0"/>
        <w:spacing w:after="0"/>
      </w:pPr>
      <w:bookmarkStart w:id="0" w:name="_Ref486931727"/>
      <w:bookmarkStart w:id="1" w:name="_Toc505888641"/>
      <w:bookmarkStart w:id="2" w:name="_Ref505929015"/>
      <w:bookmarkStart w:id="3" w:name="_Ref486931924"/>
      <w:bookmarkStart w:id="4" w:name="_Ref485220456"/>
      <w:bookmarkStart w:id="5" w:name="_Ref485220336"/>
      <w:bookmarkStart w:id="6" w:name="_GoBack"/>
      <w:bookmarkEnd w:id="6"/>
      <w:r>
        <w:rPr>
          <w:noProof/>
        </w:rPr>
        <w:drawing>
          <wp:anchor distT="0" distB="0" distL="114300" distR="114300" simplePos="0" relativeHeight="251657728" behindDoc="0" locked="0" layoutInCell="1" allowOverlap="1" wp14:anchorId="10E5AC9C" wp14:editId="561B85A8">
            <wp:simplePos x="0" y="0"/>
            <wp:positionH relativeFrom="column">
              <wp:posOffset>-353695</wp:posOffset>
            </wp:positionH>
            <wp:positionV relativeFrom="page">
              <wp:posOffset>167640</wp:posOffset>
            </wp:positionV>
            <wp:extent cx="1380490" cy="411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78E36594" wp14:editId="46BCE004">
            <wp:simplePos x="0" y="0"/>
            <wp:positionH relativeFrom="column">
              <wp:posOffset>-950595</wp:posOffset>
            </wp:positionH>
            <wp:positionV relativeFrom="page">
              <wp:posOffset>4445</wp:posOffset>
            </wp:positionV>
            <wp:extent cx="7590790" cy="740410"/>
            <wp:effectExtent l="0" t="0" r="0" b="2540"/>
            <wp:wrapNone/>
            <wp:docPr id="1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r>
        <w:t>Checklist of mandatory requirements of the Direction and Instructions for Public Construction Procurement</w:t>
      </w:r>
    </w:p>
    <w:p w14:paraId="643395D8" w14:textId="03282098" w:rsidR="00FB1D38" w:rsidRPr="005F2632" w:rsidRDefault="00FB1D38" w:rsidP="00FB1D38">
      <w:pPr>
        <w:spacing w:before="0"/>
        <w:rPr>
          <w:rFonts w:ascii="Arial" w:hAnsi="Arial" w:cs="Arial"/>
          <w:b/>
          <w:color w:val="002060"/>
          <w:sz w:val="26"/>
          <w:szCs w:val="26"/>
        </w:rPr>
      </w:pPr>
      <w:r>
        <w:rPr>
          <w:rFonts w:ascii="Arial" w:hAnsi="Arial" w:cs="Arial"/>
          <w:b/>
          <w:color w:val="002060"/>
          <w:sz w:val="26"/>
          <w:szCs w:val="26"/>
        </w:rPr>
        <w:t>Public Construction</w:t>
      </w:r>
      <w:r w:rsidRPr="005F2632">
        <w:rPr>
          <w:rFonts w:ascii="Arial" w:hAnsi="Arial" w:cs="Arial"/>
          <w:b/>
          <w:color w:val="002060"/>
          <w:sz w:val="26"/>
          <w:szCs w:val="26"/>
        </w:rPr>
        <w:br/>
      </w:r>
      <w:r>
        <w:rPr>
          <w:rFonts w:ascii="Arial" w:hAnsi="Arial" w:cs="Arial"/>
          <w:b/>
          <w:color w:val="002060"/>
          <w:sz w:val="26"/>
          <w:szCs w:val="26"/>
        </w:rPr>
        <w:t>Current as at</w:t>
      </w:r>
      <w:r w:rsidRPr="005F2632">
        <w:rPr>
          <w:rFonts w:ascii="Arial" w:hAnsi="Arial" w:cs="Arial"/>
          <w:b/>
          <w:color w:val="002060"/>
          <w:sz w:val="26"/>
          <w:szCs w:val="26"/>
        </w:rPr>
        <w:t xml:space="preserve"> </w:t>
      </w:r>
      <w:r>
        <w:rPr>
          <w:rFonts w:ascii="Arial" w:hAnsi="Arial" w:cs="Arial"/>
          <w:b/>
          <w:color w:val="002060"/>
          <w:sz w:val="26"/>
          <w:szCs w:val="26"/>
        </w:rPr>
        <w:t>20 May</w:t>
      </w:r>
      <w:r w:rsidRPr="005F2632">
        <w:rPr>
          <w:rFonts w:ascii="Arial" w:hAnsi="Arial" w:cs="Arial"/>
          <w:b/>
          <w:color w:val="002060"/>
          <w:sz w:val="26"/>
          <w:szCs w:val="26"/>
        </w:rPr>
        <w:t xml:space="preserve"> 201</w:t>
      </w:r>
      <w:r>
        <w:rPr>
          <w:rFonts w:ascii="Arial" w:hAnsi="Arial" w:cs="Arial"/>
          <w:b/>
          <w:color w:val="002060"/>
          <w:sz w:val="26"/>
          <w:szCs w:val="26"/>
        </w:rPr>
        <w:t>9</w:t>
      </w:r>
    </w:p>
    <w:p w14:paraId="2A08635A" w14:textId="77777777" w:rsidR="00FB1D38" w:rsidRPr="002B04E6" w:rsidRDefault="00FB1D38" w:rsidP="00FB1D38">
      <w:pPr>
        <w:pStyle w:val="NormalIndent"/>
        <w:ind w:left="0"/>
        <w:rPr>
          <w:rFonts w:cs="Times New Roman"/>
          <w:bCs/>
        </w:rPr>
      </w:pPr>
      <w:r w:rsidRPr="002B04E6">
        <w:rPr>
          <w:b/>
        </w:rPr>
        <w:t xml:space="preserve">Relevant Direction:  </w:t>
      </w:r>
      <w:hyperlink r:id="rId11" w:history="1">
        <w:r w:rsidRPr="00D33036">
          <w:rPr>
            <w:rStyle w:val="Hyperlink"/>
            <w:rFonts w:cs="Times New Roman"/>
            <w:bCs/>
          </w:rPr>
          <w:t>10.1 Responsibilities of the Accountable Officer</w:t>
        </w:r>
      </w:hyperlink>
    </w:p>
    <w:p w14:paraId="1ED82C0B" w14:textId="77777777" w:rsidR="00FB1D38" w:rsidRDefault="00FB1D38" w:rsidP="00FB1D38">
      <w:pPr>
        <w:spacing w:before="0" w:after="200"/>
      </w:pPr>
    </w:p>
    <w:p w14:paraId="661E6C3F" w14:textId="77777777" w:rsidR="00FB1D38" w:rsidRDefault="00FB1D38" w:rsidP="00FB1D38">
      <w:pPr>
        <w:rPr>
          <w:rFonts w:asciiTheme="majorHAnsi" w:hAnsiTheme="majorHAnsi" w:cstheme="majorHAnsi"/>
        </w:rPr>
      </w:pPr>
      <w:r>
        <w:rPr>
          <w:rFonts w:asciiTheme="majorHAnsi" w:hAnsiTheme="majorHAnsi" w:cstheme="majorHAnsi"/>
        </w:rPr>
        <w:t xml:space="preserve">The </w:t>
      </w:r>
      <w:hyperlink r:id="rId12" w:history="1">
        <w:r w:rsidRPr="00D33036">
          <w:rPr>
            <w:rStyle w:val="Hyperlink"/>
            <w:rFonts w:asciiTheme="majorHAnsi" w:hAnsiTheme="majorHAnsi" w:cstheme="majorHAnsi"/>
          </w:rPr>
          <w:t>Directions and Instructions for Public Construction Procurement</w:t>
        </w:r>
      </w:hyperlink>
      <w:r>
        <w:rPr>
          <w:rFonts w:asciiTheme="majorHAnsi" w:hAnsiTheme="majorHAnsi" w:cstheme="majorHAnsi"/>
        </w:rPr>
        <w:t xml:space="preserve"> are enforced by the </w:t>
      </w:r>
      <w:hyperlink r:id="rId13" w:history="1">
        <w:r w:rsidRPr="00D33036">
          <w:rPr>
            <w:rStyle w:val="Hyperlink"/>
            <w:rFonts w:asciiTheme="majorHAnsi" w:hAnsiTheme="majorHAnsi" w:cstheme="majorHAnsi"/>
          </w:rPr>
          <w:t>Financial Management Act Standing Directions 2016</w:t>
        </w:r>
      </w:hyperlink>
      <w:r>
        <w:rPr>
          <w:rFonts w:asciiTheme="majorHAnsi" w:hAnsiTheme="majorHAnsi" w:cstheme="majorHAnsi"/>
        </w:rPr>
        <w:t>, which set out requirements to demonstrate compliance with the Directions and Instructions, including public attestation in annual reports.</w:t>
      </w:r>
    </w:p>
    <w:p w14:paraId="382BAD51" w14:textId="77777777" w:rsidR="00FB1D38" w:rsidRDefault="00FB1D38" w:rsidP="00FB1D38">
      <w:pPr>
        <w:rPr>
          <w:rFonts w:asciiTheme="majorHAnsi" w:hAnsiTheme="majorHAnsi" w:cstheme="majorHAnsi"/>
        </w:rPr>
      </w:pPr>
      <w:r>
        <w:rPr>
          <w:rFonts w:asciiTheme="majorHAnsi" w:hAnsiTheme="majorHAnsi" w:cstheme="majorHAnsi"/>
        </w:rPr>
        <w:t>This checklist details the mandatory requirements Responsible Bodies and Accountable Officers must meet to allow for full attestation of compliance with the Directions. The checklist does not include procurement requirements covered by other procurement frameworks, for example the policies issued by the Victorian Government Purchasing Board.</w:t>
      </w:r>
    </w:p>
    <w:bookmarkEnd w:id="0"/>
    <w:bookmarkEnd w:id="1"/>
    <w:bookmarkEnd w:id="2"/>
    <w:bookmarkEnd w:id="3"/>
    <w:bookmarkEnd w:id="4"/>
    <w:bookmarkEnd w:id="5"/>
    <w:p w14:paraId="7EA4BCA3" w14:textId="77777777" w:rsidR="00FB1D38" w:rsidRDefault="00FB1D38" w:rsidP="00FB1D38">
      <w:pPr>
        <w:rPr>
          <w:rFonts w:asciiTheme="majorHAnsi" w:hAnsiTheme="majorHAnsi" w:cstheme="majorHAnsi"/>
        </w:rPr>
      </w:pPr>
      <w:r>
        <w:rPr>
          <w:rFonts w:asciiTheme="majorHAnsi" w:hAnsiTheme="majorHAnsi" w:cstheme="majorHAnsi"/>
        </w:rPr>
        <w:t>References:</w:t>
      </w:r>
      <w:r>
        <w:rPr>
          <w:rFonts w:asciiTheme="majorHAnsi" w:hAnsiTheme="majorHAnsi" w:cstheme="majorHAnsi"/>
        </w:rPr>
        <w:br/>
        <w:t xml:space="preserve">Dir </w:t>
      </w:r>
      <w:r>
        <w:rPr>
          <w:rFonts w:asciiTheme="majorHAnsi" w:hAnsiTheme="majorHAnsi" w:cstheme="majorHAnsi"/>
        </w:rPr>
        <w:tab/>
        <w:t xml:space="preserve">refers to the </w:t>
      </w:r>
      <w:r w:rsidRPr="00EC2ACF">
        <w:rPr>
          <w:rFonts w:asciiTheme="majorHAnsi" w:hAnsiTheme="majorHAnsi" w:cstheme="majorHAnsi"/>
          <w:b/>
        </w:rPr>
        <w:t>Ministerial</w:t>
      </w:r>
      <w:r>
        <w:rPr>
          <w:rFonts w:asciiTheme="majorHAnsi" w:hAnsiTheme="majorHAnsi" w:cstheme="majorHAnsi"/>
        </w:rPr>
        <w:t xml:space="preserve"> </w:t>
      </w:r>
      <w:r w:rsidRPr="00EE7D1A">
        <w:rPr>
          <w:rFonts w:asciiTheme="majorHAnsi" w:hAnsiTheme="majorHAnsi" w:cstheme="majorHAnsi"/>
          <w:b/>
        </w:rPr>
        <w:t>Directions for Public Construction Procurement</w:t>
      </w:r>
      <w:r>
        <w:rPr>
          <w:rFonts w:asciiTheme="majorHAnsi" w:hAnsiTheme="majorHAnsi" w:cstheme="majorHAnsi"/>
        </w:rPr>
        <w:br/>
        <w:t xml:space="preserve">Inst </w:t>
      </w:r>
      <w:r>
        <w:rPr>
          <w:rFonts w:asciiTheme="majorHAnsi" w:hAnsiTheme="majorHAnsi" w:cstheme="majorHAnsi"/>
        </w:rPr>
        <w:tab/>
        <w:t xml:space="preserve">refers to the </w:t>
      </w:r>
      <w:r w:rsidRPr="00EE7D1A">
        <w:rPr>
          <w:rFonts w:asciiTheme="majorHAnsi" w:hAnsiTheme="majorHAnsi" w:cstheme="majorHAnsi"/>
          <w:b/>
        </w:rPr>
        <w:t>Instructions for Public Construction Procurement</w:t>
      </w:r>
      <w:r>
        <w:rPr>
          <w:rFonts w:asciiTheme="majorHAnsi" w:hAnsiTheme="majorHAnsi" w:cstheme="majorHAnsi"/>
        </w:rPr>
        <w:t>.</w:t>
      </w:r>
    </w:p>
    <w:tbl>
      <w:tblPr>
        <w:tblStyle w:val="TableGrid"/>
        <w:tblW w:w="9271" w:type="dxa"/>
        <w:tblLayout w:type="fixed"/>
        <w:tblLook w:val="04A0" w:firstRow="1" w:lastRow="0" w:firstColumn="1" w:lastColumn="0" w:noHBand="0" w:noVBand="1"/>
      </w:tblPr>
      <w:tblGrid>
        <w:gridCol w:w="1191"/>
        <w:gridCol w:w="7371"/>
        <w:gridCol w:w="709"/>
      </w:tblGrid>
      <w:tr w:rsidR="00FB1D38" w14:paraId="06C905BB" w14:textId="2A43C410" w:rsidTr="00FB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bottom w:val="nil"/>
            </w:tcBorders>
          </w:tcPr>
          <w:p w14:paraId="353C6749" w14:textId="77777777" w:rsidR="00FB1D38" w:rsidRDefault="00FB1D38" w:rsidP="00FB1D38">
            <w:pPr>
              <w:rPr>
                <w:rFonts w:asciiTheme="majorHAnsi" w:hAnsiTheme="majorHAnsi" w:cstheme="majorHAnsi"/>
              </w:rPr>
            </w:pPr>
            <w:r>
              <w:rPr>
                <w:rFonts w:asciiTheme="majorHAnsi" w:hAnsiTheme="majorHAnsi" w:cstheme="majorHAnsi"/>
                <w:b/>
              </w:rPr>
              <w:t>Reference</w:t>
            </w:r>
          </w:p>
        </w:tc>
        <w:tc>
          <w:tcPr>
            <w:tcW w:w="7371" w:type="dxa"/>
            <w:tcBorders>
              <w:bottom w:val="nil"/>
            </w:tcBorders>
          </w:tcPr>
          <w:p w14:paraId="6953252C" w14:textId="77777777" w:rsidR="00FB1D38" w:rsidRDefault="00FB1D38" w:rsidP="00FB1D3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C099E">
              <w:rPr>
                <w:rFonts w:asciiTheme="majorHAnsi" w:hAnsiTheme="majorHAnsi" w:cstheme="majorHAnsi"/>
                <w:b/>
              </w:rPr>
              <w:t>Requirement</w:t>
            </w:r>
          </w:p>
        </w:tc>
        <w:tc>
          <w:tcPr>
            <w:tcW w:w="709" w:type="dxa"/>
            <w:tcBorders>
              <w:bottom w:val="nil"/>
            </w:tcBorders>
          </w:tcPr>
          <w:p w14:paraId="35C5F807" w14:textId="5BEE6653" w:rsidR="00FB1D38" w:rsidRDefault="00FB1D38" w:rsidP="00FB1D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C099E">
              <w:rPr>
                <w:rFonts w:asciiTheme="majorHAnsi" w:hAnsiTheme="majorHAnsi" w:cstheme="majorHAnsi"/>
                <w:b/>
              </w:rPr>
              <w:sym w:font="Wingdings" w:char="F0FC"/>
            </w:r>
            <w:r w:rsidRPr="00BC099E">
              <w:rPr>
                <w:rFonts w:asciiTheme="majorHAnsi" w:hAnsiTheme="majorHAnsi" w:cstheme="majorHAnsi"/>
                <w:b/>
              </w:rPr>
              <w:t xml:space="preserve"> / </w:t>
            </w:r>
            <w:r>
              <w:rPr>
                <w:rFonts w:asciiTheme="majorHAnsi" w:hAnsiTheme="majorHAnsi" w:cstheme="majorHAnsi"/>
                <w:b/>
              </w:rPr>
              <w:t>NA</w:t>
            </w:r>
          </w:p>
        </w:tc>
      </w:tr>
      <w:tr w:rsidR="00FB1D38" w14:paraId="4006CA4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39EDFB83" w14:textId="77777777" w:rsidR="00FB1D38" w:rsidRPr="00112E7D" w:rsidRDefault="00FB1D38" w:rsidP="00FB1D38">
            <w:pPr>
              <w:spacing w:before="60" w:after="60"/>
              <w:rPr>
                <w:rFonts w:ascii="Arial" w:hAnsi="Arial" w:cs="Arial"/>
                <w:szCs w:val="17"/>
              </w:rPr>
            </w:pPr>
            <w:r w:rsidRPr="00112E7D">
              <w:rPr>
                <w:rFonts w:ascii="Arial" w:hAnsi="Arial" w:cs="Arial"/>
                <w:szCs w:val="17"/>
              </w:rPr>
              <w:t>Dir 1.3.2</w:t>
            </w:r>
          </w:p>
          <w:p w14:paraId="79852B1A" w14:textId="3B1BF0B4" w:rsidR="00FB1D38" w:rsidRPr="00112E7D" w:rsidRDefault="00FB1D38" w:rsidP="00FB1D38">
            <w:pPr>
              <w:spacing w:before="60" w:after="60"/>
              <w:rPr>
                <w:rFonts w:ascii="Arial" w:hAnsi="Arial" w:cs="Arial"/>
                <w:szCs w:val="17"/>
              </w:rPr>
            </w:pPr>
            <w:r>
              <w:rPr>
                <w:rFonts w:ascii="Arial" w:hAnsi="Arial" w:cs="Arial"/>
                <w:szCs w:val="17"/>
              </w:rPr>
              <w:t>Agencies that must comply with these Directions</w:t>
            </w:r>
          </w:p>
        </w:tc>
        <w:tc>
          <w:tcPr>
            <w:tcW w:w="7371" w:type="dxa"/>
            <w:tcBorders>
              <w:top w:val="single" w:sz="4" w:space="0" w:color="auto"/>
              <w:bottom w:val="single" w:sz="4" w:space="0" w:color="auto"/>
            </w:tcBorders>
          </w:tcPr>
          <w:p w14:paraId="04D37764" w14:textId="4260CE89" w:rsidR="00FB1D38" w:rsidRPr="004E17C9" w:rsidRDefault="00FB1D38" w:rsidP="00FB1D38">
            <w:pPr>
              <w:pStyle w:val="ListParagraph"/>
              <w:numPr>
                <w:ilvl w:val="0"/>
                <w:numId w:val="21"/>
              </w:numPr>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E17C9">
              <w:rPr>
                <w:rFonts w:ascii="Arial" w:hAnsi="Arial" w:cs="Arial"/>
                <w:szCs w:val="17"/>
              </w:rPr>
              <w:t>All Agencies, except for Excluded Entities, must comply with these Directions.</w:t>
            </w:r>
          </w:p>
        </w:tc>
        <w:tc>
          <w:tcPr>
            <w:tcW w:w="709" w:type="dxa"/>
            <w:tcBorders>
              <w:top w:val="single" w:sz="4" w:space="0" w:color="auto"/>
              <w:bottom w:val="single" w:sz="4" w:space="0" w:color="auto"/>
            </w:tcBorders>
          </w:tcPr>
          <w:p w14:paraId="6B950359" w14:textId="78593C6B"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3DD1">
              <w:rPr>
                <w:rFonts w:asciiTheme="majorHAnsi" w:hAnsiTheme="majorHAnsi" w:cstheme="majorHAnsi"/>
                <w:sz w:val="20"/>
                <w:szCs w:val="20"/>
              </w:rPr>
              <w:sym w:font="Wingdings" w:char="F0A8"/>
            </w:r>
          </w:p>
        </w:tc>
      </w:tr>
      <w:tr w:rsidR="00FB1D38" w14:paraId="0818E91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4861C51" w14:textId="0ED9A2CD"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7E8C3A17" w14:textId="55950252" w:rsidR="00FB1D38" w:rsidRPr="00214A91" w:rsidRDefault="00FB1D38" w:rsidP="00FB1D38">
            <w:pPr>
              <w:pStyle w:val="ListParagraph"/>
              <w:numPr>
                <w:ilvl w:val="0"/>
                <w:numId w:val="21"/>
              </w:numPr>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 Portfolio Department must, in respect of any Portfolio Agency that is not an Excluded Entity:</w:t>
            </w:r>
          </w:p>
        </w:tc>
        <w:tc>
          <w:tcPr>
            <w:tcW w:w="709" w:type="dxa"/>
            <w:tcBorders>
              <w:top w:val="single" w:sz="4" w:space="0" w:color="auto"/>
              <w:bottom w:val="single" w:sz="4" w:space="0" w:color="auto"/>
            </w:tcBorders>
            <w:shd w:val="clear" w:color="auto" w:fill="F2F2F2" w:themeFill="background1" w:themeFillShade="F2"/>
          </w:tcPr>
          <w:p w14:paraId="0FBF0B38" w14:textId="221A0676"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7FEABA6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FA101BE"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ECCCE95" w14:textId="5F6E8256" w:rsidR="00FB1D38" w:rsidRPr="00214A91" w:rsidRDefault="00FB1D38" w:rsidP="00FB1D38">
            <w:pPr>
              <w:pStyle w:val="Listnumindent2"/>
              <w:numPr>
                <w:ilvl w:val="0"/>
                <w:numId w:val="22"/>
              </w:numPr>
              <w:spacing w:before="60" w:after="60"/>
              <w:ind w:hanging="27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provide advice and support to the Portfolio Agency in relation to complying with these Directions; and</w:t>
            </w:r>
          </w:p>
        </w:tc>
        <w:tc>
          <w:tcPr>
            <w:tcW w:w="709" w:type="dxa"/>
            <w:tcBorders>
              <w:top w:val="single" w:sz="4" w:space="0" w:color="auto"/>
              <w:bottom w:val="single" w:sz="4" w:space="0" w:color="auto"/>
            </w:tcBorders>
          </w:tcPr>
          <w:p w14:paraId="521E0DEF" w14:textId="5B76A4DF"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3DD1">
              <w:rPr>
                <w:rFonts w:asciiTheme="majorHAnsi" w:hAnsiTheme="majorHAnsi" w:cstheme="majorHAnsi"/>
                <w:sz w:val="20"/>
                <w:szCs w:val="20"/>
              </w:rPr>
              <w:sym w:font="Wingdings" w:char="F0A8"/>
            </w:r>
          </w:p>
        </w:tc>
      </w:tr>
      <w:tr w:rsidR="00FB1D38" w14:paraId="6DA245C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1D0104C"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60E1431" w14:textId="45232607" w:rsidR="00FB1D38" w:rsidRPr="00112E7D" w:rsidRDefault="00FB1D38" w:rsidP="00FB1D38">
            <w:pPr>
              <w:pStyle w:val="Listnumindent2"/>
              <w:numPr>
                <w:ilvl w:val="0"/>
                <w:numId w:val="22"/>
              </w:numPr>
              <w:spacing w:before="60" w:after="60"/>
              <w:ind w:hanging="27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support the Responsible Minister in the oversight of Portfolio Agencies and the Responsible Minister's portfolio as a whole, including providing information to the Responsible Minister concerning his/her Portfolio Agencies' Public Construction Procurement activities.</w:t>
            </w:r>
          </w:p>
        </w:tc>
        <w:tc>
          <w:tcPr>
            <w:tcW w:w="709" w:type="dxa"/>
            <w:tcBorders>
              <w:top w:val="single" w:sz="4" w:space="0" w:color="auto"/>
              <w:bottom w:val="single" w:sz="4" w:space="0" w:color="auto"/>
            </w:tcBorders>
          </w:tcPr>
          <w:p w14:paraId="55297ACF" w14:textId="1F823003"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A3DD1">
              <w:rPr>
                <w:rFonts w:asciiTheme="majorHAnsi" w:hAnsiTheme="majorHAnsi" w:cstheme="majorHAnsi"/>
                <w:sz w:val="20"/>
                <w:szCs w:val="20"/>
              </w:rPr>
              <w:sym w:font="Wingdings" w:char="F0A8"/>
            </w:r>
          </w:p>
        </w:tc>
      </w:tr>
      <w:tr w:rsidR="00FB1D38" w14:paraId="408B984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69979980" w14:textId="77777777" w:rsidR="00FB1D38" w:rsidRDefault="00FB1D38" w:rsidP="00FB1D38">
            <w:pPr>
              <w:spacing w:before="60" w:after="60"/>
              <w:rPr>
                <w:rFonts w:ascii="Arial" w:hAnsi="Arial" w:cs="Arial"/>
                <w:szCs w:val="17"/>
              </w:rPr>
            </w:pPr>
            <w:r>
              <w:rPr>
                <w:rFonts w:ascii="Arial" w:hAnsi="Arial" w:cs="Arial"/>
                <w:szCs w:val="17"/>
              </w:rPr>
              <w:t>Dir 1.3.3</w:t>
            </w:r>
          </w:p>
          <w:p w14:paraId="6CB2F31F" w14:textId="31962F0B" w:rsidR="00FB1D38" w:rsidRPr="00112E7D" w:rsidRDefault="00FB1D38" w:rsidP="00FB1D38">
            <w:pPr>
              <w:spacing w:before="60" w:after="60"/>
              <w:rPr>
                <w:rFonts w:ascii="Arial" w:hAnsi="Arial" w:cs="Arial"/>
                <w:szCs w:val="17"/>
              </w:rPr>
            </w:pPr>
            <w:r>
              <w:rPr>
                <w:rFonts w:ascii="Arial" w:hAnsi="Arial" w:cs="Arial"/>
                <w:szCs w:val="17"/>
              </w:rPr>
              <w:t>Excluded Entities</w:t>
            </w:r>
          </w:p>
        </w:tc>
        <w:tc>
          <w:tcPr>
            <w:tcW w:w="7371" w:type="dxa"/>
            <w:tcBorders>
              <w:top w:val="single" w:sz="4" w:space="0" w:color="auto"/>
              <w:bottom w:val="single" w:sz="4" w:space="0" w:color="auto"/>
            </w:tcBorders>
          </w:tcPr>
          <w:p w14:paraId="5701E2AD" w14:textId="77777777" w:rsidR="00FB1D38" w:rsidRPr="00112E7D" w:rsidRDefault="00FB1D38" w:rsidP="00FB1D38">
            <w:pPr>
              <w:pStyle w:val="Listnumindent"/>
              <w:numPr>
                <w:ilvl w:val="0"/>
                <w:numId w:val="8"/>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For the purposes of these Directions, the following Agencies are Excluded Entities:</w:t>
            </w:r>
          </w:p>
          <w:p w14:paraId="7E61E4E1" w14:textId="77777777" w:rsidR="00FB1D38" w:rsidRPr="00112E7D" w:rsidRDefault="00FB1D38" w:rsidP="00FB1D38">
            <w:pPr>
              <w:pStyle w:val="Listnum"/>
              <w:numPr>
                <w:ilvl w:val="7"/>
                <w:numId w:val="8"/>
              </w:numPr>
              <w:spacing w:before="60" w:after="60"/>
              <w:ind w:left="735" w:hanging="31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any school council constituted under Part 2.3 of the </w:t>
            </w:r>
            <w:r w:rsidRPr="00112E7D">
              <w:rPr>
                <w:rFonts w:ascii="Arial" w:hAnsi="Arial" w:cs="Arial"/>
                <w:b/>
                <w:szCs w:val="17"/>
              </w:rPr>
              <w:t>Education and Training Reform Act 2006 (Vic)</w:t>
            </w:r>
            <w:r w:rsidRPr="00112E7D">
              <w:rPr>
                <w:rFonts w:ascii="Arial" w:hAnsi="Arial" w:cs="Arial"/>
                <w:szCs w:val="17"/>
              </w:rPr>
              <w:t>;</w:t>
            </w:r>
          </w:p>
          <w:p w14:paraId="0C968A5F" w14:textId="77777777" w:rsidR="00FB1D38" w:rsidRPr="00112E7D" w:rsidRDefault="00FB1D38" w:rsidP="00FB1D38">
            <w:pPr>
              <w:pStyle w:val="Listnum"/>
              <w:numPr>
                <w:ilvl w:val="0"/>
                <w:numId w:val="0"/>
              </w:numPr>
              <w:tabs>
                <w:tab w:val="left" w:pos="316"/>
              </w:tabs>
              <w:spacing w:before="60" w:after="60"/>
              <w:ind w:left="735" w:hanging="31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(ii)</w:t>
            </w:r>
            <w:r>
              <w:rPr>
                <w:rFonts w:ascii="Arial" w:hAnsi="Arial" w:cs="Arial"/>
                <w:szCs w:val="17"/>
              </w:rPr>
              <w:tab/>
            </w:r>
            <w:r w:rsidRPr="00112E7D">
              <w:rPr>
                <w:rFonts w:ascii="Arial" w:hAnsi="Arial" w:cs="Arial"/>
                <w:szCs w:val="17"/>
              </w:rPr>
              <w:t>any incorporated committee of management, unless the committee is listed in the Instructions;</w:t>
            </w:r>
          </w:p>
          <w:p w14:paraId="06471118" w14:textId="77777777" w:rsidR="00FB1D38" w:rsidRPr="00112E7D" w:rsidRDefault="00FB1D38" w:rsidP="00FB1D38">
            <w:pPr>
              <w:pStyle w:val="Listnumindent2"/>
              <w:numPr>
                <w:ilvl w:val="1"/>
                <w:numId w:val="9"/>
              </w:numPr>
              <w:tabs>
                <w:tab w:val="clear" w:pos="1781"/>
                <w:tab w:val="left" w:pos="316"/>
                <w:tab w:val="num" w:pos="458"/>
              </w:tabs>
              <w:ind w:left="735" w:hanging="31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any class B </w:t>
            </w:r>
            <w:r w:rsidRPr="0020368B">
              <w:rPr>
                <w:rFonts w:eastAsiaTheme="minorEastAsia"/>
                <w:sz w:val="20"/>
                <w:szCs w:val="20"/>
                <w:lang w:eastAsia="en-AU"/>
              </w:rPr>
              <w:t>cemetery</w:t>
            </w:r>
            <w:r w:rsidRPr="00112E7D">
              <w:rPr>
                <w:rFonts w:ascii="Arial" w:hAnsi="Arial" w:cs="Arial"/>
                <w:szCs w:val="17"/>
              </w:rPr>
              <w:t xml:space="preserve"> trust constituted under section 6 of the </w:t>
            </w:r>
            <w:r w:rsidRPr="00112E7D">
              <w:rPr>
                <w:rFonts w:ascii="Arial" w:hAnsi="Arial" w:cs="Arial"/>
                <w:b/>
                <w:szCs w:val="17"/>
              </w:rPr>
              <w:t>Cemeteries and Crematoria Act 2003 (Vic)</w:t>
            </w:r>
            <w:r w:rsidRPr="00112E7D">
              <w:rPr>
                <w:rFonts w:ascii="Arial" w:hAnsi="Arial" w:cs="Arial"/>
                <w:szCs w:val="17"/>
              </w:rPr>
              <w:t>;</w:t>
            </w:r>
          </w:p>
          <w:p w14:paraId="6F676A22" w14:textId="77777777" w:rsidR="00FB1D38" w:rsidRPr="00112E7D" w:rsidRDefault="00FB1D38" w:rsidP="00FB1D38">
            <w:pPr>
              <w:pStyle w:val="Listnum"/>
              <w:numPr>
                <w:ilvl w:val="0"/>
                <w:numId w:val="0"/>
              </w:numPr>
              <w:tabs>
                <w:tab w:val="left" w:pos="316"/>
              </w:tabs>
              <w:spacing w:before="60" w:after="60"/>
              <w:ind w:left="735" w:hanging="31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(iv)</w:t>
            </w:r>
            <w:r>
              <w:rPr>
                <w:rFonts w:ascii="Arial" w:hAnsi="Arial" w:cs="Arial"/>
                <w:szCs w:val="17"/>
              </w:rPr>
              <w:tab/>
            </w:r>
            <w:r w:rsidRPr="00112E7D">
              <w:rPr>
                <w:rFonts w:ascii="Arial" w:hAnsi="Arial" w:cs="Arial"/>
                <w:szCs w:val="17"/>
              </w:rPr>
              <w:t>any 'registered unit' as defined in the Victoria State Emergency Service Act 2005 (Vic); and</w:t>
            </w:r>
          </w:p>
          <w:p w14:paraId="2825DA09" w14:textId="361FBDA4" w:rsidR="00FB1D38" w:rsidRPr="00112E7D" w:rsidRDefault="00FB1D38" w:rsidP="00FB1D38">
            <w:pPr>
              <w:pStyle w:val="Listnum"/>
              <w:numPr>
                <w:ilvl w:val="0"/>
                <w:numId w:val="0"/>
              </w:numPr>
              <w:tabs>
                <w:tab w:val="left" w:pos="316"/>
              </w:tabs>
              <w:spacing w:before="60" w:after="60"/>
              <w:ind w:left="735" w:hanging="31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(v)</w:t>
            </w:r>
            <w:r>
              <w:rPr>
                <w:rFonts w:ascii="Arial" w:hAnsi="Arial" w:cs="Arial"/>
                <w:szCs w:val="17"/>
              </w:rPr>
              <w:tab/>
            </w:r>
            <w:r w:rsidRPr="00112E7D">
              <w:rPr>
                <w:rFonts w:ascii="Arial" w:hAnsi="Arial" w:cs="Arial"/>
                <w:szCs w:val="17"/>
              </w:rPr>
              <w:t xml:space="preserve">any 'volunteer brigade' as defined in the </w:t>
            </w:r>
            <w:r w:rsidRPr="00112E7D">
              <w:rPr>
                <w:rFonts w:ascii="Arial" w:hAnsi="Arial" w:cs="Arial"/>
                <w:b/>
                <w:szCs w:val="17"/>
              </w:rPr>
              <w:t>Country Fire Authority Act 1958 (Vic)</w:t>
            </w:r>
            <w:r w:rsidRPr="00112E7D">
              <w:rPr>
                <w:rFonts w:ascii="Arial" w:hAnsi="Arial" w:cs="Arial"/>
                <w:szCs w:val="17"/>
              </w:rPr>
              <w:t>.</w:t>
            </w:r>
          </w:p>
        </w:tc>
        <w:tc>
          <w:tcPr>
            <w:tcW w:w="709" w:type="dxa"/>
            <w:tcBorders>
              <w:top w:val="single" w:sz="4" w:space="0" w:color="auto"/>
              <w:bottom w:val="single" w:sz="4" w:space="0" w:color="auto"/>
            </w:tcBorders>
            <w:shd w:val="clear" w:color="auto" w:fill="F2F2F2" w:themeFill="background1" w:themeFillShade="F2"/>
          </w:tcPr>
          <w:p w14:paraId="4F2A42CA" w14:textId="77777777"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48711AD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ED1139C"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5EA26D5" w14:textId="481FC11F" w:rsidR="00FB1D38" w:rsidRPr="00112E7D" w:rsidRDefault="00FB1D38" w:rsidP="00FB1D38">
            <w:pPr>
              <w:pStyle w:val="Listnumindent"/>
              <w:numPr>
                <w:ilvl w:val="0"/>
                <w:numId w:val="8"/>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Excluded Entities must undertake Public Construction Procurement in accordance with the requirements established pursuant to Ministerial Direction 1.3.4.</w:t>
            </w:r>
          </w:p>
        </w:tc>
        <w:tc>
          <w:tcPr>
            <w:tcW w:w="709" w:type="dxa"/>
            <w:tcBorders>
              <w:top w:val="single" w:sz="4" w:space="0" w:color="auto"/>
              <w:bottom w:val="single" w:sz="4" w:space="0" w:color="auto"/>
            </w:tcBorders>
          </w:tcPr>
          <w:p w14:paraId="52E08714" w14:textId="40A7F69F"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124B337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4EBAD5F" w14:textId="77777777" w:rsidR="00FB1D38" w:rsidRDefault="00FB1D38" w:rsidP="00FB1D38">
            <w:pPr>
              <w:spacing w:before="60" w:after="60"/>
              <w:rPr>
                <w:rFonts w:asciiTheme="majorHAnsi" w:hAnsiTheme="majorHAnsi" w:cstheme="majorHAnsi"/>
              </w:rPr>
            </w:pPr>
            <w:r>
              <w:rPr>
                <w:rFonts w:ascii="Arial" w:hAnsi="Arial" w:cs="Arial"/>
                <w:szCs w:val="17"/>
              </w:rPr>
              <w:t xml:space="preserve">Dir </w:t>
            </w:r>
            <w:r w:rsidRPr="00112E7D">
              <w:rPr>
                <w:rFonts w:ascii="Arial" w:hAnsi="Arial" w:cs="Arial"/>
                <w:szCs w:val="17"/>
              </w:rPr>
              <w:t>1.3.4</w:t>
            </w:r>
          </w:p>
          <w:p w14:paraId="0F0AACB9" w14:textId="1A122394" w:rsidR="00FB1D38" w:rsidRDefault="00FB1D38" w:rsidP="00FB1D38">
            <w:pPr>
              <w:spacing w:before="60" w:after="60"/>
              <w:rPr>
                <w:rFonts w:asciiTheme="majorHAnsi" w:hAnsiTheme="majorHAnsi" w:cstheme="majorHAnsi"/>
              </w:rPr>
            </w:pPr>
            <w:r w:rsidRPr="00112E7D">
              <w:rPr>
                <w:rFonts w:ascii="Arial" w:hAnsi="Arial" w:cs="Arial"/>
                <w:szCs w:val="17"/>
              </w:rPr>
              <w:t xml:space="preserve">Portfolio Department </w:t>
            </w:r>
            <w:r w:rsidRPr="00112E7D">
              <w:rPr>
                <w:rFonts w:ascii="Arial" w:hAnsi="Arial" w:cs="Arial"/>
                <w:szCs w:val="17"/>
              </w:rPr>
              <w:lastRenderedPageBreak/>
              <w:t>responsibility in respect of any Portfolio Agency that is an Excluded Entity</w:t>
            </w:r>
          </w:p>
        </w:tc>
        <w:tc>
          <w:tcPr>
            <w:tcW w:w="7371" w:type="dxa"/>
            <w:tcBorders>
              <w:top w:val="single" w:sz="4" w:space="0" w:color="auto"/>
              <w:bottom w:val="single" w:sz="4" w:space="0" w:color="auto"/>
            </w:tcBorders>
          </w:tcPr>
          <w:p w14:paraId="6FCA37CE" w14:textId="40548AA7" w:rsidR="00FB1D38" w:rsidRPr="006B31C7" w:rsidRDefault="00FB1D38" w:rsidP="00FB1D38">
            <w:pPr>
              <w:pStyle w:val="Listnumindent"/>
              <w:numPr>
                <w:ilvl w:val="6"/>
                <w:numId w:val="9"/>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lastRenderedPageBreak/>
              <w:t>The following Agencies must establish appropriate requirements for Public Construction Procurement undertaken by Excluded Entities:</w:t>
            </w:r>
          </w:p>
        </w:tc>
        <w:tc>
          <w:tcPr>
            <w:tcW w:w="709" w:type="dxa"/>
            <w:tcBorders>
              <w:top w:val="single" w:sz="4" w:space="0" w:color="auto"/>
              <w:bottom w:val="single" w:sz="4" w:space="0" w:color="auto"/>
            </w:tcBorders>
            <w:shd w:val="clear" w:color="auto" w:fill="F2F2F2" w:themeFill="background1" w:themeFillShade="F2"/>
          </w:tcPr>
          <w:p w14:paraId="3135DE43" w14:textId="7C7C7B1B"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758769B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BD0E97B"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6899BC4B" w14:textId="5C1E315C" w:rsidR="00FB1D38" w:rsidRPr="006B31C7" w:rsidRDefault="00FB1D38" w:rsidP="00FB1D38">
            <w:pPr>
              <w:pStyle w:val="Listnumindent2"/>
              <w:numPr>
                <w:ilvl w:val="0"/>
                <w:numId w:val="23"/>
              </w:numPr>
              <w:spacing w:before="60" w:after="60"/>
              <w:ind w:hanging="27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in respect of the Excluded Entities in Direction</w:t>
            </w:r>
            <w:r>
              <w:rPr>
                <w:rFonts w:ascii="Arial" w:hAnsi="Arial" w:cs="Arial"/>
                <w:szCs w:val="17"/>
              </w:rPr>
              <w:t xml:space="preserve"> 1.3.3(a)(i)</w:t>
            </w:r>
            <w:r w:rsidRPr="00112E7D">
              <w:rPr>
                <w:rFonts w:ascii="Arial" w:hAnsi="Arial" w:cs="Arial"/>
                <w:szCs w:val="17"/>
              </w:rPr>
              <w:t xml:space="preserve"> to</w:t>
            </w:r>
            <w:r>
              <w:rPr>
                <w:rFonts w:ascii="Arial" w:hAnsi="Arial" w:cs="Arial"/>
                <w:szCs w:val="17"/>
              </w:rPr>
              <w:t xml:space="preserve"> 1.3.3(a)(iii)</w:t>
            </w:r>
            <w:r w:rsidRPr="00112E7D">
              <w:rPr>
                <w:rFonts w:ascii="Arial" w:hAnsi="Arial" w:cs="Arial"/>
                <w:szCs w:val="17"/>
              </w:rPr>
              <w:t xml:space="preserve">, the Portfolio </w:t>
            </w:r>
            <w:r w:rsidRPr="00112E7D">
              <w:rPr>
                <w:rFonts w:ascii="Arial" w:hAnsi="Arial" w:cs="Arial"/>
                <w:szCs w:val="17"/>
              </w:rPr>
              <w:lastRenderedPageBreak/>
              <w:t>Department of the Excluded Entity; and</w:t>
            </w:r>
          </w:p>
        </w:tc>
        <w:tc>
          <w:tcPr>
            <w:tcW w:w="709" w:type="dxa"/>
            <w:tcBorders>
              <w:top w:val="single" w:sz="4" w:space="0" w:color="auto"/>
              <w:bottom w:val="single" w:sz="4" w:space="0" w:color="auto"/>
            </w:tcBorders>
          </w:tcPr>
          <w:p w14:paraId="6CD97451" w14:textId="4E8BB17F"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lastRenderedPageBreak/>
              <w:sym w:font="Wingdings" w:char="F0A8"/>
            </w:r>
          </w:p>
        </w:tc>
      </w:tr>
      <w:tr w:rsidR="00FB1D38" w14:paraId="3693610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DF25C9B"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05D7A145" w14:textId="0E6BBAE4" w:rsidR="00FB1D38" w:rsidRPr="006B31C7" w:rsidRDefault="00FB1D38" w:rsidP="00FB1D38">
            <w:pPr>
              <w:pStyle w:val="Listnumindent2"/>
              <w:numPr>
                <w:ilvl w:val="0"/>
                <w:numId w:val="23"/>
              </w:numPr>
              <w:spacing w:before="60" w:after="60"/>
              <w:ind w:hanging="27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in respect of the Excluded Entities in Direction</w:t>
            </w:r>
            <w:r>
              <w:rPr>
                <w:rFonts w:ascii="Arial" w:hAnsi="Arial" w:cs="Arial"/>
                <w:szCs w:val="17"/>
              </w:rPr>
              <w:t xml:space="preserve"> 1.3.3(a)(iv) </w:t>
            </w:r>
            <w:r w:rsidRPr="00112E7D">
              <w:rPr>
                <w:rFonts w:ascii="Arial" w:hAnsi="Arial" w:cs="Arial"/>
                <w:szCs w:val="17"/>
              </w:rPr>
              <w:t>and</w:t>
            </w:r>
            <w:r>
              <w:rPr>
                <w:rFonts w:ascii="Arial" w:hAnsi="Arial" w:cs="Arial"/>
                <w:szCs w:val="17"/>
              </w:rPr>
              <w:t xml:space="preserve"> 1.3.3(a)(v)</w:t>
            </w:r>
            <w:r w:rsidRPr="00112E7D">
              <w:rPr>
                <w:rFonts w:ascii="Arial" w:hAnsi="Arial" w:cs="Arial"/>
                <w:szCs w:val="17"/>
              </w:rPr>
              <w:t>, the Victoria State Emergency Service and Country Fire Authority respectively.</w:t>
            </w:r>
          </w:p>
        </w:tc>
        <w:tc>
          <w:tcPr>
            <w:tcW w:w="709" w:type="dxa"/>
            <w:tcBorders>
              <w:top w:val="single" w:sz="4" w:space="0" w:color="auto"/>
              <w:bottom w:val="single" w:sz="4" w:space="0" w:color="auto"/>
            </w:tcBorders>
          </w:tcPr>
          <w:p w14:paraId="3C528A64" w14:textId="6025242F"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5ED29D3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7BB648A5"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1B0DD46F" w14:textId="4AB5EE4D" w:rsidR="00FB1D38" w:rsidRPr="00112E7D" w:rsidRDefault="00FB1D38" w:rsidP="00FB1D38">
            <w:pPr>
              <w:pStyle w:val="Listnumindent"/>
              <w:numPr>
                <w:ilvl w:val="6"/>
                <w:numId w:val="9"/>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These requirements must:</w:t>
            </w:r>
          </w:p>
        </w:tc>
        <w:tc>
          <w:tcPr>
            <w:tcW w:w="709" w:type="dxa"/>
            <w:tcBorders>
              <w:top w:val="single" w:sz="4" w:space="0" w:color="auto"/>
              <w:bottom w:val="single" w:sz="4" w:space="0" w:color="auto"/>
            </w:tcBorders>
            <w:shd w:val="clear" w:color="auto" w:fill="F2F2F2" w:themeFill="background1" w:themeFillShade="F2"/>
          </w:tcPr>
          <w:p w14:paraId="7C9B6EC7" w14:textId="77777777"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67A706C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E47BB61"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40EC40C5" w14:textId="55738F2A" w:rsidR="00FB1D38" w:rsidRPr="006B31C7" w:rsidRDefault="00FB1D38" w:rsidP="00FB1D38">
            <w:pPr>
              <w:pStyle w:val="Listnumindent2"/>
              <w:numPr>
                <w:ilvl w:val="1"/>
                <w:numId w:val="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be consistent with the </w:t>
            </w:r>
            <w:r>
              <w:rPr>
                <w:rFonts w:ascii="Arial" w:hAnsi="Arial" w:cs="Arial"/>
                <w:szCs w:val="17"/>
              </w:rPr>
              <w:t>principles set out in Direction 1.2</w:t>
            </w:r>
            <w:r w:rsidRPr="00112E7D">
              <w:rPr>
                <w:rFonts w:ascii="Arial" w:hAnsi="Arial" w:cs="Arial"/>
                <w:szCs w:val="17"/>
              </w:rPr>
              <w:t>;</w:t>
            </w:r>
          </w:p>
        </w:tc>
        <w:tc>
          <w:tcPr>
            <w:tcW w:w="709" w:type="dxa"/>
            <w:tcBorders>
              <w:top w:val="single" w:sz="4" w:space="0" w:color="auto"/>
              <w:bottom w:val="single" w:sz="4" w:space="0" w:color="auto"/>
            </w:tcBorders>
          </w:tcPr>
          <w:p w14:paraId="427D98D0" w14:textId="0BEA111E"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02D5FBC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EA72189"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1CBE7311" w14:textId="7E302A9C" w:rsidR="00FB1D38" w:rsidRPr="006B31C7" w:rsidRDefault="00FB1D38" w:rsidP="00FB1D38">
            <w:pPr>
              <w:pStyle w:val="Listnumindent2"/>
              <w:numPr>
                <w:ilvl w:val="1"/>
                <w:numId w:val="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take account of the requirements of these Directions, including the Instructions;</w:t>
            </w:r>
          </w:p>
        </w:tc>
        <w:tc>
          <w:tcPr>
            <w:tcW w:w="709" w:type="dxa"/>
            <w:tcBorders>
              <w:top w:val="single" w:sz="4" w:space="0" w:color="auto"/>
              <w:bottom w:val="single" w:sz="4" w:space="0" w:color="auto"/>
            </w:tcBorders>
          </w:tcPr>
          <w:p w14:paraId="51511509" w14:textId="2D9F70E9"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05F237A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634D78D"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443E1743" w14:textId="13EE4706" w:rsidR="00FB1D38" w:rsidRPr="006B31C7" w:rsidRDefault="00FB1D38" w:rsidP="00FB1D38">
            <w:pPr>
              <w:pStyle w:val="Listnumindent2"/>
              <w:numPr>
                <w:ilvl w:val="1"/>
                <w:numId w:val="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be consistent with the Excluded Entity's governing legislation; and</w:t>
            </w:r>
          </w:p>
        </w:tc>
        <w:tc>
          <w:tcPr>
            <w:tcW w:w="709" w:type="dxa"/>
            <w:tcBorders>
              <w:top w:val="single" w:sz="4" w:space="0" w:color="auto"/>
              <w:bottom w:val="single" w:sz="4" w:space="0" w:color="auto"/>
            </w:tcBorders>
          </w:tcPr>
          <w:p w14:paraId="1D0F336B" w14:textId="58BB5949"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115D5EC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E866030" w14:textId="77777777" w:rsidR="00FB1D38" w:rsidRPr="00112E7D" w:rsidRDefault="00FB1D38" w:rsidP="00FB1D38">
            <w:pPr>
              <w:spacing w:before="60" w:after="60"/>
              <w:jc w:val="both"/>
              <w:rPr>
                <w:rFonts w:ascii="Arial" w:hAnsi="Arial" w:cs="Arial"/>
                <w:szCs w:val="17"/>
              </w:rPr>
            </w:pPr>
          </w:p>
        </w:tc>
        <w:tc>
          <w:tcPr>
            <w:tcW w:w="7371" w:type="dxa"/>
            <w:tcBorders>
              <w:top w:val="single" w:sz="4" w:space="0" w:color="auto"/>
              <w:bottom w:val="single" w:sz="4" w:space="0" w:color="auto"/>
            </w:tcBorders>
          </w:tcPr>
          <w:p w14:paraId="7424EFFF" w14:textId="203C3A6B" w:rsidR="00FB1D38" w:rsidRPr="00112E7D" w:rsidRDefault="00FB1D38" w:rsidP="00FB1D38">
            <w:pPr>
              <w:pStyle w:val="Listnumindent2"/>
              <w:numPr>
                <w:ilvl w:val="1"/>
                <w:numId w:val="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include appropriate accountability arrangements and monitoring of the Excluded Entity</w:t>
            </w:r>
            <w:r>
              <w:rPr>
                <w:rFonts w:ascii="Arial" w:hAnsi="Arial" w:cs="Arial"/>
                <w:szCs w:val="17"/>
              </w:rPr>
              <w:t>’</w:t>
            </w:r>
            <w:r w:rsidRPr="00112E7D">
              <w:rPr>
                <w:rFonts w:ascii="Arial" w:hAnsi="Arial" w:cs="Arial"/>
                <w:szCs w:val="17"/>
              </w:rPr>
              <w:t>s Public Construction Procurement activities by the Agency responsible for issuing the requirements to ensure the Excluded Entity</w:t>
            </w:r>
            <w:r>
              <w:rPr>
                <w:rFonts w:ascii="Arial" w:hAnsi="Arial" w:cs="Arial"/>
                <w:szCs w:val="17"/>
              </w:rPr>
              <w:t>’</w:t>
            </w:r>
            <w:r w:rsidRPr="00112E7D">
              <w:rPr>
                <w:rFonts w:ascii="Arial" w:hAnsi="Arial" w:cs="Arial"/>
                <w:szCs w:val="17"/>
              </w:rPr>
              <w:t>s compliance with the requirements.</w:t>
            </w:r>
          </w:p>
        </w:tc>
        <w:tc>
          <w:tcPr>
            <w:tcW w:w="709" w:type="dxa"/>
            <w:tcBorders>
              <w:top w:val="single" w:sz="4" w:space="0" w:color="auto"/>
              <w:bottom w:val="single" w:sz="4" w:space="0" w:color="auto"/>
            </w:tcBorders>
          </w:tcPr>
          <w:p w14:paraId="4817EC51" w14:textId="265D19AA" w:rsidR="00FB1D38" w:rsidRPr="00AA3DD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A3DD1">
              <w:rPr>
                <w:rFonts w:asciiTheme="majorHAnsi" w:hAnsiTheme="majorHAnsi" w:cstheme="majorHAnsi"/>
                <w:sz w:val="20"/>
                <w:szCs w:val="20"/>
              </w:rPr>
              <w:sym w:font="Wingdings" w:char="F0A8"/>
            </w:r>
          </w:p>
        </w:tc>
      </w:tr>
      <w:tr w:rsidR="00FB1D38" w14:paraId="2C764A48"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tcBorders>
          </w:tcPr>
          <w:p w14:paraId="54508F55" w14:textId="77777777" w:rsidR="00FB1D38" w:rsidRDefault="00FB1D38" w:rsidP="00FB1D38">
            <w:pPr>
              <w:spacing w:before="60" w:after="60"/>
              <w:rPr>
                <w:rFonts w:ascii="Arial" w:hAnsi="Arial" w:cs="Arial"/>
                <w:szCs w:val="17"/>
              </w:rPr>
            </w:pPr>
            <w:r>
              <w:rPr>
                <w:rFonts w:ascii="Arial" w:hAnsi="Arial" w:cs="Arial"/>
                <w:szCs w:val="17"/>
              </w:rPr>
              <w:t>Dir 1.4.3</w:t>
            </w:r>
          </w:p>
          <w:p w14:paraId="3799DCAC" w14:textId="765C7710" w:rsidR="00FB1D38" w:rsidRDefault="00FB1D38" w:rsidP="00FB1D38">
            <w:pPr>
              <w:spacing w:before="60" w:after="60"/>
              <w:rPr>
                <w:rFonts w:ascii="Arial" w:hAnsi="Arial" w:cs="Arial"/>
                <w:szCs w:val="17"/>
              </w:rPr>
            </w:pPr>
            <w:r>
              <w:rPr>
                <w:rFonts w:ascii="Arial" w:hAnsi="Arial" w:cs="Arial"/>
                <w:szCs w:val="17"/>
              </w:rPr>
              <w:t>Exemption procedures</w:t>
            </w:r>
          </w:p>
        </w:tc>
        <w:tc>
          <w:tcPr>
            <w:tcW w:w="7371" w:type="dxa"/>
            <w:tcBorders>
              <w:top w:val="single" w:sz="4" w:space="0" w:color="auto"/>
              <w:bottom w:val="single" w:sz="4" w:space="0" w:color="auto"/>
            </w:tcBorders>
          </w:tcPr>
          <w:p w14:paraId="24B371E0" w14:textId="70AD2C96" w:rsidR="00FB1D38" w:rsidRDefault="00FB1D38" w:rsidP="00FB1D38">
            <w:pPr>
              <w:pStyle w:val="NormalIndent"/>
              <w:numPr>
                <w:ilvl w:val="0"/>
                <w:numId w:val="24"/>
              </w:numPr>
              <w:spacing w:before="60" w:after="60" w:line="240" w:lineRule="auto"/>
              <w:ind w:left="310" w:hanging="310"/>
              <w:jc w:val="left"/>
              <w:cnfStyle w:val="000000000000" w:firstRow="0" w:lastRow="0" w:firstColumn="0" w:lastColumn="0" w:oddVBand="0" w:evenVBand="0" w:oddHBand="0" w:evenHBand="0" w:firstRowFirstColumn="0" w:firstRowLastColumn="0" w:lastRowFirstColumn="0" w:lastRowLastColumn="0"/>
            </w:pPr>
            <w:r>
              <w:t>Exemptions must be requested in accordance with Instruction 1.4</w:t>
            </w:r>
          </w:p>
        </w:tc>
        <w:tc>
          <w:tcPr>
            <w:tcW w:w="709" w:type="dxa"/>
            <w:tcBorders>
              <w:top w:val="single" w:sz="4" w:space="0" w:color="auto"/>
              <w:bottom w:val="single" w:sz="4" w:space="0" w:color="auto"/>
            </w:tcBorders>
          </w:tcPr>
          <w:p w14:paraId="13246B7B" w14:textId="77777777"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4B34FAA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12DF2018" w14:textId="77777777" w:rsidR="00FB1D38" w:rsidRDefault="00FB1D38" w:rsidP="00FB1D38">
            <w:pPr>
              <w:spacing w:before="60" w:after="60"/>
              <w:rPr>
                <w:rFonts w:asciiTheme="majorHAnsi" w:hAnsiTheme="majorHAnsi" w:cstheme="majorHAnsi"/>
              </w:rPr>
            </w:pPr>
            <w:r w:rsidRPr="00112E7D">
              <w:rPr>
                <w:rFonts w:ascii="Arial" w:hAnsi="Arial" w:cs="Arial"/>
                <w:szCs w:val="17"/>
              </w:rPr>
              <w:t>Inst 1.4</w:t>
            </w:r>
          </w:p>
          <w:p w14:paraId="70C8D495" w14:textId="5F531F28" w:rsidR="00FB1D38" w:rsidRDefault="00FB1D38" w:rsidP="00FB1D38">
            <w:pPr>
              <w:spacing w:before="60" w:after="60"/>
              <w:rPr>
                <w:rFonts w:asciiTheme="majorHAnsi" w:hAnsiTheme="majorHAnsi" w:cstheme="majorHAnsi"/>
              </w:rPr>
            </w:pPr>
            <w:r w:rsidRPr="00112E7D">
              <w:rPr>
                <w:rFonts w:ascii="Arial" w:hAnsi="Arial" w:cs="Arial"/>
                <w:szCs w:val="17"/>
              </w:rPr>
              <w:t>Exemptions</w:t>
            </w:r>
          </w:p>
        </w:tc>
        <w:tc>
          <w:tcPr>
            <w:tcW w:w="7371" w:type="dxa"/>
            <w:tcBorders>
              <w:top w:val="single" w:sz="4" w:space="0" w:color="auto"/>
              <w:bottom w:val="single" w:sz="4" w:space="0" w:color="auto"/>
            </w:tcBorders>
          </w:tcPr>
          <w:p w14:paraId="7E5E3DB8" w14:textId="020C5BC9" w:rsidR="00FB1D38" w:rsidRPr="00983AD3"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The Accountable Officer of the Agency seeking an exemption must:</w:t>
            </w:r>
          </w:p>
        </w:tc>
        <w:tc>
          <w:tcPr>
            <w:tcW w:w="709" w:type="dxa"/>
            <w:tcBorders>
              <w:top w:val="single" w:sz="4" w:space="0" w:color="auto"/>
              <w:bottom w:val="single" w:sz="4" w:space="0" w:color="auto"/>
            </w:tcBorders>
            <w:shd w:val="clear" w:color="auto" w:fill="F2F2F2" w:themeFill="background1" w:themeFillShade="F2"/>
          </w:tcPr>
          <w:p w14:paraId="1FADC746" w14:textId="493A92E2"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536B666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858D894"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3796A1A" w14:textId="7433A987" w:rsidR="00FB1D38" w:rsidRPr="00112E7D" w:rsidRDefault="00FB1D38" w:rsidP="00FB1D38">
            <w:pPr>
              <w:pStyle w:val="NormalIndent"/>
              <w:numPr>
                <w:ilvl w:val="6"/>
                <w:numId w:val="89"/>
              </w:numPr>
              <w:tabs>
                <w:tab w:val="clear" w:pos="1296"/>
              </w:tabs>
              <w:spacing w:before="60" w:after="60" w:line="240" w:lineRule="auto"/>
              <w:ind w:left="375" w:hanging="37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ensure that an application for an exemption under Direction 1.4:</w:t>
            </w:r>
          </w:p>
        </w:tc>
        <w:tc>
          <w:tcPr>
            <w:tcW w:w="709" w:type="dxa"/>
            <w:tcBorders>
              <w:top w:val="single" w:sz="4" w:space="0" w:color="auto"/>
              <w:bottom w:val="single" w:sz="4" w:space="0" w:color="auto"/>
            </w:tcBorders>
            <w:shd w:val="clear" w:color="auto" w:fill="F2F2F2" w:themeFill="background1" w:themeFillShade="F2"/>
          </w:tcPr>
          <w:p w14:paraId="03E8341A" w14:textId="503F8795"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036DA2E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39DFBBC"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ECF1152" w14:textId="459C8852" w:rsidR="00FB1D38" w:rsidRPr="00A47DA5" w:rsidRDefault="00FB1D38" w:rsidP="00FB1D38">
            <w:pPr>
              <w:pStyle w:val="Listnumindent2"/>
              <w:numPr>
                <w:ilvl w:val="0"/>
                <w:numId w:val="20"/>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is in writing;</w:t>
            </w:r>
          </w:p>
        </w:tc>
        <w:tc>
          <w:tcPr>
            <w:tcW w:w="709" w:type="dxa"/>
            <w:tcBorders>
              <w:top w:val="single" w:sz="4" w:space="0" w:color="auto"/>
              <w:bottom w:val="single" w:sz="4" w:space="0" w:color="auto"/>
            </w:tcBorders>
          </w:tcPr>
          <w:p w14:paraId="48D84F34" w14:textId="19BDE146"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2344A1E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E752333"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ED444A7" w14:textId="7127E931" w:rsidR="00FB1D38" w:rsidRPr="00A47DA5" w:rsidRDefault="00FB1D38" w:rsidP="00FB1D38">
            <w:pPr>
              <w:pStyle w:val="Listnumindent2"/>
              <w:numPr>
                <w:ilvl w:val="0"/>
                <w:numId w:val="20"/>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states the reasons why the exemption is necessary;</w:t>
            </w:r>
          </w:p>
        </w:tc>
        <w:tc>
          <w:tcPr>
            <w:tcW w:w="709" w:type="dxa"/>
            <w:tcBorders>
              <w:top w:val="single" w:sz="4" w:space="0" w:color="auto"/>
              <w:bottom w:val="single" w:sz="4" w:space="0" w:color="auto"/>
            </w:tcBorders>
          </w:tcPr>
          <w:p w14:paraId="505A8E83" w14:textId="2477F52D"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635C2B7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8E8DF0E"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8C1FB3E" w14:textId="1C5F73BA" w:rsidR="00FB1D38" w:rsidRPr="00983AD3" w:rsidRDefault="00FB1D38" w:rsidP="00FB1D38">
            <w:pPr>
              <w:pStyle w:val="Listnumindent2"/>
              <w:numPr>
                <w:ilvl w:val="0"/>
                <w:numId w:val="20"/>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specifies the proposed alternative action or procedures that will be adopted by the Agency; and</w:t>
            </w:r>
          </w:p>
        </w:tc>
        <w:tc>
          <w:tcPr>
            <w:tcW w:w="709" w:type="dxa"/>
            <w:tcBorders>
              <w:top w:val="single" w:sz="4" w:space="0" w:color="auto"/>
              <w:bottom w:val="single" w:sz="4" w:space="0" w:color="auto"/>
            </w:tcBorders>
          </w:tcPr>
          <w:p w14:paraId="24D06D97" w14:textId="29058269"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4A8B9E0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68489A2"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5A0EFCF" w14:textId="27C571BA" w:rsidR="00FB1D38" w:rsidRPr="00112E7D" w:rsidRDefault="00FB1D38" w:rsidP="00FB1D38">
            <w:pPr>
              <w:pStyle w:val="Listnumindent2"/>
              <w:numPr>
                <w:ilvl w:val="0"/>
                <w:numId w:val="20"/>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explains how the alternative action or procedures will ensure that Public Construction Procurement is undertaken in a manner that is consistent with the </w:t>
            </w:r>
            <w:r>
              <w:rPr>
                <w:rFonts w:ascii="Arial" w:hAnsi="Arial" w:cs="Arial"/>
                <w:szCs w:val="17"/>
              </w:rPr>
              <w:t>principles set out in Direction 1.2</w:t>
            </w:r>
            <w:r w:rsidRPr="00112E7D">
              <w:rPr>
                <w:rFonts w:ascii="Arial" w:hAnsi="Arial" w:cs="Arial"/>
                <w:szCs w:val="17"/>
              </w:rPr>
              <w:t>;</w:t>
            </w:r>
          </w:p>
        </w:tc>
        <w:tc>
          <w:tcPr>
            <w:tcW w:w="709" w:type="dxa"/>
            <w:tcBorders>
              <w:top w:val="single" w:sz="4" w:space="0" w:color="auto"/>
              <w:bottom w:val="single" w:sz="4" w:space="0" w:color="auto"/>
            </w:tcBorders>
          </w:tcPr>
          <w:p w14:paraId="7A1C9783" w14:textId="5368BF6C"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01227DDF"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7507EBB2"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BEA01C0" w14:textId="4E94E180" w:rsidR="00FB1D38" w:rsidRPr="00983AD3" w:rsidRDefault="00FB1D38" w:rsidP="00FB1D38">
            <w:pPr>
              <w:pStyle w:val="NormalIndent"/>
              <w:numPr>
                <w:ilvl w:val="6"/>
                <w:numId w:val="89"/>
              </w:numPr>
              <w:spacing w:before="60" w:after="60" w:line="240" w:lineRule="auto"/>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ensure that the proposed alternative action or procedures are not implemented until after an exemption is provided, to the extent that the action would otherwise conflict with these Directions and Instructions or require unnecessary duplication;</w:t>
            </w:r>
          </w:p>
        </w:tc>
        <w:tc>
          <w:tcPr>
            <w:tcW w:w="709" w:type="dxa"/>
            <w:tcBorders>
              <w:top w:val="single" w:sz="4" w:space="0" w:color="auto"/>
              <w:bottom w:val="single" w:sz="4" w:space="0" w:color="auto"/>
            </w:tcBorders>
          </w:tcPr>
          <w:p w14:paraId="6B5206C7" w14:textId="748484CC"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75299FD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3F74777"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07D88FB" w14:textId="7010610A" w:rsidR="00FB1D38" w:rsidRPr="00983AD3" w:rsidRDefault="00FB1D38" w:rsidP="00FB1D38">
            <w:pPr>
              <w:pStyle w:val="NormalIndent"/>
              <w:numPr>
                <w:ilvl w:val="6"/>
                <w:numId w:val="89"/>
              </w:numPr>
              <w:spacing w:before="60" w:after="60" w:line="240" w:lineRule="auto"/>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ensure that the Agency complies with the conditions of any exemption provided under Direction 1.4; and</w:t>
            </w:r>
          </w:p>
        </w:tc>
        <w:tc>
          <w:tcPr>
            <w:tcW w:w="709" w:type="dxa"/>
            <w:tcBorders>
              <w:top w:val="single" w:sz="4" w:space="0" w:color="auto"/>
              <w:bottom w:val="single" w:sz="4" w:space="0" w:color="auto"/>
            </w:tcBorders>
          </w:tcPr>
          <w:p w14:paraId="7AFCDC79" w14:textId="1AE77BE6"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16A368E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86570F3"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6AB02E1" w14:textId="35278773" w:rsidR="00FB1D38" w:rsidRPr="00112E7D" w:rsidRDefault="00FB1D38" w:rsidP="00FB1D38">
            <w:pPr>
              <w:pStyle w:val="NormalIndent"/>
              <w:numPr>
                <w:ilvl w:val="6"/>
                <w:numId w:val="89"/>
              </w:numPr>
              <w:spacing w:before="60" w:after="60" w:line="240" w:lineRule="auto"/>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maintain a record of applications for exemptions requested by their Agency under Direction 1.4, including whether or not the exemption was granted and any conditions upon which the exemptions were granted, and must make a record available for inspection by the Auditor-General.</w:t>
            </w:r>
          </w:p>
        </w:tc>
        <w:tc>
          <w:tcPr>
            <w:tcW w:w="709" w:type="dxa"/>
            <w:tcBorders>
              <w:top w:val="single" w:sz="4" w:space="0" w:color="auto"/>
              <w:bottom w:val="single" w:sz="4" w:space="0" w:color="auto"/>
            </w:tcBorders>
          </w:tcPr>
          <w:p w14:paraId="299A3B18" w14:textId="3D88EEB6"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26C04FD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0502E55" w14:textId="77777777" w:rsidR="00FB1D38" w:rsidRPr="00BE2219" w:rsidRDefault="00FB1D38" w:rsidP="00FB1D38">
            <w:pPr>
              <w:spacing w:before="60" w:after="60"/>
              <w:rPr>
                <w:rFonts w:ascii="Arial" w:hAnsi="Arial" w:cs="Arial"/>
                <w:szCs w:val="17"/>
              </w:rPr>
            </w:pPr>
            <w:r w:rsidRPr="00112E7D">
              <w:rPr>
                <w:rFonts w:ascii="Arial" w:hAnsi="Arial" w:cs="Arial"/>
                <w:szCs w:val="17"/>
              </w:rPr>
              <w:t>Dir 2.1</w:t>
            </w:r>
          </w:p>
          <w:p w14:paraId="5156A33C" w14:textId="38BE870F" w:rsidR="00FB1D38" w:rsidRDefault="00FB1D38" w:rsidP="00FB1D38">
            <w:pPr>
              <w:spacing w:before="60" w:after="60"/>
              <w:rPr>
                <w:rFonts w:asciiTheme="majorHAnsi" w:hAnsiTheme="majorHAnsi" w:cstheme="majorHAnsi"/>
              </w:rPr>
            </w:pPr>
            <w:r w:rsidRPr="00112E7D">
              <w:rPr>
                <w:rFonts w:ascii="Arial" w:hAnsi="Arial" w:cs="Arial"/>
                <w:szCs w:val="17"/>
              </w:rPr>
              <w:t>International Agreements</w:t>
            </w:r>
          </w:p>
        </w:tc>
        <w:tc>
          <w:tcPr>
            <w:tcW w:w="7371" w:type="dxa"/>
            <w:tcBorders>
              <w:top w:val="single" w:sz="4" w:space="0" w:color="auto"/>
              <w:bottom w:val="single" w:sz="4" w:space="0" w:color="auto"/>
            </w:tcBorders>
          </w:tcPr>
          <w:p w14:paraId="216988BB" w14:textId="5458C415" w:rsidR="00FB1D38" w:rsidRPr="00BE2219"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BE2219">
              <w:rPr>
                <w:rFonts w:ascii="Arial" w:hAnsi="Arial" w:cs="Arial"/>
                <w:szCs w:val="17"/>
              </w:rPr>
              <w:t>If the requirements of an International Agreement apply to an Agency when undertaking Public Construction Procurement, the Agency must ensure that it complies with the additional requirements set out in Instruction 2.1.</w:t>
            </w:r>
          </w:p>
        </w:tc>
        <w:tc>
          <w:tcPr>
            <w:tcW w:w="709" w:type="dxa"/>
            <w:tcBorders>
              <w:top w:val="single" w:sz="4" w:space="0" w:color="auto"/>
              <w:bottom w:val="single" w:sz="4" w:space="0" w:color="auto"/>
            </w:tcBorders>
          </w:tcPr>
          <w:p w14:paraId="0C56D412" w14:textId="0A412727"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63A71">
              <w:rPr>
                <w:rFonts w:asciiTheme="majorHAnsi" w:hAnsiTheme="majorHAnsi" w:cstheme="majorHAnsi"/>
                <w:sz w:val="20"/>
                <w:szCs w:val="20"/>
              </w:rPr>
              <w:sym w:font="Wingdings" w:char="F0A8"/>
            </w:r>
          </w:p>
        </w:tc>
      </w:tr>
      <w:tr w:rsidR="00FB1D38" w14:paraId="207C427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8A9D076"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5AF2FDD" w14:textId="5B80EA4C" w:rsidR="00FB1D38" w:rsidRPr="00BE2219"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BE2219">
              <w:rPr>
                <w:rFonts w:ascii="Arial" w:hAnsi="Arial" w:cs="Arial"/>
                <w:szCs w:val="17"/>
              </w:rPr>
              <w:t>Each agency is responsible for ensuring that it confirms whether Instruction 2.1 applies to the engagement of a supplier to perform Works or Construction Services</w:t>
            </w:r>
            <w:r>
              <w:rPr>
                <w:rFonts w:ascii="Arial" w:hAnsi="Arial" w:cs="Arial"/>
                <w:szCs w:val="17"/>
              </w:rPr>
              <w:t>.</w:t>
            </w:r>
          </w:p>
        </w:tc>
        <w:tc>
          <w:tcPr>
            <w:tcW w:w="709" w:type="dxa"/>
            <w:tcBorders>
              <w:top w:val="single" w:sz="4" w:space="0" w:color="auto"/>
              <w:bottom w:val="single" w:sz="4" w:space="0" w:color="auto"/>
            </w:tcBorders>
          </w:tcPr>
          <w:p w14:paraId="2CCBE177" w14:textId="367B05F2"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rsidRPr="008074C7" w14:paraId="40CA15B8"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bottom w:val="single" w:sz="2" w:space="0" w:color="auto"/>
            </w:tcBorders>
          </w:tcPr>
          <w:p w14:paraId="663A42E1" w14:textId="77777777" w:rsidR="00FB1D38" w:rsidRPr="00112E7D" w:rsidRDefault="00FB1D38" w:rsidP="00FB1D38">
            <w:pPr>
              <w:spacing w:before="60" w:after="60"/>
              <w:rPr>
                <w:rFonts w:ascii="Arial" w:hAnsi="Arial" w:cs="Arial"/>
                <w:szCs w:val="17"/>
              </w:rPr>
            </w:pPr>
            <w:r w:rsidRPr="00112E7D">
              <w:rPr>
                <w:rFonts w:ascii="Arial" w:hAnsi="Arial" w:cs="Arial"/>
                <w:szCs w:val="17"/>
              </w:rPr>
              <w:t>Inst 2.1</w:t>
            </w:r>
            <w:r>
              <w:rPr>
                <w:rFonts w:ascii="Arial" w:hAnsi="Arial" w:cs="Arial"/>
                <w:szCs w:val="17"/>
              </w:rPr>
              <w:t>.1</w:t>
            </w:r>
          </w:p>
          <w:p w14:paraId="64A8AF69" w14:textId="10DC15BA" w:rsidR="00FB1D38" w:rsidRDefault="00FB1D38" w:rsidP="00FB1D38">
            <w:pPr>
              <w:spacing w:before="60" w:after="60"/>
              <w:rPr>
                <w:rFonts w:ascii="Arial" w:hAnsi="Arial" w:cs="Arial"/>
                <w:szCs w:val="17"/>
              </w:rPr>
            </w:pPr>
            <w:r>
              <w:rPr>
                <w:rFonts w:ascii="Arial" w:hAnsi="Arial" w:cs="Arial"/>
                <w:szCs w:val="17"/>
              </w:rPr>
              <w:t xml:space="preserve">When </w:t>
            </w:r>
            <w:r w:rsidRPr="00112E7D">
              <w:rPr>
                <w:rFonts w:ascii="Arial" w:hAnsi="Arial" w:cs="Arial"/>
                <w:szCs w:val="17"/>
              </w:rPr>
              <w:t>International Agreements</w:t>
            </w:r>
            <w:r>
              <w:rPr>
                <w:rFonts w:ascii="Arial" w:hAnsi="Arial" w:cs="Arial"/>
                <w:szCs w:val="17"/>
              </w:rPr>
              <w:t xml:space="preserve"> apply</w:t>
            </w:r>
          </w:p>
        </w:tc>
        <w:tc>
          <w:tcPr>
            <w:tcW w:w="7371" w:type="dxa"/>
            <w:tcBorders>
              <w:top w:val="single" w:sz="4" w:space="0" w:color="auto"/>
              <w:bottom w:val="single" w:sz="2" w:space="0" w:color="auto"/>
            </w:tcBorders>
          </w:tcPr>
          <w:p w14:paraId="365E47B4" w14:textId="4D173088"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Instruction 2.1.1 describes when International Agreements apply.</w:t>
            </w:r>
          </w:p>
        </w:tc>
        <w:tc>
          <w:tcPr>
            <w:tcW w:w="709" w:type="dxa"/>
            <w:tcBorders>
              <w:top w:val="single" w:sz="4" w:space="0" w:color="auto"/>
              <w:bottom w:val="single" w:sz="2" w:space="0" w:color="auto"/>
            </w:tcBorders>
            <w:shd w:val="clear" w:color="auto" w:fill="F2F2F2" w:themeFill="background1" w:themeFillShade="F2"/>
          </w:tcPr>
          <w:p w14:paraId="59F1A832" w14:textId="77777777"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rsidRPr="008074C7" w14:paraId="71387627"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2" w:space="0" w:color="auto"/>
              <w:bottom w:val="single" w:sz="2" w:space="0" w:color="auto"/>
            </w:tcBorders>
          </w:tcPr>
          <w:p w14:paraId="1AA14FC9" w14:textId="77777777" w:rsidR="00FB1D38" w:rsidRPr="00112E7D" w:rsidRDefault="00FB1D38" w:rsidP="00FB1D38">
            <w:pPr>
              <w:spacing w:before="60" w:after="60"/>
              <w:rPr>
                <w:rFonts w:ascii="Arial" w:hAnsi="Arial" w:cs="Arial"/>
                <w:szCs w:val="17"/>
              </w:rPr>
            </w:pPr>
            <w:r>
              <w:rPr>
                <w:rFonts w:ascii="Arial" w:hAnsi="Arial" w:cs="Arial"/>
                <w:szCs w:val="17"/>
              </w:rPr>
              <w:t>Inst 2.1.2</w:t>
            </w:r>
          </w:p>
          <w:p w14:paraId="2FE6C342" w14:textId="2ABC7355" w:rsidR="00FB1D38" w:rsidRDefault="00FB1D38" w:rsidP="00FB1D38">
            <w:pPr>
              <w:spacing w:before="60" w:after="60"/>
              <w:rPr>
                <w:rFonts w:ascii="Arial" w:hAnsi="Arial" w:cs="Arial"/>
                <w:szCs w:val="17"/>
              </w:rPr>
            </w:pPr>
            <w:r>
              <w:rPr>
                <w:rFonts w:ascii="Arial" w:hAnsi="Arial" w:cs="Arial"/>
                <w:szCs w:val="17"/>
              </w:rPr>
              <w:t xml:space="preserve">When </w:t>
            </w:r>
            <w:r w:rsidRPr="00112E7D">
              <w:rPr>
                <w:rFonts w:ascii="Arial" w:hAnsi="Arial" w:cs="Arial"/>
                <w:szCs w:val="17"/>
              </w:rPr>
              <w:t>International Agreements</w:t>
            </w:r>
            <w:r>
              <w:rPr>
                <w:rFonts w:ascii="Arial" w:hAnsi="Arial" w:cs="Arial"/>
                <w:szCs w:val="17"/>
              </w:rPr>
              <w:t xml:space="preserve"> do not apply</w:t>
            </w:r>
          </w:p>
        </w:tc>
        <w:tc>
          <w:tcPr>
            <w:tcW w:w="7371" w:type="dxa"/>
            <w:tcBorders>
              <w:top w:val="single" w:sz="2" w:space="0" w:color="auto"/>
              <w:bottom w:val="single" w:sz="2" w:space="0" w:color="auto"/>
            </w:tcBorders>
          </w:tcPr>
          <w:p w14:paraId="42DD8C0D" w14:textId="77608690"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Instruction 2.1.2 describes when International Agreements do not apply.</w:t>
            </w:r>
          </w:p>
        </w:tc>
        <w:tc>
          <w:tcPr>
            <w:tcW w:w="709" w:type="dxa"/>
            <w:tcBorders>
              <w:top w:val="single" w:sz="2" w:space="0" w:color="auto"/>
              <w:bottom w:val="single" w:sz="2" w:space="0" w:color="auto"/>
            </w:tcBorders>
            <w:shd w:val="clear" w:color="auto" w:fill="F2F2F2" w:themeFill="background1" w:themeFillShade="F2"/>
          </w:tcPr>
          <w:p w14:paraId="485296BB" w14:textId="77777777"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rsidRPr="008074C7" w14:paraId="3B737C99"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2" w:space="0" w:color="auto"/>
              <w:bottom w:val="single" w:sz="2" w:space="0" w:color="auto"/>
            </w:tcBorders>
          </w:tcPr>
          <w:p w14:paraId="453F127C" w14:textId="77777777" w:rsidR="00FB1D38" w:rsidRPr="00112E7D" w:rsidRDefault="00FB1D38" w:rsidP="00FB1D38">
            <w:pPr>
              <w:spacing w:before="60" w:after="60"/>
              <w:rPr>
                <w:rFonts w:ascii="Arial" w:hAnsi="Arial" w:cs="Arial"/>
                <w:szCs w:val="17"/>
              </w:rPr>
            </w:pPr>
            <w:r>
              <w:rPr>
                <w:rFonts w:ascii="Arial" w:hAnsi="Arial" w:cs="Arial"/>
                <w:szCs w:val="17"/>
              </w:rPr>
              <w:t>Inst 2.1.3</w:t>
            </w:r>
          </w:p>
          <w:p w14:paraId="1DB03248" w14:textId="2337F9D2" w:rsidR="00FB1D38" w:rsidRDefault="00FB1D38" w:rsidP="00FB1D38">
            <w:pPr>
              <w:spacing w:before="60" w:after="60"/>
              <w:rPr>
                <w:rFonts w:ascii="Arial" w:hAnsi="Arial" w:cs="Arial"/>
                <w:szCs w:val="17"/>
              </w:rPr>
            </w:pPr>
            <w:r>
              <w:rPr>
                <w:rFonts w:ascii="Arial" w:hAnsi="Arial" w:cs="Arial"/>
                <w:szCs w:val="17"/>
              </w:rPr>
              <w:t xml:space="preserve">Require-ments of </w:t>
            </w:r>
            <w:r>
              <w:rPr>
                <w:rFonts w:ascii="Arial" w:hAnsi="Arial" w:cs="Arial"/>
                <w:szCs w:val="17"/>
              </w:rPr>
              <w:lastRenderedPageBreak/>
              <w:t>International Agreements</w:t>
            </w:r>
          </w:p>
        </w:tc>
        <w:tc>
          <w:tcPr>
            <w:tcW w:w="7371" w:type="dxa"/>
            <w:tcBorders>
              <w:top w:val="single" w:sz="2" w:space="0" w:color="auto"/>
              <w:bottom w:val="single" w:sz="2" w:space="0" w:color="auto"/>
            </w:tcBorders>
          </w:tcPr>
          <w:p w14:paraId="0B85A8FC" w14:textId="60BB06CA"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lastRenderedPageBreak/>
              <w:t>Where International Agreements apply, Agencies must follow the requirements of Attachment 2 to Instruction 2.1</w:t>
            </w:r>
            <w:r w:rsidRPr="00112E7D">
              <w:rPr>
                <w:rFonts w:ascii="Arial" w:hAnsi="Arial" w:cs="Arial"/>
                <w:szCs w:val="17"/>
              </w:rPr>
              <w:t>.</w:t>
            </w:r>
          </w:p>
        </w:tc>
        <w:tc>
          <w:tcPr>
            <w:tcW w:w="709" w:type="dxa"/>
            <w:tcBorders>
              <w:top w:val="single" w:sz="2" w:space="0" w:color="auto"/>
              <w:bottom w:val="single" w:sz="2" w:space="0" w:color="auto"/>
            </w:tcBorders>
          </w:tcPr>
          <w:p w14:paraId="21B08133" w14:textId="099E119A" w:rsidR="00FB1D38" w:rsidRPr="00363A71"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63A71">
              <w:rPr>
                <w:rFonts w:asciiTheme="majorHAnsi" w:hAnsiTheme="majorHAnsi" w:cstheme="majorHAnsi"/>
                <w:sz w:val="20"/>
                <w:szCs w:val="20"/>
              </w:rPr>
              <w:sym w:font="Wingdings" w:char="F0A8"/>
            </w:r>
          </w:p>
        </w:tc>
      </w:tr>
      <w:tr w:rsidR="00FB1D38" w14:paraId="0A708385"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2" w:space="0" w:color="auto"/>
              <w:bottom w:val="single" w:sz="4" w:space="0" w:color="auto"/>
            </w:tcBorders>
          </w:tcPr>
          <w:p w14:paraId="374C18CB" w14:textId="77777777" w:rsidR="00FB1D38" w:rsidRDefault="00FB1D38" w:rsidP="00FB1D38">
            <w:pPr>
              <w:spacing w:before="60" w:after="60"/>
              <w:rPr>
                <w:rFonts w:asciiTheme="majorHAnsi" w:hAnsiTheme="majorHAnsi" w:cstheme="majorHAnsi"/>
              </w:rPr>
            </w:pPr>
            <w:r w:rsidRPr="00112E7D">
              <w:rPr>
                <w:rFonts w:ascii="Arial" w:hAnsi="Arial" w:cs="Arial"/>
                <w:szCs w:val="17"/>
              </w:rPr>
              <w:t>Inst 2.2</w:t>
            </w:r>
            <w:r>
              <w:rPr>
                <w:rFonts w:ascii="Arial" w:hAnsi="Arial" w:cs="Arial"/>
                <w:szCs w:val="17"/>
              </w:rPr>
              <w:t>.1</w:t>
            </w:r>
          </w:p>
          <w:p w14:paraId="6DA97D40" w14:textId="13802D07" w:rsidR="00FB1D38" w:rsidRDefault="00FB1D38" w:rsidP="00FB1D38">
            <w:pPr>
              <w:spacing w:before="60" w:after="60"/>
              <w:rPr>
                <w:rFonts w:asciiTheme="majorHAnsi" w:hAnsiTheme="majorHAnsi" w:cstheme="majorHAnsi"/>
              </w:rPr>
            </w:pPr>
            <w:r>
              <w:rPr>
                <w:rFonts w:ascii="Arial" w:hAnsi="Arial" w:cs="Arial"/>
                <w:szCs w:val="17"/>
              </w:rPr>
              <w:t xml:space="preserve">When the </w:t>
            </w:r>
            <w:r w:rsidRPr="00112E7D">
              <w:rPr>
                <w:rFonts w:ascii="Arial" w:hAnsi="Arial" w:cs="Arial"/>
                <w:szCs w:val="17"/>
              </w:rPr>
              <w:t>Australia New Zealand Government Procurement Agreement</w:t>
            </w:r>
            <w:r>
              <w:rPr>
                <w:rFonts w:ascii="Arial" w:hAnsi="Arial" w:cs="Arial"/>
                <w:szCs w:val="17"/>
              </w:rPr>
              <w:t xml:space="preserve"> applies</w:t>
            </w:r>
          </w:p>
        </w:tc>
        <w:tc>
          <w:tcPr>
            <w:tcW w:w="7371" w:type="dxa"/>
            <w:tcBorders>
              <w:top w:val="single" w:sz="2" w:space="0" w:color="auto"/>
              <w:bottom w:val="single" w:sz="4" w:space="0" w:color="auto"/>
            </w:tcBorders>
          </w:tcPr>
          <w:p w14:paraId="1A36E568" w14:textId="77777777" w:rsidR="00FB1D38" w:rsidRPr="00112E7D"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All Agencies must apply the provisions of the Australia New Zealand Government Procurement Agreement.</w:t>
            </w:r>
          </w:p>
          <w:p w14:paraId="30BDA419" w14:textId="7347B5B2" w:rsidR="00FB1D38" w:rsidRPr="009270F2"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Subject to </w:t>
            </w:r>
            <w:r>
              <w:rPr>
                <w:rFonts w:ascii="Arial" w:hAnsi="Arial" w:cs="Arial"/>
                <w:szCs w:val="17"/>
              </w:rPr>
              <w:t xml:space="preserve">Instruction </w:t>
            </w:r>
            <w:r w:rsidRPr="00112E7D">
              <w:rPr>
                <w:rFonts w:ascii="Arial" w:hAnsi="Arial" w:cs="Arial"/>
                <w:szCs w:val="17"/>
              </w:rPr>
              <w:t>2.2.2, the requirements of the Australia New Zealand Government Procurement Agreement apply to all procurement activity.</w:t>
            </w:r>
          </w:p>
        </w:tc>
        <w:tc>
          <w:tcPr>
            <w:tcW w:w="709" w:type="dxa"/>
            <w:tcBorders>
              <w:top w:val="single" w:sz="2" w:space="0" w:color="auto"/>
              <w:bottom w:val="single" w:sz="4" w:space="0" w:color="auto"/>
            </w:tcBorders>
          </w:tcPr>
          <w:p w14:paraId="331B952A" w14:textId="7C1056AD" w:rsidR="00FB1D38" w:rsidRPr="0037193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71937">
              <w:rPr>
                <w:rFonts w:asciiTheme="majorHAnsi" w:hAnsiTheme="majorHAnsi" w:cstheme="majorHAnsi"/>
                <w:sz w:val="20"/>
                <w:szCs w:val="20"/>
              </w:rPr>
              <w:sym w:font="Wingdings" w:char="F0A8"/>
            </w:r>
          </w:p>
        </w:tc>
      </w:tr>
      <w:tr w:rsidR="00FB1D38" w14:paraId="43D969BE"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2" w:space="0" w:color="auto"/>
              <w:bottom w:val="single" w:sz="4" w:space="0" w:color="auto"/>
            </w:tcBorders>
          </w:tcPr>
          <w:p w14:paraId="7788E9BF" w14:textId="77777777" w:rsidR="00FB1D38" w:rsidRPr="00112E7D" w:rsidRDefault="00FB1D38" w:rsidP="00FB1D38">
            <w:pPr>
              <w:spacing w:before="60" w:after="60"/>
              <w:rPr>
                <w:rFonts w:ascii="Arial" w:hAnsi="Arial" w:cs="Arial"/>
                <w:szCs w:val="17"/>
              </w:rPr>
            </w:pPr>
            <w:r>
              <w:rPr>
                <w:rFonts w:ascii="Arial" w:hAnsi="Arial" w:cs="Arial"/>
                <w:szCs w:val="17"/>
              </w:rPr>
              <w:t>Inst 2.2.2</w:t>
            </w:r>
          </w:p>
          <w:p w14:paraId="6BEAF008" w14:textId="3AEED5B2" w:rsidR="00FB1D38" w:rsidRDefault="00FB1D38" w:rsidP="00FB1D38">
            <w:pPr>
              <w:spacing w:before="60" w:after="60"/>
              <w:rPr>
                <w:rFonts w:ascii="Arial" w:hAnsi="Arial" w:cs="Arial"/>
                <w:szCs w:val="17"/>
              </w:rPr>
            </w:pPr>
            <w:r>
              <w:rPr>
                <w:rFonts w:ascii="Arial" w:hAnsi="Arial" w:cs="Arial"/>
                <w:szCs w:val="17"/>
              </w:rPr>
              <w:t xml:space="preserve">When the </w:t>
            </w:r>
            <w:r w:rsidRPr="00112E7D">
              <w:rPr>
                <w:rFonts w:ascii="Arial" w:hAnsi="Arial" w:cs="Arial"/>
                <w:szCs w:val="17"/>
              </w:rPr>
              <w:t>Australia New Zealand Government Procurement Agreement</w:t>
            </w:r>
            <w:r>
              <w:rPr>
                <w:rFonts w:ascii="Arial" w:hAnsi="Arial" w:cs="Arial"/>
                <w:szCs w:val="17"/>
              </w:rPr>
              <w:t xml:space="preserve"> does not apply</w:t>
            </w:r>
          </w:p>
        </w:tc>
        <w:tc>
          <w:tcPr>
            <w:tcW w:w="7371" w:type="dxa"/>
            <w:tcBorders>
              <w:top w:val="single" w:sz="2" w:space="0" w:color="auto"/>
              <w:bottom w:val="single" w:sz="4" w:space="0" w:color="auto"/>
            </w:tcBorders>
          </w:tcPr>
          <w:p w14:paraId="2F075AF1" w14:textId="1814DBFA" w:rsidR="00FB1D38" w:rsidRPr="00112E7D"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Instruction 2.2.2 describes when the Australia New Zealand Government Procurement Agreement does not apply.</w:t>
            </w:r>
          </w:p>
        </w:tc>
        <w:tc>
          <w:tcPr>
            <w:tcW w:w="709" w:type="dxa"/>
            <w:tcBorders>
              <w:top w:val="single" w:sz="2" w:space="0" w:color="auto"/>
              <w:bottom w:val="single" w:sz="4" w:space="0" w:color="auto"/>
            </w:tcBorders>
            <w:shd w:val="clear" w:color="auto" w:fill="F2F2F2" w:themeFill="background1" w:themeFillShade="F2"/>
          </w:tcPr>
          <w:p w14:paraId="4838A917" w14:textId="77777777" w:rsidR="00FB1D38" w:rsidRPr="0037193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551D6B0B"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2" w:space="0" w:color="auto"/>
              <w:bottom w:val="single" w:sz="4" w:space="0" w:color="auto"/>
            </w:tcBorders>
          </w:tcPr>
          <w:p w14:paraId="6F4ACC41" w14:textId="77777777" w:rsidR="00FB1D38" w:rsidRPr="00112E7D" w:rsidRDefault="00FB1D38" w:rsidP="00FB1D38">
            <w:pPr>
              <w:spacing w:before="60" w:after="60"/>
              <w:rPr>
                <w:rFonts w:ascii="Arial" w:hAnsi="Arial" w:cs="Arial"/>
                <w:szCs w:val="17"/>
              </w:rPr>
            </w:pPr>
            <w:r>
              <w:rPr>
                <w:rFonts w:ascii="Arial" w:hAnsi="Arial" w:cs="Arial"/>
                <w:szCs w:val="17"/>
              </w:rPr>
              <w:t>Inst 2.2.3</w:t>
            </w:r>
          </w:p>
          <w:p w14:paraId="45B93589" w14:textId="0F3F4052" w:rsidR="00FB1D38" w:rsidRDefault="00FB1D38" w:rsidP="00FB1D38">
            <w:pPr>
              <w:spacing w:before="60" w:after="60"/>
              <w:rPr>
                <w:rFonts w:ascii="Arial" w:hAnsi="Arial" w:cs="Arial"/>
                <w:szCs w:val="17"/>
              </w:rPr>
            </w:pPr>
            <w:r>
              <w:rPr>
                <w:rFonts w:ascii="Arial" w:hAnsi="Arial" w:cs="Arial"/>
                <w:szCs w:val="17"/>
              </w:rPr>
              <w:t>Require-ments of the Australia New Zealand Government Procurement Agreement</w:t>
            </w:r>
          </w:p>
        </w:tc>
        <w:tc>
          <w:tcPr>
            <w:tcW w:w="7371" w:type="dxa"/>
            <w:tcBorders>
              <w:top w:val="single" w:sz="2" w:space="0" w:color="auto"/>
              <w:bottom w:val="single" w:sz="4" w:space="0" w:color="auto"/>
            </w:tcBorders>
          </w:tcPr>
          <w:p w14:paraId="5A41A56E" w14:textId="77777777"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Subject to Instruction 2.2.2, the Australia New Zealand Government Procurement Agreement requires the following principles to be applied</w:t>
            </w:r>
            <w:r>
              <w:rPr>
                <w:rFonts w:ascii="Arial" w:hAnsi="Arial" w:cs="Arial"/>
                <w:szCs w:val="17"/>
              </w:rPr>
              <w:t>.</w:t>
            </w:r>
          </w:p>
          <w:p w14:paraId="6D479E69" w14:textId="599EC285" w:rsidR="00FB1D38" w:rsidRPr="00112E7D" w:rsidRDefault="00FB1D38" w:rsidP="000D093A">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The requirements of the Australia New Zealand Government Procurement Agreement are set out in Instruction 2.2.2.</w:t>
            </w:r>
          </w:p>
        </w:tc>
        <w:tc>
          <w:tcPr>
            <w:tcW w:w="709" w:type="dxa"/>
            <w:tcBorders>
              <w:top w:val="single" w:sz="2" w:space="0" w:color="auto"/>
              <w:bottom w:val="single" w:sz="4" w:space="0" w:color="auto"/>
            </w:tcBorders>
            <w:shd w:val="clear" w:color="auto" w:fill="F2F2F2" w:themeFill="background1" w:themeFillShade="F2"/>
          </w:tcPr>
          <w:p w14:paraId="6F951395" w14:textId="77777777" w:rsidR="00FB1D38" w:rsidRPr="0037193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5BF7D389"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tcBorders>
          </w:tcPr>
          <w:p w14:paraId="78AFFD28" w14:textId="77777777" w:rsidR="00FB1D38" w:rsidRDefault="00FB1D38" w:rsidP="00FB1D38">
            <w:pPr>
              <w:spacing w:before="60" w:after="60"/>
              <w:rPr>
                <w:rFonts w:asciiTheme="majorHAnsi" w:hAnsiTheme="majorHAnsi" w:cstheme="majorHAnsi"/>
              </w:rPr>
            </w:pPr>
            <w:r w:rsidRPr="00112E7D">
              <w:rPr>
                <w:rFonts w:ascii="Arial" w:hAnsi="Arial" w:cs="Arial"/>
                <w:szCs w:val="17"/>
              </w:rPr>
              <w:t>Dir 3.1</w:t>
            </w:r>
          </w:p>
          <w:p w14:paraId="507D7873" w14:textId="36C32D5C" w:rsidR="00FB1D38" w:rsidRDefault="00FB1D38" w:rsidP="00FB1D38">
            <w:pPr>
              <w:spacing w:before="60" w:after="60"/>
              <w:rPr>
                <w:rFonts w:asciiTheme="majorHAnsi" w:hAnsiTheme="majorHAnsi" w:cstheme="majorHAnsi"/>
              </w:rPr>
            </w:pPr>
            <w:r w:rsidRPr="00112E7D">
              <w:rPr>
                <w:rFonts w:ascii="Arial" w:hAnsi="Arial" w:cs="Arial"/>
                <w:szCs w:val="17"/>
              </w:rPr>
              <w:t>Tender preparation and planning</w:t>
            </w:r>
          </w:p>
        </w:tc>
        <w:tc>
          <w:tcPr>
            <w:tcW w:w="7371" w:type="dxa"/>
            <w:tcBorders>
              <w:top w:val="single" w:sz="4" w:space="0" w:color="auto"/>
              <w:bottom w:val="single" w:sz="4" w:space="0" w:color="auto"/>
            </w:tcBorders>
          </w:tcPr>
          <w:p w14:paraId="22EC77B9" w14:textId="77777777"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Before starting a process to engage a supplier to perform Works or Construction Services, Agencies must ensure that appropriate preparation and planning are undertaken to guide the tender process from tender development to contract award, as well as for project delivery and contract management.</w:t>
            </w:r>
          </w:p>
          <w:p w14:paraId="64B9C221" w14:textId="77777777" w:rsidR="00D02A39" w:rsidRDefault="00D02A39" w:rsidP="00D02A39">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Pr>
                <w:rFonts w:asciiTheme="majorHAnsi" w:hAnsiTheme="majorHAnsi" w:cstheme="majorHAnsi"/>
                <w:i/>
              </w:rPr>
              <w:t xml:space="preserve">Issues to consider when determining the </w:t>
            </w:r>
            <w:r w:rsidRPr="0020309D">
              <w:rPr>
                <w:rFonts w:asciiTheme="majorHAnsi" w:hAnsiTheme="majorHAnsi" w:cstheme="majorHAnsi"/>
                <w:i/>
              </w:rPr>
              <w:t>timing</w:t>
            </w:r>
            <w:r>
              <w:rPr>
                <w:rFonts w:asciiTheme="majorHAnsi" w:hAnsiTheme="majorHAnsi" w:cstheme="majorHAnsi"/>
                <w:i/>
              </w:rPr>
              <w:t>,</w:t>
            </w:r>
            <w:r w:rsidRPr="0020309D">
              <w:rPr>
                <w:rFonts w:asciiTheme="majorHAnsi" w:hAnsiTheme="majorHAnsi" w:cstheme="majorHAnsi"/>
                <w:i/>
              </w:rPr>
              <w:t xml:space="preserve"> scale </w:t>
            </w:r>
            <w:r>
              <w:rPr>
                <w:rFonts w:asciiTheme="majorHAnsi" w:hAnsiTheme="majorHAnsi" w:cstheme="majorHAnsi"/>
                <w:i/>
              </w:rPr>
              <w:t xml:space="preserve">and matters to address in </w:t>
            </w:r>
            <w:r w:rsidRPr="0020309D">
              <w:rPr>
                <w:rFonts w:asciiTheme="majorHAnsi" w:hAnsiTheme="majorHAnsi" w:cstheme="majorHAnsi"/>
                <w:i/>
              </w:rPr>
              <w:t>procurement planning appear in Direction 3.1</w:t>
            </w:r>
          </w:p>
          <w:p w14:paraId="24B25081" w14:textId="45596898" w:rsidR="00D02A39" w:rsidRPr="00381295" w:rsidRDefault="00D02A39" w:rsidP="00D02A39">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A44E1">
              <w:rPr>
                <w:rFonts w:asciiTheme="majorHAnsi" w:hAnsiTheme="majorHAnsi" w:cstheme="majorHAnsi"/>
                <w:i/>
              </w:rPr>
              <w:t>Issues to consider on the use of cost estimates and multiple priced options appear in Instruction 3.3.2</w:t>
            </w:r>
          </w:p>
        </w:tc>
        <w:tc>
          <w:tcPr>
            <w:tcW w:w="709" w:type="dxa"/>
            <w:tcBorders>
              <w:top w:val="single" w:sz="4" w:space="0" w:color="auto"/>
              <w:bottom w:val="single" w:sz="4" w:space="0" w:color="auto"/>
            </w:tcBorders>
          </w:tcPr>
          <w:p w14:paraId="6DDEE4C6" w14:textId="465B2871" w:rsidR="00FB1D38" w:rsidRPr="00B52AD0"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71937">
              <w:rPr>
                <w:rFonts w:asciiTheme="majorHAnsi" w:hAnsiTheme="majorHAnsi" w:cstheme="majorHAnsi"/>
                <w:sz w:val="20"/>
                <w:szCs w:val="20"/>
              </w:rPr>
              <w:sym w:font="Wingdings" w:char="F0A8"/>
            </w:r>
          </w:p>
        </w:tc>
      </w:tr>
      <w:tr w:rsidR="00FB1D38" w14:paraId="3FA82982"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tcBorders>
          </w:tcPr>
          <w:p w14:paraId="3702CB62" w14:textId="77777777" w:rsidR="00FB1D38" w:rsidRDefault="00FB1D38" w:rsidP="00FB1D38">
            <w:pPr>
              <w:spacing w:before="60" w:after="60"/>
              <w:rPr>
                <w:rFonts w:asciiTheme="majorHAnsi" w:hAnsiTheme="majorHAnsi" w:cstheme="majorHAnsi"/>
              </w:rPr>
            </w:pPr>
            <w:r w:rsidRPr="00112E7D">
              <w:rPr>
                <w:rFonts w:ascii="Arial" w:hAnsi="Arial" w:cs="Arial"/>
                <w:szCs w:val="17"/>
              </w:rPr>
              <w:t>Inst 3.1</w:t>
            </w:r>
            <w:r>
              <w:rPr>
                <w:rFonts w:ascii="Arial" w:hAnsi="Arial" w:cs="Arial"/>
                <w:szCs w:val="17"/>
              </w:rPr>
              <w:t>.1</w:t>
            </w:r>
          </w:p>
          <w:p w14:paraId="05310CE6" w14:textId="01412CCC" w:rsidR="00FB1D38" w:rsidRDefault="00FB1D38" w:rsidP="00FB1D38">
            <w:pPr>
              <w:spacing w:before="60" w:after="60"/>
              <w:rPr>
                <w:rFonts w:asciiTheme="majorHAnsi" w:hAnsiTheme="majorHAnsi" w:cstheme="majorHAnsi"/>
              </w:rPr>
            </w:pPr>
            <w:r>
              <w:rPr>
                <w:rFonts w:ascii="Arial" w:hAnsi="Arial" w:cs="Arial"/>
                <w:szCs w:val="17"/>
              </w:rPr>
              <w:t>Requirements for t</w:t>
            </w:r>
            <w:r w:rsidRPr="00112E7D">
              <w:rPr>
                <w:rFonts w:ascii="Arial" w:hAnsi="Arial" w:cs="Arial"/>
                <w:szCs w:val="17"/>
              </w:rPr>
              <w:t>ender planning</w:t>
            </w:r>
          </w:p>
        </w:tc>
        <w:tc>
          <w:tcPr>
            <w:tcW w:w="7371" w:type="dxa"/>
            <w:tcBorders>
              <w:top w:val="single" w:sz="4" w:space="0" w:color="auto"/>
              <w:bottom w:val="single" w:sz="4" w:space="0" w:color="auto"/>
            </w:tcBorders>
          </w:tcPr>
          <w:p w14:paraId="45C87FFD" w14:textId="4F25FCA7" w:rsidR="00FB1D38" w:rsidRPr="00112E7D" w:rsidRDefault="00FB1D38" w:rsidP="00FB1D38">
            <w:pPr>
              <w:pStyle w:val="NormalIndent"/>
              <w:numPr>
                <w:ilvl w:val="6"/>
                <w:numId w:val="25"/>
              </w:numPr>
              <w:tabs>
                <w:tab w:val="clear" w:pos="1296"/>
              </w:tabs>
              <w:spacing w:before="60" w:after="60" w:line="240" w:lineRule="auto"/>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The tender strategy must document the:</w:t>
            </w:r>
          </w:p>
          <w:p w14:paraId="37E2DBBC" w14:textId="734B04C9" w:rsidR="00FB1D38" w:rsidRPr="00112E7D" w:rsidRDefault="00FB1D38" w:rsidP="00FB1D38">
            <w:pPr>
              <w:pStyle w:val="Listnumindent2"/>
              <w:numPr>
                <w:ilvl w:val="1"/>
                <w:numId w:val="2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project staging and structuring;</w:t>
            </w:r>
          </w:p>
          <w:p w14:paraId="15149870" w14:textId="77777777" w:rsidR="00FB1D38" w:rsidRPr="00112E7D" w:rsidRDefault="00FB1D38" w:rsidP="00FB1D38">
            <w:pPr>
              <w:pStyle w:val="Listnumindent2"/>
              <w:numPr>
                <w:ilvl w:val="1"/>
                <w:numId w:val="2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scope of works being tendered;</w:t>
            </w:r>
          </w:p>
          <w:p w14:paraId="5228ABB2" w14:textId="77777777" w:rsidR="00FB1D38" w:rsidRPr="00112E7D" w:rsidRDefault="00FB1D38" w:rsidP="00FB1D38">
            <w:pPr>
              <w:pStyle w:val="Listnumindent2"/>
              <w:numPr>
                <w:ilvl w:val="1"/>
                <w:numId w:val="2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tender approach; and</w:t>
            </w:r>
          </w:p>
          <w:p w14:paraId="3154F7FE" w14:textId="77777777" w:rsidR="00FB1D38" w:rsidRPr="00D02A39" w:rsidRDefault="00FB1D38" w:rsidP="00FB1D38">
            <w:pPr>
              <w:pStyle w:val="Listnumindent2"/>
              <w:numPr>
                <w:ilvl w:val="1"/>
                <w:numId w:val="2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pPr>
            <w:r w:rsidRPr="00112E7D">
              <w:rPr>
                <w:rFonts w:ascii="Arial" w:hAnsi="Arial" w:cs="Arial"/>
                <w:szCs w:val="17"/>
              </w:rPr>
              <w:t>form of invitation to tender.</w:t>
            </w:r>
          </w:p>
          <w:p w14:paraId="7D4FAF8A" w14:textId="23BA8EDC" w:rsidR="00D02A39" w:rsidRPr="00CC09C4" w:rsidRDefault="00D02A39" w:rsidP="00D02A39">
            <w:pPr>
              <w:spacing w:before="60" w:after="60"/>
              <w:jc w:val="left"/>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i/>
              </w:rPr>
              <w:t xml:space="preserve">Issues to consider when determining key dates and time periods </w:t>
            </w:r>
            <w:r w:rsidRPr="0020309D">
              <w:rPr>
                <w:rFonts w:asciiTheme="majorHAnsi" w:hAnsiTheme="majorHAnsi" w:cstheme="majorHAnsi"/>
                <w:i/>
              </w:rPr>
              <w:t xml:space="preserve">appear in </w:t>
            </w:r>
            <w:r>
              <w:rPr>
                <w:rFonts w:asciiTheme="majorHAnsi" w:hAnsiTheme="majorHAnsi" w:cstheme="majorHAnsi"/>
                <w:i/>
              </w:rPr>
              <w:t xml:space="preserve">Instruction </w:t>
            </w:r>
            <w:r w:rsidRPr="0020309D">
              <w:rPr>
                <w:rFonts w:asciiTheme="majorHAnsi" w:hAnsiTheme="majorHAnsi" w:cstheme="majorHAnsi"/>
                <w:i/>
              </w:rPr>
              <w:t>3.1</w:t>
            </w:r>
            <w:r>
              <w:rPr>
                <w:rFonts w:asciiTheme="majorHAnsi" w:hAnsiTheme="majorHAnsi" w:cstheme="majorHAnsi"/>
                <w:i/>
              </w:rPr>
              <w:t>.1 and Instruction 3.1.2</w:t>
            </w:r>
          </w:p>
        </w:tc>
        <w:tc>
          <w:tcPr>
            <w:tcW w:w="709" w:type="dxa"/>
            <w:tcBorders>
              <w:top w:val="single" w:sz="4" w:space="0" w:color="auto"/>
              <w:bottom w:val="single" w:sz="4" w:space="0" w:color="auto"/>
            </w:tcBorders>
          </w:tcPr>
          <w:p w14:paraId="3AF7068D" w14:textId="4653A9CD"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C5D16">
              <w:rPr>
                <w:rFonts w:asciiTheme="majorHAnsi" w:hAnsiTheme="majorHAnsi" w:cstheme="majorHAnsi"/>
                <w:sz w:val="20"/>
                <w:szCs w:val="20"/>
              </w:rPr>
              <w:sym w:font="Wingdings" w:char="F0A8"/>
            </w:r>
          </w:p>
        </w:tc>
      </w:tr>
      <w:tr w:rsidR="00FB1D38" w14:paraId="42B2FBF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2DA706B6" w14:textId="77777777" w:rsidR="00FB1D38" w:rsidRDefault="00FB1D38" w:rsidP="00FB1D38">
            <w:pPr>
              <w:spacing w:before="60" w:after="60"/>
              <w:rPr>
                <w:rFonts w:asciiTheme="majorHAnsi" w:hAnsiTheme="majorHAnsi" w:cstheme="majorHAnsi"/>
              </w:rPr>
            </w:pPr>
            <w:r w:rsidRPr="00112E7D">
              <w:rPr>
                <w:rFonts w:ascii="Arial" w:hAnsi="Arial" w:cs="Arial"/>
                <w:szCs w:val="17"/>
              </w:rPr>
              <w:t>Dir 3.2</w:t>
            </w:r>
          </w:p>
          <w:p w14:paraId="7AC4EF54" w14:textId="111D5733" w:rsidR="00FB1D38" w:rsidRDefault="00FB1D38" w:rsidP="00FB1D38">
            <w:pPr>
              <w:spacing w:before="60" w:after="60"/>
              <w:rPr>
                <w:rFonts w:asciiTheme="majorHAnsi" w:hAnsiTheme="majorHAnsi" w:cstheme="majorHAnsi"/>
              </w:rPr>
            </w:pPr>
            <w:r w:rsidRPr="00112E7D">
              <w:rPr>
                <w:rFonts w:ascii="Arial" w:hAnsi="Arial" w:cs="Arial"/>
                <w:szCs w:val="17"/>
              </w:rPr>
              <w:t>Competition and contestability</w:t>
            </w:r>
          </w:p>
        </w:tc>
        <w:tc>
          <w:tcPr>
            <w:tcW w:w="7371" w:type="dxa"/>
            <w:tcBorders>
              <w:top w:val="single" w:sz="4" w:space="0" w:color="auto"/>
              <w:bottom w:val="single" w:sz="4" w:space="0" w:color="auto"/>
            </w:tcBorders>
          </w:tcPr>
          <w:p w14:paraId="701E58C8" w14:textId="77777777" w:rsidR="00FB1D38" w:rsidRPr="00112E7D"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To promote competition and contestability, when engaging a supplier to perform Works or Construction Services, Agencies must use:</w:t>
            </w:r>
          </w:p>
          <w:p w14:paraId="5740E6D1" w14:textId="44DC9184" w:rsidR="00FB1D38" w:rsidRPr="00112E7D" w:rsidRDefault="00FB1D38" w:rsidP="00FB1D38">
            <w:pPr>
              <w:pStyle w:val="Listnumindent2"/>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an open tender;</w:t>
            </w:r>
          </w:p>
          <w:p w14:paraId="6FE3CAFF" w14:textId="77777777" w:rsidR="00FB1D38" w:rsidRPr="00112E7D" w:rsidRDefault="00FB1D38" w:rsidP="00FB1D38">
            <w:pPr>
              <w:pStyle w:val="Listnumindent2"/>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 Selective Tender open to:</w:t>
            </w:r>
          </w:p>
          <w:p w14:paraId="10EF8822" w14:textId="3312C180" w:rsidR="00FB1D38" w:rsidRPr="00112E7D" w:rsidRDefault="00FB1D38" w:rsidP="00FB1D38">
            <w:pPr>
              <w:pStyle w:val="Listnumindent2"/>
              <w:numPr>
                <w:ilvl w:val="1"/>
                <w:numId w:val="28"/>
              </w:numPr>
              <w:tabs>
                <w:tab w:val="clear" w:pos="1781"/>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all suppliers in the relevant category of a Register; or</w:t>
            </w:r>
          </w:p>
          <w:p w14:paraId="50463E9E" w14:textId="77777777" w:rsidR="00FB1D38" w:rsidRPr="00112E7D" w:rsidRDefault="00FB1D38" w:rsidP="00FB1D38">
            <w:pPr>
              <w:pStyle w:val="Listnumindent2"/>
              <w:numPr>
                <w:ilvl w:val="1"/>
                <w:numId w:val="28"/>
              </w:numPr>
              <w:tabs>
                <w:tab w:val="clear" w:pos="1781"/>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at least three suppliers in the relevant category of a Register; or</w:t>
            </w:r>
          </w:p>
          <w:p w14:paraId="31DD0B11" w14:textId="77777777" w:rsidR="00FB1D38" w:rsidRPr="00A030F4" w:rsidRDefault="00FB1D38" w:rsidP="00FB1D38">
            <w:pPr>
              <w:pStyle w:val="Listnumindent2"/>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pPr>
            <w:bookmarkStart w:id="7" w:name="_Ref489443264"/>
            <w:r w:rsidRPr="00112E7D">
              <w:rPr>
                <w:rFonts w:ascii="Arial" w:hAnsi="Arial" w:cs="Arial"/>
                <w:szCs w:val="17"/>
              </w:rPr>
              <w:t>a Limited Tender conducted in accordance with the Instructions.</w:t>
            </w:r>
            <w:bookmarkEnd w:id="7"/>
          </w:p>
        </w:tc>
        <w:tc>
          <w:tcPr>
            <w:tcW w:w="709" w:type="dxa"/>
            <w:tcBorders>
              <w:top w:val="single" w:sz="4" w:space="0" w:color="auto"/>
              <w:bottom w:val="single" w:sz="4" w:space="0" w:color="auto"/>
            </w:tcBorders>
          </w:tcPr>
          <w:p w14:paraId="25E8C98C" w14:textId="3F0981F5" w:rsidR="00FB1D38" w:rsidRPr="00BE51B9"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C5D16">
              <w:rPr>
                <w:rFonts w:asciiTheme="majorHAnsi" w:hAnsiTheme="majorHAnsi" w:cstheme="majorHAnsi"/>
                <w:sz w:val="20"/>
                <w:szCs w:val="20"/>
              </w:rPr>
              <w:sym w:font="Wingdings" w:char="F0A8"/>
            </w:r>
          </w:p>
        </w:tc>
      </w:tr>
      <w:tr w:rsidR="00FB1D38" w14:paraId="6D67A693"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nil"/>
            </w:tcBorders>
          </w:tcPr>
          <w:p w14:paraId="6F5F4DB4" w14:textId="77777777" w:rsidR="00FB1D38" w:rsidRDefault="00FB1D38" w:rsidP="00FB1D38">
            <w:pPr>
              <w:spacing w:before="60" w:after="60"/>
              <w:rPr>
                <w:rFonts w:asciiTheme="majorHAnsi" w:hAnsiTheme="majorHAnsi" w:cstheme="majorHAnsi"/>
              </w:rPr>
            </w:pPr>
            <w:r w:rsidRPr="00112E7D">
              <w:rPr>
                <w:rFonts w:ascii="Arial" w:hAnsi="Arial" w:cs="Arial"/>
                <w:szCs w:val="17"/>
              </w:rPr>
              <w:t>Inst 3.2</w:t>
            </w:r>
            <w:r>
              <w:rPr>
                <w:rFonts w:ascii="Arial" w:hAnsi="Arial" w:cs="Arial"/>
                <w:szCs w:val="17"/>
              </w:rPr>
              <w:t>.1</w:t>
            </w:r>
          </w:p>
          <w:p w14:paraId="040742CD" w14:textId="38B0BD6A" w:rsidR="00FB1D38" w:rsidRDefault="00FB1D38" w:rsidP="00FB1D38">
            <w:pPr>
              <w:spacing w:before="60" w:after="60"/>
              <w:rPr>
                <w:rFonts w:asciiTheme="majorHAnsi" w:hAnsiTheme="majorHAnsi" w:cstheme="majorHAnsi"/>
              </w:rPr>
            </w:pPr>
            <w:r>
              <w:rPr>
                <w:rFonts w:ascii="Arial" w:hAnsi="Arial" w:cs="Arial"/>
                <w:szCs w:val="17"/>
              </w:rPr>
              <w:t>Limited tender processes</w:t>
            </w:r>
          </w:p>
        </w:tc>
        <w:tc>
          <w:tcPr>
            <w:tcW w:w="7371" w:type="dxa"/>
            <w:tcBorders>
              <w:top w:val="single" w:sz="4" w:space="0" w:color="auto"/>
              <w:bottom w:val="single" w:sz="4" w:space="0" w:color="auto"/>
            </w:tcBorders>
          </w:tcPr>
          <w:p w14:paraId="30821EB9" w14:textId="72B7D23D" w:rsidR="00FB1D38" w:rsidRPr="00BE0297" w:rsidRDefault="00FB1D38" w:rsidP="00FB1D38">
            <w:pPr>
              <w:pStyle w:val="ListParagraph"/>
              <w:numPr>
                <w:ilvl w:val="6"/>
                <w:numId w:val="28"/>
              </w:numPr>
              <w:tabs>
                <w:tab w:val="num" w:pos="310"/>
              </w:tabs>
              <w:spacing w:before="60" w:after="60"/>
              <w:ind w:left="310"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BE0297">
              <w:rPr>
                <w:rFonts w:ascii="Arial" w:hAnsi="Arial" w:cs="Arial"/>
                <w:szCs w:val="17"/>
              </w:rPr>
              <w:t>Agencies may use a Limited Tender if:</w:t>
            </w:r>
          </w:p>
          <w:p w14:paraId="0AE17FA5" w14:textId="22500852" w:rsidR="00FB1D38" w:rsidRPr="00112E7D" w:rsidRDefault="00FB1D38" w:rsidP="00FB1D38">
            <w:pPr>
              <w:pStyle w:val="Listnumindent2"/>
              <w:numPr>
                <w:ilvl w:val="1"/>
                <w:numId w:val="29"/>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the value of the engagement is expected to be less than $50,000 (inc</w:t>
            </w:r>
            <w:r>
              <w:rPr>
                <w:rFonts w:ascii="Arial" w:hAnsi="Arial" w:cs="Arial"/>
                <w:szCs w:val="17"/>
              </w:rPr>
              <w:t xml:space="preserve">lusive of GST), in which case </w:t>
            </w:r>
            <w:r w:rsidRPr="00112E7D">
              <w:rPr>
                <w:rFonts w:ascii="Arial" w:hAnsi="Arial" w:cs="Arial"/>
                <w:szCs w:val="17"/>
              </w:rPr>
              <w:t>the Agency may invite a single potential tender participant to participate in the Limited Tender;</w:t>
            </w:r>
          </w:p>
          <w:p w14:paraId="07EA87A7" w14:textId="77777777" w:rsidR="00FB1D38" w:rsidRPr="00112E7D" w:rsidRDefault="00FB1D38" w:rsidP="00FB1D38">
            <w:pPr>
              <w:pStyle w:val="Listnumindent2"/>
              <w:numPr>
                <w:ilvl w:val="1"/>
                <w:numId w:val="29"/>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the value of the engagement is expected to be:</w:t>
            </w:r>
          </w:p>
          <w:p w14:paraId="4B62D9AC" w14:textId="2BA021B7" w:rsidR="00FB1D38" w:rsidRPr="00112E7D" w:rsidRDefault="00FB1D38" w:rsidP="00FB1D38">
            <w:pPr>
              <w:pStyle w:val="Listnumindent2"/>
              <w:numPr>
                <w:ilvl w:val="2"/>
                <w:numId w:val="29"/>
              </w:numPr>
              <w:tabs>
                <w:tab w:val="clear" w:pos="792"/>
                <w:tab w:val="num" w:pos="1019"/>
              </w:tabs>
              <w:spacing w:before="60" w:after="0"/>
              <w:ind w:left="1021"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in the case of Works, more than $50,000 (inclusive of GST) but less than $500,000 (inclusive of GST); or</w:t>
            </w:r>
          </w:p>
          <w:p w14:paraId="2A458AAE" w14:textId="77777777" w:rsidR="00FB1D38" w:rsidRPr="00112E7D" w:rsidRDefault="00FB1D38" w:rsidP="00FB1D38">
            <w:pPr>
              <w:pStyle w:val="Listnumindent2"/>
              <w:numPr>
                <w:ilvl w:val="2"/>
                <w:numId w:val="29"/>
              </w:numPr>
              <w:tabs>
                <w:tab w:val="clear" w:pos="792"/>
                <w:tab w:val="num" w:pos="1019"/>
              </w:tabs>
              <w:spacing w:before="0" w:after="60"/>
              <w:ind w:left="1021"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lastRenderedPageBreak/>
              <w:t>in the case of Construction Services, more than $50,000 (inclusive of GST) but less than $200,000 (inclusive of GST),</w:t>
            </w:r>
          </w:p>
          <w:p w14:paraId="48E5FDF7" w14:textId="77777777" w:rsidR="00FB1D38" w:rsidRDefault="00FB1D38" w:rsidP="00FB1D38">
            <w:pPr>
              <w:pStyle w:val="Listnumindent2"/>
              <w:spacing w:before="60" w:after="60"/>
              <w:ind w:left="73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12E7D">
              <w:rPr>
                <w:rFonts w:ascii="Arial" w:hAnsi="Arial" w:cs="Arial"/>
                <w:szCs w:val="17"/>
              </w:rPr>
              <w:t xml:space="preserve">in which case </w:t>
            </w:r>
            <w:r w:rsidRPr="00BE0297">
              <w:t>the</w:t>
            </w:r>
            <w:r w:rsidRPr="00112E7D">
              <w:rPr>
                <w:rFonts w:ascii="Arial" w:hAnsi="Arial" w:cs="Arial"/>
                <w:szCs w:val="17"/>
              </w:rPr>
              <w:t xml:space="preserve"> Agency must invite at least three potential tender participants to participate in the Limited Tender;</w:t>
            </w:r>
          </w:p>
          <w:p w14:paraId="3A4CD4E2" w14:textId="77777777" w:rsidR="00FB1D38" w:rsidRDefault="00FB1D38" w:rsidP="00FB1D38">
            <w:pPr>
              <w:pStyle w:val="Listnumindent2"/>
              <w:numPr>
                <w:ilvl w:val="1"/>
                <w:numId w:val="29"/>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 xml:space="preserve">the </w:t>
            </w:r>
            <w:r w:rsidRPr="00967A8B">
              <w:rPr>
                <w:rFonts w:ascii="Arial" w:hAnsi="Arial" w:cs="Arial"/>
                <w:szCs w:val="17"/>
              </w:rPr>
              <w:t>Special</w:t>
            </w:r>
            <w:r>
              <w:t xml:space="preserve"> Circumstances set out in Instruction 3.2.2 apply, in which case the Agency must comply with the requirements in Instruction 3.2.1 paragraph (b)</w:t>
            </w:r>
            <w:r>
              <w:rPr>
                <w:rFonts w:ascii="Arial" w:hAnsi="Arial" w:cs="Arial"/>
                <w:szCs w:val="17"/>
              </w:rPr>
              <w:t>; or</w:t>
            </w:r>
          </w:p>
          <w:p w14:paraId="4FE4285C" w14:textId="464DE6DB" w:rsidR="00FB1D38" w:rsidRPr="007177DA" w:rsidRDefault="00FB1D38" w:rsidP="00FB1D38">
            <w:pPr>
              <w:pStyle w:val="Listnumindent2"/>
              <w:numPr>
                <w:ilvl w:val="1"/>
                <w:numId w:val="29"/>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procuring under a Supplier Panel established in accordance with the Directions, as the rules of that panel allow.</w:t>
            </w:r>
          </w:p>
        </w:tc>
        <w:tc>
          <w:tcPr>
            <w:tcW w:w="709" w:type="dxa"/>
            <w:tcBorders>
              <w:top w:val="single" w:sz="4" w:space="0" w:color="auto"/>
              <w:bottom w:val="single" w:sz="4" w:space="0" w:color="auto"/>
            </w:tcBorders>
          </w:tcPr>
          <w:p w14:paraId="1225E470" w14:textId="1B165410" w:rsidR="00FB1D38" w:rsidRPr="00BE51B9"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C5D16">
              <w:rPr>
                <w:rFonts w:asciiTheme="majorHAnsi" w:hAnsiTheme="majorHAnsi" w:cstheme="majorHAnsi"/>
                <w:sz w:val="20"/>
                <w:szCs w:val="20"/>
              </w:rPr>
              <w:lastRenderedPageBreak/>
              <w:sym w:font="Wingdings" w:char="F0A8"/>
            </w:r>
          </w:p>
        </w:tc>
      </w:tr>
      <w:tr w:rsidR="00FB1D38" w14:paraId="7AA438C3"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nil"/>
              <w:bottom w:val="nil"/>
            </w:tcBorders>
          </w:tcPr>
          <w:p w14:paraId="42E0521A"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2BA9A38" w14:textId="77777777" w:rsidR="00FB1D38" w:rsidRPr="0095737A" w:rsidRDefault="00FB1D38" w:rsidP="00FB1D38">
            <w:pPr>
              <w:pStyle w:val="ListParagraph"/>
              <w:numPr>
                <w:ilvl w:val="6"/>
                <w:numId w:val="28"/>
              </w:numPr>
              <w:tabs>
                <w:tab w:val="num" w:pos="310"/>
              </w:tabs>
              <w:spacing w:before="60" w:after="60"/>
              <w:ind w:left="310" w:hanging="283"/>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Arial" w:hAnsi="Arial" w:cs="Arial"/>
                <w:szCs w:val="17"/>
              </w:rPr>
              <w:t xml:space="preserve">Where a Limited Tender is conducted is accordance with Instruction 3.2 paragraph (a)(iii) </w:t>
            </w:r>
            <w:r w:rsidRPr="00112E7D">
              <w:rPr>
                <w:rFonts w:ascii="Arial" w:hAnsi="Arial" w:cs="Arial"/>
                <w:szCs w:val="17"/>
              </w:rPr>
              <w:t>the Agency must</w:t>
            </w:r>
            <w:r>
              <w:rPr>
                <w:rFonts w:ascii="Arial" w:hAnsi="Arial" w:cs="Arial"/>
                <w:szCs w:val="17"/>
              </w:rPr>
              <w:t>:</w:t>
            </w:r>
          </w:p>
          <w:p w14:paraId="3BBB29F7" w14:textId="367227EE" w:rsidR="00FB1D38" w:rsidRPr="0095737A" w:rsidRDefault="00FB1D38" w:rsidP="00FB1D38">
            <w:pPr>
              <w:pStyle w:val="Listnumindent2"/>
              <w:numPr>
                <w:ilvl w:val="1"/>
                <w:numId w:val="30"/>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5737A">
              <w:rPr>
                <w:rFonts w:ascii="Arial" w:hAnsi="Arial" w:cs="Arial"/>
                <w:szCs w:val="17"/>
              </w:rPr>
              <w:t xml:space="preserve">determine the most appropriate way to conduct the Limited Tender taking into account the nature of the Special Circumstances and, to the extent practicable, identify ways to conduct the Limited Tender in a manner that is consistent with the </w:t>
            </w:r>
            <w:r>
              <w:rPr>
                <w:rFonts w:ascii="Arial" w:hAnsi="Arial" w:cs="Arial"/>
                <w:szCs w:val="17"/>
              </w:rPr>
              <w:t>principles set out in Direction 1.2</w:t>
            </w:r>
            <w:r w:rsidRPr="0095737A">
              <w:rPr>
                <w:rFonts w:ascii="Arial" w:hAnsi="Arial" w:cs="Arial"/>
                <w:szCs w:val="17"/>
              </w:rPr>
              <w:t>, and otherwise in accordance with the requirements of the Directions;</w:t>
            </w:r>
          </w:p>
          <w:p w14:paraId="1645B77C" w14:textId="77777777" w:rsidR="00FB1D38" w:rsidRPr="0095737A" w:rsidRDefault="00FB1D38" w:rsidP="00FB1D38">
            <w:pPr>
              <w:pStyle w:val="Listnumindent2"/>
              <w:numPr>
                <w:ilvl w:val="1"/>
                <w:numId w:val="30"/>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5737A">
              <w:rPr>
                <w:rFonts w:ascii="Arial" w:hAnsi="Arial" w:cs="Arial"/>
                <w:szCs w:val="17"/>
              </w:rPr>
              <w:t>document the nature of the Special Circumstances and proposed approach to conducting the Limited Tender; and</w:t>
            </w:r>
          </w:p>
          <w:p w14:paraId="0B9CBFDB" w14:textId="77777777" w:rsidR="00FB1D38" w:rsidRPr="00190B8B" w:rsidRDefault="00FB1D38" w:rsidP="00FB1D38">
            <w:pPr>
              <w:pStyle w:val="Listnumindent2"/>
              <w:numPr>
                <w:ilvl w:val="1"/>
                <w:numId w:val="30"/>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pPr>
            <w:r w:rsidRPr="0095737A">
              <w:rPr>
                <w:rFonts w:ascii="Arial" w:hAnsi="Arial" w:cs="Arial"/>
                <w:szCs w:val="17"/>
              </w:rPr>
              <w:t>ensure the Accountable Officer or Responsible Minister of the Agency approves the use of a Limited Tender and the proposed approach to conducting the Limited Tender.</w:t>
            </w:r>
          </w:p>
          <w:p w14:paraId="1778E3B1" w14:textId="54B41D2C" w:rsidR="00FB1D38" w:rsidRPr="00F24436" w:rsidRDefault="00FB1D38" w:rsidP="00FB1D38">
            <w:pPr>
              <w:tabs>
                <w:tab w:val="num" w:pos="310"/>
              </w:tabs>
              <w:spacing w:before="60" w:after="60"/>
              <w:ind w:left="310"/>
              <w:jc w:val="left"/>
              <w:cnfStyle w:val="000000000000" w:firstRow="0" w:lastRow="0" w:firstColumn="0" w:lastColumn="0" w:oddVBand="0" w:evenVBand="0" w:oddHBand="0" w:evenHBand="0" w:firstRowFirstColumn="0" w:firstRowLastColumn="0" w:lastRowFirstColumn="0" w:lastRowLastColumn="0"/>
            </w:pPr>
            <w:r w:rsidRPr="00F24436">
              <w:t xml:space="preserve">To avoid doubt, paragraph (b) does not apply to Limited Tenders </w:t>
            </w:r>
            <w:r w:rsidRPr="00F24436">
              <w:rPr>
                <w:rFonts w:ascii="Arial" w:hAnsi="Arial" w:cs="Arial"/>
                <w:szCs w:val="17"/>
              </w:rPr>
              <w:t>conducted</w:t>
            </w:r>
            <w:r w:rsidRPr="00F24436">
              <w:t xml:space="preserve"> in accordance with Instruction 3.2.1 paragraphs (i) and (ii) of paragraph (a).</w:t>
            </w:r>
          </w:p>
        </w:tc>
        <w:tc>
          <w:tcPr>
            <w:tcW w:w="709" w:type="dxa"/>
            <w:tcBorders>
              <w:top w:val="single" w:sz="4" w:space="0" w:color="auto"/>
              <w:bottom w:val="single" w:sz="4" w:space="0" w:color="auto"/>
            </w:tcBorders>
          </w:tcPr>
          <w:p w14:paraId="13C3BA72" w14:textId="261AF43E"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5BA370B7"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nil"/>
              <w:bottom w:val="single" w:sz="4" w:space="0" w:color="auto"/>
            </w:tcBorders>
          </w:tcPr>
          <w:p w14:paraId="1269A0CC" w14:textId="77777777" w:rsidR="00FB1D38" w:rsidRPr="00112E7D"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94A77CA" w14:textId="78BCC080" w:rsidR="00FB1D38" w:rsidRPr="00C562F7" w:rsidRDefault="00FB1D38" w:rsidP="00FB1D38">
            <w:pPr>
              <w:pStyle w:val="ListParagraph"/>
              <w:numPr>
                <w:ilvl w:val="0"/>
                <w:numId w:val="28"/>
              </w:numPr>
              <w:tabs>
                <w:tab w:val="num" w:pos="310"/>
              </w:tabs>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C562F7">
              <w:t>An Agency may procure Works or Construction Services from a group purchasing scheme only if the procurement and contracting processes used by the group purchasing comply with these Ministerial Directions and Instructions.</w:t>
            </w:r>
          </w:p>
        </w:tc>
        <w:tc>
          <w:tcPr>
            <w:tcW w:w="709" w:type="dxa"/>
            <w:tcBorders>
              <w:top w:val="single" w:sz="4" w:space="0" w:color="auto"/>
              <w:bottom w:val="single" w:sz="4" w:space="0" w:color="auto"/>
            </w:tcBorders>
          </w:tcPr>
          <w:p w14:paraId="38E27DBD" w14:textId="16DFDF93"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0811CA07"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4D734BC1" w14:textId="77777777" w:rsidR="00FB1D38" w:rsidRPr="00112E7D" w:rsidRDefault="00FB1D38" w:rsidP="00FB1D38">
            <w:pPr>
              <w:spacing w:before="60" w:after="60"/>
              <w:rPr>
                <w:rFonts w:ascii="Arial" w:hAnsi="Arial" w:cs="Arial"/>
                <w:szCs w:val="17"/>
              </w:rPr>
            </w:pPr>
            <w:r>
              <w:rPr>
                <w:rFonts w:ascii="Arial" w:hAnsi="Arial" w:cs="Arial"/>
                <w:szCs w:val="17"/>
              </w:rPr>
              <w:t>Inst 3.2.2</w:t>
            </w:r>
          </w:p>
          <w:p w14:paraId="6559C9BC" w14:textId="08934104" w:rsidR="00FB1D38" w:rsidRPr="00112E7D" w:rsidRDefault="00FB1D38" w:rsidP="00FB1D38">
            <w:pPr>
              <w:spacing w:before="60" w:after="60"/>
              <w:rPr>
                <w:rFonts w:ascii="Arial" w:hAnsi="Arial" w:cs="Arial"/>
                <w:szCs w:val="17"/>
              </w:rPr>
            </w:pPr>
            <w:r>
              <w:rPr>
                <w:rFonts w:ascii="Arial" w:hAnsi="Arial" w:cs="Arial"/>
                <w:szCs w:val="17"/>
              </w:rPr>
              <w:t>Special Circumst-ances</w:t>
            </w:r>
          </w:p>
        </w:tc>
        <w:tc>
          <w:tcPr>
            <w:tcW w:w="7371" w:type="dxa"/>
            <w:tcBorders>
              <w:top w:val="single" w:sz="4" w:space="0" w:color="auto"/>
              <w:bottom w:val="single" w:sz="4" w:space="0" w:color="auto"/>
            </w:tcBorders>
          </w:tcPr>
          <w:p w14:paraId="409D28BC" w14:textId="497194B2" w:rsidR="00FB1D38" w:rsidRPr="00ED7E2F"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ED7E2F">
              <w:rPr>
                <w:rFonts w:ascii="Arial" w:hAnsi="Arial" w:cs="Arial"/>
                <w:szCs w:val="17"/>
              </w:rPr>
              <w:t>Instruction 3.2.2 sets out the Special Circumstances that may be taken into account when considering use of a Limited tender</w:t>
            </w:r>
          </w:p>
        </w:tc>
        <w:tc>
          <w:tcPr>
            <w:tcW w:w="709" w:type="dxa"/>
            <w:tcBorders>
              <w:top w:val="single" w:sz="4" w:space="0" w:color="auto"/>
              <w:bottom w:val="single" w:sz="4" w:space="0" w:color="auto"/>
            </w:tcBorders>
            <w:shd w:val="clear" w:color="auto" w:fill="F2F2F2" w:themeFill="background1" w:themeFillShade="F2"/>
          </w:tcPr>
          <w:p w14:paraId="68307C4D" w14:textId="77777777"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0862F9B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34246CD5" w14:textId="77777777" w:rsidR="00FB1D38" w:rsidRPr="00112E7D" w:rsidRDefault="00FB1D38" w:rsidP="00FB1D38">
            <w:pPr>
              <w:spacing w:before="60" w:after="60"/>
              <w:rPr>
                <w:rFonts w:ascii="Arial" w:hAnsi="Arial" w:cs="Arial"/>
                <w:szCs w:val="17"/>
              </w:rPr>
            </w:pPr>
            <w:r>
              <w:rPr>
                <w:rFonts w:ascii="Arial" w:hAnsi="Arial" w:cs="Arial"/>
                <w:szCs w:val="17"/>
              </w:rPr>
              <w:t>Inst 3.2.3</w:t>
            </w:r>
          </w:p>
          <w:p w14:paraId="238C2341" w14:textId="5DAC401C" w:rsidR="00FB1D38" w:rsidRPr="00112E7D" w:rsidRDefault="00FB1D38" w:rsidP="00FB1D38">
            <w:pPr>
              <w:spacing w:before="60" w:after="60"/>
              <w:rPr>
                <w:rFonts w:ascii="Arial" w:hAnsi="Arial" w:cs="Arial"/>
                <w:szCs w:val="17"/>
              </w:rPr>
            </w:pPr>
            <w:r>
              <w:rPr>
                <w:rFonts w:ascii="Arial" w:hAnsi="Arial" w:cs="Arial"/>
                <w:szCs w:val="17"/>
              </w:rPr>
              <w:t>Multi stage procurement processes</w:t>
            </w:r>
          </w:p>
        </w:tc>
        <w:tc>
          <w:tcPr>
            <w:tcW w:w="7371" w:type="dxa"/>
            <w:tcBorders>
              <w:top w:val="single" w:sz="4" w:space="0" w:color="auto"/>
              <w:bottom w:val="single" w:sz="4" w:space="0" w:color="auto"/>
            </w:tcBorders>
          </w:tcPr>
          <w:p w14:paraId="523131AE" w14:textId="427EB0B8" w:rsidR="00FB1D38" w:rsidRPr="00670751" w:rsidRDefault="00FB1D38" w:rsidP="00FB1D38">
            <w:pPr>
              <w:pStyle w:val="ListParagraph"/>
              <w:numPr>
                <w:ilvl w:val="6"/>
                <w:numId w:val="31"/>
              </w:numPr>
              <w:tabs>
                <w:tab w:val="clear" w:pos="1296"/>
              </w:tabs>
              <w:spacing w:before="60" w:after="60"/>
              <w:ind w:left="312" w:hanging="312"/>
              <w:contextualSpacing w:val="0"/>
              <w:jc w:val="left"/>
              <w:cnfStyle w:val="000000000000" w:firstRow="0" w:lastRow="0" w:firstColumn="0" w:lastColumn="0" w:oddVBand="0" w:evenVBand="0" w:oddHBand="0" w:evenHBand="0" w:firstRowFirstColumn="0" w:firstRowLastColumn="0" w:lastRowFirstColumn="0" w:lastRowLastColumn="0"/>
            </w:pPr>
            <w:bookmarkStart w:id="8" w:name="_Hlk531170521"/>
            <w:r w:rsidRPr="00C14979">
              <w:rPr>
                <w:rFonts w:ascii="Arial" w:hAnsi="Arial" w:cs="Arial"/>
                <w:szCs w:val="17"/>
              </w:rPr>
              <w:t>Agencies</w:t>
            </w:r>
            <w:r>
              <w:t xml:space="preserve"> may use multi-stage procurement processes when conducting open or Selective Tenders</w:t>
            </w:r>
            <w:bookmarkEnd w:id="8"/>
            <w:r>
              <w:t>.</w:t>
            </w:r>
          </w:p>
        </w:tc>
        <w:tc>
          <w:tcPr>
            <w:tcW w:w="709" w:type="dxa"/>
            <w:tcBorders>
              <w:top w:val="single" w:sz="4" w:space="0" w:color="auto"/>
              <w:bottom w:val="single" w:sz="4" w:space="0" w:color="auto"/>
            </w:tcBorders>
            <w:shd w:val="clear" w:color="auto" w:fill="F2F2F2" w:themeFill="background1" w:themeFillShade="F2"/>
          </w:tcPr>
          <w:p w14:paraId="444BBB79" w14:textId="007BBC0D"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07842EE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3CBF96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32B5044" w14:textId="149BC122" w:rsidR="00FB1D38" w:rsidRPr="00670751" w:rsidRDefault="00FB1D38" w:rsidP="00FB1D38">
            <w:pPr>
              <w:pStyle w:val="ListParagraph"/>
              <w:numPr>
                <w:ilvl w:val="6"/>
                <w:numId w:val="31"/>
              </w:numPr>
              <w:tabs>
                <w:tab w:val="clear" w:pos="1296"/>
              </w:tabs>
              <w:spacing w:before="60" w:after="60"/>
              <w:ind w:left="312" w:hanging="312"/>
              <w:contextualSpacing w:val="0"/>
              <w:jc w:val="left"/>
              <w:cnfStyle w:val="000000000000" w:firstRow="0" w:lastRow="0" w:firstColumn="0" w:lastColumn="0" w:oddVBand="0" w:evenVBand="0" w:oddHBand="0" w:evenHBand="0" w:firstRowFirstColumn="0" w:firstRowLastColumn="0" w:lastRowFirstColumn="0" w:lastRowLastColumn="0"/>
            </w:pPr>
            <w:bookmarkStart w:id="9" w:name="_Hlk531170530"/>
            <w:r>
              <w:t>When conducting a multi-stage procurement process for a Selective Tender, the initial invitation stage may be either open or selective</w:t>
            </w:r>
            <w:bookmarkEnd w:id="9"/>
            <w:r>
              <w:t>.</w:t>
            </w:r>
          </w:p>
        </w:tc>
        <w:tc>
          <w:tcPr>
            <w:tcW w:w="709" w:type="dxa"/>
            <w:tcBorders>
              <w:top w:val="single" w:sz="4" w:space="0" w:color="auto"/>
              <w:bottom w:val="single" w:sz="4" w:space="0" w:color="auto"/>
            </w:tcBorders>
          </w:tcPr>
          <w:p w14:paraId="4FB2F980" w14:textId="25E9FD11"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5B7B722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B1F81B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2BFAFB4" w14:textId="64C318AE" w:rsidR="00FB1D38" w:rsidRPr="00670751" w:rsidRDefault="00FB1D38" w:rsidP="00FB1D38">
            <w:pPr>
              <w:pStyle w:val="ListParagraph"/>
              <w:numPr>
                <w:ilvl w:val="6"/>
                <w:numId w:val="31"/>
              </w:numPr>
              <w:tabs>
                <w:tab w:val="clear" w:pos="1296"/>
              </w:tabs>
              <w:spacing w:before="60" w:after="60"/>
              <w:ind w:left="312" w:hanging="312"/>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bookmarkStart w:id="10" w:name="_Hlk531170538"/>
            <w:r>
              <w:t>For clarity, the requirement to use a forward notice set out in Instruction 5.1 applies to multi-stage tender processes. The forward notice must be used in advance of the first notice that starts the multi-stage tender process</w:t>
            </w:r>
            <w:bookmarkEnd w:id="10"/>
            <w:r>
              <w:t>.</w:t>
            </w:r>
          </w:p>
        </w:tc>
        <w:tc>
          <w:tcPr>
            <w:tcW w:w="709" w:type="dxa"/>
            <w:tcBorders>
              <w:top w:val="single" w:sz="4" w:space="0" w:color="auto"/>
              <w:bottom w:val="single" w:sz="4" w:space="0" w:color="auto"/>
            </w:tcBorders>
          </w:tcPr>
          <w:p w14:paraId="3EC47A03" w14:textId="3CF27825"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559A4BA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FD4763B" w14:textId="77777777" w:rsidR="00FB1D38" w:rsidRDefault="00FB1D38" w:rsidP="00FB1D38">
            <w:pPr>
              <w:spacing w:before="60" w:after="60"/>
              <w:rPr>
                <w:rFonts w:ascii="Arial" w:hAnsi="Arial" w:cs="Arial"/>
                <w:szCs w:val="17"/>
              </w:rPr>
            </w:pPr>
            <w:r>
              <w:rPr>
                <w:rFonts w:ascii="Arial" w:hAnsi="Arial" w:cs="Arial"/>
                <w:szCs w:val="17"/>
              </w:rPr>
              <w:t>Dir 3.3</w:t>
            </w:r>
          </w:p>
          <w:p w14:paraId="7EDE5F17" w14:textId="79460FAE" w:rsidR="00FB1D38" w:rsidRDefault="00FB1D38" w:rsidP="00FB1D38">
            <w:pPr>
              <w:spacing w:before="60" w:after="60"/>
              <w:rPr>
                <w:rFonts w:ascii="Arial" w:hAnsi="Arial" w:cs="Arial"/>
                <w:szCs w:val="17"/>
              </w:rPr>
            </w:pPr>
            <w:r>
              <w:rPr>
                <w:rFonts w:ascii="Arial" w:hAnsi="Arial" w:cs="Arial"/>
                <w:szCs w:val="17"/>
              </w:rPr>
              <w:t>Promoting efficiency in the tender process</w:t>
            </w:r>
          </w:p>
        </w:tc>
        <w:tc>
          <w:tcPr>
            <w:tcW w:w="7371" w:type="dxa"/>
            <w:tcBorders>
              <w:top w:val="single" w:sz="4" w:space="0" w:color="auto"/>
              <w:bottom w:val="single" w:sz="4" w:space="0" w:color="auto"/>
            </w:tcBorders>
          </w:tcPr>
          <w:p w14:paraId="6A33ACE3" w14:textId="77777777"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pPr>
            <w:r>
              <w:t>Tender processes involve time and cost for suppliers and the procuring Agency. When engaging a supplier to perform Works or Construction Services, Agencies must ensure the tender process:</w:t>
            </w:r>
          </w:p>
          <w:p w14:paraId="33F2E8F9" w14:textId="5B7C60AC" w:rsidR="000A0615" w:rsidRPr="00FD74D3" w:rsidRDefault="000A0615"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i/>
              </w:rPr>
              <w:t xml:space="preserve">Issues to consider when preparing the Tender Documentation and issues to consider when undertaking procurement planning </w:t>
            </w:r>
            <w:r w:rsidRPr="0020309D">
              <w:rPr>
                <w:rFonts w:asciiTheme="majorHAnsi" w:hAnsiTheme="majorHAnsi" w:cstheme="majorHAnsi"/>
                <w:i/>
              </w:rPr>
              <w:t xml:space="preserve">appear in </w:t>
            </w:r>
            <w:r>
              <w:rPr>
                <w:rFonts w:asciiTheme="majorHAnsi" w:hAnsiTheme="majorHAnsi" w:cstheme="majorHAnsi"/>
                <w:i/>
              </w:rPr>
              <w:t xml:space="preserve">Instruction </w:t>
            </w:r>
            <w:r w:rsidRPr="0020309D">
              <w:rPr>
                <w:rFonts w:asciiTheme="majorHAnsi" w:hAnsiTheme="majorHAnsi" w:cstheme="majorHAnsi"/>
                <w:i/>
              </w:rPr>
              <w:t>3.</w:t>
            </w:r>
            <w:r>
              <w:rPr>
                <w:rFonts w:asciiTheme="majorHAnsi" w:hAnsiTheme="majorHAnsi" w:cstheme="majorHAnsi"/>
                <w:i/>
              </w:rPr>
              <w:t>3.1</w:t>
            </w:r>
          </w:p>
        </w:tc>
        <w:tc>
          <w:tcPr>
            <w:tcW w:w="709" w:type="dxa"/>
            <w:tcBorders>
              <w:top w:val="single" w:sz="4" w:space="0" w:color="auto"/>
              <w:bottom w:val="single" w:sz="4" w:space="0" w:color="auto"/>
            </w:tcBorders>
            <w:shd w:val="clear" w:color="auto" w:fill="F2F2F2" w:themeFill="background1" w:themeFillShade="F2"/>
          </w:tcPr>
          <w:p w14:paraId="08E0566D" w14:textId="77777777"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1B3EA87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0718905"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EA2671E" w14:textId="3C4F95B0" w:rsidR="00FB1D38" w:rsidRPr="00FD74D3" w:rsidRDefault="00FB1D38" w:rsidP="00FB1D38">
            <w:pPr>
              <w:pStyle w:val="ListParagraph"/>
              <w:numPr>
                <w:ilvl w:val="6"/>
                <w:numId w:val="32"/>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pPr>
            <w:r>
              <w:t xml:space="preserve">is </w:t>
            </w:r>
            <w:r w:rsidRPr="00257CC9">
              <w:rPr>
                <w:rFonts w:ascii="Arial" w:hAnsi="Arial" w:cs="Arial"/>
                <w:szCs w:val="17"/>
              </w:rPr>
              <w:t>appropriate</w:t>
            </w:r>
            <w:r>
              <w:t xml:space="preserve"> for the Procurement Model and, to the extent practicable, is consistent with the way in which the Agency conducts comparable processes;</w:t>
            </w:r>
          </w:p>
        </w:tc>
        <w:tc>
          <w:tcPr>
            <w:tcW w:w="709" w:type="dxa"/>
            <w:tcBorders>
              <w:top w:val="single" w:sz="4" w:space="0" w:color="auto"/>
              <w:bottom w:val="single" w:sz="4" w:space="0" w:color="auto"/>
            </w:tcBorders>
          </w:tcPr>
          <w:p w14:paraId="375AF617" w14:textId="1C8BA967"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6B00E40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C756E9A"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020D600" w14:textId="3AA376F3" w:rsidR="00FB1D38" w:rsidRPr="00FD74D3" w:rsidRDefault="00FB1D38" w:rsidP="00FB1D38">
            <w:pPr>
              <w:pStyle w:val="ListParagraph"/>
              <w:numPr>
                <w:ilvl w:val="6"/>
                <w:numId w:val="32"/>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pPr>
            <w:r>
              <w:t>is conducted in an efficient and timely manner; and</w:t>
            </w:r>
          </w:p>
        </w:tc>
        <w:tc>
          <w:tcPr>
            <w:tcW w:w="709" w:type="dxa"/>
            <w:tcBorders>
              <w:top w:val="single" w:sz="4" w:space="0" w:color="auto"/>
              <w:bottom w:val="single" w:sz="4" w:space="0" w:color="auto"/>
            </w:tcBorders>
          </w:tcPr>
          <w:p w14:paraId="06BE7F7E" w14:textId="34EE9CF3"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2B61A8F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17ABE8C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90DE18D" w14:textId="47415B6D" w:rsidR="00FB1D38" w:rsidRDefault="00FB1D38" w:rsidP="00FB1D38">
            <w:pPr>
              <w:pStyle w:val="ListParagraph"/>
              <w:numPr>
                <w:ilvl w:val="6"/>
                <w:numId w:val="32"/>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pPr>
            <w:r>
              <w:t>is structured in a way that takes account of the cost of participating in a tender process for both tender participants and the Agency and seeks to reduce unnecessary transaction costs for all participants.</w:t>
            </w:r>
          </w:p>
        </w:tc>
        <w:tc>
          <w:tcPr>
            <w:tcW w:w="709" w:type="dxa"/>
            <w:tcBorders>
              <w:top w:val="single" w:sz="4" w:space="0" w:color="auto"/>
              <w:bottom w:val="single" w:sz="4" w:space="0" w:color="auto"/>
            </w:tcBorders>
          </w:tcPr>
          <w:p w14:paraId="6492AE18" w14:textId="4107E986"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1DDE4EC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bottom w:val="single" w:sz="4" w:space="0" w:color="auto"/>
            </w:tcBorders>
          </w:tcPr>
          <w:p w14:paraId="2AE17DB8" w14:textId="77777777" w:rsidR="00FB1D38" w:rsidRDefault="00FB1D38" w:rsidP="00FB1D38">
            <w:pPr>
              <w:spacing w:before="60" w:after="60"/>
              <w:rPr>
                <w:rFonts w:ascii="Arial" w:hAnsi="Arial" w:cs="Arial"/>
                <w:szCs w:val="17"/>
              </w:rPr>
            </w:pPr>
            <w:r>
              <w:rPr>
                <w:rFonts w:ascii="Arial" w:hAnsi="Arial" w:cs="Arial"/>
                <w:szCs w:val="17"/>
              </w:rPr>
              <w:t>Inst 3.3.1</w:t>
            </w:r>
          </w:p>
          <w:p w14:paraId="5D81CB37" w14:textId="27A0D888" w:rsidR="00FB1D38" w:rsidRDefault="00FB1D38" w:rsidP="00FB1D38">
            <w:pPr>
              <w:spacing w:before="60" w:after="60"/>
              <w:rPr>
                <w:rFonts w:ascii="Arial" w:hAnsi="Arial" w:cs="Arial"/>
                <w:szCs w:val="17"/>
              </w:rPr>
            </w:pPr>
            <w:r>
              <w:rPr>
                <w:rFonts w:ascii="Arial" w:hAnsi="Arial" w:cs="Arial"/>
                <w:szCs w:val="17"/>
              </w:rPr>
              <w:t>Do not request unnecessary information</w:t>
            </w:r>
          </w:p>
        </w:tc>
        <w:tc>
          <w:tcPr>
            <w:tcW w:w="7371" w:type="dxa"/>
            <w:tcBorders>
              <w:top w:val="single" w:sz="4" w:space="0" w:color="auto"/>
              <w:bottom w:val="single" w:sz="4" w:space="0" w:color="auto"/>
            </w:tcBorders>
          </w:tcPr>
          <w:p w14:paraId="575DD997" w14:textId="48532F5A" w:rsidR="00FB1D38" w:rsidRPr="00257CC9"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57CC9">
              <w:rPr>
                <w:rFonts w:ascii="Arial" w:hAnsi="Arial" w:cs="Arial"/>
                <w:szCs w:val="17"/>
              </w:rPr>
              <w:t>When conducting a tender process using a Register, Agencies must, to the extent practicable, make use of information provided during the prequalification process for the Register to reduce the amount of information that prequalified tenders are required to provide during the tender</w:t>
            </w:r>
            <w:r>
              <w:t xml:space="preserve"> process.</w:t>
            </w:r>
          </w:p>
        </w:tc>
        <w:tc>
          <w:tcPr>
            <w:tcW w:w="709" w:type="dxa"/>
            <w:tcBorders>
              <w:top w:val="single" w:sz="4" w:space="0" w:color="auto"/>
              <w:bottom w:val="single" w:sz="4" w:space="0" w:color="auto"/>
            </w:tcBorders>
          </w:tcPr>
          <w:p w14:paraId="4671632D" w14:textId="66A8F09E" w:rsidR="00FB1D38" w:rsidRPr="00EC5D16"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5D16">
              <w:rPr>
                <w:rFonts w:asciiTheme="majorHAnsi" w:hAnsiTheme="majorHAnsi" w:cstheme="majorHAnsi"/>
                <w:sz w:val="20"/>
                <w:szCs w:val="20"/>
              </w:rPr>
              <w:sym w:font="Wingdings" w:char="F0A8"/>
            </w:r>
          </w:p>
        </w:tc>
      </w:tr>
      <w:tr w:rsidR="00FB1D38" w14:paraId="1DD584E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tcBorders>
          </w:tcPr>
          <w:p w14:paraId="647714CA" w14:textId="77777777" w:rsidR="00FB1D38" w:rsidRDefault="00FB1D38" w:rsidP="00FB1D38">
            <w:pPr>
              <w:spacing w:before="60" w:after="60"/>
              <w:rPr>
                <w:rFonts w:ascii="Arial" w:hAnsi="Arial" w:cs="Arial"/>
                <w:szCs w:val="17"/>
              </w:rPr>
            </w:pPr>
            <w:r>
              <w:rPr>
                <w:rFonts w:ascii="Arial" w:hAnsi="Arial" w:cs="Arial"/>
                <w:szCs w:val="17"/>
              </w:rPr>
              <w:t>Inst 3.3.3</w:t>
            </w:r>
          </w:p>
          <w:p w14:paraId="76B7A153" w14:textId="4D983D5E" w:rsidR="00FB1D38" w:rsidRDefault="00FB1D38" w:rsidP="00FB1D38">
            <w:pPr>
              <w:spacing w:before="60" w:after="60"/>
              <w:rPr>
                <w:rFonts w:ascii="Arial" w:hAnsi="Arial" w:cs="Arial"/>
                <w:szCs w:val="17"/>
              </w:rPr>
            </w:pPr>
            <w:r>
              <w:rPr>
                <w:rFonts w:ascii="Arial" w:hAnsi="Arial" w:cs="Arial"/>
                <w:szCs w:val="17"/>
              </w:rPr>
              <w:t xml:space="preserve">Have a firm </w:t>
            </w:r>
            <w:r>
              <w:rPr>
                <w:rFonts w:ascii="Arial" w:hAnsi="Arial" w:cs="Arial"/>
                <w:szCs w:val="17"/>
              </w:rPr>
              <w:lastRenderedPageBreak/>
              <w:t>intention to proceed before issuing the tender</w:t>
            </w:r>
          </w:p>
        </w:tc>
        <w:tc>
          <w:tcPr>
            <w:tcW w:w="7371" w:type="dxa"/>
            <w:tcBorders>
              <w:top w:val="single" w:sz="4" w:space="0" w:color="auto"/>
              <w:bottom w:val="single" w:sz="4" w:space="0" w:color="auto"/>
            </w:tcBorders>
          </w:tcPr>
          <w:p w14:paraId="4D56ECD1" w14:textId="77777777" w:rsidR="00FB1D38"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pPr>
            <w:r>
              <w:lastRenderedPageBreak/>
              <w:t>Agencies must ensure there is a firm intention to proceed with the Works or Construction Services before beginning a tender process.</w:t>
            </w:r>
          </w:p>
          <w:p w14:paraId="7DB4EE2D" w14:textId="1AC7EE36" w:rsidR="000A0615" w:rsidRPr="00E35235" w:rsidRDefault="000A0615"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pPr>
            <w:r w:rsidRPr="00C562F7">
              <w:rPr>
                <w:rFonts w:asciiTheme="majorHAnsi" w:hAnsiTheme="majorHAnsi" w:cstheme="majorHAnsi"/>
                <w:i/>
              </w:rPr>
              <w:lastRenderedPageBreak/>
              <w:t>Issues to consider about advising tender participants if funding is not confirmed appear in Instruction 3.3.3</w:t>
            </w:r>
          </w:p>
        </w:tc>
        <w:tc>
          <w:tcPr>
            <w:tcW w:w="709" w:type="dxa"/>
            <w:tcBorders>
              <w:top w:val="single" w:sz="4" w:space="0" w:color="auto"/>
              <w:bottom w:val="single" w:sz="4" w:space="0" w:color="auto"/>
            </w:tcBorders>
          </w:tcPr>
          <w:p w14:paraId="21223AB2" w14:textId="15D448E8" w:rsidR="00FB1D38" w:rsidRPr="00D613C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r w:rsidRPr="00EC5D16">
              <w:rPr>
                <w:rFonts w:asciiTheme="majorHAnsi" w:hAnsiTheme="majorHAnsi" w:cstheme="majorHAnsi"/>
                <w:sz w:val="20"/>
                <w:szCs w:val="20"/>
              </w:rPr>
              <w:lastRenderedPageBreak/>
              <w:sym w:font="Wingdings" w:char="F0A8"/>
            </w:r>
          </w:p>
        </w:tc>
      </w:tr>
      <w:tr w:rsidR="00FB1D38" w14:paraId="2F0F96C7"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AA90073" w14:textId="77777777" w:rsidR="00FB1D38" w:rsidRDefault="00FB1D38" w:rsidP="00FB1D38">
            <w:pPr>
              <w:spacing w:before="60" w:after="60"/>
              <w:rPr>
                <w:rFonts w:asciiTheme="majorHAnsi" w:hAnsiTheme="majorHAnsi" w:cstheme="majorHAnsi"/>
              </w:rPr>
            </w:pPr>
            <w:r>
              <w:rPr>
                <w:rFonts w:ascii="Arial" w:hAnsi="Arial" w:cs="Arial"/>
                <w:szCs w:val="17"/>
              </w:rPr>
              <w:t>Dir 3.4</w:t>
            </w:r>
          </w:p>
          <w:p w14:paraId="36C3AE4C" w14:textId="388F4078" w:rsidR="00FB1D38" w:rsidRDefault="00FB1D38" w:rsidP="00FB1D38">
            <w:pPr>
              <w:spacing w:before="60" w:after="60"/>
              <w:ind w:left="6"/>
              <w:rPr>
                <w:rFonts w:asciiTheme="majorHAnsi" w:hAnsiTheme="majorHAnsi" w:cstheme="majorHAnsi"/>
              </w:rPr>
            </w:pPr>
            <w:r>
              <w:rPr>
                <w:rFonts w:ascii="Arial" w:hAnsi="Arial" w:cs="Arial"/>
                <w:szCs w:val="17"/>
              </w:rPr>
              <w:t>Tender Notices</w:t>
            </w:r>
          </w:p>
        </w:tc>
        <w:tc>
          <w:tcPr>
            <w:tcW w:w="7371" w:type="dxa"/>
            <w:tcBorders>
              <w:top w:val="single" w:sz="4" w:space="0" w:color="auto"/>
              <w:bottom w:val="single" w:sz="4" w:space="0" w:color="auto"/>
            </w:tcBorders>
          </w:tcPr>
          <w:p w14:paraId="0C02630B" w14:textId="77777777" w:rsidR="00FB1D38" w:rsidRPr="00A030F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 xml:space="preserve">To promote competition and contestability, and to ensure open and fair competition, when advertising a tender to perform Works or Construction Services, </w:t>
            </w:r>
            <w:r w:rsidRPr="008D576C">
              <w:rPr>
                <w:rFonts w:ascii="Arial" w:hAnsi="Arial" w:cs="Arial"/>
                <w:szCs w:val="17"/>
              </w:rPr>
              <w:t>Agencies must provide potential tender participants with appropriate notice of the tender process, including issuing a Tender Notice in accordance with the Instructions</w:t>
            </w:r>
            <w:r>
              <w:rPr>
                <w:rFonts w:ascii="Arial" w:hAnsi="Arial" w:cs="Arial"/>
                <w:szCs w:val="17"/>
              </w:rPr>
              <w:t>.</w:t>
            </w:r>
          </w:p>
        </w:tc>
        <w:tc>
          <w:tcPr>
            <w:tcW w:w="709" w:type="dxa"/>
            <w:tcBorders>
              <w:top w:val="single" w:sz="4" w:space="0" w:color="auto"/>
              <w:bottom w:val="single" w:sz="4" w:space="0" w:color="auto"/>
            </w:tcBorders>
          </w:tcPr>
          <w:p w14:paraId="529E50C5" w14:textId="77777777" w:rsidR="00FB1D38" w:rsidRPr="00DF2032"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r w:rsidRPr="00E11A64">
              <w:rPr>
                <w:rFonts w:asciiTheme="majorHAnsi" w:hAnsiTheme="majorHAnsi" w:cstheme="majorHAnsi"/>
                <w:sz w:val="20"/>
                <w:szCs w:val="20"/>
              </w:rPr>
              <w:sym w:font="Wingdings" w:char="F0A8"/>
            </w:r>
          </w:p>
        </w:tc>
      </w:tr>
      <w:tr w:rsidR="00FB1D38" w14:paraId="22E0BC8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614BDEEE" w14:textId="77777777" w:rsidR="00FB1D38" w:rsidRDefault="00FB1D38" w:rsidP="00FB1D38">
            <w:pPr>
              <w:spacing w:before="60" w:after="60"/>
              <w:rPr>
                <w:rFonts w:asciiTheme="majorHAnsi" w:hAnsiTheme="majorHAnsi" w:cstheme="majorHAnsi"/>
              </w:rPr>
            </w:pPr>
            <w:r>
              <w:rPr>
                <w:rFonts w:ascii="Arial" w:hAnsi="Arial" w:cs="Arial"/>
                <w:szCs w:val="17"/>
              </w:rPr>
              <w:t>Inst 3.4.1</w:t>
            </w:r>
          </w:p>
          <w:p w14:paraId="27A36BF0" w14:textId="46846CB9" w:rsidR="00FB1D38" w:rsidRDefault="00FB1D38" w:rsidP="00FB1D38">
            <w:pPr>
              <w:spacing w:before="60" w:after="60"/>
              <w:rPr>
                <w:rFonts w:asciiTheme="majorHAnsi" w:hAnsiTheme="majorHAnsi" w:cstheme="majorHAnsi"/>
              </w:rPr>
            </w:pPr>
            <w:r>
              <w:rPr>
                <w:rFonts w:ascii="Arial" w:hAnsi="Arial" w:cs="Arial"/>
                <w:szCs w:val="17"/>
              </w:rPr>
              <w:t>Tender Notices</w:t>
            </w:r>
          </w:p>
        </w:tc>
        <w:tc>
          <w:tcPr>
            <w:tcW w:w="7371" w:type="dxa"/>
            <w:tcBorders>
              <w:top w:val="single" w:sz="4" w:space="0" w:color="auto"/>
              <w:bottom w:val="single" w:sz="4" w:space="0" w:color="auto"/>
            </w:tcBorders>
          </w:tcPr>
          <w:p w14:paraId="28D30DC9" w14:textId="41B831EE" w:rsidR="00FB1D38" w:rsidRPr="005A7E8F" w:rsidRDefault="00FB1D38" w:rsidP="00FB1D38">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D576C">
              <w:rPr>
                <w:rFonts w:ascii="Arial" w:hAnsi="Arial" w:cs="Arial"/>
                <w:szCs w:val="17"/>
              </w:rPr>
              <w:t>Tender Notices must give all potential participants in the tender process effective notice that it has begun, being:</w:t>
            </w:r>
          </w:p>
        </w:tc>
        <w:tc>
          <w:tcPr>
            <w:tcW w:w="709" w:type="dxa"/>
            <w:tcBorders>
              <w:top w:val="single" w:sz="4" w:space="0" w:color="auto"/>
              <w:bottom w:val="single" w:sz="4" w:space="0" w:color="auto"/>
            </w:tcBorders>
            <w:shd w:val="clear" w:color="auto" w:fill="F2F2F2" w:themeFill="background1" w:themeFillShade="F2"/>
          </w:tcPr>
          <w:p w14:paraId="43C4971C" w14:textId="682F5299" w:rsidR="00FB1D38" w:rsidRPr="005A7E8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48DE142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FF933DD"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64779E2" w14:textId="2B143814" w:rsidR="00FB1D38" w:rsidRPr="005A7E8F" w:rsidRDefault="00FB1D38" w:rsidP="00FB1D38">
            <w:pPr>
              <w:pStyle w:val="ListParagraph"/>
              <w:numPr>
                <w:ilvl w:val="6"/>
                <w:numId w:val="33"/>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D576C">
              <w:rPr>
                <w:rFonts w:ascii="Arial" w:hAnsi="Arial" w:cs="Arial"/>
                <w:szCs w:val="17"/>
              </w:rPr>
              <w:t>for an open tender, all potential tender participants, and</w:t>
            </w:r>
          </w:p>
        </w:tc>
        <w:tc>
          <w:tcPr>
            <w:tcW w:w="709" w:type="dxa"/>
            <w:tcBorders>
              <w:top w:val="single" w:sz="4" w:space="0" w:color="auto"/>
              <w:bottom w:val="single" w:sz="4" w:space="0" w:color="auto"/>
            </w:tcBorders>
          </w:tcPr>
          <w:p w14:paraId="1F1B895A" w14:textId="1DCC714B" w:rsidR="00FB1D38" w:rsidRPr="00D613C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r w:rsidRPr="00EC5D16">
              <w:rPr>
                <w:rFonts w:asciiTheme="majorHAnsi" w:hAnsiTheme="majorHAnsi" w:cstheme="majorHAnsi"/>
                <w:sz w:val="20"/>
                <w:szCs w:val="20"/>
              </w:rPr>
              <w:sym w:font="Wingdings" w:char="F0A8"/>
            </w:r>
          </w:p>
        </w:tc>
      </w:tr>
      <w:tr w:rsidR="00FB1D38" w14:paraId="07B42F0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78B0CF1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204F627" w14:textId="0237C7BC" w:rsidR="00FB1D38" w:rsidRPr="005A7E8F" w:rsidRDefault="00FB1D38" w:rsidP="00FB1D38">
            <w:pPr>
              <w:pStyle w:val="ListParagraph"/>
              <w:numPr>
                <w:ilvl w:val="6"/>
                <w:numId w:val="33"/>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D576C">
              <w:rPr>
                <w:rFonts w:ascii="Arial" w:hAnsi="Arial" w:cs="Arial"/>
                <w:szCs w:val="17"/>
              </w:rPr>
              <w:t>for a Selective Tender or a Limited Tender, each potential tender participant invited to participate in the tender process</w:t>
            </w:r>
            <w:r>
              <w:rPr>
                <w:rFonts w:ascii="Arial" w:hAnsi="Arial" w:cs="Arial"/>
                <w:szCs w:val="17"/>
              </w:rPr>
              <w:t>.</w:t>
            </w:r>
          </w:p>
        </w:tc>
        <w:tc>
          <w:tcPr>
            <w:tcW w:w="709" w:type="dxa"/>
            <w:tcBorders>
              <w:top w:val="single" w:sz="4" w:space="0" w:color="auto"/>
              <w:bottom w:val="single" w:sz="4" w:space="0" w:color="auto"/>
            </w:tcBorders>
          </w:tcPr>
          <w:p w14:paraId="0363FF87" w14:textId="2937DCA9" w:rsidR="00FB1D38" w:rsidRPr="00D613C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r w:rsidRPr="00EC5D16">
              <w:rPr>
                <w:rFonts w:asciiTheme="majorHAnsi" w:hAnsiTheme="majorHAnsi" w:cstheme="majorHAnsi"/>
                <w:sz w:val="20"/>
                <w:szCs w:val="20"/>
              </w:rPr>
              <w:sym w:font="Wingdings" w:char="F0A8"/>
            </w:r>
          </w:p>
        </w:tc>
      </w:tr>
      <w:tr w:rsidR="008B23E7" w14:paraId="64D51B60" w14:textId="77777777" w:rsidTr="00FE30F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2DF2129" w14:textId="77777777" w:rsidR="008B23E7" w:rsidRDefault="008B23E7" w:rsidP="00FB1D38">
            <w:pPr>
              <w:spacing w:before="60" w:after="60"/>
              <w:rPr>
                <w:rFonts w:ascii="Arial" w:hAnsi="Arial" w:cs="Arial"/>
                <w:szCs w:val="17"/>
              </w:rPr>
            </w:pPr>
            <w:r>
              <w:rPr>
                <w:rFonts w:ascii="Arial" w:hAnsi="Arial" w:cs="Arial"/>
                <w:szCs w:val="17"/>
              </w:rPr>
              <w:t>Inst 3.4.2</w:t>
            </w:r>
          </w:p>
          <w:p w14:paraId="481C47D7" w14:textId="576EDB47" w:rsidR="008B23E7" w:rsidRDefault="008B23E7" w:rsidP="00FB1D38">
            <w:pPr>
              <w:spacing w:before="60" w:after="60"/>
              <w:rPr>
                <w:rFonts w:ascii="Arial" w:hAnsi="Arial" w:cs="Arial"/>
                <w:szCs w:val="17"/>
              </w:rPr>
            </w:pPr>
            <w:r>
              <w:rPr>
                <w:rFonts w:ascii="Arial" w:hAnsi="Arial" w:cs="Arial"/>
                <w:szCs w:val="17"/>
              </w:rPr>
              <w:t>Tender Notice – format and content</w:t>
            </w:r>
          </w:p>
        </w:tc>
        <w:tc>
          <w:tcPr>
            <w:tcW w:w="7371" w:type="dxa"/>
            <w:tcBorders>
              <w:top w:val="single" w:sz="4" w:space="0" w:color="auto"/>
              <w:bottom w:val="single" w:sz="4" w:space="0" w:color="auto"/>
            </w:tcBorders>
          </w:tcPr>
          <w:p w14:paraId="7FFCE555" w14:textId="79EA0AF7" w:rsidR="008B23E7" w:rsidRPr="00C41992" w:rsidRDefault="008B23E7" w:rsidP="008B23E7">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For open tenders, i</w:t>
            </w:r>
            <w:r w:rsidRPr="008D576C" w:rsidDel="00C139B3">
              <w:rPr>
                <w:rFonts w:ascii="Arial" w:hAnsi="Arial" w:cs="Arial"/>
                <w:szCs w:val="17"/>
              </w:rPr>
              <w:t xml:space="preserve">n addition to any other means of publication, Tender Notices must be published on the website </w:t>
            </w:r>
            <w:r>
              <w:rPr>
                <w:rFonts w:ascii="Arial" w:hAnsi="Arial" w:cs="Arial"/>
                <w:szCs w:val="17"/>
              </w:rPr>
              <w:t xml:space="preserve">or system nominated by the Secretary </w:t>
            </w:r>
            <w:r w:rsidRPr="008D576C" w:rsidDel="00C139B3">
              <w:rPr>
                <w:rFonts w:ascii="Arial" w:hAnsi="Arial" w:cs="Arial"/>
                <w:szCs w:val="17"/>
              </w:rPr>
              <w:t>using the applicable form.</w:t>
            </w:r>
          </w:p>
        </w:tc>
        <w:tc>
          <w:tcPr>
            <w:tcW w:w="709" w:type="dxa"/>
            <w:tcBorders>
              <w:top w:val="single" w:sz="4" w:space="0" w:color="auto"/>
              <w:bottom w:val="single" w:sz="4" w:space="0" w:color="auto"/>
            </w:tcBorders>
          </w:tcPr>
          <w:p w14:paraId="23F6F31A" w14:textId="7E500CE9" w:rsidR="008B23E7" w:rsidRPr="00D613CD" w:rsidRDefault="008B23E7"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r w:rsidRPr="00E11A64">
              <w:rPr>
                <w:rFonts w:asciiTheme="majorHAnsi" w:hAnsiTheme="majorHAnsi" w:cstheme="majorHAnsi"/>
                <w:sz w:val="20"/>
                <w:szCs w:val="20"/>
              </w:rPr>
              <w:sym w:font="Wingdings" w:char="F0A8"/>
            </w:r>
          </w:p>
        </w:tc>
      </w:tr>
      <w:tr w:rsidR="008B23E7" w14:paraId="47AF3495" w14:textId="77777777" w:rsidTr="00FE30F8">
        <w:tc>
          <w:tcPr>
            <w:cnfStyle w:val="001000000000" w:firstRow="0" w:lastRow="0" w:firstColumn="1" w:lastColumn="0" w:oddVBand="0" w:evenVBand="0" w:oddHBand="0" w:evenHBand="0" w:firstRowFirstColumn="0" w:firstRowLastColumn="0" w:lastRowFirstColumn="0" w:lastRowLastColumn="0"/>
            <w:tcW w:w="1191" w:type="dxa"/>
            <w:vMerge/>
            <w:tcBorders>
              <w:bottom w:val="nil"/>
            </w:tcBorders>
          </w:tcPr>
          <w:p w14:paraId="3CAAF6B9" w14:textId="77777777" w:rsidR="008B23E7" w:rsidRDefault="008B23E7" w:rsidP="008B23E7">
            <w:pPr>
              <w:spacing w:before="60" w:after="60"/>
              <w:rPr>
                <w:rFonts w:ascii="Arial" w:hAnsi="Arial" w:cs="Arial"/>
                <w:szCs w:val="17"/>
              </w:rPr>
            </w:pPr>
          </w:p>
        </w:tc>
        <w:tc>
          <w:tcPr>
            <w:tcW w:w="7371" w:type="dxa"/>
            <w:tcBorders>
              <w:top w:val="single" w:sz="4" w:space="0" w:color="auto"/>
              <w:bottom w:val="single" w:sz="4" w:space="0" w:color="auto"/>
            </w:tcBorders>
          </w:tcPr>
          <w:p w14:paraId="49DCA1C2" w14:textId="77777777" w:rsidR="008B23E7" w:rsidRDefault="008B23E7" w:rsidP="008B23E7">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For Selective Tenders and Limited Tenders, in addition to any other means of communication, a tender Notice must be sent to each potential tender participant invited to participate in the tender process from the website or system nominated by the Secretary where the expected value of the Selective tender or Limited Tender is greater than:</w:t>
            </w:r>
          </w:p>
          <w:p w14:paraId="30365EFA" w14:textId="77777777" w:rsidR="008B23E7" w:rsidRDefault="008B23E7" w:rsidP="008B23E7">
            <w:pPr>
              <w:pStyle w:val="NormalIndent"/>
              <w:numPr>
                <w:ilvl w:val="6"/>
                <w:numId w:val="28"/>
              </w:numPr>
              <w:tabs>
                <w:tab w:val="clear" w:pos="504"/>
                <w:tab w:val="num" w:pos="375"/>
              </w:tabs>
              <w:spacing w:before="60" w:after="60" w:line="240" w:lineRule="auto"/>
              <w:ind w:left="375" w:hanging="37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for Works – the upper limit stated in Instruction 3.2.1(a)(ii)(1); or</w:t>
            </w:r>
          </w:p>
          <w:p w14:paraId="05C7F865" w14:textId="43F398AA" w:rsidR="008B23E7" w:rsidRPr="008B23E7" w:rsidRDefault="008B23E7" w:rsidP="008B23E7">
            <w:pPr>
              <w:pStyle w:val="NormalIndent"/>
              <w:numPr>
                <w:ilvl w:val="6"/>
                <w:numId w:val="28"/>
              </w:numPr>
              <w:tabs>
                <w:tab w:val="clear" w:pos="504"/>
                <w:tab w:val="num" w:pos="375"/>
              </w:tabs>
              <w:spacing w:before="60" w:after="60" w:line="240" w:lineRule="auto"/>
              <w:ind w:left="375" w:hanging="37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for Construction Services – the upper limit stated in Instruction 3.2.1(a)(ii)(2).</w:t>
            </w:r>
          </w:p>
        </w:tc>
        <w:tc>
          <w:tcPr>
            <w:tcW w:w="709" w:type="dxa"/>
            <w:tcBorders>
              <w:top w:val="single" w:sz="4" w:space="0" w:color="auto"/>
              <w:bottom w:val="single" w:sz="4" w:space="0" w:color="auto"/>
            </w:tcBorders>
          </w:tcPr>
          <w:p w14:paraId="6390DE5B" w14:textId="3CB37385" w:rsidR="008B23E7" w:rsidRPr="00E11A64" w:rsidRDefault="008B23E7" w:rsidP="008B23E7">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8B23E7" w14:paraId="42866E20" w14:textId="77777777" w:rsidTr="008B23E7">
        <w:tc>
          <w:tcPr>
            <w:cnfStyle w:val="001000000000" w:firstRow="0" w:lastRow="0" w:firstColumn="1" w:lastColumn="0" w:oddVBand="0" w:evenVBand="0" w:oddHBand="0" w:evenHBand="0" w:firstRowFirstColumn="0" w:firstRowLastColumn="0" w:lastRowFirstColumn="0" w:lastRowLastColumn="0"/>
            <w:tcW w:w="1191" w:type="dxa"/>
            <w:tcBorders>
              <w:top w:val="nil"/>
              <w:bottom w:val="single" w:sz="4" w:space="0" w:color="auto"/>
            </w:tcBorders>
          </w:tcPr>
          <w:p w14:paraId="1960E18F" w14:textId="77777777" w:rsidR="008B23E7" w:rsidRDefault="008B23E7" w:rsidP="008B23E7">
            <w:pPr>
              <w:spacing w:before="60" w:after="60"/>
              <w:rPr>
                <w:rFonts w:ascii="Arial" w:hAnsi="Arial" w:cs="Arial"/>
                <w:szCs w:val="17"/>
              </w:rPr>
            </w:pPr>
          </w:p>
        </w:tc>
        <w:tc>
          <w:tcPr>
            <w:tcW w:w="7371" w:type="dxa"/>
            <w:tcBorders>
              <w:top w:val="single" w:sz="4" w:space="0" w:color="auto"/>
              <w:bottom w:val="single" w:sz="4" w:space="0" w:color="auto"/>
            </w:tcBorders>
          </w:tcPr>
          <w:p w14:paraId="34B9D9DB" w14:textId="58046658" w:rsidR="008B23E7" w:rsidRDefault="008B23E7" w:rsidP="008B23E7">
            <w:pPr>
              <w:pStyle w:val="NormalIndent"/>
              <w:spacing w:before="60" w:after="60"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D576C" w:rsidDel="00C139B3">
              <w:rPr>
                <w:rFonts w:ascii="Arial" w:hAnsi="Arial" w:cs="Arial"/>
                <w:szCs w:val="17"/>
              </w:rPr>
              <w:t xml:space="preserve">If Tender Documentation is not included in the Tender Notice, then the Tender Notice must provide details about how to obtain access to </w:t>
            </w:r>
            <w:r w:rsidRPr="008D576C">
              <w:rPr>
                <w:rFonts w:ascii="Arial" w:hAnsi="Arial" w:cs="Arial"/>
                <w:szCs w:val="17"/>
              </w:rPr>
              <w:t xml:space="preserve">the </w:t>
            </w:r>
            <w:r w:rsidRPr="008D576C" w:rsidDel="00C139B3">
              <w:rPr>
                <w:rFonts w:ascii="Arial" w:hAnsi="Arial" w:cs="Arial"/>
                <w:szCs w:val="17"/>
              </w:rPr>
              <w:t>Tender Documentation.</w:t>
            </w:r>
          </w:p>
        </w:tc>
        <w:tc>
          <w:tcPr>
            <w:tcW w:w="709" w:type="dxa"/>
            <w:tcBorders>
              <w:top w:val="single" w:sz="4" w:space="0" w:color="auto"/>
              <w:bottom w:val="single" w:sz="4" w:space="0" w:color="auto"/>
            </w:tcBorders>
          </w:tcPr>
          <w:p w14:paraId="58E77528" w14:textId="4B639466" w:rsidR="008B23E7" w:rsidRPr="00E11A64" w:rsidRDefault="008B23E7" w:rsidP="008B23E7">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7837FAA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23E8E63" w14:textId="77777777" w:rsidR="00FB1D38" w:rsidRDefault="00FB1D38" w:rsidP="00FB1D38">
            <w:pPr>
              <w:spacing w:before="60" w:after="60"/>
              <w:rPr>
                <w:rFonts w:asciiTheme="majorHAnsi" w:hAnsiTheme="majorHAnsi" w:cstheme="majorHAnsi"/>
              </w:rPr>
            </w:pPr>
            <w:r>
              <w:rPr>
                <w:rFonts w:ascii="Arial" w:hAnsi="Arial" w:cs="Arial"/>
                <w:szCs w:val="17"/>
              </w:rPr>
              <w:t>Dir 3.5</w:t>
            </w:r>
          </w:p>
          <w:p w14:paraId="571E767F" w14:textId="18B13B59" w:rsidR="00FB1D38" w:rsidRDefault="00FB1D38" w:rsidP="00FB1D38">
            <w:pPr>
              <w:spacing w:before="60" w:after="60"/>
              <w:ind w:left="6"/>
              <w:rPr>
                <w:rFonts w:asciiTheme="majorHAnsi" w:hAnsiTheme="majorHAnsi" w:cstheme="majorHAnsi"/>
              </w:rPr>
            </w:pPr>
            <w:r>
              <w:rPr>
                <w:rFonts w:ascii="Arial" w:hAnsi="Arial" w:cs="Arial"/>
                <w:szCs w:val="17"/>
              </w:rPr>
              <w:t>Tender open times</w:t>
            </w:r>
          </w:p>
        </w:tc>
        <w:tc>
          <w:tcPr>
            <w:tcW w:w="7371" w:type="dxa"/>
            <w:tcBorders>
              <w:top w:val="single" w:sz="4" w:space="0" w:color="auto"/>
              <w:bottom w:val="single" w:sz="4" w:space="0" w:color="auto"/>
            </w:tcBorders>
          </w:tcPr>
          <w:p w14:paraId="6050D273" w14:textId="77777777"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21F89">
              <w:rPr>
                <w:rFonts w:ascii="Arial" w:hAnsi="Arial" w:cs="Arial"/>
                <w:szCs w:val="17"/>
              </w:rPr>
              <w:t>Agencies must ensure tender participants are allowed a reasonable time period to respond to a tender following the publication of the Tender Notice.</w:t>
            </w:r>
          </w:p>
          <w:p w14:paraId="46B4D58E" w14:textId="17A667B6" w:rsidR="000A0615" w:rsidRPr="00C562F7" w:rsidRDefault="000A0615"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rsidRPr="00C562F7">
              <w:rPr>
                <w:rFonts w:asciiTheme="majorHAnsi" w:hAnsiTheme="majorHAnsi" w:cstheme="majorHAnsi"/>
                <w:i/>
              </w:rPr>
              <w:t>Issues to consider when determining the tender period appear in Direction 3.5</w:t>
            </w:r>
          </w:p>
        </w:tc>
        <w:tc>
          <w:tcPr>
            <w:tcW w:w="709" w:type="dxa"/>
            <w:tcBorders>
              <w:top w:val="single" w:sz="4" w:space="0" w:color="auto"/>
              <w:bottom w:val="single" w:sz="4" w:space="0" w:color="auto"/>
            </w:tcBorders>
          </w:tcPr>
          <w:p w14:paraId="4C4B125D" w14:textId="487B32C2" w:rsidR="00FB1D38" w:rsidRPr="00835E4C"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A64">
              <w:rPr>
                <w:rFonts w:asciiTheme="majorHAnsi" w:hAnsiTheme="majorHAnsi" w:cstheme="majorHAnsi"/>
                <w:sz w:val="20"/>
                <w:szCs w:val="20"/>
              </w:rPr>
              <w:sym w:font="Wingdings" w:char="F0A8"/>
            </w:r>
          </w:p>
        </w:tc>
      </w:tr>
      <w:tr w:rsidR="00FB1D38" w14:paraId="4BC2771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34F830F2" w14:textId="77777777" w:rsidR="00FB1D38" w:rsidRDefault="00FB1D38" w:rsidP="00FB1D38">
            <w:pPr>
              <w:spacing w:before="60" w:after="60"/>
              <w:rPr>
                <w:rFonts w:asciiTheme="majorHAnsi" w:hAnsiTheme="majorHAnsi" w:cstheme="majorHAnsi"/>
              </w:rPr>
            </w:pPr>
            <w:r>
              <w:rPr>
                <w:rFonts w:ascii="Arial" w:hAnsi="Arial" w:cs="Arial"/>
                <w:szCs w:val="17"/>
              </w:rPr>
              <w:t>Dir 3.6</w:t>
            </w:r>
          </w:p>
          <w:p w14:paraId="7454EA11" w14:textId="1431E4E9" w:rsidR="00FB1D38" w:rsidRDefault="00FB1D38" w:rsidP="00FB1D38">
            <w:pPr>
              <w:spacing w:before="60" w:after="60"/>
              <w:rPr>
                <w:rFonts w:asciiTheme="majorHAnsi" w:hAnsiTheme="majorHAnsi" w:cstheme="majorHAnsi"/>
              </w:rPr>
            </w:pPr>
            <w:r>
              <w:rPr>
                <w:rFonts w:ascii="Arial" w:hAnsi="Arial" w:cs="Arial"/>
                <w:szCs w:val="17"/>
              </w:rPr>
              <w:t>Tender Document-ation</w:t>
            </w:r>
          </w:p>
        </w:tc>
        <w:tc>
          <w:tcPr>
            <w:tcW w:w="7371" w:type="dxa"/>
            <w:tcBorders>
              <w:top w:val="single" w:sz="4" w:space="0" w:color="auto"/>
              <w:bottom w:val="single" w:sz="4" w:space="0" w:color="auto"/>
            </w:tcBorders>
          </w:tcPr>
          <w:p w14:paraId="1EC1D7A0" w14:textId="77777777" w:rsidR="00FB1D38" w:rsidRDefault="00FB1D38" w:rsidP="00FB1D38">
            <w:pPr>
              <w:pStyle w:val="ListParagraph"/>
              <w:numPr>
                <w:ilvl w:val="6"/>
                <w:numId w:val="34"/>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Agencies must ensure that Tender Documentation is appropriate for the tender process and Procurement Model.</w:t>
            </w:r>
          </w:p>
          <w:p w14:paraId="30AEAA14" w14:textId="0D79CB27" w:rsidR="000A0615" w:rsidRPr="000A0615" w:rsidRDefault="000A0615" w:rsidP="000A0615">
            <w:pPr>
              <w:spacing w:before="60" w:after="60"/>
              <w:ind w:left="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A0615">
              <w:rPr>
                <w:rFonts w:asciiTheme="majorHAnsi" w:hAnsiTheme="majorHAnsi" w:cstheme="majorHAnsi"/>
                <w:i/>
              </w:rPr>
              <w:t>Issues to consider on the format of Tender Documentation appear in Direction 3.6</w:t>
            </w:r>
          </w:p>
        </w:tc>
        <w:tc>
          <w:tcPr>
            <w:tcW w:w="709" w:type="dxa"/>
            <w:tcBorders>
              <w:top w:val="single" w:sz="4" w:space="0" w:color="auto"/>
              <w:bottom w:val="single" w:sz="4" w:space="0" w:color="auto"/>
            </w:tcBorders>
          </w:tcPr>
          <w:p w14:paraId="2FDCA832" w14:textId="5C47FB60" w:rsidR="00FB1D38" w:rsidRPr="00835E4C"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A64">
              <w:rPr>
                <w:rFonts w:asciiTheme="majorHAnsi" w:hAnsiTheme="majorHAnsi" w:cstheme="majorHAnsi"/>
                <w:sz w:val="20"/>
                <w:szCs w:val="20"/>
              </w:rPr>
              <w:sym w:font="Wingdings" w:char="F0A8"/>
            </w:r>
          </w:p>
        </w:tc>
      </w:tr>
      <w:tr w:rsidR="00FB1D38" w14:paraId="07A3A35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CCCA31D"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19A70DF" w14:textId="17B2654B" w:rsidR="00FB1D38" w:rsidRPr="00385304" w:rsidRDefault="00FB1D38" w:rsidP="00FB1D38">
            <w:pPr>
              <w:pStyle w:val="ListParagraph"/>
              <w:numPr>
                <w:ilvl w:val="6"/>
                <w:numId w:val="34"/>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Tender Documentation released to the market must be drafted to promote open and fair competition by providing all potential participants in the tender process with access to the same information about the tender process and the Works or Construction Services the Agency is seeking.</w:t>
            </w:r>
          </w:p>
        </w:tc>
        <w:tc>
          <w:tcPr>
            <w:tcW w:w="709" w:type="dxa"/>
            <w:tcBorders>
              <w:top w:val="single" w:sz="4" w:space="0" w:color="auto"/>
              <w:bottom w:val="single" w:sz="4" w:space="0" w:color="auto"/>
            </w:tcBorders>
          </w:tcPr>
          <w:p w14:paraId="1CE8CCB1" w14:textId="7E5B5001"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7A0CBE9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5A1C5F5"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DCF7FA5" w14:textId="77777777" w:rsidR="00FB1D38" w:rsidRDefault="00FB1D38" w:rsidP="00FB1D38">
            <w:pPr>
              <w:pStyle w:val="ListParagraph"/>
              <w:numPr>
                <w:ilvl w:val="6"/>
                <w:numId w:val="34"/>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Agencies must ensure that Tender Documentation is clearly drafted and provides participants (and potential participants) with the information they need to understand the requirements of the relevant stage of the tender process, including the matters set out in Instruction 3.6.1(c) and as otherwise required by these Directions</w:t>
            </w:r>
            <w:r>
              <w:rPr>
                <w:rFonts w:ascii="Arial" w:hAnsi="Arial" w:cs="Arial"/>
                <w:szCs w:val="17"/>
              </w:rPr>
              <w:t>.</w:t>
            </w:r>
          </w:p>
          <w:p w14:paraId="7A340897" w14:textId="0C6098BD" w:rsidR="000A0615" w:rsidRPr="000A0615" w:rsidRDefault="000A0615" w:rsidP="000A0615">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A0615">
              <w:rPr>
                <w:rFonts w:asciiTheme="majorHAnsi" w:hAnsiTheme="majorHAnsi" w:cstheme="majorHAnsi"/>
                <w:i/>
              </w:rPr>
              <w:t xml:space="preserve">Issues to consider about </w:t>
            </w:r>
            <w:r w:rsidRPr="000A0615">
              <w:rPr>
                <w:rFonts w:ascii="Arial" w:hAnsi="Arial" w:cs="Arial"/>
                <w:i/>
                <w:szCs w:val="17"/>
              </w:rPr>
              <w:t>issuing late and multiple addenda appear in Instruction 3.6.3</w:t>
            </w:r>
          </w:p>
        </w:tc>
        <w:tc>
          <w:tcPr>
            <w:tcW w:w="709" w:type="dxa"/>
            <w:tcBorders>
              <w:top w:val="single" w:sz="4" w:space="0" w:color="auto"/>
              <w:bottom w:val="single" w:sz="4" w:space="0" w:color="auto"/>
            </w:tcBorders>
          </w:tcPr>
          <w:p w14:paraId="393A78B9" w14:textId="101935BF"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2A9F94A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353BA3C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C065298" w14:textId="0B916869" w:rsidR="00FB1D38" w:rsidRPr="00C41992" w:rsidRDefault="00FB1D38" w:rsidP="00FB1D38">
            <w:pPr>
              <w:pStyle w:val="ListParagraph"/>
              <w:numPr>
                <w:ilvl w:val="6"/>
                <w:numId w:val="34"/>
              </w:numPr>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Before beginning a tender process, Agencies must ensure the Tender Documentation is sufficiently resolved to minimise the need for addenda or changes during the tender process.</w:t>
            </w:r>
          </w:p>
        </w:tc>
        <w:tc>
          <w:tcPr>
            <w:tcW w:w="709" w:type="dxa"/>
            <w:tcBorders>
              <w:top w:val="single" w:sz="4" w:space="0" w:color="auto"/>
              <w:bottom w:val="single" w:sz="4" w:space="0" w:color="auto"/>
            </w:tcBorders>
          </w:tcPr>
          <w:p w14:paraId="299B7A7F" w14:textId="322F8BC5"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6B5C6D2F"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7B4EDF47" w14:textId="77777777" w:rsidR="00FB1D38" w:rsidRDefault="00FB1D38" w:rsidP="00FB1D38">
            <w:pPr>
              <w:spacing w:before="60" w:after="60"/>
              <w:rPr>
                <w:rFonts w:ascii="Arial" w:hAnsi="Arial" w:cs="Arial"/>
                <w:szCs w:val="17"/>
              </w:rPr>
            </w:pPr>
            <w:r>
              <w:rPr>
                <w:rFonts w:ascii="Arial" w:hAnsi="Arial" w:cs="Arial"/>
                <w:szCs w:val="17"/>
              </w:rPr>
              <w:t>Inst 3.6.1</w:t>
            </w:r>
          </w:p>
          <w:p w14:paraId="744792FB" w14:textId="0FF9C031" w:rsidR="00FB1D38" w:rsidRDefault="00FB1D38" w:rsidP="00FB1D38">
            <w:pPr>
              <w:spacing w:before="60" w:after="60"/>
              <w:rPr>
                <w:rFonts w:ascii="Arial" w:hAnsi="Arial" w:cs="Arial"/>
                <w:szCs w:val="17"/>
              </w:rPr>
            </w:pPr>
            <w:r>
              <w:rPr>
                <w:rFonts w:ascii="Arial" w:hAnsi="Arial" w:cs="Arial"/>
                <w:szCs w:val="17"/>
              </w:rPr>
              <w:t>Form of tender documents</w:t>
            </w:r>
          </w:p>
        </w:tc>
        <w:tc>
          <w:tcPr>
            <w:tcW w:w="7371" w:type="dxa"/>
            <w:tcBorders>
              <w:top w:val="single" w:sz="4" w:space="0" w:color="auto"/>
              <w:bottom w:val="single" w:sz="4" w:space="0" w:color="auto"/>
            </w:tcBorders>
          </w:tcPr>
          <w:p w14:paraId="78DEA67C" w14:textId="2F310B3B" w:rsidR="00FB1D38" w:rsidRPr="009413EE"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Agencies must use model Tender Documentation designed for use with a Victorian Public Construction Contract where appropriate.</w:t>
            </w:r>
          </w:p>
        </w:tc>
        <w:tc>
          <w:tcPr>
            <w:tcW w:w="709" w:type="dxa"/>
            <w:tcBorders>
              <w:top w:val="single" w:sz="4" w:space="0" w:color="auto"/>
              <w:bottom w:val="single" w:sz="4" w:space="0" w:color="auto"/>
            </w:tcBorders>
          </w:tcPr>
          <w:p w14:paraId="10A5D444" w14:textId="5961BEA6" w:rsidR="00FB1D38" w:rsidRPr="009413EE"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A64">
              <w:rPr>
                <w:rFonts w:asciiTheme="majorHAnsi" w:hAnsiTheme="majorHAnsi" w:cstheme="majorHAnsi"/>
                <w:sz w:val="20"/>
                <w:szCs w:val="20"/>
              </w:rPr>
              <w:sym w:font="Wingdings" w:char="F0A8"/>
            </w:r>
          </w:p>
        </w:tc>
      </w:tr>
      <w:tr w:rsidR="00FB1D38" w14:paraId="5880074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0D6D2CA" w14:textId="77777777" w:rsidR="00FB1D38" w:rsidRDefault="00FB1D38" w:rsidP="00FB1D38">
            <w:pPr>
              <w:spacing w:before="60" w:after="60"/>
              <w:rPr>
                <w:rFonts w:asciiTheme="majorHAnsi" w:hAnsiTheme="majorHAnsi" w:cstheme="majorHAnsi"/>
              </w:rPr>
            </w:pPr>
            <w:r>
              <w:rPr>
                <w:rFonts w:ascii="Arial" w:hAnsi="Arial" w:cs="Arial"/>
                <w:szCs w:val="17"/>
              </w:rPr>
              <w:t>Inst 3.6.2</w:t>
            </w:r>
          </w:p>
          <w:p w14:paraId="2AE7AA81" w14:textId="592789CC" w:rsidR="00FB1D38" w:rsidRDefault="00FB1D38" w:rsidP="00FB1D38">
            <w:pPr>
              <w:spacing w:before="60" w:after="60"/>
              <w:rPr>
                <w:rFonts w:asciiTheme="majorHAnsi" w:hAnsiTheme="majorHAnsi" w:cstheme="majorHAnsi"/>
              </w:rPr>
            </w:pPr>
            <w:r>
              <w:rPr>
                <w:rFonts w:ascii="Arial" w:hAnsi="Arial" w:cs="Arial"/>
                <w:szCs w:val="17"/>
              </w:rPr>
              <w:t>Terms and conditions to be set out in Tender Document-ation</w:t>
            </w:r>
          </w:p>
        </w:tc>
        <w:tc>
          <w:tcPr>
            <w:tcW w:w="7371" w:type="dxa"/>
            <w:tcBorders>
              <w:top w:val="single" w:sz="4" w:space="0" w:color="auto"/>
              <w:bottom w:val="single" w:sz="4" w:space="0" w:color="auto"/>
            </w:tcBorders>
          </w:tcPr>
          <w:p w14:paraId="461B7181" w14:textId="5B5CDDE4" w:rsidR="00FB1D38" w:rsidRPr="00C65289"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Agencies must include the following information in Tender Documentation, as appropriate for the relevant stage of the tender process:</w:t>
            </w:r>
          </w:p>
        </w:tc>
        <w:tc>
          <w:tcPr>
            <w:tcW w:w="709" w:type="dxa"/>
            <w:tcBorders>
              <w:top w:val="single" w:sz="4" w:space="0" w:color="auto"/>
              <w:bottom w:val="single" w:sz="4" w:space="0" w:color="auto"/>
            </w:tcBorders>
            <w:shd w:val="clear" w:color="auto" w:fill="F2F2F2" w:themeFill="background1" w:themeFillShade="F2"/>
          </w:tcPr>
          <w:p w14:paraId="46118E5A" w14:textId="76520359" w:rsidR="00FB1D38" w:rsidRPr="00835E4C"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3C2BC7B0"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81AD04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7B47FDE" w14:textId="27CCC742" w:rsidR="00FB1D38" w:rsidRPr="00C65289" w:rsidRDefault="00FB1D38" w:rsidP="00FB1D38">
            <w:pPr>
              <w:pStyle w:val="ListParagraph"/>
              <w:numPr>
                <w:ilvl w:val="6"/>
                <w:numId w:val="35"/>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the Agency's project objectives;</w:t>
            </w:r>
          </w:p>
        </w:tc>
        <w:tc>
          <w:tcPr>
            <w:tcW w:w="709" w:type="dxa"/>
            <w:tcBorders>
              <w:top w:val="single" w:sz="4" w:space="0" w:color="auto"/>
              <w:bottom w:val="single" w:sz="4" w:space="0" w:color="auto"/>
            </w:tcBorders>
          </w:tcPr>
          <w:p w14:paraId="729A4635" w14:textId="049173F2"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490C5AD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4A3D6B1"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C703092" w14:textId="65256427" w:rsidR="00FB1D38" w:rsidRPr="00C65289" w:rsidRDefault="00FB1D38" w:rsidP="00FB1D38">
            <w:pPr>
              <w:pStyle w:val="ListParagraph"/>
              <w:numPr>
                <w:ilvl w:val="6"/>
                <w:numId w:val="35"/>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appropriate detail of the Works or Construction Services the Agency is seeking, including the statement of requirements or design specification (as applicable);</w:t>
            </w:r>
          </w:p>
        </w:tc>
        <w:tc>
          <w:tcPr>
            <w:tcW w:w="709" w:type="dxa"/>
            <w:tcBorders>
              <w:top w:val="single" w:sz="4" w:space="0" w:color="auto"/>
              <w:bottom w:val="single" w:sz="4" w:space="0" w:color="auto"/>
            </w:tcBorders>
          </w:tcPr>
          <w:p w14:paraId="57043CEF" w14:textId="1EFC0874"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5F33F65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28C2D8D"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4302A2F" w14:textId="12368CA4" w:rsidR="008B23E7" w:rsidRPr="008B23E7" w:rsidRDefault="00FB1D38" w:rsidP="008B23E7">
            <w:pPr>
              <w:pStyle w:val="ListParagraph"/>
              <w:numPr>
                <w:ilvl w:val="6"/>
                <w:numId w:val="35"/>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the terms and conditions applicable to the tender process, including:</w:t>
            </w:r>
            <w:r w:rsidR="006179B2" w:rsidRPr="008B23E7">
              <w:rPr>
                <w:rFonts w:ascii="Arial" w:hAnsi="Arial" w:cs="Arial"/>
                <w:szCs w:val="17"/>
              </w:rPr>
              <w:t xml:space="preserve"> </w:t>
            </w:r>
          </w:p>
          <w:p w14:paraId="734F31A9" w14:textId="77777777" w:rsidR="00FB1D38" w:rsidRPr="00C41992"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lastRenderedPageBreak/>
              <w:t>evaluation criteria applicable to the relevant stage of the tender process, with any mandatory criteria identified;</w:t>
            </w:r>
          </w:p>
          <w:p w14:paraId="40311702" w14:textId="77777777" w:rsidR="00FB1D38" w:rsidRPr="00C41992"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the tender closing date and time;</w:t>
            </w:r>
          </w:p>
          <w:p w14:paraId="364C6FE2" w14:textId="77777777" w:rsidR="00FB1D38" w:rsidRPr="00C41992"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the place and process for lodging tenders;</w:t>
            </w:r>
          </w:p>
          <w:p w14:paraId="2D6D07DF" w14:textId="77777777" w:rsidR="00FB1D38" w:rsidRPr="00C41992"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how the Agency will handle late tenders;</w:t>
            </w:r>
          </w:p>
          <w:p w14:paraId="4AD3B686" w14:textId="77777777" w:rsidR="00FB1D38" w:rsidRPr="00C41992"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whether or not the tender process will include briefings, interviews, negotiations, or provide for a best and final offer process; and</w:t>
            </w:r>
          </w:p>
          <w:p w14:paraId="16BC5809" w14:textId="3D1AB725" w:rsidR="00FB1D38" w:rsidRPr="00C65289" w:rsidRDefault="00FB1D38" w:rsidP="00FB1D38">
            <w:pPr>
              <w:pStyle w:val="Listnumindent2"/>
              <w:numPr>
                <w:ilvl w:val="1"/>
                <w:numId w:val="36"/>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how the Agency will handle alternative or non-conforming tenders;</w:t>
            </w:r>
          </w:p>
        </w:tc>
        <w:tc>
          <w:tcPr>
            <w:tcW w:w="709" w:type="dxa"/>
            <w:tcBorders>
              <w:top w:val="single" w:sz="4" w:space="0" w:color="auto"/>
              <w:bottom w:val="single" w:sz="4" w:space="0" w:color="auto"/>
            </w:tcBorders>
          </w:tcPr>
          <w:p w14:paraId="528A14A1" w14:textId="45DD06C2"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lastRenderedPageBreak/>
              <w:sym w:font="Wingdings" w:char="F0A8"/>
            </w:r>
          </w:p>
        </w:tc>
      </w:tr>
      <w:tr w:rsidR="00FB1D38" w14:paraId="4102175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9C6174A"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F786846" w14:textId="1AD70203" w:rsidR="00FB1D38" w:rsidRPr="00C65289" w:rsidRDefault="00FB1D38" w:rsidP="00FB1D38">
            <w:pPr>
              <w:pStyle w:val="ListParagraph"/>
              <w:numPr>
                <w:ilvl w:val="6"/>
                <w:numId w:val="35"/>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details of the documentation and responses that tender participants are expected to submit;</w:t>
            </w:r>
          </w:p>
        </w:tc>
        <w:tc>
          <w:tcPr>
            <w:tcW w:w="709" w:type="dxa"/>
            <w:tcBorders>
              <w:top w:val="single" w:sz="4" w:space="0" w:color="auto"/>
              <w:bottom w:val="single" w:sz="4" w:space="0" w:color="auto"/>
            </w:tcBorders>
          </w:tcPr>
          <w:p w14:paraId="6944F89B" w14:textId="4B59184B"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67E40E3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9D81722"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1FC4254" w14:textId="03345EDC" w:rsidR="00FB1D38" w:rsidRPr="00C65289" w:rsidRDefault="00FB1D38" w:rsidP="00FB1D38">
            <w:pPr>
              <w:pStyle w:val="ListParagraph"/>
              <w:numPr>
                <w:ilvl w:val="6"/>
                <w:numId w:val="35"/>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the terms on which the successful supplier will be engaged to perform the Works or Construction Services, including, at the relevant stage of the tender process, the form of contract; and</w:t>
            </w:r>
          </w:p>
        </w:tc>
        <w:tc>
          <w:tcPr>
            <w:tcW w:w="709" w:type="dxa"/>
            <w:tcBorders>
              <w:top w:val="single" w:sz="4" w:space="0" w:color="auto"/>
              <w:bottom w:val="single" w:sz="4" w:space="0" w:color="auto"/>
            </w:tcBorders>
          </w:tcPr>
          <w:p w14:paraId="1589553A" w14:textId="3405CA97"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38E282B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1CA300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4A19146" w14:textId="4186186A" w:rsidR="00FB1D38" w:rsidRPr="00C41992" w:rsidRDefault="00FB1D38" w:rsidP="00FB1D38">
            <w:pPr>
              <w:pStyle w:val="ListParagraph"/>
              <w:numPr>
                <w:ilvl w:val="6"/>
                <w:numId w:val="35"/>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41992">
              <w:rPr>
                <w:rFonts w:ascii="Arial" w:hAnsi="Arial" w:cs="Arial"/>
                <w:szCs w:val="17"/>
              </w:rPr>
              <w:t>information about relevant government policies that apply to the procurement for example, the Victorian Industry Participation Policy.</w:t>
            </w:r>
          </w:p>
        </w:tc>
        <w:tc>
          <w:tcPr>
            <w:tcW w:w="709" w:type="dxa"/>
            <w:tcBorders>
              <w:top w:val="single" w:sz="4" w:space="0" w:color="auto"/>
              <w:bottom w:val="single" w:sz="4" w:space="0" w:color="auto"/>
            </w:tcBorders>
          </w:tcPr>
          <w:p w14:paraId="254F19A0" w14:textId="5D39D86C" w:rsidR="00FB1D38" w:rsidRPr="00E11A6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1A64">
              <w:rPr>
                <w:rFonts w:asciiTheme="majorHAnsi" w:hAnsiTheme="majorHAnsi" w:cstheme="majorHAnsi"/>
                <w:sz w:val="20"/>
                <w:szCs w:val="20"/>
              </w:rPr>
              <w:sym w:font="Wingdings" w:char="F0A8"/>
            </w:r>
          </w:p>
        </w:tc>
      </w:tr>
      <w:tr w:rsidR="00FB1D38" w14:paraId="1F42ECD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2956E467" w14:textId="77777777" w:rsidR="00FB1D38" w:rsidRDefault="00FB1D38" w:rsidP="00FB1D38">
            <w:pPr>
              <w:spacing w:before="60" w:after="60"/>
              <w:rPr>
                <w:rFonts w:asciiTheme="majorHAnsi" w:hAnsiTheme="majorHAnsi" w:cstheme="majorHAnsi"/>
              </w:rPr>
            </w:pPr>
            <w:r>
              <w:rPr>
                <w:rFonts w:ascii="Arial" w:hAnsi="Arial" w:cs="Arial"/>
                <w:szCs w:val="17"/>
              </w:rPr>
              <w:t>Dir 3.7</w:t>
            </w:r>
          </w:p>
          <w:p w14:paraId="071D1170" w14:textId="543FA983" w:rsidR="00FB1D38" w:rsidRDefault="00FB1D38" w:rsidP="00FB1D38">
            <w:pPr>
              <w:pStyle w:val="Listnumindent2"/>
              <w:spacing w:before="60" w:after="60"/>
              <w:ind w:left="6"/>
              <w:rPr>
                <w:rFonts w:asciiTheme="majorHAnsi" w:hAnsiTheme="majorHAnsi" w:cstheme="majorHAnsi"/>
              </w:rPr>
            </w:pPr>
            <w:r w:rsidRPr="00AD474F">
              <w:t>Evaluation</w:t>
            </w:r>
            <w:r>
              <w:rPr>
                <w:rFonts w:ascii="Arial" w:hAnsi="Arial" w:cs="Arial"/>
                <w:szCs w:val="17"/>
              </w:rPr>
              <w:t xml:space="preserve"> plan</w:t>
            </w:r>
          </w:p>
        </w:tc>
        <w:tc>
          <w:tcPr>
            <w:tcW w:w="7371" w:type="dxa"/>
            <w:tcBorders>
              <w:top w:val="single" w:sz="4" w:space="0" w:color="auto"/>
              <w:bottom w:val="single" w:sz="4" w:space="0" w:color="auto"/>
            </w:tcBorders>
          </w:tcPr>
          <w:p w14:paraId="1B6D954B" w14:textId="58619910" w:rsidR="00FB1D38" w:rsidRPr="00B45DE5" w:rsidRDefault="00FB1D38" w:rsidP="00FB1D38">
            <w:pPr>
              <w:pStyle w:val="ListParagraph"/>
              <w:numPr>
                <w:ilvl w:val="6"/>
                <w:numId w:val="37"/>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51D0C">
              <w:t>Agencies</w:t>
            </w:r>
            <w:r w:rsidRPr="001E34C6">
              <w:rPr>
                <w:rFonts w:ascii="Arial" w:hAnsi="Arial" w:cs="Arial"/>
                <w:szCs w:val="17"/>
              </w:rPr>
              <w:t xml:space="preserve"> must consider how responses for the relevant stage of the tender process will be evaluated before to releasing Tender Documentation to the market to ensure the information requested and the evaluation plan are aligned.</w:t>
            </w:r>
          </w:p>
        </w:tc>
        <w:tc>
          <w:tcPr>
            <w:tcW w:w="709" w:type="dxa"/>
            <w:tcBorders>
              <w:top w:val="single" w:sz="4" w:space="0" w:color="auto"/>
              <w:bottom w:val="single" w:sz="4" w:space="0" w:color="auto"/>
            </w:tcBorders>
          </w:tcPr>
          <w:p w14:paraId="48B04E75" w14:textId="670C3CC9" w:rsidR="00FB1D38" w:rsidRPr="00B45DE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014E82F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0F7FA1C9" w14:textId="77777777" w:rsidR="00FB1D38" w:rsidRPr="00AD474F" w:rsidRDefault="00FB1D38" w:rsidP="00FB1D38">
            <w:pPr>
              <w:pStyle w:val="Listnumindent2"/>
              <w:spacing w:before="60" w:after="60"/>
              <w:ind w:left="6"/>
            </w:pPr>
          </w:p>
        </w:tc>
        <w:tc>
          <w:tcPr>
            <w:tcW w:w="7371" w:type="dxa"/>
            <w:tcBorders>
              <w:top w:val="single" w:sz="4" w:space="0" w:color="auto"/>
              <w:bottom w:val="single" w:sz="4" w:space="0" w:color="auto"/>
            </w:tcBorders>
          </w:tcPr>
          <w:p w14:paraId="315AF074" w14:textId="77777777" w:rsidR="00FB1D38" w:rsidRPr="001E34C6" w:rsidRDefault="00FB1D38" w:rsidP="00FB1D38">
            <w:pPr>
              <w:pStyle w:val="ListParagraph"/>
              <w:numPr>
                <w:ilvl w:val="6"/>
                <w:numId w:val="37"/>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Agencies must ensure the evaluation plan is:</w:t>
            </w:r>
          </w:p>
          <w:p w14:paraId="08C74DB6" w14:textId="77777777" w:rsidR="00FB1D38" w:rsidRPr="001E34C6" w:rsidRDefault="00FB1D38" w:rsidP="00FB1D38">
            <w:pPr>
              <w:pStyle w:val="Listnumindent2"/>
              <w:numPr>
                <w:ilvl w:val="1"/>
                <w:numId w:val="3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substantively complete before the release of Tender Documentation; and</w:t>
            </w:r>
          </w:p>
          <w:p w14:paraId="2E6E4B27" w14:textId="60FD021A" w:rsidR="00FB1D38" w:rsidRPr="00951D0C" w:rsidRDefault="00FB1D38" w:rsidP="00FB1D38">
            <w:pPr>
              <w:pStyle w:val="Listnumindent2"/>
              <w:numPr>
                <w:ilvl w:val="1"/>
                <w:numId w:val="38"/>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pPr>
            <w:r w:rsidRPr="001E34C6">
              <w:rPr>
                <w:rFonts w:ascii="Arial" w:hAnsi="Arial" w:cs="Arial"/>
                <w:szCs w:val="17"/>
              </w:rPr>
              <w:t>finalised before the tender closing date.</w:t>
            </w:r>
          </w:p>
        </w:tc>
        <w:tc>
          <w:tcPr>
            <w:tcW w:w="709" w:type="dxa"/>
            <w:tcBorders>
              <w:top w:val="single" w:sz="4" w:space="0" w:color="auto"/>
              <w:bottom w:val="single" w:sz="4" w:space="0" w:color="auto"/>
            </w:tcBorders>
          </w:tcPr>
          <w:p w14:paraId="5845D44F" w14:textId="0847EE6D" w:rsidR="00FB1D38" w:rsidRPr="00B45DE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3A21627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81A1B2D" w14:textId="77777777" w:rsidR="00FB1D38" w:rsidRDefault="00FB1D38" w:rsidP="00FB1D38">
            <w:pPr>
              <w:spacing w:before="60" w:after="60"/>
              <w:rPr>
                <w:rFonts w:ascii="Arial" w:hAnsi="Arial" w:cs="Arial"/>
                <w:szCs w:val="17"/>
              </w:rPr>
            </w:pPr>
            <w:r>
              <w:rPr>
                <w:rFonts w:ascii="Arial" w:hAnsi="Arial" w:cs="Arial"/>
                <w:szCs w:val="17"/>
              </w:rPr>
              <w:t>Dir 3.7.2</w:t>
            </w:r>
          </w:p>
          <w:p w14:paraId="09D4FA94" w14:textId="658A5CE1" w:rsidR="00FB1D38" w:rsidRPr="00AD474F" w:rsidRDefault="00FB1D38" w:rsidP="00FB1D38">
            <w:pPr>
              <w:pStyle w:val="Listnumindent2"/>
              <w:spacing w:before="60" w:after="60"/>
              <w:ind w:left="6"/>
            </w:pPr>
            <w:bookmarkStart w:id="11" w:name="_Toc504553132"/>
            <w:bookmarkStart w:id="12" w:name="_Toc505871176"/>
            <w:bookmarkStart w:id="13" w:name="_Toc514155815"/>
            <w:r w:rsidRPr="00AD474F">
              <w:t>Disclosure of evaluation criteria</w:t>
            </w:r>
            <w:bookmarkEnd w:id="11"/>
            <w:bookmarkEnd w:id="12"/>
            <w:bookmarkEnd w:id="13"/>
          </w:p>
        </w:tc>
        <w:tc>
          <w:tcPr>
            <w:tcW w:w="7371" w:type="dxa"/>
            <w:tcBorders>
              <w:top w:val="single" w:sz="4" w:space="0" w:color="auto"/>
              <w:bottom w:val="single" w:sz="4" w:space="0" w:color="auto"/>
            </w:tcBorders>
          </w:tcPr>
          <w:p w14:paraId="4A9DC5C0" w14:textId="5E03DC9A" w:rsidR="00FB1D38" w:rsidRPr="00241F1A" w:rsidRDefault="00FB1D38" w:rsidP="00FB1D38">
            <w:pPr>
              <w:pStyle w:val="ListParagraph"/>
              <w:numPr>
                <w:ilvl w:val="6"/>
                <w:numId w:val="39"/>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pPr>
            <w:r>
              <w:t>Evaluation criteria must be disclosed in the Tender Documentation.</w:t>
            </w:r>
          </w:p>
        </w:tc>
        <w:tc>
          <w:tcPr>
            <w:tcW w:w="709" w:type="dxa"/>
            <w:tcBorders>
              <w:top w:val="single" w:sz="4" w:space="0" w:color="auto"/>
              <w:bottom w:val="single" w:sz="4" w:space="0" w:color="auto"/>
            </w:tcBorders>
          </w:tcPr>
          <w:p w14:paraId="21B82341" w14:textId="4A92861E"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068DF00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6E807D53" w14:textId="77777777" w:rsidR="00FB1D38" w:rsidRPr="00AD474F" w:rsidRDefault="00FB1D38" w:rsidP="00FB1D38">
            <w:pPr>
              <w:pStyle w:val="Listnumindent2"/>
              <w:spacing w:before="60" w:after="60"/>
              <w:ind w:left="6"/>
            </w:pPr>
          </w:p>
        </w:tc>
        <w:tc>
          <w:tcPr>
            <w:tcW w:w="7371" w:type="dxa"/>
            <w:tcBorders>
              <w:top w:val="single" w:sz="4" w:space="0" w:color="auto"/>
              <w:bottom w:val="single" w:sz="4" w:space="0" w:color="auto"/>
            </w:tcBorders>
          </w:tcPr>
          <w:p w14:paraId="5254D575" w14:textId="0BDABFA7" w:rsidR="00FB1D38" w:rsidRDefault="00FB1D38" w:rsidP="00FB1D38">
            <w:pPr>
              <w:pStyle w:val="ListParagraph"/>
              <w:numPr>
                <w:ilvl w:val="6"/>
                <w:numId w:val="39"/>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pPr>
            <w:r>
              <w:t>Any mandatory criteria must be indicated in the Tender Documentation.</w:t>
            </w:r>
          </w:p>
        </w:tc>
        <w:tc>
          <w:tcPr>
            <w:tcW w:w="709" w:type="dxa"/>
            <w:tcBorders>
              <w:top w:val="single" w:sz="4" w:space="0" w:color="auto"/>
              <w:bottom w:val="single" w:sz="4" w:space="0" w:color="auto"/>
            </w:tcBorders>
          </w:tcPr>
          <w:p w14:paraId="1B8DD088" w14:textId="30CF402F" w:rsidR="00FB1D38" w:rsidRPr="00B45DE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45DE5">
              <w:rPr>
                <w:rFonts w:asciiTheme="majorHAnsi" w:hAnsiTheme="majorHAnsi" w:cstheme="majorHAnsi"/>
                <w:sz w:val="20"/>
                <w:szCs w:val="20"/>
              </w:rPr>
              <w:sym w:font="Wingdings" w:char="F0A8"/>
            </w:r>
          </w:p>
        </w:tc>
      </w:tr>
      <w:tr w:rsidR="00FB1D38" w14:paraId="5B262B3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2B4D88B6" w14:textId="77777777" w:rsidR="00FB1D38" w:rsidRDefault="00FB1D38" w:rsidP="00FB1D38">
            <w:pPr>
              <w:spacing w:before="60" w:after="60"/>
              <w:rPr>
                <w:rFonts w:ascii="Arial" w:hAnsi="Arial" w:cs="Arial"/>
                <w:szCs w:val="17"/>
              </w:rPr>
            </w:pPr>
            <w:r>
              <w:rPr>
                <w:rFonts w:ascii="Arial" w:hAnsi="Arial" w:cs="Arial"/>
                <w:szCs w:val="17"/>
              </w:rPr>
              <w:t>Dir 3.7.3</w:t>
            </w:r>
          </w:p>
          <w:p w14:paraId="689A93B3" w14:textId="1805A311" w:rsidR="00FB1D38" w:rsidRPr="00AD474F" w:rsidRDefault="00FB1D38" w:rsidP="00FB1D38">
            <w:pPr>
              <w:pStyle w:val="Listnumindent2"/>
              <w:spacing w:before="60" w:after="60"/>
              <w:ind w:left="6"/>
            </w:pPr>
            <w:bookmarkStart w:id="14" w:name="_Toc504553133"/>
            <w:bookmarkStart w:id="15" w:name="_Toc505871177"/>
            <w:bookmarkStart w:id="16" w:name="_Toc514155816"/>
            <w:r w:rsidRPr="00AD474F">
              <w:t>Mandatory evaluation criteria</w:t>
            </w:r>
            <w:bookmarkEnd w:id="14"/>
            <w:bookmarkEnd w:id="15"/>
            <w:bookmarkEnd w:id="16"/>
          </w:p>
        </w:tc>
        <w:tc>
          <w:tcPr>
            <w:tcW w:w="7371" w:type="dxa"/>
            <w:tcBorders>
              <w:top w:val="single" w:sz="4" w:space="0" w:color="auto"/>
              <w:bottom w:val="single" w:sz="4" w:space="0" w:color="auto"/>
            </w:tcBorders>
          </w:tcPr>
          <w:p w14:paraId="0D21269A" w14:textId="7045ED78" w:rsidR="00FB1D38" w:rsidRPr="00AD474F"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Agencies must ensure that any supplier engaged to perform Works or Construction Services satisfies the mandatory evaluation criteria as required by the Instructions prior to entering into the engagement.</w:t>
            </w:r>
          </w:p>
        </w:tc>
        <w:tc>
          <w:tcPr>
            <w:tcW w:w="709" w:type="dxa"/>
            <w:tcBorders>
              <w:top w:val="single" w:sz="4" w:space="0" w:color="auto"/>
              <w:bottom w:val="single" w:sz="4" w:space="0" w:color="auto"/>
            </w:tcBorders>
          </w:tcPr>
          <w:p w14:paraId="4BD29CFD" w14:textId="7230016A"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rsidRPr="00F64B94" w14:paraId="44ABA25F"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E1733C7" w14:textId="77777777" w:rsidR="00FB1D38" w:rsidRPr="00F64B94" w:rsidRDefault="00FB1D38" w:rsidP="00FB1D38">
            <w:pPr>
              <w:spacing w:before="60" w:after="60"/>
              <w:rPr>
                <w:rFonts w:ascii="Arial" w:hAnsi="Arial" w:cs="Arial"/>
                <w:szCs w:val="17"/>
              </w:rPr>
            </w:pPr>
            <w:r w:rsidRPr="00F64B94">
              <w:rPr>
                <w:rFonts w:ascii="Arial" w:hAnsi="Arial" w:cs="Arial"/>
                <w:szCs w:val="17"/>
              </w:rPr>
              <w:t>Dir 3.7.4</w:t>
            </w:r>
          </w:p>
          <w:p w14:paraId="483CB1ED" w14:textId="0BFC6E11" w:rsidR="00FB1D38" w:rsidRPr="00F64B94" w:rsidRDefault="00FB1D38" w:rsidP="00FB1D38">
            <w:pPr>
              <w:pStyle w:val="Listnumindent2"/>
              <w:spacing w:before="60" w:after="60"/>
              <w:ind w:left="6"/>
            </w:pPr>
            <w:bookmarkStart w:id="17" w:name="_Toc504553131"/>
            <w:bookmarkStart w:id="18" w:name="_Toc505871178"/>
            <w:bookmarkStart w:id="19" w:name="_Toc514155817"/>
            <w:r w:rsidRPr="00F64B94">
              <w:t>Determining evaluation criteria</w:t>
            </w:r>
            <w:bookmarkEnd w:id="17"/>
            <w:bookmarkEnd w:id="18"/>
            <w:bookmarkEnd w:id="19"/>
          </w:p>
        </w:tc>
        <w:tc>
          <w:tcPr>
            <w:tcW w:w="7371" w:type="dxa"/>
            <w:tcBorders>
              <w:top w:val="single" w:sz="4" w:space="0" w:color="auto"/>
              <w:bottom w:val="single" w:sz="4" w:space="0" w:color="auto"/>
            </w:tcBorders>
          </w:tcPr>
          <w:p w14:paraId="5B82B979" w14:textId="4ADA967D" w:rsidR="00FB1D38" w:rsidRPr="00F64B9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F64B94">
              <w:t>Agencies must select evaluation criteria, as part of preparing the evaluation plan, before releasing Tender Documentation to the market.</w:t>
            </w:r>
          </w:p>
        </w:tc>
        <w:tc>
          <w:tcPr>
            <w:tcW w:w="709" w:type="dxa"/>
            <w:tcBorders>
              <w:top w:val="single" w:sz="4" w:space="0" w:color="auto"/>
              <w:bottom w:val="single" w:sz="4" w:space="0" w:color="auto"/>
            </w:tcBorders>
          </w:tcPr>
          <w:p w14:paraId="411231C5" w14:textId="36B33B84" w:rsidR="00FB1D38" w:rsidRPr="00F64B9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64B94">
              <w:rPr>
                <w:rFonts w:asciiTheme="majorHAnsi" w:hAnsiTheme="majorHAnsi" w:cstheme="majorHAnsi"/>
                <w:sz w:val="20"/>
                <w:szCs w:val="20"/>
              </w:rPr>
              <w:sym w:font="Wingdings" w:char="F0A8"/>
            </w:r>
          </w:p>
        </w:tc>
      </w:tr>
      <w:tr w:rsidR="00FB1D38" w14:paraId="2A1E5435"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D0C0910" w14:textId="77777777" w:rsidR="00FB1D38" w:rsidRDefault="00FB1D38" w:rsidP="00FB1D38">
            <w:pPr>
              <w:spacing w:before="60" w:after="60"/>
              <w:rPr>
                <w:rFonts w:ascii="Arial" w:hAnsi="Arial" w:cs="Arial"/>
                <w:szCs w:val="17"/>
              </w:rPr>
            </w:pPr>
            <w:r>
              <w:rPr>
                <w:rFonts w:ascii="Arial" w:hAnsi="Arial" w:cs="Arial"/>
                <w:szCs w:val="17"/>
              </w:rPr>
              <w:t>Inst 3.7.1</w:t>
            </w:r>
          </w:p>
          <w:p w14:paraId="3ECCC1C2" w14:textId="24110C27" w:rsidR="00FB1D38" w:rsidRDefault="00FB1D38" w:rsidP="00FB1D38">
            <w:pPr>
              <w:spacing w:before="60" w:after="60"/>
              <w:rPr>
                <w:rFonts w:ascii="Arial" w:hAnsi="Arial" w:cs="Arial"/>
                <w:szCs w:val="17"/>
              </w:rPr>
            </w:pPr>
            <w:r>
              <w:rPr>
                <w:rFonts w:ascii="Arial" w:hAnsi="Arial" w:cs="Arial"/>
                <w:szCs w:val="17"/>
              </w:rPr>
              <w:t>Evaluation plan</w:t>
            </w:r>
          </w:p>
        </w:tc>
        <w:tc>
          <w:tcPr>
            <w:tcW w:w="7371" w:type="dxa"/>
            <w:tcBorders>
              <w:top w:val="single" w:sz="4" w:space="0" w:color="auto"/>
              <w:bottom w:val="single" w:sz="4" w:space="0" w:color="auto"/>
            </w:tcBorders>
          </w:tcPr>
          <w:p w14:paraId="7533A8C9" w14:textId="77777777" w:rsidR="00FB1D38" w:rsidRPr="001E34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The evaluation plan must set out the:</w:t>
            </w:r>
          </w:p>
          <w:p w14:paraId="59DF1A42" w14:textId="77777777" w:rsidR="00FB1D38" w:rsidRPr="001E34C6" w:rsidRDefault="00FB1D38" w:rsidP="00FB1D38">
            <w:pPr>
              <w:pStyle w:val="ListParagraph"/>
              <w:numPr>
                <w:ilvl w:val="6"/>
                <w:numId w:val="40"/>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950DA">
              <w:t>tender</w:t>
            </w:r>
            <w:r w:rsidRPr="001E34C6">
              <w:rPr>
                <w:rFonts w:ascii="Arial" w:hAnsi="Arial" w:cs="Arial"/>
                <w:szCs w:val="17"/>
              </w:rPr>
              <w:t xml:space="preserve"> evaluation criteria, including identifying of any mandatory criteria;</w:t>
            </w:r>
          </w:p>
          <w:p w14:paraId="5EFF3DE7" w14:textId="77777777" w:rsidR="00FB1D38" w:rsidRPr="00F950DA" w:rsidRDefault="00FB1D38" w:rsidP="00FB1D38">
            <w:pPr>
              <w:pStyle w:val="ListParagraph"/>
              <w:numPr>
                <w:ilvl w:val="6"/>
                <w:numId w:val="40"/>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pPr>
            <w:r w:rsidRPr="00F950DA">
              <w:t>relative importance and associated weightings of the evaluation criteria;</w:t>
            </w:r>
          </w:p>
          <w:p w14:paraId="00F69E4A" w14:textId="77777777" w:rsidR="00FB1D38" w:rsidRPr="00F950DA" w:rsidRDefault="00FB1D38" w:rsidP="00FB1D38">
            <w:pPr>
              <w:pStyle w:val="ListParagraph"/>
              <w:numPr>
                <w:ilvl w:val="6"/>
                <w:numId w:val="40"/>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pPr>
            <w:r w:rsidRPr="00F950DA">
              <w:t>evaluation methodology and how each criteria will be evaluated; and</w:t>
            </w:r>
          </w:p>
          <w:p w14:paraId="1023286B" w14:textId="77777777" w:rsidR="00FB1D38" w:rsidRPr="00F950DA" w:rsidRDefault="00FB1D38" w:rsidP="00FB1D38">
            <w:pPr>
              <w:pStyle w:val="ListParagraph"/>
              <w:numPr>
                <w:ilvl w:val="6"/>
                <w:numId w:val="40"/>
              </w:numPr>
              <w:tabs>
                <w:tab w:val="clear" w:pos="1296"/>
              </w:tabs>
              <w:spacing w:before="60" w:after="60"/>
              <w:ind w:left="310" w:hanging="283"/>
              <w:contextualSpacing w:val="0"/>
              <w:jc w:val="left"/>
              <w:cnfStyle w:val="000000000000" w:firstRow="0" w:lastRow="0" w:firstColumn="0" w:lastColumn="0" w:oddVBand="0" w:evenVBand="0" w:oddHBand="0" w:evenHBand="0" w:firstRowFirstColumn="0" w:firstRowLastColumn="0" w:lastRowFirstColumn="0" w:lastRowLastColumn="0"/>
            </w:pPr>
            <w:r w:rsidRPr="00F950DA">
              <w:t>tender evaluation process, including:</w:t>
            </w:r>
          </w:p>
          <w:p w14:paraId="2FD258CE" w14:textId="78DB623C" w:rsidR="00FB1D38" w:rsidRPr="001E34C6" w:rsidRDefault="00FB1D38" w:rsidP="00FB1D38">
            <w:pPr>
              <w:pStyle w:val="Listnumindent2"/>
              <w:numPr>
                <w:ilvl w:val="1"/>
                <w:numId w:val="41"/>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who will assess the tenders;</w:t>
            </w:r>
          </w:p>
          <w:p w14:paraId="33A5A433" w14:textId="77777777" w:rsidR="00FB1D38" w:rsidRPr="001E34C6" w:rsidRDefault="00FB1D38" w:rsidP="00FB1D38">
            <w:pPr>
              <w:pStyle w:val="Listnumindent2"/>
              <w:numPr>
                <w:ilvl w:val="1"/>
                <w:numId w:val="41"/>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resourcing, such as technical experts required to assess certain criteria;</w:t>
            </w:r>
          </w:p>
          <w:p w14:paraId="7499140D" w14:textId="77777777" w:rsidR="00FB1D38" w:rsidRPr="001E34C6" w:rsidRDefault="00FB1D38" w:rsidP="00FB1D38">
            <w:pPr>
              <w:pStyle w:val="Listnumindent2"/>
              <w:numPr>
                <w:ilvl w:val="1"/>
                <w:numId w:val="41"/>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E34C6">
              <w:rPr>
                <w:rFonts w:ascii="Arial" w:hAnsi="Arial" w:cs="Arial"/>
                <w:szCs w:val="17"/>
              </w:rPr>
              <w:t>which evaluation committee members will have access to what information, and</w:t>
            </w:r>
          </w:p>
          <w:p w14:paraId="50320AD0" w14:textId="07701069" w:rsidR="00FB1D38" w:rsidRPr="009840C4" w:rsidRDefault="00FB1D38" w:rsidP="00FB1D38">
            <w:pPr>
              <w:pStyle w:val="Listnumindent2"/>
              <w:numPr>
                <w:ilvl w:val="1"/>
                <w:numId w:val="41"/>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1E34C6">
              <w:rPr>
                <w:rFonts w:ascii="Arial" w:hAnsi="Arial" w:cs="Arial"/>
                <w:szCs w:val="17"/>
              </w:rPr>
              <w:t>how each evaluation criteria will be assessed and scored</w:t>
            </w:r>
            <w:r>
              <w:rPr>
                <w:rFonts w:ascii="Arial" w:hAnsi="Arial" w:cs="Arial"/>
                <w:szCs w:val="17"/>
              </w:rPr>
              <w:t>.</w:t>
            </w:r>
          </w:p>
        </w:tc>
        <w:tc>
          <w:tcPr>
            <w:tcW w:w="709" w:type="dxa"/>
            <w:tcBorders>
              <w:top w:val="single" w:sz="4" w:space="0" w:color="auto"/>
              <w:bottom w:val="single" w:sz="4" w:space="0" w:color="auto"/>
            </w:tcBorders>
          </w:tcPr>
          <w:p w14:paraId="2AD5B783" w14:textId="2D0FB357"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2824272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11127C40" w14:textId="082D48A0" w:rsidR="00FB1D38" w:rsidRDefault="00FB1D38" w:rsidP="00FB1D38">
            <w:pPr>
              <w:spacing w:before="60" w:after="60"/>
              <w:rPr>
                <w:rFonts w:ascii="Arial" w:hAnsi="Arial" w:cs="Arial"/>
                <w:szCs w:val="17"/>
              </w:rPr>
            </w:pPr>
            <w:r>
              <w:rPr>
                <w:rFonts w:ascii="Arial" w:hAnsi="Arial" w:cs="Arial"/>
                <w:szCs w:val="17"/>
              </w:rPr>
              <w:t>Inst 3.7.2</w:t>
            </w:r>
          </w:p>
          <w:p w14:paraId="1F054574" w14:textId="18CD2509" w:rsidR="00FB1D38" w:rsidRPr="00992E20" w:rsidRDefault="00FB1D38" w:rsidP="00FB1D38">
            <w:pPr>
              <w:pStyle w:val="Listnumindent2"/>
              <w:spacing w:before="60" w:after="60"/>
              <w:ind w:left="6"/>
            </w:pPr>
            <w:r w:rsidRPr="00992E20">
              <w:t xml:space="preserve">Disclosure of </w:t>
            </w:r>
            <w:r w:rsidRPr="00992E20">
              <w:rPr>
                <w:rFonts w:ascii="Arial" w:hAnsi="Arial" w:cs="Arial"/>
                <w:szCs w:val="17"/>
              </w:rPr>
              <w:t>evaluation</w:t>
            </w:r>
            <w:r w:rsidRPr="00992E20">
              <w:t xml:space="preserve"> criteria</w:t>
            </w:r>
          </w:p>
        </w:tc>
        <w:tc>
          <w:tcPr>
            <w:tcW w:w="7371" w:type="dxa"/>
            <w:tcBorders>
              <w:top w:val="single" w:sz="4" w:space="0" w:color="auto"/>
              <w:bottom w:val="single" w:sz="4" w:space="0" w:color="auto"/>
            </w:tcBorders>
          </w:tcPr>
          <w:p w14:paraId="1999EC84" w14:textId="77777777"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In addition to disclosing the evaluation criteria in the Tender Documentation and indicating any mandatory evaluation criteria, Agencies may, but are not required to provide tender participants with:</w:t>
            </w:r>
          </w:p>
          <w:p w14:paraId="411337CE" w14:textId="77777777" w:rsidR="00FB1D38" w:rsidRPr="00190B8B" w:rsidRDefault="00FB1D38" w:rsidP="00FB1D38">
            <w:pPr>
              <w:pStyle w:val="ListParagraph"/>
              <w:numPr>
                <w:ilvl w:val="6"/>
                <w:numId w:val="42"/>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90B8B">
              <w:rPr>
                <w:rFonts w:ascii="Arial" w:hAnsi="Arial" w:cs="Arial"/>
                <w:szCs w:val="17"/>
              </w:rPr>
              <w:t>guidance about the evaluation criteria for the purpose of encouraging responsive tenders; and</w:t>
            </w:r>
          </w:p>
          <w:p w14:paraId="28462F3C" w14:textId="6AED0C0B" w:rsidR="00FB1D38" w:rsidRPr="00BE4A7D" w:rsidRDefault="00FB1D38" w:rsidP="00FB1D38">
            <w:pPr>
              <w:pStyle w:val="ListParagraph"/>
              <w:numPr>
                <w:ilvl w:val="6"/>
                <w:numId w:val="42"/>
              </w:numPr>
              <w:tabs>
                <w:tab w:val="clear" w:pos="1296"/>
              </w:tabs>
              <w:spacing w:before="60" w:after="60"/>
              <w:ind w:left="310" w:hanging="31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90B8B">
              <w:rPr>
                <w:rFonts w:ascii="Arial" w:hAnsi="Arial" w:cs="Arial"/>
                <w:szCs w:val="17"/>
              </w:rPr>
              <w:t>an indication of the relative importance or weighting of the evaluation criteria in Tender Documentation.</w:t>
            </w:r>
          </w:p>
        </w:tc>
        <w:tc>
          <w:tcPr>
            <w:tcW w:w="709" w:type="dxa"/>
            <w:tcBorders>
              <w:top w:val="single" w:sz="4" w:space="0" w:color="auto"/>
              <w:bottom w:val="single" w:sz="4" w:space="0" w:color="auto"/>
            </w:tcBorders>
          </w:tcPr>
          <w:p w14:paraId="278EDE33" w14:textId="361A0D97"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16EEF08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76B5CC1" w14:textId="2B08A2F9" w:rsidR="00FB1D38" w:rsidRDefault="00FB1D38" w:rsidP="00FB1D38">
            <w:pPr>
              <w:spacing w:before="60" w:after="60"/>
              <w:rPr>
                <w:rFonts w:ascii="Arial" w:hAnsi="Arial" w:cs="Arial"/>
                <w:szCs w:val="17"/>
              </w:rPr>
            </w:pPr>
            <w:r>
              <w:rPr>
                <w:rFonts w:ascii="Arial" w:hAnsi="Arial" w:cs="Arial"/>
                <w:szCs w:val="17"/>
              </w:rPr>
              <w:t>Inst 3.7.3</w:t>
            </w:r>
          </w:p>
          <w:p w14:paraId="31D2D522" w14:textId="0EA768C7" w:rsidR="00FB1D38" w:rsidRDefault="00FB1D38" w:rsidP="00FB1D38">
            <w:pPr>
              <w:spacing w:before="60" w:after="60"/>
              <w:rPr>
                <w:rFonts w:ascii="Arial" w:hAnsi="Arial" w:cs="Arial"/>
                <w:szCs w:val="17"/>
              </w:rPr>
            </w:pPr>
            <w:r>
              <w:rPr>
                <w:rFonts w:ascii="Arial" w:hAnsi="Arial" w:cs="Arial"/>
                <w:szCs w:val="17"/>
              </w:rPr>
              <w:t xml:space="preserve">Mandatory evaluation </w:t>
            </w:r>
            <w:r>
              <w:rPr>
                <w:rFonts w:ascii="Arial" w:hAnsi="Arial" w:cs="Arial"/>
                <w:szCs w:val="17"/>
              </w:rPr>
              <w:lastRenderedPageBreak/>
              <w:t>criteria</w:t>
            </w:r>
          </w:p>
        </w:tc>
        <w:tc>
          <w:tcPr>
            <w:tcW w:w="7371" w:type="dxa"/>
            <w:tcBorders>
              <w:top w:val="single" w:sz="4" w:space="0" w:color="auto"/>
              <w:bottom w:val="single" w:sz="4" w:space="0" w:color="auto"/>
            </w:tcBorders>
          </w:tcPr>
          <w:p w14:paraId="75021DAE" w14:textId="77777777" w:rsidR="00FB1D38" w:rsidRPr="00CC143D"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lastRenderedPageBreak/>
              <w:t>Evaluation criteria used by Agencies must include the following mandatory evaluation criteria:</w:t>
            </w:r>
          </w:p>
          <w:p w14:paraId="6D399BA9" w14:textId="77777777" w:rsidR="00FB1D38" w:rsidRPr="00CC143D" w:rsidRDefault="00FB1D38" w:rsidP="00FB1D38">
            <w:pPr>
              <w:pStyle w:val="Listnumindent2"/>
              <w:numPr>
                <w:ilvl w:val="7"/>
                <w:numId w:val="11"/>
              </w:numPr>
              <w:tabs>
                <w:tab w:val="clear" w:pos="2205"/>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value for money, which must be the primary determinant of the procurement outcome, after taking into account all of the individual evaluation criteria including price;</w:t>
            </w:r>
          </w:p>
          <w:p w14:paraId="5615A18C" w14:textId="77777777" w:rsidR="00FB1D38" w:rsidRPr="00CC143D" w:rsidRDefault="00FB1D38" w:rsidP="00FB1D38">
            <w:pPr>
              <w:pStyle w:val="Listnumindent2"/>
              <w:numPr>
                <w:ilvl w:val="7"/>
                <w:numId w:val="11"/>
              </w:numPr>
              <w:spacing w:before="60" w:after="60"/>
              <w:ind w:left="369" w:hanging="36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lastRenderedPageBreak/>
              <w:t>the occupational health and safety management criteria set out in Attachment 1 to Instruction 3.7, where:</w:t>
            </w:r>
          </w:p>
          <w:p w14:paraId="16E35B24" w14:textId="77777777" w:rsidR="00FB1D38" w:rsidRPr="00CC143D" w:rsidRDefault="00FB1D38" w:rsidP="00FB1D38">
            <w:pPr>
              <w:pStyle w:val="Listnumindent2"/>
              <w:numPr>
                <w:ilvl w:val="1"/>
                <w:numId w:val="43"/>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in the case of Works, the value of the Works exceeds $500,000 (inclusive of GST); and</w:t>
            </w:r>
          </w:p>
          <w:p w14:paraId="2B2C4168" w14:textId="77777777" w:rsidR="00FB1D38" w:rsidRPr="00CC143D" w:rsidRDefault="00FB1D38" w:rsidP="00FB1D38">
            <w:pPr>
              <w:pStyle w:val="Listnumindent2"/>
              <w:numPr>
                <w:ilvl w:val="1"/>
                <w:numId w:val="43"/>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in the case of Construction Services, the value of the Construction Services exceeds $200,000 (inclusive of GST);</w:t>
            </w:r>
          </w:p>
          <w:p w14:paraId="5BD5F7A4" w14:textId="77777777" w:rsidR="00FB1D38" w:rsidRPr="00CC143D" w:rsidRDefault="00FB1D38" w:rsidP="00FB1D38">
            <w:pPr>
              <w:pStyle w:val="Listnumindent2"/>
              <w:numPr>
                <w:ilvl w:val="7"/>
                <w:numId w:val="11"/>
              </w:numPr>
              <w:spacing w:before="60" w:after="60"/>
              <w:ind w:left="369" w:hanging="36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the industrial relations management criteria set out in Attachment 2 to Instruction 3.7, where the procurement includes supply of Works and the value of the Works (or Works component) exceeds $500,000 (inclusive of GST); and</w:t>
            </w:r>
          </w:p>
          <w:p w14:paraId="004758D0" w14:textId="3A8A25A5" w:rsidR="00FB1D38" w:rsidRPr="009840C4" w:rsidRDefault="00FB1D38" w:rsidP="00FB1D38">
            <w:pPr>
              <w:pStyle w:val="Listnumindent2"/>
              <w:numPr>
                <w:ilvl w:val="7"/>
                <w:numId w:val="11"/>
              </w:numPr>
              <w:spacing w:before="60" w:after="60"/>
              <w:ind w:left="369" w:hanging="363"/>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CC143D">
              <w:rPr>
                <w:rFonts w:ascii="Arial" w:hAnsi="Arial" w:cs="Arial"/>
                <w:szCs w:val="17"/>
              </w:rPr>
              <w:t>appropriate criteria to enable consideration of each tender participant's past performance in delivering Works or Construction Services whether for Agencies within the Victorian Government, other governments or non-government organisations</w:t>
            </w:r>
          </w:p>
        </w:tc>
        <w:tc>
          <w:tcPr>
            <w:tcW w:w="709" w:type="dxa"/>
            <w:tcBorders>
              <w:top w:val="single" w:sz="4" w:space="0" w:color="auto"/>
              <w:bottom w:val="single" w:sz="4" w:space="0" w:color="auto"/>
            </w:tcBorders>
          </w:tcPr>
          <w:p w14:paraId="4C26E6C6" w14:textId="4581EA64"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lastRenderedPageBreak/>
              <w:sym w:font="Wingdings" w:char="F0A8"/>
            </w:r>
          </w:p>
        </w:tc>
      </w:tr>
      <w:tr w:rsidR="00FB1D38" w14:paraId="193C2F2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FCC6D1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08123CE" w14:textId="34011971" w:rsidR="00FB1D38" w:rsidRPr="009840C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CC143D">
              <w:rPr>
                <w:rFonts w:ascii="Arial" w:hAnsi="Arial" w:cs="Arial"/>
                <w:szCs w:val="17"/>
              </w:rPr>
              <w:t>In the case of the mandatory criteria referred to in paragraphs</w:t>
            </w:r>
            <w:r>
              <w:rPr>
                <w:rFonts w:ascii="Arial" w:hAnsi="Arial" w:cs="Arial"/>
                <w:szCs w:val="17"/>
              </w:rPr>
              <w:t xml:space="preserve"> (b) and (c)</w:t>
            </w:r>
            <w:r w:rsidRPr="00CC143D">
              <w:rPr>
                <w:rFonts w:ascii="Arial" w:hAnsi="Arial" w:cs="Arial"/>
                <w:szCs w:val="17"/>
              </w:rPr>
              <w:t>, Agencies must ensure that a tender participant satisfies the criteria before awarding a contract to perform Works or Construction Services.</w:t>
            </w:r>
          </w:p>
        </w:tc>
        <w:tc>
          <w:tcPr>
            <w:tcW w:w="709" w:type="dxa"/>
            <w:tcBorders>
              <w:top w:val="single" w:sz="4" w:space="0" w:color="auto"/>
              <w:bottom w:val="single" w:sz="4" w:space="0" w:color="auto"/>
            </w:tcBorders>
          </w:tcPr>
          <w:p w14:paraId="65476EA0" w14:textId="2409E222"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14:paraId="17F3DEA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5A76526"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0933416" w14:textId="77777777" w:rsidR="00FB1D38" w:rsidRPr="00CC143D"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Where a tender participant has already been assessed against the mandatory criteria as part of a prequalification process, whether as part of qualification or requalification to a Register, becoming a member of a Supplier Panel or through an expression of interest process, then the Agency does not need to reassess the tender participant against the criteria provided they confirm, prior to contract award, that:</w:t>
            </w:r>
          </w:p>
          <w:p w14:paraId="5A42210F" w14:textId="77777777" w:rsidR="00FB1D38" w:rsidRPr="00CC143D" w:rsidRDefault="00FB1D38" w:rsidP="00FB1D38">
            <w:pPr>
              <w:pStyle w:val="Listnumindent2"/>
              <w:numPr>
                <w:ilvl w:val="7"/>
                <w:numId w:val="44"/>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C143D">
              <w:rPr>
                <w:rFonts w:ascii="Arial" w:hAnsi="Arial" w:cs="Arial"/>
                <w:szCs w:val="17"/>
              </w:rPr>
              <w:t>in the case of a tender participant prequalified on a Register or a member of a Supplier Panel, the tender participant remains on that Register or Supplier Panel; and</w:t>
            </w:r>
          </w:p>
          <w:p w14:paraId="11E034C8" w14:textId="0D402D67" w:rsidR="00FB1D38" w:rsidRPr="00440FBC" w:rsidRDefault="00FB1D38" w:rsidP="00FB1D38">
            <w:pPr>
              <w:pStyle w:val="Listnumindent2"/>
              <w:numPr>
                <w:ilvl w:val="7"/>
                <w:numId w:val="44"/>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pPr>
            <w:r w:rsidRPr="00CC143D">
              <w:rPr>
                <w:rFonts w:ascii="Arial" w:hAnsi="Arial" w:cs="Arial"/>
                <w:szCs w:val="17"/>
              </w:rPr>
              <w:t>in all cases, there has been no material change to the information submitted to satisfy the criteria (whether at the time of prequalification or requalification, or during the expression of interest process) whether positive or negative, that would affect the tender participant's ability to satisfy the criteria.</w:t>
            </w:r>
          </w:p>
        </w:tc>
        <w:tc>
          <w:tcPr>
            <w:tcW w:w="709" w:type="dxa"/>
            <w:tcBorders>
              <w:top w:val="single" w:sz="4" w:space="0" w:color="auto"/>
              <w:bottom w:val="single" w:sz="4" w:space="0" w:color="auto"/>
            </w:tcBorders>
          </w:tcPr>
          <w:p w14:paraId="61558531" w14:textId="2A350A18"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45DE5">
              <w:rPr>
                <w:rFonts w:asciiTheme="majorHAnsi" w:hAnsiTheme="majorHAnsi" w:cstheme="majorHAnsi"/>
                <w:sz w:val="20"/>
                <w:szCs w:val="20"/>
              </w:rPr>
              <w:sym w:font="Wingdings" w:char="F0A8"/>
            </w:r>
          </w:p>
        </w:tc>
      </w:tr>
      <w:tr w:rsidR="00FB1D38" w:rsidRPr="00840067" w14:paraId="744D331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3591F94" w14:textId="25533A78" w:rsidR="00FB1D38" w:rsidRDefault="00FB1D38" w:rsidP="00FB1D38">
            <w:pPr>
              <w:spacing w:before="60" w:after="60"/>
              <w:rPr>
                <w:rFonts w:asciiTheme="majorHAnsi" w:hAnsiTheme="majorHAnsi" w:cstheme="majorHAnsi"/>
              </w:rPr>
            </w:pPr>
            <w:r>
              <w:rPr>
                <w:rFonts w:asciiTheme="majorHAnsi" w:hAnsiTheme="majorHAnsi" w:cstheme="majorHAnsi"/>
              </w:rPr>
              <w:t>Inst 3.7.5</w:t>
            </w:r>
          </w:p>
          <w:p w14:paraId="43452E52" w14:textId="27E04F90" w:rsidR="00FB1D38" w:rsidRPr="00840067" w:rsidRDefault="00FB1D38" w:rsidP="00FB1D38">
            <w:pPr>
              <w:spacing w:before="60" w:after="60"/>
              <w:rPr>
                <w:rFonts w:asciiTheme="majorHAnsi" w:hAnsiTheme="majorHAnsi" w:cstheme="majorHAnsi"/>
              </w:rPr>
            </w:pPr>
            <w:r w:rsidRPr="00840067">
              <w:rPr>
                <w:rFonts w:asciiTheme="majorHAnsi" w:hAnsiTheme="majorHAnsi" w:cstheme="majorHAnsi"/>
              </w:rPr>
              <w:t>Approved assurance systems</w:t>
            </w:r>
          </w:p>
        </w:tc>
        <w:tc>
          <w:tcPr>
            <w:tcW w:w="7371" w:type="dxa"/>
            <w:tcBorders>
              <w:top w:val="single" w:sz="4" w:space="0" w:color="auto"/>
              <w:bottom w:val="single" w:sz="4" w:space="0" w:color="auto"/>
            </w:tcBorders>
          </w:tcPr>
          <w:p w14:paraId="24125694" w14:textId="77777777"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Approved assurance systems may be cited by suppliers of Works or Construction Services as evidence of complying with the mandatory evaluation criteria</w:t>
            </w:r>
            <w:r w:rsidRPr="000508F0">
              <w:t xml:space="preserve"> </w:t>
            </w:r>
            <w:r>
              <w:t>listed in Instruction 3.7.3 (b) and (c).</w:t>
            </w:r>
          </w:p>
          <w:p w14:paraId="500EC95E" w14:textId="6E901ECA" w:rsidR="00FB1D38" w:rsidRPr="00840067"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Note that assessment using approved assurance systems will address the mandatory occupational health and safety management criteria numbered 1 – 10 for suppliers of Works or Construction Services set out in Attachment 1 to Instruction 3.7, but current information will always be required regarding the criteria numbered 11 and 12 set out in Attachment 1 of Instruction 3.7.</w:t>
            </w:r>
          </w:p>
        </w:tc>
        <w:tc>
          <w:tcPr>
            <w:tcW w:w="709" w:type="dxa"/>
            <w:tcBorders>
              <w:top w:val="single" w:sz="4" w:space="0" w:color="auto"/>
              <w:bottom w:val="single" w:sz="4" w:space="0" w:color="auto"/>
            </w:tcBorders>
          </w:tcPr>
          <w:p w14:paraId="62500339" w14:textId="3DD9C115" w:rsidR="00FB1D38" w:rsidRPr="0084006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45DE5">
              <w:rPr>
                <w:rFonts w:asciiTheme="majorHAnsi" w:hAnsiTheme="majorHAnsi" w:cstheme="majorHAnsi"/>
                <w:sz w:val="20"/>
                <w:szCs w:val="20"/>
              </w:rPr>
              <w:sym w:font="Wingdings" w:char="F0A8"/>
            </w:r>
          </w:p>
        </w:tc>
      </w:tr>
      <w:tr w:rsidR="00FB1D38" w14:paraId="522F9A3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7DC1F8E8" w14:textId="77777777" w:rsidR="00FB1D38" w:rsidRDefault="00FB1D38" w:rsidP="00FB1D38">
            <w:pPr>
              <w:spacing w:before="60" w:after="60"/>
              <w:rPr>
                <w:rFonts w:ascii="Arial" w:hAnsi="Arial" w:cs="Arial"/>
                <w:szCs w:val="17"/>
              </w:rPr>
            </w:pPr>
            <w:r>
              <w:rPr>
                <w:rFonts w:ascii="Arial" w:hAnsi="Arial" w:cs="Arial"/>
                <w:szCs w:val="17"/>
              </w:rPr>
              <w:t>Dir 4.1</w:t>
            </w:r>
          </w:p>
          <w:p w14:paraId="35A51D8E" w14:textId="4AF6EBD4" w:rsidR="00FB1D38" w:rsidRDefault="00FB1D38" w:rsidP="00FB1D38">
            <w:pPr>
              <w:spacing w:before="60" w:after="60"/>
              <w:rPr>
                <w:rFonts w:ascii="Arial" w:hAnsi="Arial" w:cs="Arial"/>
                <w:szCs w:val="17"/>
              </w:rPr>
            </w:pPr>
            <w:r>
              <w:rPr>
                <w:rFonts w:ascii="Arial" w:hAnsi="Arial" w:cs="Arial"/>
                <w:szCs w:val="17"/>
              </w:rPr>
              <w:t>Probity requirements</w:t>
            </w:r>
          </w:p>
        </w:tc>
        <w:tc>
          <w:tcPr>
            <w:tcW w:w="7371" w:type="dxa"/>
            <w:tcBorders>
              <w:top w:val="single" w:sz="4" w:space="0" w:color="auto"/>
              <w:bottom w:val="single" w:sz="4" w:space="0" w:color="auto"/>
            </w:tcBorders>
          </w:tcPr>
          <w:p w14:paraId="1A6BB06C" w14:textId="02EB301B" w:rsidR="00FB1D38" w:rsidRPr="009840C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b/>
                <w:szCs w:val="17"/>
              </w:rPr>
            </w:pPr>
            <w:r w:rsidRPr="004D0528">
              <w:rPr>
                <w:rFonts w:ascii="Arial" w:hAnsi="Arial" w:cs="Arial"/>
                <w:szCs w:val="17"/>
              </w:rPr>
              <w:t>When undertaking Public Construction Procurement, Agencies must</w:t>
            </w:r>
            <w:r>
              <w:rPr>
                <w:rFonts w:ascii="Arial" w:hAnsi="Arial" w:cs="Arial"/>
                <w:szCs w:val="17"/>
              </w:rPr>
              <w:t>:</w:t>
            </w:r>
          </w:p>
        </w:tc>
        <w:tc>
          <w:tcPr>
            <w:tcW w:w="709" w:type="dxa"/>
            <w:tcBorders>
              <w:top w:val="single" w:sz="4" w:space="0" w:color="auto"/>
              <w:bottom w:val="single" w:sz="4" w:space="0" w:color="auto"/>
            </w:tcBorders>
            <w:shd w:val="clear" w:color="auto" w:fill="F2F2F2" w:themeFill="background1" w:themeFillShade="F2"/>
          </w:tcPr>
          <w:p w14:paraId="305BDEED" w14:textId="77777777"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24323150"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464C428"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8C5DD16" w14:textId="5AE3E6BC" w:rsidR="00FB1D38" w:rsidRPr="007B5E23" w:rsidRDefault="00FB1D38" w:rsidP="00FB1D38">
            <w:pPr>
              <w:pStyle w:val="Listnumindent2"/>
              <w:numPr>
                <w:ilvl w:val="7"/>
                <w:numId w:val="45"/>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D0528">
              <w:rPr>
                <w:rFonts w:ascii="Arial" w:hAnsi="Arial" w:cs="Arial"/>
                <w:szCs w:val="17"/>
              </w:rPr>
              <w:t>conduct Public Construction Procurement in a manner that is consistent with Public Sector Values;</w:t>
            </w:r>
          </w:p>
        </w:tc>
        <w:tc>
          <w:tcPr>
            <w:tcW w:w="709" w:type="dxa"/>
            <w:tcBorders>
              <w:top w:val="single" w:sz="4" w:space="0" w:color="auto"/>
              <w:bottom w:val="single" w:sz="4" w:space="0" w:color="auto"/>
            </w:tcBorders>
          </w:tcPr>
          <w:p w14:paraId="59BF9BC9" w14:textId="6DCB7896"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40067">
              <w:rPr>
                <w:rFonts w:asciiTheme="majorHAnsi" w:hAnsiTheme="majorHAnsi" w:cstheme="majorHAnsi"/>
                <w:sz w:val="20"/>
                <w:szCs w:val="20"/>
              </w:rPr>
              <w:sym w:font="Wingdings" w:char="F0A8"/>
            </w:r>
          </w:p>
        </w:tc>
      </w:tr>
      <w:tr w:rsidR="00FB1D38" w14:paraId="1EAF313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4B493D5"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E982852" w14:textId="5622F45D" w:rsidR="00FB1D38" w:rsidRPr="007B5E23" w:rsidRDefault="00FB1D38" w:rsidP="00FB1D38">
            <w:pPr>
              <w:pStyle w:val="Listnumindent2"/>
              <w:numPr>
                <w:ilvl w:val="7"/>
                <w:numId w:val="45"/>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D0528">
              <w:rPr>
                <w:rFonts w:ascii="Arial" w:hAnsi="Arial" w:cs="Arial"/>
                <w:szCs w:val="17"/>
              </w:rPr>
              <w:t>treat tender participants (and potential tender participants) fairly and equally, and avoid giving one tender participant an improper advantage over another;</w:t>
            </w:r>
          </w:p>
        </w:tc>
        <w:tc>
          <w:tcPr>
            <w:tcW w:w="709" w:type="dxa"/>
            <w:tcBorders>
              <w:top w:val="single" w:sz="4" w:space="0" w:color="auto"/>
              <w:bottom w:val="single" w:sz="4" w:space="0" w:color="auto"/>
            </w:tcBorders>
          </w:tcPr>
          <w:p w14:paraId="0E4FB8BE" w14:textId="363A1885"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40067">
              <w:rPr>
                <w:rFonts w:asciiTheme="majorHAnsi" w:hAnsiTheme="majorHAnsi" w:cstheme="majorHAnsi"/>
                <w:sz w:val="20"/>
                <w:szCs w:val="20"/>
              </w:rPr>
              <w:sym w:font="Wingdings" w:char="F0A8"/>
            </w:r>
          </w:p>
        </w:tc>
      </w:tr>
      <w:tr w:rsidR="00FB1D38" w14:paraId="680219A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27F47C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7F296B5" w14:textId="60FB990E" w:rsidR="00FB1D38" w:rsidRPr="007B5E23" w:rsidRDefault="00FB1D38" w:rsidP="00FB1D38">
            <w:pPr>
              <w:pStyle w:val="Listnumindent2"/>
              <w:numPr>
                <w:ilvl w:val="7"/>
                <w:numId w:val="45"/>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D0528">
              <w:rPr>
                <w:rFonts w:ascii="Arial" w:hAnsi="Arial" w:cs="Arial"/>
                <w:szCs w:val="17"/>
              </w:rPr>
              <w:t>maintain confidentiality of participants confidential information, including commercially sensitive information and intellectual property;</w:t>
            </w:r>
          </w:p>
        </w:tc>
        <w:tc>
          <w:tcPr>
            <w:tcW w:w="709" w:type="dxa"/>
            <w:tcBorders>
              <w:top w:val="single" w:sz="4" w:space="0" w:color="auto"/>
              <w:bottom w:val="single" w:sz="4" w:space="0" w:color="auto"/>
            </w:tcBorders>
          </w:tcPr>
          <w:p w14:paraId="208C74AC" w14:textId="2BA6B9FE" w:rsidR="00FB1D38" w:rsidRPr="00AD474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40067">
              <w:rPr>
                <w:rFonts w:asciiTheme="majorHAnsi" w:hAnsiTheme="majorHAnsi" w:cstheme="majorHAnsi"/>
                <w:sz w:val="20"/>
                <w:szCs w:val="20"/>
              </w:rPr>
              <w:sym w:font="Wingdings" w:char="F0A8"/>
            </w:r>
          </w:p>
        </w:tc>
      </w:tr>
      <w:tr w:rsidR="00FB1D38" w14:paraId="01ECD5F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BDE6FBD" w14:textId="71324DDB"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47E2C230" w14:textId="6E39ADF1" w:rsidR="00FB1D38" w:rsidRPr="007B5E23" w:rsidRDefault="00FB1D38" w:rsidP="00FB1D38">
            <w:pPr>
              <w:pStyle w:val="Listnumindent2"/>
              <w:numPr>
                <w:ilvl w:val="7"/>
                <w:numId w:val="45"/>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D0528">
              <w:rPr>
                <w:rFonts w:ascii="Arial" w:hAnsi="Arial" w:cs="Arial"/>
                <w:szCs w:val="17"/>
              </w:rPr>
              <w:t>ensure tender processes, negotiations, evaluation processes, and contract management processes are auditable, transparent and accountable; and</w:t>
            </w:r>
          </w:p>
        </w:tc>
        <w:tc>
          <w:tcPr>
            <w:tcW w:w="709" w:type="dxa"/>
            <w:tcBorders>
              <w:top w:val="single" w:sz="4" w:space="0" w:color="auto"/>
              <w:bottom w:val="single" w:sz="4" w:space="0" w:color="auto"/>
            </w:tcBorders>
          </w:tcPr>
          <w:p w14:paraId="66C6CD39" w14:textId="5B84E0BB" w:rsidR="00FB1D38" w:rsidRPr="0084006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40067">
              <w:rPr>
                <w:rFonts w:asciiTheme="majorHAnsi" w:hAnsiTheme="majorHAnsi" w:cstheme="majorHAnsi"/>
                <w:sz w:val="20"/>
                <w:szCs w:val="20"/>
              </w:rPr>
              <w:sym w:font="Wingdings" w:char="F0A8"/>
            </w:r>
          </w:p>
        </w:tc>
      </w:tr>
      <w:tr w:rsidR="00FB1D38" w14:paraId="125CB13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464EB5A8" w14:textId="0131FA8C"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3255A05F" w14:textId="77777777" w:rsidR="00FB1D38" w:rsidRPr="00CC09C4" w:rsidRDefault="00FB1D38" w:rsidP="00FB1D38">
            <w:pPr>
              <w:pStyle w:val="Listnumindent2"/>
              <w:numPr>
                <w:ilvl w:val="7"/>
                <w:numId w:val="45"/>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pPr>
            <w:r w:rsidRPr="004D0528">
              <w:rPr>
                <w:rFonts w:ascii="Arial" w:hAnsi="Arial" w:cs="Arial"/>
                <w:szCs w:val="17"/>
              </w:rPr>
              <w:t>proactively identify and manage conflicts of interest whether real, potential or perceived appropriately and in accordance with applicable legal and policy requirements, including applicable Victorian Public Sector codes of conduct.</w:t>
            </w:r>
          </w:p>
        </w:tc>
        <w:tc>
          <w:tcPr>
            <w:tcW w:w="709" w:type="dxa"/>
            <w:tcBorders>
              <w:top w:val="single" w:sz="4" w:space="0" w:color="auto"/>
              <w:bottom w:val="single" w:sz="4" w:space="0" w:color="auto"/>
            </w:tcBorders>
          </w:tcPr>
          <w:p w14:paraId="0D11A8CA" w14:textId="13AE4D7D" w:rsidR="00FB1D38" w:rsidRPr="0084006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40067">
              <w:rPr>
                <w:rFonts w:asciiTheme="majorHAnsi" w:hAnsiTheme="majorHAnsi" w:cstheme="majorHAnsi"/>
                <w:sz w:val="20"/>
                <w:szCs w:val="20"/>
              </w:rPr>
              <w:sym w:font="Wingdings" w:char="F0A8"/>
            </w:r>
          </w:p>
        </w:tc>
      </w:tr>
      <w:tr w:rsidR="00FB1D38" w14:paraId="778F35DA"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D77184F" w14:textId="77777777" w:rsidR="00FB1D38" w:rsidRDefault="00FB1D38" w:rsidP="00FB1D38">
            <w:pPr>
              <w:spacing w:before="60" w:after="60"/>
              <w:rPr>
                <w:rFonts w:ascii="Arial" w:hAnsi="Arial" w:cs="Arial"/>
                <w:szCs w:val="17"/>
              </w:rPr>
            </w:pPr>
            <w:r>
              <w:rPr>
                <w:rFonts w:ascii="Arial" w:hAnsi="Arial" w:cs="Arial"/>
                <w:szCs w:val="17"/>
              </w:rPr>
              <w:t>Inst 4.1.1</w:t>
            </w:r>
          </w:p>
          <w:p w14:paraId="7768E0B1" w14:textId="3BDD8D00" w:rsidR="00FB1D38" w:rsidRDefault="00FB1D38" w:rsidP="00FB1D38">
            <w:pPr>
              <w:spacing w:before="60" w:after="60"/>
              <w:rPr>
                <w:rFonts w:ascii="Arial" w:hAnsi="Arial" w:cs="Arial"/>
                <w:szCs w:val="17"/>
              </w:rPr>
            </w:pPr>
            <w:r>
              <w:rPr>
                <w:rFonts w:ascii="Arial" w:hAnsi="Arial" w:cs="Arial"/>
                <w:szCs w:val="17"/>
              </w:rPr>
              <w:t>Apply Public Sector values</w:t>
            </w:r>
          </w:p>
        </w:tc>
        <w:tc>
          <w:tcPr>
            <w:tcW w:w="7371" w:type="dxa"/>
            <w:tcBorders>
              <w:top w:val="single" w:sz="4" w:space="0" w:color="auto"/>
              <w:bottom w:val="single" w:sz="4" w:space="0" w:color="auto"/>
            </w:tcBorders>
          </w:tcPr>
          <w:p w14:paraId="0D80CBD5" w14:textId="06A062B5"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When conducting Public Construction Procurement Agencies must apply Public Sector Values and make informed decisions based on merit</w:t>
            </w:r>
            <w:r>
              <w:rPr>
                <w:rFonts w:ascii="Arial" w:hAnsi="Arial" w:cs="Arial"/>
                <w:szCs w:val="17"/>
              </w:rPr>
              <w:t>.</w:t>
            </w:r>
          </w:p>
        </w:tc>
        <w:tc>
          <w:tcPr>
            <w:tcW w:w="709" w:type="dxa"/>
            <w:tcBorders>
              <w:top w:val="single" w:sz="4" w:space="0" w:color="auto"/>
              <w:bottom w:val="single" w:sz="4" w:space="0" w:color="auto"/>
            </w:tcBorders>
          </w:tcPr>
          <w:p w14:paraId="211862A7" w14:textId="1609B5CA"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1FA6394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22605A85" w14:textId="77777777" w:rsidR="00FB1D38" w:rsidRDefault="00FB1D38" w:rsidP="00FB1D38">
            <w:pPr>
              <w:spacing w:before="60" w:after="60"/>
              <w:rPr>
                <w:rFonts w:ascii="Arial" w:hAnsi="Arial" w:cs="Arial"/>
                <w:szCs w:val="17"/>
              </w:rPr>
            </w:pPr>
            <w:r>
              <w:rPr>
                <w:rFonts w:ascii="Arial" w:hAnsi="Arial" w:cs="Arial"/>
                <w:szCs w:val="17"/>
              </w:rPr>
              <w:t>Inst 4.1.2</w:t>
            </w:r>
          </w:p>
          <w:p w14:paraId="66B72801" w14:textId="40B95E38" w:rsidR="00FB1D38" w:rsidRDefault="00FB1D38" w:rsidP="00FB1D38">
            <w:pPr>
              <w:spacing w:before="60" w:after="60"/>
              <w:rPr>
                <w:rFonts w:ascii="Arial" w:hAnsi="Arial" w:cs="Arial"/>
                <w:szCs w:val="17"/>
              </w:rPr>
            </w:pPr>
            <w:r>
              <w:rPr>
                <w:rFonts w:ascii="Arial" w:hAnsi="Arial" w:cs="Arial"/>
                <w:szCs w:val="17"/>
              </w:rPr>
              <w:t>Treat tender participants fairly and equally</w:t>
            </w:r>
          </w:p>
        </w:tc>
        <w:tc>
          <w:tcPr>
            <w:tcW w:w="7371" w:type="dxa"/>
            <w:tcBorders>
              <w:top w:val="single" w:sz="4" w:space="0" w:color="auto"/>
              <w:bottom w:val="single" w:sz="4" w:space="0" w:color="auto"/>
            </w:tcBorders>
          </w:tcPr>
          <w:p w14:paraId="27A69405" w14:textId="77777777"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When conducting Public Construction Procurement Agencies must treat all tender participants and potential tender participants fairly and equally:</w:t>
            </w:r>
          </w:p>
          <w:p w14:paraId="3C894FCB" w14:textId="77777777" w:rsidR="00FB1D38" w:rsidRPr="004B1EC6" w:rsidRDefault="00FB1D38" w:rsidP="00FB1D38">
            <w:pPr>
              <w:pStyle w:val="Listnumindent2"/>
              <w:numPr>
                <w:ilvl w:val="7"/>
                <w:numId w:val="47"/>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Endeavour to provide all tender participants and potential tender participants in a tender process with access to the same information and ensure that they are all promptly informed of any new information relevant to the tender process that is provided to any other tender participant (or potential tender participant).</w:t>
            </w:r>
          </w:p>
          <w:p w14:paraId="7AC6FFA0" w14:textId="77777777" w:rsidR="00FB1D38" w:rsidRPr="004B1EC6" w:rsidRDefault="00FB1D38" w:rsidP="00FB1D38">
            <w:pPr>
              <w:pStyle w:val="Listnumindent2"/>
              <w:numPr>
                <w:ilvl w:val="7"/>
                <w:numId w:val="47"/>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lastRenderedPageBreak/>
              <w:t>Establish a clear process for receiving and responding to questions and clarifications.</w:t>
            </w:r>
          </w:p>
          <w:p w14:paraId="3F499802" w14:textId="77777777" w:rsidR="00FB1D38" w:rsidRPr="004B1EC6" w:rsidRDefault="00FB1D38" w:rsidP="00FB1D38">
            <w:pPr>
              <w:pStyle w:val="Listnumindent2"/>
              <w:numPr>
                <w:ilvl w:val="7"/>
                <w:numId w:val="47"/>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Ensure fair and reasonable access to the data room or similar facility (if any).</w:t>
            </w:r>
          </w:p>
          <w:p w14:paraId="1B869AB6" w14:textId="0F2E0BC2" w:rsidR="00FB1D38" w:rsidRPr="00B513F7" w:rsidRDefault="00FB1D38" w:rsidP="00FB1D38">
            <w:pPr>
              <w:pStyle w:val="Listnumindent2"/>
              <w:numPr>
                <w:ilvl w:val="7"/>
                <w:numId w:val="47"/>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Ensure fair and reasonable allocation of site visits (if any).</w:t>
            </w:r>
          </w:p>
        </w:tc>
        <w:tc>
          <w:tcPr>
            <w:tcW w:w="709" w:type="dxa"/>
            <w:tcBorders>
              <w:top w:val="single" w:sz="4" w:space="0" w:color="auto"/>
              <w:bottom w:val="single" w:sz="4" w:space="0" w:color="auto"/>
            </w:tcBorders>
          </w:tcPr>
          <w:p w14:paraId="15EA049F" w14:textId="624BEE81"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lastRenderedPageBreak/>
              <w:sym w:font="Wingdings" w:char="F0A8"/>
            </w:r>
          </w:p>
        </w:tc>
      </w:tr>
      <w:tr w:rsidR="00FB1D38" w14:paraId="1DCAF3AE"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539EECA7" w14:textId="77777777" w:rsidR="00FB1D38" w:rsidRDefault="00FB1D38" w:rsidP="00FB1D38">
            <w:pPr>
              <w:spacing w:before="60" w:after="60"/>
              <w:rPr>
                <w:rFonts w:ascii="Arial" w:hAnsi="Arial" w:cs="Arial"/>
                <w:szCs w:val="17"/>
              </w:rPr>
            </w:pPr>
            <w:r>
              <w:rPr>
                <w:rFonts w:ascii="Arial" w:hAnsi="Arial" w:cs="Arial"/>
                <w:szCs w:val="17"/>
              </w:rPr>
              <w:t>Inst 4.1.3</w:t>
            </w:r>
          </w:p>
          <w:p w14:paraId="28A0F266" w14:textId="059581BD" w:rsidR="00FB1D38" w:rsidRDefault="00FB1D38" w:rsidP="00FB1D38">
            <w:pPr>
              <w:spacing w:before="60" w:after="60"/>
              <w:rPr>
                <w:rFonts w:ascii="Arial" w:hAnsi="Arial" w:cs="Arial"/>
                <w:szCs w:val="17"/>
              </w:rPr>
            </w:pPr>
            <w:r>
              <w:rPr>
                <w:rFonts w:ascii="Arial" w:hAnsi="Arial" w:cs="Arial"/>
                <w:szCs w:val="17"/>
              </w:rPr>
              <w:t>Maintain confidentiality of tender participants’ confidential information</w:t>
            </w:r>
          </w:p>
        </w:tc>
        <w:tc>
          <w:tcPr>
            <w:tcW w:w="7371" w:type="dxa"/>
            <w:tcBorders>
              <w:top w:val="single" w:sz="4" w:space="0" w:color="auto"/>
              <w:bottom w:val="single" w:sz="4" w:space="0" w:color="auto"/>
            </w:tcBorders>
          </w:tcPr>
          <w:p w14:paraId="417FFB70" w14:textId="586B6996"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When conducting Public Construction Procurement Agencies must maintain confidentiality of each tender participants' confidential information, including commercially sensitive information and intellectual property. This includes when providing additional information to tender participants in response to a question or a clarification</w:t>
            </w:r>
            <w:r>
              <w:rPr>
                <w:rFonts w:ascii="Arial" w:hAnsi="Arial" w:cs="Arial"/>
                <w:szCs w:val="17"/>
              </w:rPr>
              <w:t>.</w:t>
            </w:r>
          </w:p>
        </w:tc>
        <w:tc>
          <w:tcPr>
            <w:tcW w:w="709" w:type="dxa"/>
            <w:tcBorders>
              <w:top w:val="single" w:sz="4" w:space="0" w:color="auto"/>
              <w:bottom w:val="single" w:sz="4" w:space="0" w:color="auto"/>
            </w:tcBorders>
          </w:tcPr>
          <w:p w14:paraId="65DDBCFF" w14:textId="6F81D16B"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3918C70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35DFA47" w14:textId="77777777" w:rsidR="00FB1D38" w:rsidRDefault="00FB1D38" w:rsidP="00FB1D38">
            <w:pPr>
              <w:spacing w:before="60" w:after="60"/>
              <w:rPr>
                <w:rFonts w:ascii="Arial" w:hAnsi="Arial" w:cs="Arial"/>
                <w:szCs w:val="17"/>
              </w:rPr>
            </w:pPr>
            <w:r>
              <w:rPr>
                <w:rFonts w:ascii="Arial" w:hAnsi="Arial" w:cs="Arial"/>
                <w:szCs w:val="17"/>
              </w:rPr>
              <w:t>Inst 4.1.4</w:t>
            </w:r>
          </w:p>
          <w:p w14:paraId="6EE4804F" w14:textId="25C72187" w:rsidR="00FB1D38" w:rsidRDefault="00FB1D38" w:rsidP="00FB1D38">
            <w:pPr>
              <w:spacing w:before="60" w:after="60"/>
              <w:rPr>
                <w:rFonts w:ascii="Arial" w:hAnsi="Arial" w:cs="Arial"/>
                <w:szCs w:val="17"/>
              </w:rPr>
            </w:pPr>
            <w:r>
              <w:rPr>
                <w:rFonts w:ascii="Arial" w:hAnsi="Arial" w:cs="Arial"/>
                <w:szCs w:val="17"/>
              </w:rPr>
              <w:t>Auditable, transparent and accountable tender and contract management processes</w:t>
            </w:r>
          </w:p>
        </w:tc>
        <w:tc>
          <w:tcPr>
            <w:tcW w:w="7371" w:type="dxa"/>
            <w:tcBorders>
              <w:top w:val="single" w:sz="4" w:space="0" w:color="auto"/>
              <w:bottom w:val="single" w:sz="4" w:space="0" w:color="auto"/>
            </w:tcBorders>
          </w:tcPr>
          <w:p w14:paraId="00AD93A4" w14:textId="77777777"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When conducting Public Construction Procurement, Agencies must ensure tender and contract management processes are auditable, transparent and accountable by creating and maintaining appropriate records, including:</w:t>
            </w:r>
          </w:p>
          <w:p w14:paraId="1E059E3F"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all documents issued to tender participants and potential tender participants in the tender process;</w:t>
            </w:r>
          </w:p>
          <w:p w14:paraId="58949C0C"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all communications with tender participants and potential tender participants in the tender process;</w:t>
            </w:r>
          </w:p>
          <w:p w14:paraId="58335070"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records of access to the data room (if any);</w:t>
            </w:r>
          </w:p>
          <w:p w14:paraId="43A1B333"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records of site visits (if any);</w:t>
            </w:r>
          </w:p>
          <w:p w14:paraId="2D64958D"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tenders received;</w:t>
            </w:r>
          </w:p>
          <w:p w14:paraId="06CA1CE4"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the evaluation plan and the evaluation process;</w:t>
            </w:r>
          </w:p>
          <w:p w14:paraId="12C30211"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records of post-tender negotiations;</w:t>
            </w:r>
          </w:p>
          <w:p w14:paraId="5E32F23B"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records of actions taken to address any real, potential or perceived conflicts of interest;</w:t>
            </w:r>
          </w:p>
          <w:p w14:paraId="6383BA24" w14:textId="77777777" w:rsidR="00FB1D38" w:rsidRPr="004B1EC6"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the contract and contract documents; and</w:t>
            </w:r>
          </w:p>
          <w:p w14:paraId="4F1B4CDC" w14:textId="2EA9D61B" w:rsidR="00FB1D38" w:rsidRPr="00B513F7" w:rsidRDefault="00FB1D38" w:rsidP="00FB1D38">
            <w:pPr>
              <w:pStyle w:val="Listnumindent2"/>
              <w:numPr>
                <w:ilvl w:val="7"/>
                <w:numId w:val="48"/>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documents issued pursuant to the contract, including variations, formal notices, performance security given and received by the Agency (as applicable), certificates and reports</w:t>
            </w:r>
            <w:r>
              <w:rPr>
                <w:rFonts w:ascii="Arial" w:hAnsi="Arial" w:cs="Arial"/>
                <w:szCs w:val="17"/>
              </w:rPr>
              <w:t xml:space="preserve"> under the shared reporting regime</w:t>
            </w:r>
            <w:r w:rsidRPr="004B1EC6">
              <w:rPr>
                <w:rFonts w:ascii="Arial" w:hAnsi="Arial" w:cs="Arial"/>
                <w:szCs w:val="17"/>
              </w:rPr>
              <w:t>.</w:t>
            </w:r>
          </w:p>
        </w:tc>
        <w:tc>
          <w:tcPr>
            <w:tcW w:w="709" w:type="dxa"/>
            <w:tcBorders>
              <w:top w:val="single" w:sz="4" w:space="0" w:color="auto"/>
              <w:bottom w:val="single" w:sz="4" w:space="0" w:color="auto"/>
            </w:tcBorders>
          </w:tcPr>
          <w:p w14:paraId="65607EFE" w14:textId="4FF11A11"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04EA5C7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E6BF6AA"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4.1.5</w:t>
            </w:r>
          </w:p>
          <w:p w14:paraId="74F65748" w14:textId="645C27B3" w:rsidR="00FB1D38" w:rsidRDefault="00FB1D38" w:rsidP="00FB1D38">
            <w:pPr>
              <w:spacing w:before="60" w:after="60"/>
              <w:rPr>
                <w:rFonts w:asciiTheme="majorHAnsi" w:hAnsiTheme="majorHAnsi" w:cstheme="majorHAnsi"/>
              </w:rPr>
            </w:pPr>
            <w:r>
              <w:rPr>
                <w:rFonts w:ascii="Arial" w:hAnsi="Arial" w:cs="Arial"/>
                <w:szCs w:val="17"/>
              </w:rPr>
              <w:t>Commitment from tender participants</w:t>
            </w:r>
          </w:p>
        </w:tc>
        <w:tc>
          <w:tcPr>
            <w:tcW w:w="7371" w:type="dxa"/>
            <w:tcBorders>
              <w:top w:val="single" w:sz="4" w:space="0" w:color="auto"/>
              <w:bottom w:val="single" w:sz="4" w:space="0" w:color="auto"/>
            </w:tcBorders>
          </w:tcPr>
          <w:p w14:paraId="297F4A9C" w14:textId="362DCAF2" w:rsidR="00FB1D38" w:rsidRPr="00143463"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B1EC6">
              <w:rPr>
                <w:rFonts w:ascii="Arial" w:hAnsi="Arial" w:cs="Arial"/>
                <w:szCs w:val="17"/>
              </w:rPr>
              <w:t>When conducting Public Construction Procurement Agencies must obtain a commitment from each tender participant, as a condition of participating in the process</w:t>
            </w:r>
            <w:r>
              <w:rPr>
                <w:rFonts w:ascii="Arial" w:hAnsi="Arial" w:cs="Arial"/>
                <w:szCs w:val="17"/>
              </w:rPr>
              <w:t xml:space="preserve">. </w:t>
            </w:r>
            <w:r w:rsidRPr="00A021B6">
              <w:rPr>
                <w:rFonts w:ascii="Arial" w:hAnsi="Arial" w:cs="Arial"/>
                <w:i/>
                <w:szCs w:val="17"/>
              </w:rPr>
              <w:t>The text of the commitment is listed in Instruction 4.1.5.</w:t>
            </w:r>
          </w:p>
        </w:tc>
        <w:tc>
          <w:tcPr>
            <w:tcW w:w="709" w:type="dxa"/>
            <w:tcBorders>
              <w:top w:val="single" w:sz="4" w:space="0" w:color="auto"/>
              <w:bottom w:val="single" w:sz="4" w:space="0" w:color="auto"/>
            </w:tcBorders>
            <w:shd w:val="clear" w:color="auto" w:fill="auto"/>
          </w:tcPr>
          <w:p w14:paraId="135E1A6A" w14:textId="6D2D8CED"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513F7">
              <w:rPr>
                <w:rFonts w:asciiTheme="majorHAnsi" w:hAnsiTheme="majorHAnsi" w:cstheme="majorHAnsi"/>
                <w:sz w:val="20"/>
                <w:szCs w:val="20"/>
              </w:rPr>
              <w:sym w:font="Wingdings" w:char="F0A8"/>
            </w:r>
          </w:p>
        </w:tc>
      </w:tr>
      <w:tr w:rsidR="00FB1D38" w14:paraId="5FDD282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C6BBC27" w14:textId="77777777" w:rsidR="00FB1D38" w:rsidRDefault="00FB1D38" w:rsidP="00FB1D38">
            <w:pPr>
              <w:spacing w:before="60" w:after="60"/>
              <w:rPr>
                <w:rFonts w:ascii="Arial" w:hAnsi="Arial" w:cs="Arial"/>
                <w:szCs w:val="17"/>
              </w:rPr>
            </w:pPr>
            <w:r>
              <w:rPr>
                <w:rFonts w:ascii="Arial" w:hAnsi="Arial" w:cs="Arial"/>
                <w:szCs w:val="17"/>
              </w:rPr>
              <w:t>Dir 4.2</w:t>
            </w:r>
          </w:p>
          <w:p w14:paraId="33B83A57" w14:textId="2CCB403A" w:rsidR="00FB1D38" w:rsidRDefault="00FB1D38" w:rsidP="00FB1D38">
            <w:pPr>
              <w:spacing w:before="60" w:after="60"/>
              <w:rPr>
                <w:rFonts w:ascii="Arial" w:hAnsi="Arial" w:cs="Arial"/>
                <w:szCs w:val="17"/>
              </w:rPr>
            </w:pPr>
            <w:r>
              <w:rPr>
                <w:rFonts w:ascii="Arial" w:hAnsi="Arial" w:cs="Arial"/>
                <w:szCs w:val="17"/>
              </w:rPr>
              <w:t>Managing probity in Public Construction procurement</w:t>
            </w:r>
          </w:p>
        </w:tc>
        <w:tc>
          <w:tcPr>
            <w:tcW w:w="7371" w:type="dxa"/>
            <w:tcBorders>
              <w:top w:val="single" w:sz="4" w:space="0" w:color="auto"/>
              <w:bottom w:val="single" w:sz="4" w:space="0" w:color="auto"/>
            </w:tcBorders>
          </w:tcPr>
          <w:p w14:paraId="3DA2E69C" w14:textId="77777777"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Agencies must have appropriate systems in place to ensure probity for all Public Construction Procurement including where required by the Instructions:</w:t>
            </w:r>
          </w:p>
        </w:tc>
        <w:tc>
          <w:tcPr>
            <w:tcW w:w="709" w:type="dxa"/>
            <w:tcBorders>
              <w:top w:val="single" w:sz="4" w:space="0" w:color="auto"/>
              <w:bottom w:val="single" w:sz="4" w:space="0" w:color="auto"/>
            </w:tcBorders>
          </w:tcPr>
          <w:p w14:paraId="2D75C1B2" w14:textId="77777777" w:rsidR="00FB1D38" w:rsidRPr="00DD5BD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513F7">
              <w:rPr>
                <w:rFonts w:asciiTheme="majorHAnsi" w:hAnsiTheme="majorHAnsi" w:cstheme="majorHAnsi"/>
                <w:sz w:val="20"/>
                <w:szCs w:val="20"/>
              </w:rPr>
              <w:sym w:font="Wingdings" w:char="F0A8"/>
            </w:r>
          </w:p>
        </w:tc>
      </w:tr>
      <w:tr w:rsidR="00FB1D38" w14:paraId="2FDEF04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D3608B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CFA4F3E" w14:textId="77777777" w:rsidR="00FB1D38" w:rsidRDefault="00FB1D38" w:rsidP="00FB1D38">
            <w:pPr>
              <w:pStyle w:val="Listnumindent2"/>
              <w:numPr>
                <w:ilvl w:val="7"/>
                <w:numId w:val="46"/>
              </w:numPr>
              <w:tabs>
                <w:tab w:val="clear" w:pos="2205"/>
              </w:tabs>
              <w:spacing w:before="60" w:after="60"/>
              <w:ind w:left="310"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 probity plan</w:t>
            </w:r>
          </w:p>
        </w:tc>
        <w:tc>
          <w:tcPr>
            <w:tcW w:w="709" w:type="dxa"/>
            <w:tcBorders>
              <w:top w:val="single" w:sz="4" w:space="0" w:color="auto"/>
              <w:bottom w:val="single" w:sz="4" w:space="0" w:color="auto"/>
            </w:tcBorders>
          </w:tcPr>
          <w:p w14:paraId="59BEDEC7" w14:textId="77777777" w:rsidR="00FB1D38" w:rsidRPr="00DD5BD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0752BCC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435309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795756F" w14:textId="77777777" w:rsidR="00FB1D38" w:rsidRDefault="00FB1D38" w:rsidP="00FB1D38">
            <w:pPr>
              <w:pStyle w:val="Listnumindent2"/>
              <w:numPr>
                <w:ilvl w:val="7"/>
                <w:numId w:val="46"/>
              </w:numPr>
              <w:tabs>
                <w:tab w:val="clear" w:pos="2205"/>
              </w:tabs>
              <w:spacing w:before="60" w:after="60"/>
              <w:ind w:left="310"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using a probity practitioner.</w:t>
            </w:r>
          </w:p>
        </w:tc>
        <w:tc>
          <w:tcPr>
            <w:tcW w:w="709" w:type="dxa"/>
            <w:tcBorders>
              <w:top w:val="single" w:sz="4" w:space="0" w:color="auto"/>
              <w:bottom w:val="single" w:sz="4" w:space="0" w:color="auto"/>
            </w:tcBorders>
          </w:tcPr>
          <w:p w14:paraId="2BC6EABC" w14:textId="77777777" w:rsidR="00FB1D38" w:rsidRPr="00DD5BDF"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677B727B"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57520A50"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4.2.1</w:t>
            </w:r>
          </w:p>
          <w:p w14:paraId="5BE0FAD8" w14:textId="62D66E4A" w:rsidR="00FB1D38" w:rsidRDefault="00FB1D38" w:rsidP="00FB1D38">
            <w:pPr>
              <w:spacing w:before="60" w:after="60"/>
              <w:rPr>
                <w:rFonts w:ascii="Arial" w:hAnsi="Arial" w:cs="Arial"/>
                <w:szCs w:val="17"/>
              </w:rPr>
            </w:pPr>
            <w:r>
              <w:rPr>
                <w:rFonts w:ascii="Arial" w:hAnsi="Arial" w:cs="Arial"/>
                <w:szCs w:val="17"/>
              </w:rPr>
              <w:t>Systems and processes to manage probity</w:t>
            </w:r>
          </w:p>
        </w:tc>
        <w:tc>
          <w:tcPr>
            <w:tcW w:w="7371" w:type="dxa"/>
            <w:tcBorders>
              <w:top w:val="single" w:sz="4" w:space="0" w:color="auto"/>
              <w:bottom w:val="single" w:sz="4" w:space="0" w:color="auto"/>
            </w:tcBorders>
          </w:tcPr>
          <w:p w14:paraId="610414B9" w14:textId="2669C0CC"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Agencies must have appropriate systems and processes in place to manage probity in Works or Construction Services, to ensure they are able to conduct the procurement in line with the principles in Direction 4.1.</w:t>
            </w:r>
          </w:p>
        </w:tc>
        <w:tc>
          <w:tcPr>
            <w:tcW w:w="709" w:type="dxa"/>
            <w:tcBorders>
              <w:top w:val="single" w:sz="4" w:space="0" w:color="auto"/>
              <w:bottom w:val="single" w:sz="4" w:space="0" w:color="auto"/>
            </w:tcBorders>
          </w:tcPr>
          <w:p w14:paraId="749BD864" w14:textId="66785E77"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4D67BDF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FFE92D2" w14:textId="77777777" w:rsidR="00FB1D38" w:rsidRDefault="00FB1D38" w:rsidP="00FB1D38">
            <w:pPr>
              <w:spacing w:before="60" w:after="60"/>
              <w:rPr>
                <w:rFonts w:asciiTheme="majorHAnsi" w:hAnsiTheme="majorHAnsi" w:cstheme="majorHAnsi"/>
              </w:rPr>
            </w:pPr>
            <w:r>
              <w:rPr>
                <w:rFonts w:ascii="Arial" w:hAnsi="Arial" w:cs="Arial"/>
                <w:szCs w:val="17"/>
              </w:rPr>
              <w:t>Inst 4.2.2</w:t>
            </w:r>
          </w:p>
          <w:p w14:paraId="037243CD" w14:textId="7BD25B1E" w:rsidR="00FB1D38" w:rsidRDefault="00FB1D38" w:rsidP="00FB1D38">
            <w:pPr>
              <w:spacing w:before="60" w:after="60"/>
              <w:rPr>
                <w:rFonts w:ascii="Arial" w:hAnsi="Arial" w:cs="Arial"/>
                <w:szCs w:val="17"/>
              </w:rPr>
            </w:pPr>
            <w:r>
              <w:rPr>
                <w:rFonts w:ascii="Arial" w:hAnsi="Arial" w:cs="Arial"/>
                <w:szCs w:val="17"/>
              </w:rPr>
              <w:t>Probity plan</w:t>
            </w:r>
          </w:p>
        </w:tc>
        <w:tc>
          <w:tcPr>
            <w:tcW w:w="7371" w:type="dxa"/>
            <w:tcBorders>
              <w:top w:val="single" w:sz="4" w:space="0" w:color="auto"/>
              <w:bottom w:val="single" w:sz="4" w:space="0" w:color="auto"/>
            </w:tcBorders>
          </w:tcPr>
          <w:p w14:paraId="7F81FF60" w14:textId="77777777" w:rsidR="00FB1D38" w:rsidRPr="00363002"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In addition to the general systems and processes required to manage probity in the procurement of Works or Construction Services, the Agency undertaking the procurement must prepare a probity plan before beginning a tender process if the Works or Construction Services being procured are:</w:t>
            </w:r>
          </w:p>
          <w:p w14:paraId="392EF332" w14:textId="77777777" w:rsidR="00FB1D38" w:rsidRPr="00363002" w:rsidRDefault="00FB1D38" w:rsidP="00FB1D38">
            <w:pPr>
              <w:pStyle w:val="Listnumindent2"/>
              <w:numPr>
                <w:ilvl w:val="7"/>
                <w:numId w:val="49"/>
              </w:numPr>
              <w:tabs>
                <w:tab w:val="clear" w:pos="2205"/>
              </w:tabs>
              <w:spacing w:before="60" w:after="60"/>
              <w:ind w:left="452" w:hanging="42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likely to exceed $10 million (inclusive of GST); or</w:t>
            </w:r>
          </w:p>
          <w:p w14:paraId="519FB935" w14:textId="00F1A814" w:rsidR="00FB1D38" w:rsidRPr="00294B9C" w:rsidRDefault="00FB1D38" w:rsidP="00FB1D38">
            <w:pPr>
              <w:pStyle w:val="Listnumindent2"/>
              <w:numPr>
                <w:ilvl w:val="7"/>
                <w:numId w:val="49"/>
              </w:numPr>
              <w:tabs>
                <w:tab w:val="clear" w:pos="2205"/>
              </w:tabs>
              <w:spacing w:before="60" w:after="60"/>
              <w:ind w:left="452" w:hanging="42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complex or otherwise high risk.</w:t>
            </w:r>
          </w:p>
        </w:tc>
        <w:tc>
          <w:tcPr>
            <w:tcW w:w="709" w:type="dxa"/>
            <w:tcBorders>
              <w:top w:val="single" w:sz="4" w:space="0" w:color="auto"/>
              <w:bottom w:val="single" w:sz="4" w:space="0" w:color="auto"/>
            </w:tcBorders>
          </w:tcPr>
          <w:p w14:paraId="779106C2" w14:textId="32CCF284"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sym w:font="Wingdings" w:char="F0A8"/>
            </w:r>
          </w:p>
        </w:tc>
      </w:tr>
      <w:tr w:rsidR="00FB1D38" w14:paraId="4E508DBF"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0803708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FC2BD13" w14:textId="77777777" w:rsidR="00FB1D38" w:rsidRPr="00363002"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The probity plan must address:</w:t>
            </w:r>
          </w:p>
          <w:p w14:paraId="4CDC5F7D" w14:textId="77777777" w:rsidR="00FB1D38" w:rsidRPr="00363002" w:rsidRDefault="00FB1D38" w:rsidP="00FB1D38">
            <w:pPr>
              <w:pStyle w:val="Listnumindent2"/>
              <w:numPr>
                <w:ilvl w:val="7"/>
                <w:numId w:val="50"/>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probity responsibilities;</w:t>
            </w:r>
          </w:p>
          <w:p w14:paraId="3D48133B" w14:textId="77777777" w:rsidR="00FB1D38" w:rsidRPr="00363002" w:rsidRDefault="00FB1D38" w:rsidP="00FB1D38">
            <w:pPr>
              <w:pStyle w:val="Listnumindent2"/>
              <w:numPr>
                <w:ilvl w:val="7"/>
                <w:numId w:val="50"/>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probity risks and related management strategies;</w:t>
            </w:r>
          </w:p>
          <w:p w14:paraId="11168997" w14:textId="74965E49" w:rsidR="00FB1D38" w:rsidRPr="00363002" w:rsidRDefault="00FB1D38" w:rsidP="00FB1D38">
            <w:pPr>
              <w:pStyle w:val="Listnumindent2"/>
              <w:numPr>
                <w:ilvl w:val="7"/>
                <w:numId w:val="50"/>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probity services to be provided by internal or external advisers to support the procurement,</w:t>
            </w:r>
          </w:p>
          <w:p w14:paraId="28A92073" w14:textId="77777777" w:rsidR="00FB1D38" w:rsidRPr="00363002" w:rsidRDefault="00FB1D38" w:rsidP="00FB1D38">
            <w:pPr>
              <w:pStyle w:val="Listnumindent2"/>
              <w:numPr>
                <w:ilvl w:val="7"/>
                <w:numId w:val="50"/>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t>applicable legal obligations, procurement rules and policies; and</w:t>
            </w:r>
          </w:p>
          <w:p w14:paraId="3889103C" w14:textId="77777777" w:rsidR="00FB1D38" w:rsidRDefault="00FB1D38" w:rsidP="00FB1D38">
            <w:pPr>
              <w:pStyle w:val="Listnumindent2"/>
              <w:numPr>
                <w:ilvl w:val="7"/>
                <w:numId w:val="50"/>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63002">
              <w:rPr>
                <w:rFonts w:ascii="Arial" w:hAnsi="Arial" w:cs="Arial"/>
                <w:szCs w:val="17"/>
              </w:rPr>
              <w:lastRenderedPageBreak/>
              <w:t>processes for managing communications, security and confidentiality during the tender process.</w:t>
            </w:r>
          </w:p>
          <w:p w14:paraId="0700F00B" w14:textId="7D4096C6" w:rsidR="00C330FF" w:rsidRPr="004B1EC6" w:rsidRDefault="00C330FF" w:rsidP="00C330FF">
            <w:pPr>
              <w:pStyle w:val="Listnumindent2"/>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021B6">
              <w:rPr>
                <w:rFonts w:asciiTheme="majorHAnsi" w:hAnsiTheme="majorHAnsi" w:cstheme="majorHAnsi"/>
                <w:i/>
              </w:rPr>
              <w:t>Issues to consider about engaging a probity practitioner appear in Instruction 4.2.2</w:t>
            </w:r>
          </w:p>
        </w:tc>
        <w:tc>
          <w:tcPr>
            <w:tcW w:w="709" w:type="dxa"/>
            <w:tcBorders>
              <w:top w:val="single" w:sz="4" w:space="0" w:color="auto"/>
              <w:bottom w:val="single" w:sz="4" w:space="0" w:color="auto"/>
            </w:tcBorders>
          </w:tcPr>
          <w:p w14:paraId="4A059948" w14:textId="10821E11"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13F7">
              <w:rPr>
                <w:rFonts w:asciiTheme="majorHAnsi" w:hAnsiTheme="majorHAnsi" w:cstheme="majorHAnsi"/>
                <w:sz w:val="20"/>
                <w:szCs w:val="20"/>
              </w:rPr>
              <w:lastRenderedPageBreak/>
              <w:sym w:font="Wingdings" w:char="F0A8"/>
            </w:r>
          </w:p>
        </w:tc>
      </w:tr>
      <w:tr w:rsidR="00FB1D38" w14:paraId="02D57D70"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C2678BC" w14:textId="77777777" w:rsidR="00FB1D38" w:rsidRDefault="00FB1D38" w:rsidP="00FB1D38">
            <w:pPr>
              <w:spacing w:before="60" w:after="60"/>
              <w:rPr>
                <w:rFonts w:asciiTheme="majorHAnsi" w:hAnsiTheme="majorHAnsi" w:cstheme="majorHAnsi"/>
              </w:rPr>
            </w:pPr>
            <w:r>
              <w:rPr>
                <w:rFonts w:ascii="Arial" w:hAnsi="Arial" w:cs="Arial"/>
                <w:szCs w:val="17"/>
              </w:rPr>
              <w:t>Dir 5.1</w:t>
            </w:r>
          </w:p>
          <w:p w14:paraId="101D270D" w14:textId="470594B3" w:rsidR="00FB1D38" w:rsidRDefault="00FB1D38" w:rsidP="00FB1D38">
            <w:pPr>
              <w:spacing w:before="60" w:after="60"/>
              <w:ind w:left="6"/>
              <w:rPr>
                <w:rFonts w:asciiTheme="majorHAnsi" w:hAnsiTheme="majorHAnsi" w:cstheme="majorHAnsi"/>
              </w:rPr>
            </w:pPr>
            <w:r>
              <w:rPr>
                <w:rFonts w:ascii="Arial" w:hAnsi="Arial" w:cs="Arial"/>
                <w:szCs w:val="17"/>
              </w:rPr>
              <w:t>Forward notices</w:t>
            </w:r>
          </w:p>
        </w:tc>
        <w:tc>
          <w:tcPr>
            <w:tcW w:w="7371" w:type="dxa"/>
            <w:tcBorders>
              <w:top w:val="single" w:sz="4" w:space="0" w:color="auto"/>
              <w:bottom w:val="single" w:sz="4" w:space="0" w:color="auto"/>
            </w:tcBorders>
          </w:tcPr>
          <w:p w14:paraId="496FC9B5" w14:textId="77777777" w:rsidR="00FB1D38" w:rsidRPr="00CC09C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rsidRPr="00363002">
              <w:rPr>
                <w:rFonts w:ascii="Arial" w:hAnsi="Arial" w:cs="Arial"/>
                <w:szCs w:val="17"/>
              </w:rPr>
              <w:t>Agencies must publish forward notice of all upcoming tender processes for Works or Construction Services in accordance with the Instructions to promote competition and allow potential tender participants to plan for and allocate resources to participating in tender processes.</w:t>
            </w:r>
          </w:p>
        </w:tc>
        <w:tc>
          <w:tcPr>
            <w:tcW w:w="709" w:type="dxa"/>
            <w:tcBorders>
              <w:top w:val="single" w:sz="4" w:space="0" w:color="auto"/>
              <w:bottom w:val="single" w:sz="4" w:space="0" w:color="auto"/>
            </w:tcBorders>
          </w:tcPr>
          <w:p w14:paraId="6099F021" w14:textId="77777777"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82004">
              <w:rPr>
                <w:rFonts w:asciiTheme="majorHAnsi" w:hAnsiTheme="majorHAnsi" w:cstheme="majorHAnsi"/>
                <w:sz w:val="20"/>
                <w:szCs w:val="20"/>
              </w:rPr>
              <w:sym w:font="Wingdings" w:char="F0A8"/>
            </w:r>
          </w:p>
        </w:tc>
      </w:tr>
      <w:tr w:rsidR="00FB1D38" w14:paraId="77EBB4F4"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4E213E25" w14:textId="77777777" w:rsidR="00FB1D38" w:rsidRDefault="00FB1D38" w:rsidP="00FB1D38">
            <w:pPr>
              <w:spacing w:before="60" w:after="60"/>
              <w:rPr>
                <w:rFonts w:asciiTheme="majorHAnsi" w:hAnsiTheme="majorHAnsi" w:cstheme="majorHAnsi"/>
              </w:rPr>
            </w:pPr>
            <w:r>
              <w:rPr>
                <w:rFonts w:ascii="Arial" w:hAnsi="Arial" w:cs="Arial"/>
                <w:szCs w:val="17"/>
              </w:rPr>
              <w:t>Inst 5.1.1</w:t>
            </w:r>
          </w:p>
          <w:p w14:paraId="19A4E2C9" w14:textId="0EAAEBB5" w:rsidR="00FB1D38" w:rsidRDefault="00FB1D38" w:rsidP="00FB1D38">
            <w:pPr>
              <w:spacing w:before="60" w:after="60"/>
              <w:rPr>
                <w:rFonts w:ascii="Arial" w:hAnsi="Arial" w:cs="Arial"/>
                <w:szCs w:val="17"/>
              </w:rPr>
            </w:pPr>
            <w:r>
              <w:rPr>
                <w:rFonts w:ascii="Arial" w:hAnsi="Arial" w:cs="Arial"/>
                <w:szCs w:val="17"/>
              </w:rPr>
              <w:t>Publishing forward notices for an upcoming procurement</w:t>
            </w:r>
          </w:p>
        </w:tc>
        <w:tc>
          <w:tcPr>
            <w:tcW w:w="7371" w:type="dxa"/>
            <w:tcBorders>
              <w:top w:val="single" w:sz="4" w:space="0" w:color="auto"/>
              <w:bottom w:val="single" w:sz="4" w:space="0" w:color="auto"/>
            </w:tcBorders>
          </w:tcPr>
          <w:p w14:paraId="1EE9805E" w14:textId="77777777" w:rsidR="00FB1D38" w:rsidRPr="00AB0325"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Agencies must provide an appropriate period of forward notice of upcoming procurements, taking account of:</w:t>
            </w:r>
          </w:p>
          <w:p w14:paraId="7EEE4640" w14:textId="77777777" w:rsidR="00FB1D38" w:rsidRPr="00AB0325" w:rsidRDefault="00FB1D38" w:rsidP="00FB1D38">
            <w:pPr>
              <w:pStyle w:val="Listnumindent2"/>
              <w:numPr>
                <w:ilvl w:val="7"/>
                <w:numId w:val="51"/>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nature and complexity of the Works or Construction Services;</w:t>
            </w:r>
          </w:p>
          <w:p w14:paraId="1609F69F" w14:textId="77777777" w:rsidR="00FB1D38" w:rsidRPr="00AB0325" w:rsidRDefault="00FB1D38" w:rsidP="00FB1D38">
            <w:pPr>
              <w:pStyle w:val="Listnumindent2"/>
              <w:numPr>
                <w:ilvl w:val="7"/>
                <w:numId w:val="51"/>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likely tender participants and market characteristics, including whether it will be necessary for participants to establish consortia or likely interest from international tender participants; and</w:t>
            </w:r>
          </w:p>
          <w:p w14:paraId="659CF99B" w14:textId="7B666D4C" w:rsidR="00FB1D38" w:rsidRPr="00E82004" w:rsidRDefault="00FB1D38" w:rsidP="00FB1D38">
            <w:pPr>
              <w:pStyle w:val="Listnumindent2"/>
              <w:numPr>
                <w:ilvl w:val="7"/>
                <w:numId w:val="51"/>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tender strategy and Procurement Model.</w:t>
            </w:r>
          </w:p>
        </w:tc>
        <w:tc>
          <w:tcPr>
            <w:tcW w:w="709" w:type="dxa"/>
            <w:tcBorders>
              <w:top w:val="single" w:sz="4" w:space="0" w:color="auto"/>
              <w:bottom w:val="single" w:sz="4" w:space="0" w:color="auto"/>
            </w:tcBorders>
          </w:tcPr>
          <w:p w14:paraId="52209F2D" w14:textId="5A41401A"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0506235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46B4F91"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5.1.2</w:t>
            </w:r>
          </w:p>
          <w:p w14:paraId="0E77219A" w14:textId="299857C1" w:rsidR="00FB1D38" w:rsidRPr="001E34EF" w:rsidRDefault="00FB1D38" w:rsidP="00FB1D38">
            <w:pPr>
              <w:pStyle w:val="Listnumindent2"/>
              <w:spacing w:before="60" w:after="60"/>
              <w:ind w:left="6"/>
              <w:rPr>
                <w:rFonts w:ascii="Arial" w:hAnsi="Arial" w:cs="Arial"/>
                <w:szCs w:val="17"/>
              </w:rPr>
            </w:pPr>
            <w:r w:rsidRPr="001E34EF">
              <w:rPr>
                <w:rFonts w:ascii="Arial" w:hAnsi="Arial" w:cs="Arial"/>
                <w:szCs w:val="17"/>
              </w:rPr>
              <w:t>Forward notices – format and content</w:t>
            </w:r>
          </w:p>
        </w:tc>
        <w:tc>
          <w:tcPr>
            <w:tcW w:w="7371" w:type="dxa"/>
            <w:tcBorders>
              <w:top w:val="single" w:sz="4" w:space="0" w:color="auto"/>
              <w:bottom w:val="single" w:sz="4" w:space="0" w:color="auto"/>
            </w:tcBorders>
          </w:tcPr>
          <w:p w14:paraId="2E8E9746" w14:textId="77777777" w:rsidR="00FB1D38" w:rsidRPr="00AB0325"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Subject to Instruction 5.1.3, i</w:t>
            </w:r>
            <w:r w:rsidRPr="00AB0325">
              <w:rPr>
                <w:rFonts w:ascii="Arial" w:hAnsi="Arial" w:cs="Arial"/>
                <w:szCs w:val="17"/>
              </w:rPr>
              <w:t xml:space="preserve">n addition to any other means of publication or provision of notice to potential tender participants, forward notices must be published on the website </w:t>
            </w:r>
            <w:r>
              <w:rPr>
                <w:rFonts w:ascii="Arial" w:hAnsi="Arial" w:cs="Arial"/>
                <w:szCs w:val="17"/>
              </w:rPr>
              <w:t xml:space="preserve">or system nominated by the Secretary </w:t>
            </w:r>
            <w:r w:rsidRPr="00AB0325">
              <w:rPr>
                <w:rFonts w:ascii="Arial" w:hAnsi="Arial" w:cs="Arial"/>
                <w:szCs w:val="17"/>
              </w:rPr>
              <w:t xml:space="preserve">using the </w:t>
            </w:r>
            <w:r>
              <w:rPr>
                <w:rFonts w:ascii="Arial" w:hAnsi="Arial" w:cs="Arial"/>
                <w:szCs w:val="17"/>
              </w:rPr>
              <w:t xml:space="preserve">applicable </w:t>
            </w:r>
            <w:r w:rsidRPr="00AB0325">
              <w:rPr>
                <w:rFonts w:ascii="Arial" w:hAnsi="Arial" w:cs="Arial"/>
                <w:szCs w:val="17"/>
              </w:rPr>
              <w:t>form, and include the following information, to the extent known at the time of publication:</w:t>
            </w:r>
          </w:p>
          <w:p w14:paraId="2F4E1E30"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indication of the expected timing and location for release of the Tender Notice;</w:t>
            </w:r>
          </w:p>
          <w:p w14:paraId="62E8F565"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general nature of the Works or Construction Services to be procured, including the reference code used in the applicable form;</w:t>
            </w:r>
          </w:p>
          <w:p w14:paraId="1E1B1B5B"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location where the Works or Construction Services are to be delivered;</w:t>
            </w:r>
          </w:p>
          <w:p w14:paraId="10F5289C"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Procurement Model;</w:t>
            </w:r>
          </w:p>
          <w:p w14:paraId="2823A524"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indication of the likely tender process to be used, including whether:</w:t>
            </w:r>
          </w:p>
          <w:p w14:paraId="7A831FF4" w14:textId="35625E43" w:rsidR="00FB1D38" w:rsidRPr="00AB0325" w:rsidRDefault="00FB1D38" w:rsidP="00FB1D38">
            <w:pPr>
              <w:pStyle w:val="Listnumindent2"/>
              <w:numPr>
                <w:ilvl w:val="1"/>
                <w:numId w:val="53"/>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tender process will be conducted as an open or a Selective Tender;</w:t>
            </w:r>
          </w:p>
          <w:p w14:paraId="136DD798" w14:textId="77777777" w:rsidR="00FB1D38" w:rsidRPr="00AB0325" w:rsidRDefault="00FB1D38" w:rsidP="00FB1D38">
            <w:pPr>
              <w:pStyle w:val="Listnumindent2"/>
              <w:numPr>
                <w:ilvl w:val="1"/>
                <w:numId w:val="53"/>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a single- or multi-stage tender process will be used, and</w:t>
            </w:r>
          </w:p>
          <w:p w14:paraId="77F490BF" w14:textId="77777777" w:rsidR="00FB1D38" w:rsidRPr="00AB0325" w:rsidRDefault="00FB1D38" w:rsidP="00FB1D38">
            <w:pPr>
              <w:pStyle w:val="Listnumindent2"/>
              <w:numPr>
                <w:ilvl w:val="1"/>
                <w:numId w:val="53"/>
              </w:numPr>
              <w:tabs>
                <w:tab w:val="clear" w:pos="1781"/>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in the case of a Selective Tender, the type of Selective Tender that will be conducted;</w:t>
            </w:r>
          </w:p>
          <w:p w14:paraId="7C61E7DE" w14:textId="77777777"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any minimum certification requirements or technical capability requirements, including in the case of a Selective Tender, the relevant prequalification category or categories;</w:t>
            </w:r>
          </w:p>
          <w:p w14:paraId="530932D9" w14:textId="05489DAE" w:rsidR="00FB1D38" w:rsidRPr="00AB0325"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 xml:space="preserve">government policies applicable to the procurement, such as the </w:t>
            </w:r>
            <w:r w:rsidR="00B57165">
              <w:rPr>
                <w:rFonts w:ascii="Arial" w:hAnsi="Arial" w:cs="Arial"/>
                <w:szCs w:val="17"/>
              </w:rPr>
              <w:t xml:space="preserve">Local Jobs First - </w:t>
            </w:r>
            <w:r w:rsidRPr="00AB0325">
              <w:rPr>
                <w:rFonts w:ascii="Arial" w:hAnsi="Arial" w:cs="Arial"/>
                <w:szCs w:val="17"/>
              </w:rPr>
              <w:t>Victorian Industry Participation Policy; and</w:t>
            </w:r>
          </w:p>
          <w:p w14:paraId="0B50CC71" w14:textId="0AA20077" w:rsidR="00FB1D38" w:rsidRPr="0012379D" w:rsidRDefault="00FB1D38" w:rsidP="00FB1D38">
            <w:pPr>
              <w:pStyle w:val="Listnumindent2"/>
              <w:numPr>
                <w:ilvl w:val="7"/>
                <w:numId w:val="52"/>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the Agency contact information.</w:t>
            </w:r>
          </w:p>
        </w:tc>
        <w:tc>
          <w:tcPr>
            <w:tcW w:w="709" w:type="dxa"/>
            <w:tcBorders>
              <w:top w:val="single" w:sz="4" w:space="0" w:color="auto"/>
              <w:bottom w:val="single" w:sz="4" w:space="0" w:color="auto"/>
            </w:tcBorders>
          </w:tcPr>
          <w:p w14:paraId="35BFC712" w14:textId="144512D8"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2533DDD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420234EA"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9B4C448" w14:textId="2E23E7FE"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B0325">
              <w:rPr>
                <w:rFonts w:ascii="Arial" w:hAnsi="Arial" w:cs="Arial"/>
                <w:szCs w:val="17"/>
              </w:rPr>
              <w:t xml:space="preserve">Publication of a forward notice on </w:t>
            </w:r>
            <w:r w:rsidR="00B57165">
              <w:rPr>
                <w:rFonts w:ascii="Arial" w:hAnsi="Arial" w:cs="Arial"/>
                <w:szCs w:val="17"/>
              </w:rPr>
              <w:t xml:space="preserve">the </w:t>
            </w:r>
            <w:r>
              <w:rPr>
                <w:rFonts w:ascii="Arial" w:hAnsi="Arial" w:cs="Arial"/>
                <w:szCs w:val="17"/>
              </w:rPr>
              <w:t>website or system nominated by the Secretary</w:t>
            </w:r>
            <w:r w:rsidRPr="00AB0325">
              <w:rPr>
                <w:rFonts w:ascii="Arial" w:hAnsi="Arial" w:cs="Arial"/>
                <w:szCs w:val="17"/>
              </w:rPr>
              <w:t xml:space="preserve"> is encouraged, but not required, for Limited Tenders, where appropriate given the grounds for conducting a Limited Tender.</w:t>
            </w:r>
          </w:p>
        </w:tc>
        <w:tc>
          <w:tcPr>
            <w:tcW w:w="709" w:type="dxa"/>
            <w:tcBorders>
              <w:top w:val="single" w:sz="4" w:space="0" w:color="auto"/>
              <w:bottom w:val="single" w:sz="4" w:space="0" w:color="auto"/>
            </w:tcBorders>
          </w:tcPr>
          <w:p w14:paraId="56DADEBD" w14:textId="38F0A370"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086BFF5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D0B9C3D"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5.1.3</w:t>
            </w:r>
          </w:p>
          <w:p w14:paraId="3F94E791" w14:textId="1D23449A" w:rsidR="00FB1D38" w:rsidRPr="00B10E2A" w:rsidRDefault="00FB1D38" w:rsidP="00FB1D38">
            <w:pPr>
              <w:spacing w:before="60" w:after="60"/>
            </w:pPr>
            <w:r w:rsidRPr="00B10E2A">
              <w:rPr>
                <w:rFonts w:asciiTheme="majorHAnsi" w:hAnsiTheme="majorHAnsi" w:cstheme="majorHAnsi"/>
              </w:rPr>
              <w:t>Forward</w:t>
            </w:r>
            <w:r w:rsidRPr="00B10E2A">
              <w:t xml:space="preserve"> notices – when to use</w:t>
            </w:r>
          </w:p>
        </w:tc>
        <w:tc>
          <w:tcPr>
            <w:tcW w:w="7371" w:type="dxa"/>
            <w:tcBorders>
              <w:top w:val="single" w:sz="4" w:space="0" w:color="auto"/>
              <w:bottom w:val="single" w:sz="4" w:space="0" w:color="auto"/>
            </w:tcBorders>
          </w:tcPr>
          <w:p w14:paraId="26129185" w14:textId="77777777" w:rsidR="00FB1D38" w:rsidRPr="00B10E2A" w:rsidRDefault="00FB1D38" w:rsidP="00FB1D38">
            <w:pPr>
              <w:pStyle w:val="Listnumindent2"/>
              <w:numPr>
                <w:ilvl w:val="7"/>
                <w:numId w:val="54"/>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bookmarkStart w:id="20" w:name="_Hlk531186295"/>
            <w:r w:rsidRPr="00B10E2A">
              <w:rPr>
                <w:rFonts w:ascii="Arial" w:hAnsi="Arial" w:cs="Arial"/>
                <w:szCs w:val="17"/>
              </w:rPr>
              <w:t>A forward notice must be used for open tenders</w:t>
            </w:r>
            <w:bookmarkEnd w:id="20"/>
            <w:r w:rsidRPr="00B10E2A">
              <w:rPr>
                <w:rFonts w:ascii="Arial" w:hAnsi="Arial" w:cs="Arial"/>
                <w:szCs w:val="17"/>
              </w:rPr>
              <w:t>.</w:t>
            </w:r>
          </w:p>
          <w:p w14:paraId="31656BDE" w14:textId="77777777" w:rsidR="00FB1D38" w:rsidRDefault="00FB1D38" w:rsidP="00FB1D38">
            <w:pPr>
              <w:pStyle w:val="Listnumindent2"/>
              <w:numPr>
                <w:ilvl w:val="7"/>
                <w:numId w:val="54"/>
              </w:numPr>
              <w:tabs>
                <w:tab w:val="clear" w:pos="2205"/>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pPr>
            <w:r w:rsidRPr="00B10E2A">
              <w:rPr>
                <w:rFonts w:ascii="Arial" w:hAnsi="Arial" w:cs="Arial"/>
                <w:szCs w:val="17"/>
              </w:rPr>
              <w:t>A forward notice must be used for Selective Tenders where the expected value of the Selective Tender is greater</w:t>
            </w:r>
            <w:r>
              <w:t xml:space="preserve"> than</w:t>
            </w:r>
          </w:p>
          <w:p w14:paraId="1AE7E13E" w14:textId="36509CE8" w:rsidR="00FB1D38" w:rsidRPr="007B0DD8" w:rsidRDefault="00FB1D38" w:rsidP="00B57165">
            <w:pPr>
              <w:pStyle w:val="Listnumindent2"/>
              <w:numPr>
                <w:ilvl w:val="7"/>
                <w:numId w:val="8"/>
              </w:numPr>
              <w:tabs>
                <w:tab w:val="clear" w:pos="2205"/>
              </w:tabs>
              <w:spacing w:before="60" w:after="60"/>
              <w:ind w:left="800"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7B0DD8">
              <w:rPr>
                <w:rFonts w:ascii="Arial" w:hAnsi="Arial" w:cs="Arial"/>
                <w:szCs w:val="17"/>
              </w:rPr>
              <w:t xml:space="preserve">for Works </w:t>
            </w:r>
            <w:bookmarkStart w:id="21" w:name="_Hlk531596662"/>
            <w:r w:rsidR="00B57165">
              <w:rPr>
                <w:rFonts w:ascii="Arial" w:hAnsi="Arial" w:cs="Arial"/>
                <w:szCs w:val="17"/>
              </w:rPr>
              <w:t>–</w:t>
            </w:r>
            <w:r w:rsidRPr="007B0DD8">
              <w:rPr>
                <w:rFonts w:ascii="Arial" w:hAnsi="Arial" w:cs="Arial"/>
                <w:szCs w:val="17"/>
              </w:rPr>
              <w:t xml:space="preserve"> the upper limit value stated in Instruction 3.2.1(a)(ii)(1.); </w:t>
            </w:r>
            <w:bookmarkEnd w:id="21"/>
            <w:r w:rsidRPr="007B0DD8">
              <w:rPr>
                <w:rFonts w:ascii="Arial" w:hAnsi="Arial" w:cs="Arial"/>
                <w:szCs w:val="17"/>
              </w:rPr>
              <w:t>or</w:t>
            </w:r>
          </w:p>
          <w:p w14:paraId="4E847F4A" w14:textId="49936643" w:rsidR="00FB1D38" w:rsidRPr="004B1EC6" w:rsidRDefault="00B57165" w:rsidP="00B57165">
            <w:pPr>
              <w:pStyle w:val="Listnumindent2"/>
              <w:spacing w:before="60" w:after="60"/>
              <w:ind w:left="800" w:hanging="348"/>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(ii)</w:t>
            </w:r>
            <w:r>
              <w:rPr>
                <w:rFonts w:ascii="Arial" w:hAnsi="Arial" w:cs="Arial"/>
                <w:szCs w:val="17"/>
              </w:rPr>
              <w:tab/>
            </w:r>
            <w:r w:rsidR="00FB1D38" w:rsidRPr="007B0DD8">
              <w:rPr>
                <w:rFonts w:ascii="Arial" w:hAnsi="Arial" w:cs="Arial"/>
                <w:szCs w:val="17"/>
              </w:rPr>
              <w:t xml:space="preserve">for Construction Services </w:t>
            </w:r>
            <w:bookmarkStart w:id="22" w:name="_Hlk531596682"/>
            <w:r w:rsidR="00FB1D38" w:rsidRPr="007B0DD8">
              <w:rPr>
                <w:rFonts w:ascii="Arial" w:hAnsi="Arial" w:cs="Arial"/>
                <w:szCs w:val="17"/>
              </w:rPr>
              <w:t>- the upper limit value stated in Instruction 3.2.1(a)(ii)(2.)</w:t>
            </w:r>
            <w:bookmarkEnd w:id="22"/>
            <w:r w:rsidR="00FB1D38" w:rsidRPr="007B0DD8">
              <w:rPr>
                <w:rFonts w:ascii="Arial" w:hAnsi="Arial" w:cs="Arial"/>
                <w:szCs w:val="17"/>
              </w:rPr>
              <w:t>.</w:t>
            </w:r>
          </w:p>
        </w:tc>
        <w:tc>
          <w:tcPr>
            <w:tcW w:w="709" w:type="dxa"/>
            <w:tcBorders>
              <w:top w:val="single" w:sz="4" w:space="0" w:color="auto"/>
              <w:bottom w:val="single" w:sz="4" w:space="0" w:color="auto"/>
            </w:tcBorders>
          </w:tcPr>
          <w:p w14:paraId="4C141D03" w14:textId="02BAD7A8"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17EEEF3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9216DF3" w14:textId="77777777" w:rsidR="00FB1D38" w:rsidRDefault="00FB1D38" w:rsidP="00FB1D38">
            <w:pPr>
              <w:spacing w:before="60" w:after="60"/>
              <w:rPr>
                <w:rFonts w:asciiTheme="majorHAnsi" w:hAnsiTheme="majorHAnsi" w:cstheme="majorHAnsi"/>
              </w:rPr>
            </w:pPr>
            <w:r>
              <w:rPr>
                <w:rFonts w:ascii="Arial" w:hAnsi="Arial" w:cs="Arial"/>
                <w:szCs w:val="17"/>
              </w:rPr>
              <w:t>Dir 5.2</w:t>
            </w:r>
          </w:p>
          <w:p w14:paraId="400EFA89" w14:textId="2CFBF637" w:rsidR="00FB1D38" w:rsidRDefault="00FB1D38" w:rsidP="00FB1D38">
            <w:pPr>
              <w:spacing w:before="60" w:after="60"/>
              <w:rPr>
                <w:rFonts w:asciiTheme="majorHAnsi" w:hAnsiTheme="majorHAnsi" w:cstheme="majorHAnsi"/>
              </w:rPr>
            </w:pPr>
            <w:r>
              <w:rPr>
                <w:rFonts w:ascii="Arial" w:hAnsi="Arial" w:cs="Arial"/>
                <w:szCs w:val="17"/>
              </w:rPr>
              <w:t>Publishing details of procurements undertaken</w:t>
            </w:r>
          </w:p>
        </w:tc>
        <w:tc>
          <w:tcPr>
            <w:tcW w:w="7371" w:type="dxa"/>
            <w:tcBorders>
              <w:top w:val="single" w:sz="4" w:space="0" w:color="auto"/>
              <w:bottom w:val="single" w:sz="4" w:space="0" w:color="auto"/>
            </w:tcBorders>
          </w:tcPr>
          <w:p w14:paraId="4B9FB21A" w14:textId="29C0F8C5" w:rsidR="00FB1D38" w:rsidRPr="003E3B0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DC11C5">
              <w:rPr>
                <w:rFonts w:ascii="Arial" w:hAnsi="Arial" w:cs="Arial"/>
                <w:szCs w:val="17"/>
              </w:rPr>
              <w:t>Agencies must publish the outcome of each tender process to engage a supplier to perform Works or Construction Services, along with key details of the tender process and engagement in accordance with the Instructions.</w:t>
            </w:r>
          </w:p>
        </w:tc>
        <w:tc>
          <w:tcPr>
            <w:tcW w:w="709" w:type="dxa"/>
            <w:tcBorders>
              <w:top w:val="single" w:sz="4" w:space="0" w:color="auto"/>
              <w:bottom w:val="single" w:sz="4" w:space="0" w:color="auto"/>
            </w:tcBorders>
          </w:tcPr>
          <w:p w14:paraId="4880683C" w14:textId="77777777"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82004">
              <w:rPr>
                <w:rFonts w:asciiTheme="majorHAnsi" w:hAnsiTheme="majorHAnsi" w:cstheme="majorHAnsi"/>
                <w:sz w:val="20"/>
                <w:szCs w:val="20"/>
              </w:rPr>
              <w:sym w:font="Wingdings" w:char="F0A8"/>
            </w:r>
          </w:p>
        </w:tc>
      </w:tr>
      <w:tr w:rsidR="00FB1D38" w14:paraId="07DCEB4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4524D00"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460AE81" w14:textId="7B2A886F"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DC11C5">
              <w:rPr>
                <w:rFonts w:ascii="Arial" w:hAnsi="Arial" w:cs="Arial"/>
                <w:szCs w:val="17"/>
              </w:rPr>
              <w:t>In addition to complying with Instruction 5.2.1, Agencies that must comply with Financial Reporting Directive 12B must publish contracts for Works or Construction Services under that Directive.</w:t>
            </w:r>
          </w:p>
        </w:tc>
        <w:tc>
          <w:tcPr>
            <w:tcW w:w="709" w:type="dxa"/>
            <w:tcBorders>
              <w:top w:val="single" w:sz="4" w:space="0" w:color="auto"/>
              <w:bottom w:val="single" w:sz="4" w:space="0" w:color="auto"/>
            </w:tcBorders>
          </w:tcPr>
          <w:p w14:paraId="0C133281" w14:textId="41DAFE5C"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1AF7D2D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6E22E9A5" w14:textId="77777777" w:rsidR="00FB1D38" w:rsidRDefault="00FB1D38" w:rsidP="00FB1D38">
            <w:pPr>
              <w:spacing w:before="60" w:after="60"/>
              <w:rPr>
                <w:rFonts w:ascii="Arial" w:hAnsi="Arial" w:cs="Arial"/>
                <w:szCs w:val="17"/>
              </w:rPr>
            </w:pPr>
            <w:r>
              <w:rPr>
                <w:rFonts w:ascii="Arial" w:hAnsi="Arial" w:cs="Arial"/>
                <w:szCs w:val="17"/>
              </w:rPr>
              <w:t>Inst 5.2.1</w:t>
            </w:r>
          </w:p>
          <w:p w14:paraId="73F94454" w14:textId="5C456AE6" w:rsidR="00FB1D38" w:rsidRDefault="00FB1D38" w:rsidP="00FB1D38">
            <w:pPr>
              <w:spacing w:before="60" w:after="60"/>
              <w:rPr>
                <w:rFonts w:ascii="Arial" w:hAnsi="Arial" w:cs="Arial"/>
                <w:szCs w:val="17"/>
              </w:rPr>
            </w:pPr>
            <w:r>
              <w:rPr>
                <w:rFonts w:ascii="Arial" w:hAnsi="Arial" w:cs="Arial"/>
                <w:szCs w:val="17"/>
              </w:rPr>
              <w:t>Disclose details of contracts</w:t>
            </w:r>
          </w:p>
        </w:tc>
        <w:tc>
          <w:tcPr>
            <w:tcW w:w="7371" w:type="dxa"/>
            <w:tcBorders>
              <w:top w:val="single" w:sz="4" w:space="0" w:color="auto"/>
              <w:bottom w:val="single" w:sz="4" w:space="0" w:color="auto"/>
            </w:tcBorders>
          </w:tcPr>
          <w:p w14:paraId="3CBF3657" w14:textId="65BE823F" w:rsidR="00FB1D38" w:rsidRPr="00E157DD"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Within 60 days after the award of a contract, Agencies must publish on the</w:t>
            </w:r>
            <w:r>
              <w:rPr>
                <w:rFonts w:ascii="Arial" w:hAnsi="Arial" w:cs="Arial"/>
                <w:szCs w:val="17"/>
              </w:rPr>
              <w:t xml:space="preserve"> website or system nominated by the Secretary</w:t>
            </w:r>
            <w:r w:rsidRPr="00A17390">
              <w:rPr>
                <w:rFonts w:ascii="Arial" w:hAnsi="Arial" w:cs="Arial"/>
                <w:szCs w:val="17"/>
              </w:rPr>
              <w:t>:</w:t>
            </w:r>
          </w:p>
        </w:tc>
        <w:tc>
          <w:tcPr>
            <w:tcW w:w="709" w:type="dxa"/>
            <w:tcBorders>
              <w:top w:val="single" w:sz="4" w:space="0" w:color="auto"/>
              <w:bottom w:val="single" w:sz="4" w:space="0" w:color="auto"/>
            </w:tcBorders>
            <w:shd w:val="clear" w:color="auto" w:fill="auto"/>
          </w:tcPr>
          <w:p w14:paraId="0E9469C5" w14:textId="7088B9BC"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7E0FD177"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96F56F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F696BC5" w14:textId="08CAC399" w:rsidR="00FB1D38" w:rsidRPr="00E157DD" w:rsidRDefault="00FB1D38" w:rsidP="00FB1D38">
            <w:pPr>
              <w:pStyle w:val="Listnumindent2"/>
              <w:numPr>
                <w:ilvl w:val="7"/>
                <w:numId w:val="5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the key details of contracts for Works or Construction Services with a total estimated value equal to or exceeding $100,000 (inclusive of GST) whether procured through an open tender, Selective Tender or Limited Tender; and</w:t>
            </w:r>
          </w:p>
        </w:tc>
        <w:tc>
          <w:tcPr>
            <w:tcW w:w="709" w:type="dxa"/>
            <w:tcBorders>
              <w:top w:val="single" w:sz="4" w:space="0" w:color="auto"/>
              <w:bottom w:val="single" w:sz="4" w:space="0" w:color="auto"/>
            </w:tcBorders>
          </w:tcPr>
          <w:p w14:paraId="3A585D6D" w14:textId="068C6201"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0D83DE5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1D93261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12862FF" w14:textId="22B3917B" w:rsidR="00FB1D38" w:rsidRPr="004B1EC6" w:rsidRDefault="00FB1D38" w:rsidP="00FB1D38">
            <w:pPr>
              <w:pStyle w:val="Listnumindent2"/>
              <w:numPr>
                <w:ilvl w:val="7"/>
                <w:numId w:val="5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 xml:space="preserve">full contract information for contracts for Works or Construction Services with an estimated </w:t>
            </w:r>
            <w:r w:rsidRPr="00A17390">
              <w:rPr>
                <w:rFonts w:ascii="Arial" w:hAnsi="Arial" w:cs="Arial"/>
                <w:szCs w:val="17"/>
              </w:rPr>
              <w:lastRenderedPageBreak/>
              <w:t>value exceeding $10 million (inclusive of GST) under Financial Reporting Directi</w:t>
            </w:r>
            <w:r w:rsidR="00B57165">
              <w:rPr>
                <w:rFonts w:ascii="Arial" w:hAnsi="Arial" w:cs="Arial"/>
                <w:szCs w:val="17"/>
              </w:rPr>
              <w:t>on</w:t>
            </w:r>
            <w:r w:rsidRPr="00A17390">
              <w:rPr>
                <w:rFonts w:ascii="Arial" w:hAnsi="Arial" w:cs="Arial"/>
                <w:szCs w:val="17"/>
              </w:rPr>
              <w:t xml:space="preserve"> 12B.</w:t>
            </w:r>
          </w:p>
        </w:tc>
        <w:tc>
          <w:tcPr>
            <w:tcW w:w="709" w:type="dxa"/>
            <w:tcBorders>
              <w:top w:val="single" w:sz="4" w:space="0" w:color="auto"/>
              <w:bottom w:val="single" w:sz="4" w:space="0" w:color="auto"/>
            </w:tcBorders>
          </w:tcPr>
          <w:p w14:paraId="756A9E09" w14:textId="21B70D77"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lastRenderedPageBreak/>
              <w:sym w:font="Wingdings" w:char="F0A8"/>
            </w:r>
          </w:p>
        </w:tc>
      </w:tr>
      <w:tr w:rsidR="00FB1D38" w14:paraId="5EF63C6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A2B6239" w14:textId="77777777" w:rsidR="00FB1D38" w:rsidRDefault="00FB1D38" w:rsidP="00FB1D38">
            <w:pPr>
              <w:spacing w:before="60" w:after="60"/>
              <w:rPr>
                <w:rFonts w:asciiTheme="majorHAnsi" w:hAnsiTheme="majorHAnsi" w:cstheme="majorHAnsi"/>
              </w:rPr>
            </w:pPr>
            <w:r>
              <w:rPr>
                <w:rFonts w:ascii="Arial" w:hAnsi="Arial" w:cs="Arial"/>
                <w:szCs w:val="17"/>
              </w:rPr>
              <w:t>Inst 5.2.2</w:t>
            </w:r>
          </w:p>
          <w:p w14:paraId="053C5AD4" w14:textId="3C6DC500" w:rsidR="00FB1D38" w:rsidRDefault="00FB1D38" w:rsidP="00FB1D38">
            <w:pPr>
              <w:spacing w:before="60" w:after="60"/>
              <w:rPr>
                <w:rFonts w:asciiTheme="majorHAnsi" w:hAnsiTheme="majorHAnsi" w:cstheme="majorHAnsi"/>
              </w:rPr>
            </w:pPr>
            <w:r>
              <w:rPr>
                <w:rFonts w:ascii="Arial" w:hAnsi="Arial" w:cs="Arial"/>
                <w:szCs w:val="17"/>
              </w:rPr>
              <w:t>Contracts subject to disclosure</w:t>
            </w:r>
          </w:p>
        </w:tc>
        <w:tc>
          <w:tcPr>
            <w:tcW w:w="7371" w:type="dxa"/>
            <w:tcBorders>
              <w:top w:val="single" w:sz="4" w:space="0" w:color="auto"/>
              <w:bottom w:val="single" w:sz="4" w:space="0" w:color="auto"/>
            </w:tcBorders>
          </w:tcPr>
          <w:p w14:paraId="77752624" w14:textId="77777777" w:rsidR="00FB1D38" w:rsidRPr="00A17390"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Disclosure relates to all contracts for Works or Construction Services valued above the foregoing amounts, including:</w:t>
            </w:r>
          </w:p>
          <w:p w14:paraId="64453CF2" w14:textId="77777777" w:rsidR="00FB1D38" w:rsidRPr="00A17390" w:rsidRDefault="00FB1D38" w:rsidP="00FB1D38">
            <w:pPr>
              <w:pStyle w:val="Listnumindent2"/>
              <w:numPr>
                <w:ilvl w:val="7"/>
                <w:numId w:val="5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agreements for procurements of Works or Construction Services;</w:t>
            </w:r>
          </w:p>
          <w:p w14:paraId="4F3FF225" w14:textId="77777777" w:rsidR="00FB1D38" w:rsidRPr="00A17390" w:rsidRDefault="00FB1D38" w:rsidP="00FB1D38">
            <w:pPr>
              <w:pStyle w:val="Listnumindent2"/>
              <w:numPr>
                <w:ilvl w:val="7"/>
                <w:numId w:val="5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head agreements such as standing offer arrangements or agreements establishing a Supplier Panel;</w:t>
            </w:r>
          </w:p>
          <w:p w14:paraId="6339544C" w14:textId="77777777" w:rsidR="00FB1D38" w:rsidRPr="00A17390" w:rsidRDefault="00FB1D38" w:rsidP="00FB1D38">
            <w:pPr>
              <w:pStyle w:val="Listnumindent2"/>
              <w:numPr>
                <w:ilvl w:val="7"/>
                <w:numId w:val="5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agreements entered into under head agreements such as engagements under standing offer arrangements or a Supplier Panel to perform Works or Construction Services;</w:t>
            </w:r>
          </w:p>
          <w:p w14:paraId="2963E62A" w14:textId="77777777" w:rsidR="00FB1D38" w:rsidRPr="00A17390" w:rsidRDefault="00FB1D38" w:rsidP="00FB1D38">
            <w:pPr>
              <w:pStyle w:val="Listnumindent2"/>
              <w:numPr>
                <w:ilvl w:val="7"/>
                <w:numId w:val="5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agreements entered into with suppliers from a Register; and</w:t>
            </w:r>
          </w:p>
          <w:p w14:paraId="7881AB14" w14:textId="77777777" w:rsidR="00FB1D38" w:rsidRPr="00A17390" w:rsidRDefault="00FB1D38" w:rsidP="00FB1D38">
            <w:pPr>
              <w:pStyle w:val="Listnumindent2"/>
              <w:numPr>
                <w:ilvl w:val="7"/>
                <w:numId w:val="5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agreements to vary any of the foregoing.</w:t>
            </w:r>
          </w:p>
          <w:p w14:paraId="3A1C5E47" w14:textId="6F0BAF9D" w:rsidR="00FB1D38" w:rsidRPr="00612B2E" w:rsidRDefault="00FB1D38" w:rsidP="00FB1D38">
            <w:pPr>
              <w:pStyle w:val="Listnumindent2"/>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A17390">
              <w:rPr>
                <w:rFonts w:ascii="Arial" w:hAnsi="Arial" w:cs="Arial"/>
                <w:szCs w:val="17"/>
              </w:rPr>
              <w:t>Disclosure is not required where the contract was awarded following a Limited Tender process conducted due to the existence of the Special Circumstances set out in Instruction 3.2.</w:t>
            </w:r>
            <w:r>
              <w:rPr>
                <w:rFonts w:ascii="Arial" w:hAnsi="Arial" w:cs="Arial"/>
                <w:szCs w:val="17"/>
              </w:rPr>
              <w:t>2 ‘for the protection of essential security interests’.</w:t>
            </w:r>
          </w:p>
        </w:tc>
        <w:tc>
          <w:tcPr>
            <w:tcW w:w="709" w:type="dxa"/>
            <w:tcBorders>
              <w:top w:val="single" w:sz="4" w:space="0" w:color="auto"/>
              <w:bottom w:val="single" w:sz="4" w:space="0" w:color="auto"/>
            </w:tcBorders>
          </w:tcPr>
          <w:p w14:paraId="6D599D43" w14:textId="77777777"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82004">
              <w:rPr>
                <w:rFonts w:asciiTheme="majorHAnsi" w:hAnsiTheme="majorHAnsi" w:cstheme="majorHAnsi"/>
                <w:sz w:val="20"/>
                <w:szCs w:val="20"/>
              </w:rPr>
              <w:sym w:font="Wingdings" w:char="F0A8"/>
            </w:r>
          </w:p>
        </w:tc>
      </w:tr>
      <w:tr w:rsidR="00FB1D38" w14:paraId="4859595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4CE9FD7B" w14:textId="35044D0F"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7AE3485" w14:textId="6E5024BA" w:rsidR="00FB1D38" w:rsidRPr="004B1EC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Disclose contract information in the manner described in Attachment 1 to Instruction 5.2.</w:t>
            </w:r>
          </w:p>
        </w:tc>
        <w:tc>
          <w:tcPr>
            <w:tcW w:w="709" w:type="dxa"/>
            <w:tcBorders>
              <w:top w:val="single" w:sz="4" w:space="0" w:color="auto"/>
              <w:bottom w:val="single" w:sz="4" w:space="0" w:color="auto"/>
            </w:tcBorders>
          </w:tcPr>
          <w:p w14:paraId="0121AE2F" w14:textId="529876AF"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4C178CD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C3FD57B" w14:textId="77777777" w:rsidR="00FB1D38" w:rsidRDefault="00FB1D38" w:rsidP="00FB1D38">
            <w:pPr>
              <w:spacing w:before="60" w:after="60"/>
              <w:rPr>
                <w:rFonts w:asciiTheme="majorHAnsi" w:hAnsiTheme="majorHAnsi" w:cstheme="majorHAnsi"/>
              </w:rPr>
            </w:pPr>
            <w:r>
              <w:rPr>
                <w:rFonts w:ascii="Arial" w:hAnsi="Arial" w:cs="Arial"/>
                <w:szCs w:val="17"/>
              </w:rPr>
              <w:t>Dir 6.1</w:t>
            </w:r>
          </w:p>
          <w:p w14:paraId="323076D5" w14:textId="6935B3CE" w:rsidR="00FB1D38" w:rsidRDefault="00FB1D38" w:rsidP="00FB1D38">
            <w:pPr>
              <w:spacing w:before="60" w:after="60"/>
              <w:rPr>
                <w:rFonts w:asciiTheme="majorHAnsi" w:hAnsiTheme="majorHAnsi" w:cstheme="majorHAnsi"/>
              </w:rPr>
            </w:pPr>
            <w:r>
              <w:rPr>
                <w:rFonts w:ascii="Arial" w:hAnsi="Arial" w:cs="Arial"/>
                <w:szCs w:val="17"/>
              </w:rPr>
              <w:t>Use of Registers and Supplier Panels</w:t>
            </w:r>
          </w:p>
        </w:tc>
        <w:tc>
          <w:tcPr>
            <w:tcW w:w="7371" w:type="dxa"/>
            <w:tcBorders>
              <w:top w:val="single" w:sz="4" w:space="0" w:color="auto"/>
              <w:bottom w:val="single" w:sz="4" w:space="0" w:color="auto"/>
            </w:tcBorders>
          </w:tcPr>
          <w:p w14:paraId="591D68E0" w14:textId="659432C8" w:rsidR="00FB1D38" w:rsidRPr="003B01EC" w:rsidRDefault="00FB1D38" w:rsidP="00FB1D38">
            <w:pPr>
              <w:pStyle w:val="Listnumindent2"/>
              <w:numPr>
                <w:ilvl w:val="7"/>
                <w:numId w:val="57"/>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686233">
              <w:rPr>
                <w:rFonts w:ascii="Arial" w:hAnsi="Arial" w:cs="Arial"/>
                <w:szCs w:val="17"/>
              </w:rPr>
              <w:t>When conducting a Selective Tender or engaging a supplier from a Register or Supplier Panel to perform Works or Construction Services, Agencies must use a Register or Supplier Panel established and operated in accordance with the Instructions.</w:t>
            </w:r>
          </w:p>
        </w:tc>
        <w:tc>
          <w:tcPr>
            <w:tcW w:w="709" w:type="dxa"/>
            <w:tcBorders>
              <w:top w:val="single" w:sz="4" w:space="0" w:color="auto"/>
              <w:bottom w:val="single" w:sz="4" w:space="0" w:color="auto"/>
            </w:tcBorders>
          </w:tcPr>
          <w:p w14:paraId="584D4858" w14:textId="77777777"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82004">
              <w:rPr>
                <w:rFonts w:asciiTheme="majorHAnsi" w:hAnsiTheme="majorHAnsi" w:cstheme="majorHAnsi"/>
                <w:sz w:val="20"/>
                <w:szCs w:val="20"/>
              </w:rPr>
              <w:sym w:font="Wingdings" w:char="F0A8"/>
            </w:r>
          </w:p>
        </w:tc>
      </w:tr>
      <w:tr w:rsidR="00FB1D38" w14:paraId="02C7B38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0A46A1F1"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2BF596A" w14:textId="7E03745E" w:rsidR="00FB1D38" w:rsidRPr="004B1EC6" w:rsidRDefault="00FB1D38" w:rsidP="00FB1D38">
            <w:pPr>
              <w:pStyle w:val="Listnumindent2"/>
              <w:numPr>
                <w:ilvl w:val="7"/>
                <w:numId w:val="57"/>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686233">
              <w:rPr>
                <w:rFonts w:ascii="Arial" w:hAnsi="Arial" w:cs="Arial"/>
                <w:szCs w:val="17"/>
              </w:rPr>
              <w:t>Agencies may only establish, operate and use a Register, with the prior approval of the Secretary as set out in the Instructions.</w:t>
            </w:r>
          </w:p>
        </w:tc>
        <w:tc>
          <w:tcPr>
            <w:tcW w:w="709" w:type="dxa"/>
            <w:tcBorders>
              <w:top w:val="single" w:sz="4" w:space="0" w:color="auto"/>
              <w:bottom w:val="single" w:sz="4" w:space="0" w:color="auto"/>
            </w:tcBorders>
          </w:tcPr>
          <w:p w14:paraId="11D6208F" w14:textId="423D58C8"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4E55274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Pr>
          <w:p w14:paraId="4536322D" w14:textId="77777777" w:rsidR="00FB1D38" w:rsidRPr="0063550E" w:rsidRDefault="00FB1D38" w:rsidP="00FB1D38">
            <w:pPr>
              <w:spacing w:before="60" w:after="60"/>
              <w:rPr>
                <w:rFonts w:ascii="Arial" w:hAnsi="Arial" w:cs="Arial"/>
                <w:szCs w:val="17"/>
              </w:rPr>
            </w:pPr>
            <w:r w:rsidRPr="0063550E">
              <w:rPr>
                <w:rFonts w:ascii="Arial" w:hAnsi="Arial" w:cs="Arial"/>
                <w:szCs w:val="17"/>
              </w:rPr>
              <w:t>Inst 6.1.1</w:t>
            </w:r>
          </w:p>
          <w:p w14:paraId="61DC8567" w14:textId="4B2FD4C5" w:rsidR="00FB1D38" w:rsidRDefault="00FB1D38" w:rsidP="00FB1D38">
            <w:pPr>
              <w:spacing w:before="60" w:after="60"/>
              <w:rPr>
                <w:rFonts w:ascii="Arial" w:hAnsi="Arial" w:cs="Arial"/>
                <w:szCs w:val="17"/>
              </w:rPr>
            </w:pPr>
            <w:r w:rsidRPr="0063550E">
              <w:rPr>
                <w:rFonts w:ascii="Arial" w:hAnsi="Arial" w:cs="Arial"/>
                <w:szCs w:val="17"/>
              </w:rPr>
              <w:t>Approving a Register</w:t>
            </w:r>
          </w:p>
        </w:tc>
        <w:tc>
          <w:tcPr>
            <w:tcW w:w="7371" w:type="dxa"/>
            <w:tcBorders>
              <w:top w:val="single" w:sz="4" w:space="0" w:color="auto"/>
              <w:bottom w:val="single" w:sz="4" w:space="0" w:color="auto"/>
            </w:tcBorders>
          </w:tcPr>
          <w:p w14:paraId="63F6B395" w14:textId="2FCDE23E" w:rsidR="00FB1D38" w:rsidRPr="003B01EC"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Agencies other than the Agency responsible for an Agency-specific Register may use an Agency-specific Register with the written consent of the Agency responsible for the Agency-specific Register.</w:t>
            </w:r>
          </w:p>
        </w:tc>
        <w:tc>
          <w:tcPr>
            <w:tcW w:w="709" w:type="dxa"/>
            <w:tcBorders>
              <w:top w:val="single" w:sz="4" w:space="0" w:color="auto"/>
              <w:bottom w:val="single" w:sz="4" w:space="0" w:color="auto"/>
            </w:tcBorders>
          </w:tcPr>
          <w:p w14:paraId="0A543BF1" w14:textId="3B22D475"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5DF3DBCF"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5DF7B2C"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FE06F3F" w14:textId="77777777" w:rsidR="00FB1D38" w:rsidRPr="003B01EC"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rsidRPr="003B01EC">
              <w:t>Transitional use of Registers</w:t>
            </w:r>
          </w:p>
          <w:p w14:paraId="598528EA" w14:textId="5CA03E24" w:rsidR="00FB1D38" w:rsidRPr="00B10E0A" w:rsidRDefault="00FB1D38" w:rsidP="00FB1D38">
            <w:pPr>
              <w:pStyle w:val="Listnumindent2"/>
              <w:numPr>
                <w:ilvl w:val="0"/>
                <w:numId w:val="25"/>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B01EC">
              <w:rPr>
                <w:rFonts w:ascii="Arial" w:hAnsi="Arial" w:cs="Arial"/>
                <w:szCs w:val="17"/>
              </w:rPr>
              <w:t>Agencies are permitted to use Registers already in operation, pending approval under Direction 6.1(b), in accordance with the transitional processes published by the Department.</w:t>
            </w:r>
          </w:p>
        </w:tc>
        <w:tc>
          <w:tcPr>
            <w:tcW w:w="709" w:type="dxa"/>
            <w:tcBorders>
              <w:top w:val="single" w:sz="4" w:space="0" w:color="auto"/>
              <w:bottom w:val="single" w:sz="4" w:space="0" w:color="auto"/>
            </w:tcBorders>
          </w:tcPr>
          <w:p w14:paraId="647F825B" w14:textId="0E05EAC6"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39AEF63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330493A"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E7608DD" w14:textId="5DD383D2" w:rsidR="00FB1D38" w:rsidRPr="003B01EC" w:rsidRDefault="00FB1D38" w:rsidP="00FB1D38">
            <w:pPr>
              <w:pStyle w:val="Listnumindent2"/>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Pr>
                <w:rFonts w:ascii="Arial" w:hAnsi="Arial" w:cs="Arial"/>
                <w:szCs w:val="17"/>
              </w:rPr>
              <w:t>(e)</w:t>
            </w:r>
            <w:r>
              <w:rPr>
                <w:rFonts w:ascii="Arial" w:hAnsi="Arial" w:cs="Arial"/>
                <w:szCs w:val="17"/>
              </w:rPr>
              <w:tab/>
            </w:r>
            <w:r w:rsidRPr="003B01EC">
              <w:rPr>
                <w:rFonts w:ascii="Arial" w:hAnsi="Arial" w:cs="Arial"/>
                <w:szCs w:val="17"/>
              </w:rPr>
              <w:t xml:space="preserve">If, under the processes described in the previous paragraph, an Agency is advised that a Register is no longer permitted for </w:t>
            </w:r>
            <w:r w:rsidRPr="00B10E0A">
              <w:t>transitional</w:t>
            </w:r>
            <w:r w:rsidRPr="003B01EC">
              <w:rPr>
                <w:rFonts w:ascii="Arial" w:hAnsi="Arial" w:cs="Arial"/>
                <w:szCs w:val="17"/>
              </w:rPr>
              <w:t xml:space="preserve"> operation, the Agency must discontinue operation of that Register from the date the Agency is notified of the decision.</w:t>
            </w:r>
          </w:p>
        </w:tc>
        <w:tc>
          <w:tcPr>
            <w:tcW w:w="709" w:type="dxa"/>
            <w:tcBorders>
              <w:top w:val="single" w:sz="4" w:space="0" w:color="auto"/>
              <w:bottom w:val="single" w:sz="4" w:space="0" w:color="auto"/>
            </w:tcBorders>
          </w:tcPr>
          <w:p w14:paraId="113EFB7A" w14:textId="140C7856"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6EA22C04"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012C0607" w14:textId="77777777" w:rsidR="00FB1D38" w:rsidRDefault="00FB1D38" w:rsidP="00FB1D38">
            <w:pPr>
              <w:spacing w:before="60" w:after="60"/>
              <w:rPr>
                <w:rFonts w:ascii="Arial" w:hAnsi="Arial" w:cs="Arial"/>
                <w:szCs w:val="17"/>
              </w:rPr>
            </w:pPr>
            <w:r>
              <w:rPr>
                <w:rFonts w:ascii="Arial" w:hAnsi="Arial" w:cs="Arial"/>
                <w:szCs w:val="17"/>
              </w:rPr>
              <w:t>Inst 6.1.2</w:t>
            </w:r>
          </w:p>
          <w:p w14:paraId="09ED6CE7" w14:textId="60C13499" w:rsidR="00FB1D38" w:rsidRDefault="00FB1D38" w:rsidP="00FB1D38">
            <w:pPr>
              <w:spacing w:before="60" w:after="60"/>
              <w:rPr>
                <w:rFonts w:ascii="Arial" w:hAnsi="Arial" w:cs="Arial"/>
                <w:szCs w:val="17"/>
              </w:rPr>
            </w:pPr>
            <w:r>
              <w:rPr>
                <w:rFonts w:ascii="Arial" w:hAnsi="Arial" w:cs="Arial"/>
                <w:szCs w:val="17"/>
              </w:rPr>
              <w:t>Require-ments to establish a Register</w:t>
            </w:r>
          </w:p>
        </w:tc>
        <w:tc>
          <w:tcPr>
            <w:tcW w:w="7371" w:type="dxa"/>
            <w:tcBorders>
              <w:top w:val="single" w:sz="4" w:space="0" w:color="auto"/>
              <w:bottom w:val="single" w:sz="4" w:space="0" w:color="auto"/>
            </w:tcBorders>
          </w:tcPr>
          <w:p w14:paraId="557529E7" w14:textId="77777777" w:rsidR="00FB1D38" w:rsidRPr="000C065C"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All Registers must:</w:t>
            </w:r>
          </w:p>
          <w:p w14:paraId="0AD576C3"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clearly define the purpose, target users and responsible persons for the Register;</w:t>
            </w:r>
          </w:p>
          <w:p w14:paraId="3A39C346"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document conditions, obligations and undertakings of the responsible Agency, applicants and registrants, which form the terms of agreement between the parties including having required professional registrations in place;</w:t>
            </w:r>
          </w:p>
          <w:p w14:paraId="55052341"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provide for those conditions to be publicly available to prospective applicants and reissued to registrants when they are altered;</w:t>
            </w:r>
          </w:p>
          <w:p w14:paraId="412651C0"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apply assessment criteria, including the mandatory evaluation criteria set out in Instruction 3.7.3, using a process that is fair and consistent for all applicants;</w:t>
            </w:r>
          </w:p>
          <w:p w14:paraId="761B041F"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be an open system that allows applications to be made at any time and to also be publicly advertised at least once each year or employ continuous advertisement process such as on a website;</w:t>
            </w:r>
          </w:p>
          <w:p w14:paraId="0579FD25"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provide for both an ongoing and a periodic review of registrants;</w:t>
            </w:r>
          </w:p>
          <w:p w14:paraId="33F12CDD" w14:textId="7DF040B0" w:rsidR="00FB1D38" w:rsidRPr="000C065C" w:rsidRDefault="00FB1D38" w:rsidP="00FB1D38">
            <w:pPr>
              <w:pStyle w:val="Listnumindent2"/>
              <w:numPr>
                <w:ilvl w:val="1"/>
                <w:numId w:val="25"/>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manage feedback on the performance of registrants;</w:t>
            </w:r>
          </w:p>
          <w:p w14:paraId="4652EB82" w14:textId="4BBE95CF" w:rsidR="00FB1D38" w:rsidRPr="000C065C" w:rsidRDefault="00FB1D38" w:rsidP="00FB1D38">
            <w:pPr>
              <w:pStyle w:val="Listnumindent2"/>
              <w:numPr>
                <w:ilvl w:val="1"/>
                <w:numId w:val="25"/>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undertake reviews; and</w:t>
            </w:r>
          </w:p>
          <w:p w14:paraId="7621B02B" w14:textId="77777777" w:rsidR="00FB1D38" w:rsidRPr="000C065C" w:rsidRDefault="00FB1D38" w:rsidP="00FB1D38">
            <w:pPr>
              <w:pStyle w:val="Listnumindent2"/>
              <w:numPr>
                <w:ilvl w:val="1"/>
                <w:numId w:val="25"/>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maintain records of reviews;</w:t>
            </w:r>
          </w:p>
          <w:p w14:paraId="05704894"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advise applicants and registrants of their current status and, where relevant, of actions necessary to enable or retain registration;</w:t>
            </w:r>
          </w:p>
          <w:p w14:paraId="3F9CF90F" w14:textId="77777777" w:rsidR="00FB1D38" w:rsidRPr="000C065C"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provide an appeal process, independent of those responsible for the Register, where an application has been refused or where downgrading or removal from the Register is proposed; and</w:t>
            </w:r>
          </w:p>
          <w:p w14:paraId="747782D3" w14:textId="040B7D22" w:rsidR="00FB1D38" w:rsidRPr="004B1EC6" w:rsidRDefault="00FB1D38" w:rsidP="00FB1D38">
            <w:pPr>
              <w:pStyle w:val="Listnumindent2"/>
              <w:numPr>
                <w:ilvl w:val="7"/>
                <w:numId w:val="5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C065C">
              <w:rPr>
                <w:rFonts w:ascii="Arial" w:hAnsi="Arial" w:cs="Arial"/>
                <w:szCs w:val="17"/>
              </w:rPr>
              <w:t>provide for the suspension or de-registration of registrants who no longer meet the assessment criteria or whose performance is proven to be poor.</w:t>
            </w:r>
          </w:p>
        </w:tc>
        <w:tc>
          <w:tcPr>
            <w:tcW w:w="709" w:type="dxa"/>
            <w:tcBorders>
              <w:top w:val="single" w:sz="4" w:space="0" w:color="auto"/>
              <w:bottom w:val="single" w:sz="4" w:space="0" w:color="auto"/>
            </w:tcBorders>
          </w:tcPr>
          <w:p w14:paraId="27E2DF9A" w14:textId="49757BFF" w:rsidR="00FB1D38" w:rsidRPr="00B513F7"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7E19712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AFF8D23"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6.1.4</w:t>
            </w:r>
          </w:p>
          <w:p w14:paraId="13357613" w14:textId="48D65886" w:rsidR="00FB1D38" w:rsidRDefault="00FB1D38" w:rsidP="00FB1D38">
            <w:pPr>
              <w:spacing w:before="60" w:after="60"/>
              <w:rPr>
                <w:rFonts w:asciiTheme="majorHAnsi" w:hAnsiTheme="majorHAnsi" w:cstheme="majorHAnsi"/>
              </w:rPr>
            </w:pPr>
            <w:r>
              <w:rPr>
                <w:rFonts w:ascii="Arial" w:hAnsi="Arial" w:cs="Arial"/>
                <w:szCs w:val="17"/>
              </w:rPr>
              <w:lastRenderedPageBreak/>
              <w:t>Use of Registers and Supplier Panels</w:t>
            </w:r>
          </w:p>
        </w:tc>
        <w:tc>
          <w:tcPr>
            <w:tcW w:w="7371" w:type="dxa"/>
            <w:tcBorders>
              <w:top w:val="single" w:sz="4" w:space="0" w:color="auto"/>
              <w:bottom w:val="single" w:sz="4" w:space="0" w:color="auto"/>
            </w:tcBorders>
          </w:tcPr>
          <w:p w14:paraId="04FF82CF" w14:textId="6C96760F"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lastRenderedPageBreak/>
              <w:t>When establishing a Supplier Panel, Agencies must:</w:t>
            </w:r>
          </w:p>
        </w:tc>
        <w:tc>
          <w:tcPr>
            <w:tcW w:w="709" w:type="dxa"/>
            <w:tcBorders>
              <w:top w:val="single" w:sz="4" w:space="0" w:color="auto"/>
              <w:bottom w:val="single" w:sz="4" w:space="0" w:color="auto"/>
            </w:tcBorders>
            <w:shd w:val="clear" w:color="auto" w:fill="F2F2F2" w:themeFill="background1" w:themeFillShade="F2"/>
          </w:tcPr>
          <w:p w14:paraId="5949F2C0" w14:textId="47FE5931"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48D4E7B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766D54B0"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5B56E783" w14:textId="7043E241" w:rsidR="00FB1D38" w:rsidRPr="008F1639" w:rsidRDefault="00FB1D38" w:rsidP="00FB1D38">
            <w:pPr>
              <w:pStyle w:val="Listnumindent2"/>
              <w:numPr>
                <w:ilvl w:val="7"/>
                <w:numId w:val="59"/>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establish the Supplier Panel using an open tender or Selective Tender;</w:t>
            </w:r>
          </w:p>
        </w:tc>
        <w:tc>
          <w:tcPr>
            <w:tcW w:w="709" w:type="dxa"/>
            <w:tcBorders>
              <w:top w:val="single" w:sz="4" w:space="0" w:color="auto"/>
              <w:bottom w:val="single" w:sz="4" w:space="0" w:color="auto"/>
            </w:tcBorders>
          </w:tcPr>
          <w:p w14:paraId="2FFC64EE" w14:textId="76DD4BF7"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82004">
              <w:rPr>
                <w:rFonts w:asciiTheme="majorHAnsi" w:hAnsiTheme="majorHAnsi" w:cstheme="majorHAnsi"/>
                <w:sz w:val="20"/>
                <w:szCs w:val="20"/>
              </w:rPr>
              <w:sym w:font="Wingdings" w:char="F0A8"/>
            </w:r>
          </w:p>
        </w:tc>
      </w:tr>
      <w:tr w:rsidR="00FB1D38" w14:paraId="340A140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6E6DE20A" w14:textId="60F2504D"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63D5B3B7" w14:textId="77777777" w:rsidR="00FB1D38" w:rsidRPr="00151993" w:rsidRDefault="00FB1D38" w:rsidP="00FB1D38">
            <w:pPr>
              <w:pStyle w:val="Listnumindent2"/>
              <w:numPr>
                <w:ilvl w:val="7"/>
                <w:numId w:val="59"/>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establish rules of use that are consistent with the principles set out in Direction 1.2;</w:t>
            </w:r>
          </w:p>
          <w:p w14:paraId="185C6ED1" w14:textId="4A28699C" w:rsidR="00FB1D38" w:rsidRPr="00151993"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establish and operate the Supplier Panel for a period for time specified in the initial Tender</w:t>
            </w:r>
            <w:r w:rsidRPr="0063550E">
              <w:rPr>
                <w:rFonts w:ascii="Arial" w:hAnsi="Arial" w:cs="Arial"/>
                <w:szCs w:val="17"/>
              </w:rPr>
              <w:t>;</w:t>
            </w:r>
          </w:p>
          <w:p w14:paraId="2D13FAA7" w14:textId="77777777" w:rsidR="00FB1D38" w:rsidRPr="00151993"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require members of a Supplier Panel to enter into an agreement with the sponsoring Agency, which sets out the type of Works or Construction Services that may be procured from the Supplier Panel and the terms and conditions on which the Works or Construction Services will be performed;</w:t>
            </w:r>
          </w:p>
          <w:p w14:paraId="7283B161" w14:textId="77777777" w:rsidR="00FB1D38" w:rsidRPr="00151993"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require members of a Supplier Panel</w:t>
            </w:r>
            <w:r w:rsidRPr="00232EE6" w:rsidDel="00096BE6">
              <w:rPr>
                <w:rFonts w:ascii="Arial" w:hAnsi="Arial" w:cs="Arial"/>
                <w:szCs w:val="17"/>
              </w:rPr>
              <w:t xml:space="preserve"> </w:t>
            </w:r>
            <w:r w:rsidRPr="00232EE6">
              <w:rPr>
                <w:rFonts w:ascii="Arial" w:hAnsi="Arial" w:cs="Arial"/>
                <w:szCs w:val="17"/>
              </w:rPr>
              <w:t>to nominate rates and, where appropriate, personnel for the Works or Construction Services to be performed under the Supplier Panel agreement;</w:t>
            </w:r>
          </w:p>
          <w:p w14:paraId="4138D8D7" w14:textId="77777777" w:rsidR="00FB1D38" w:rsidRPr="00151993"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identify any other requirements including specialist qualifications or certification such as industry-specific health and safety certification that must be met by members of a Supplier Panel; and</w:t>
            </w:r>
          </w:p>
          <w:p w14:paraId="3CE37AA9" w14:textId="77777777" w:rsidR="00FB1D38" w:rsidRPr="007B0DD8"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establish appropriate processes to monitor and record performance of members of a Supplier Panel</w:t>
            </w:r>
            <w:r w:rsidRPr="00232EE6" w:rsidDel="00096BE6">
              <w:rPr>
                <w:rFonts w:ascii="Arial" w:hAnsi="Arial" w:cs="Arial"/>
                <w:szCs w:val="17"/>
              </w:rPr>
              <w:t xml:space="preserve"> </w:t>
            </w:r>
            <w:r w:rsidRPr="00232EE6">
              <w:rPr>
                <w:rFonts w:ascii="Arial" w:hAnsi="Arial" w:cs="Arial"/>
                <w:szCs w:val="17"/>
              </w:rPr>
              <w:t>under the Panel agreement.</w:t>
            </w:r>
          </w:p>
          <w:p w14:paraId="7DE574F7" w14:textId="77777777" w:rsidR="00FB1D38" w:rsidRPr="00841F87" w:rsidRDefault="00FB1D38" w:rsidP="00FB1D38">
            <w:pPr>
              <w:pStyle w:val="Listnumindent2"/>
              <w:numPr>
                <w:ilvl w:val="1"/>
                <w:numId w:val="60"/>
              </w:numPr>
              <w:tabs>
                <w:tab w:val="clear" w:pos="1781"/>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2EE6">
              <w:rPr>
                <w:rFonts w:ascii="Arial" w:hAnsi="Arial" w:cs="Arial"/>
                <w:szCs w:val="17"/>
              </w:rPr>
              <w:t>For the avoidance of doubt, a forward notice as set out in Instruction 5.1 must be used when establishing a Supplier Panel. Once established, forward notices do not need to be used when using a Supplier Panel in accordance with the rules of use for that Supplier Panel.</w:t>
            </w:r>
          </w:p>
        </w:tc>
        <w:tc>
          <w:tcPr>
            <w:tcW w:w="709" w:type="dxa"/>
            <w:tcBorders>
              <w:top w:val="single" w:sz="4" w:space="0" w:color="auto"/>
              <w:bottom w:val="single" w:sz="4" w:space="0" w:color="auto"/>
            </w:tcBorders>
          </w:tcPr>
          <w:p w14:paraId="46F85905" w14:textId="7BC4ED72" w:rsidR="00FB1D38" w:rsidRPr="00E82004"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82004">
              <w:rPr>
                <w:rFonts w:asciiTheme="majorHAnsi" w:hAnsiTheme="majorHAnsi" w:cstheme="majorHAnsi"/>
                <w:sz w:val="20"/>
                <w:szCs w:val="20"/>
              </w:rPr>
              <w:sym w:font="Wingdings" w:char="F0A8"/>
            </w:r>
          </w:p>
        </w:tc>
      </w:tr>
      <w:tr w:rsidR="00FB1D38" w14:paraId="7D9C692F"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E337868" w14:textId="77777777" w:rsidR="00FB1D38" w:rsidRDefault="00FB1D38" w:rsidP="00FB1D38">
            <w:pPr>
              <w:spacing w:before="60" w:after="60"/>
              <w:rPr>
                <w:rFonts w:asciiTheme="majorHAnsi" w:hAnsiTheme="majorHAnsi" w:cstheme="majorHAnsi"/>
              </w:rPr>
            </w:pPr>
            <w:r>
              <w:rPr>
                <w:rFonts w:ascii="Arial" w:hAnsi="Arial" w:cs="Arial"/>
                <w:szCs w:val="17"/>
              </w:rPr>
              <w:t>Dir 7.1.2</w:t>
            </w:r>
          </w:p>
          <w:p w14:paraId="441C2082" w14:textId="779F0D76" w:rsidR="00FB1D38" w:rsidRDefault="00FB1D38" w:rsidP="00FB1D38">
            <w:pPr>
              <w:spacing w:before="60" w:after="60"/>
              <w:rPr>
                <w:rFonts w:ascii="Arial" w:hAnsi="Arial" w:cs="Arial"/>
                <w:szCs w:val="17"/>
              </w:rPr>
            </w:pPr>
            <w:r>
              <w:rPr>
                <w:rFonts w:ascii="Arial" w:hAnsi="Arial" w:cs="Arial"/>
                <w:szCs w:val="17"/>
              </w:rPr>
              <w:t xml:space="preserve">Use of </w:t>
            </w:r>
            <w:r w:rsidRPr="00317F3B">
              <w:t>Victorian Public Construction Contracts</w:t>
            </w:r>
          </w:p>
        </w:tc>
        <w:tc>
          <w:tcPr>
            <w:tcW w:w="7371" w:type="dxa"/>
            <w:tcBorders>
              <w:top w:val="single" w:sz="4" w:space="0" w:color="auto"/>
              <w:bottom w:val="single" w:sz="4" w:space="0" w:color="auto"/>
            </w:tcBorders>
          </w:tcPr>
          <w:p w14:paraId="0617F226" w14:textId="1F76C673" w:rsidR="00FB1D38" w:rsidRPr="00F8620E" w:rsidRDefault="00FB1D38" w:rsidP="00FB1D38">
            <w:pPr>
              <w:pStyle w:val="Listnumindent2"/>
              <w:numPr>
                <w:ilvl w:val="7"/>
                <w:numId w:val="6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 xml:space="preserve">When issuing a tender (including a Limited Tender) for Works or </w:t>
            </w:r>
            <w:r w:rsidRPr="00F8620E">
              <w:rPr>
                <w:rFonts w:ascii="Arial" w:hAnsi="Arial" w:cs="Arial"/>
                <w:szCs w:val="17"/>
              </w:rPr>
              <w:t>Construction</w:t>
            </w:r>
            <w:r>
              <w:t xml:space="preserve"> Services, an Agency must include an unamended Victorian Public Construction Contract in the Tender Documentation, except:</w:t>
            </w:r>
          </w:p>
        </w:tc>
        <w:tc>
          <w:tcPr>
            <w:tcW w:w="709" w:type="dxa"/>
            <w:tcBorders>
              <w:top w:val="single" w:sz="4" w:space="0" w:color="auto"/>
              <w:bottom w:val="single" w:sz="4" w:space="0" w:color="auto"/>
            </w:tcBorders>
          </w:tcPr>
          <w:p w14:paraId="5FB143E4" w14:textId="52DBDBE3"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28CA8A1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9F920C1"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56A5C10" w14:textId="7AD80D93" w:rsidR="00FB1D38" w:rsidRPr="00F8620E" w:rsidRDefault="00FB1D38" w:rsidP="00FB1D38">
            <w:pPr>
              <w:pStyle w:val="Listnumindent2"/>
              <w:numPr>
                <w:ilvl w:val="0"/>
                <w:numId w:val="62"/>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to the extent that amendments are required to comply with law or policy, including these Directions; or</w:t>
            </w:r>
          </w:p>
        </w:tc>
        <w:tc>
          <w:tcPr>
            <w:tcW w:w="709" w:type="dxa"/>
            <w:tcBorders>
              <w:top w:val="single" w:sz="4" w:space="0" w:color="auto"/>
              <w:bottom w:val="single" w:sz="4" w:space="0" w:color="auto"/>
            </w:tcBorders>
          </w:tcPr>
          <w:p w14:paraId="7C5AA461" w14:textId="1BB6E780"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144DB6F7"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9E996D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14DBF42" w14:textId="3EF3865F" w:rsidR="00FB1D38" w:rsidRPr="00F8620E" w:rsidRDefault="00FB1D38" w:rsidP="00FB1D38">
            <w:pPr>
              <w:pStyle w:val="Listnumindent2"/>
              <w:numPr>
                <w:ilvl w:val="0"/>
                <w:numId w:val="62"/>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as permitted in the Instructions.</w:t>
            </w:r>
          </w:p>
        </w:tc>
        <w:tc>
          <w:tcPr>
            <w:tcW w:w="709" w:type="dxa"/>
            <w:tcBorders>
              <w:top w:val="single" w:sz="4" w:space="0" w:color="auto"/>
              <w:bottom w:val="single" w:sz="4" w:space="0" w:color="auto"/>
            </w:tcBorders>
          </w:tcPr>
          <w:p w14:paraId="3EAEFD13" w14:textId="37A6F94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1753B49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05B2B52" w14:textId="5D4B081B"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43D03E1" w14:textId="77777777" w:rsidR="00FB1D38" w:rsidRDefault="00FB1D38" w:rsidP="00FB1D38">
            <w:pPr>
              <w:pStyle w:val="Listnumindent2"/>
              <w:numPr>
                <w:ilvl w:val="7"/>
                <w:numId w:val="6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 xml:space="preserve">Where the Instructions permit the release of a tender that includes </w:t>
            </w:r>
            <w:r w:rsidRPr="00F8620E">
              <w:rPr>
                <w:rFonts w:ascii="Arial" w:hAnsi="Arial" w:cs="Arial"/>
                <w:szCs w:val="17"/>
              </w:rPr>
              <w:t>either</w:t>
            </w:r>
            <w:r>
              <w:t xml:space="preserve"> an amended Victorian Public Construction Contract or an alternative form of contract, Agencies must ensure that the form of contract is:</w:t>
            </w:r>
          </w:p>
          <w:p w14:paraId="33CA941F" w14:textId="77777777" w:rsidR="00FB1D38" w:rsidRPr="00F8620E" w:rsidRDefault="00FB1D38" w:rsidP="00FB1D38">
            <w:pPr>
              <w:pStyle w:val="Listnumindent2"/>
              <w:numPr>
                <w:ilvl w:val="0"/>
                <w:numId w:val="63"/>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appropriate for the Procurement Model;</w:t>
            </w:r>
          </w:p>
          <w:p w14:paraId="7DA14ABD" w14:textId="77777777" w:rsidR="00FB1D38" w:rsidRPr="00F8620E" w:rsidRDefault="00FB1D38" w:rsidP="00FB1D38">
            <w:pPr>
              <w:pStyle w:val="Listnumindent2"/>
              <w:numPr>
                <w:ilvl w:val="0"/>
                <w:numId w:val="63"/>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consistent with other contracts used by the Agency to engage suppliers to perform comparable Works or Construction Services; and</w:t>
            </w:r>
          </w:p>
          <w:p w14:paraId="3499A6E8" w14:textId="0B1E9AB3" w:rsidR="00FB1D38" w:rsidRPr="00F8620E" w:rsidRDefault="00FB1D38" w:rsidP="00FB1D38">
            <w:pPr>
              <w:pStyle w:val="Listnumindent2"/>
              <w:numPr>
                <w:ilvl w:val="0"/>
                <w:numId w:val="63"/>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pPr>
            <w:r w:rsidRPr="00F8620E">
              <w:rPr>
                <w:rFonts w:ascii="Arial" w:hAnsi="Arial" w:cs="Arial"/>
                <w:szCs w:val="17"/>
              </w:rPr>
              <w:t>consistent with any applicable Victorian Government policy, including any mandatory requirements or approvals required under those policies or set out in the Instructions</w:t>
            </w:r>
          </w:p>
        </w:tc>
        <w:tc>
          <w:tcPr>
            <w:tcW w:w="709" w:type="dxa"/>
            <w:tcBorders>
              <w:top w:val="single" w:sz="4" w:space="0" w:color="auto"/>
              <w:bottom w:val="single" w:sz="4" w:space="0" w:color="auto"/>
            </w:tcBorders>
          </w:tcPr>
          <w:p w14:paraId="05A4DC04" w14:textId="740324C8"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1E16765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46957B05" w14:textId="2AECEC56"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435FBF5A" w14:textId="77777777" w:rsidR="00FB1D38" w:rsidRDefault="00FB1D38" w:rsidP="00FB1D38">
            <w:pPr>
              <w:pStyle w:val="Listnumindent2"/>
              <w:numPr>
                <w:ilvl w:val="7"/>
                <w:numId w:val="6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In addition to Direction 7.1.2(b), where the Instructions permit the release of a tender that includes an amended Victorian Public Construction Contract, Agencies must:</w:t>
            </w:r>
          </w:p>
          <w:p w14:paraId="4B3CBA82" w14:textId="77777777" w:rsidR="00FB1D38" w:rsidRPr="00F8620E" w:rsidRDefault="00FB1D38" w:rsidP="00FB1D38">
            <w:pPr>
              <w:pStyle w:val="Listnumindent2"/>
              <w:numPr>
                <w:ilvl w:val="0"/>
                <w:numId w:val="64"/>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avoid unnecessary amendments; and</w:t>
            </w:r>
          </w:p>
          <w:p w14:paraId="0947BE23" w14:textId="23987B10" w:rsidR="00FB1D38" w:rsidRPr="00F8620E" w:rsidRDefault="00FB1D38" w:rsidP="00FB1D38">
            <w:pPr>
              <w:pStyle w:val="Listnumindent2"/>
              <w:numPr>
                <w:ilvl w:val="0"/>
                <w:numId w:val="64"/>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F8620E">
              <w:rPr>
                <w:rFonts w:ascii="Arial" w:hAnsi="Arial" w:cs="Arial"/>
                <w:szCs w:val="17"/>
              </w:rPr>
              <w:t>clearly identify any amendments to allow tender participants to readily identify the differences from the approved form of contract.</w:t>
            </w:r>
          </w:p>
        </w:tc>
        <w:tc>
          <w:tcPr>
            <w:tcW w:w="709" w:type="dxa"/>
            <w:tcBorders>
              <w:top w:val="single" w:sz="4" w:space="0" w:color="auto"/>
              <w:bottom w:val="single" w:sz="4" w:space="0" w:color="auto"/>
            </w:tcBorders>
          </w:tcPr>
          <w:p w14:paraId="6C99960D" w14:textId="4CD62CB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rsidRPr="00F8620E" w14:paraId="3796100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Pr>
          <w:p w14:paraId="517A6E65" w14:textId="77777777" w:rsidR="00FB1D38" w:rsidRDefault="00FB1D38" w:rsidP="00FB1D38">
            <w:pPr>
              <w:spacing w:before="60" w:after="60"/>
              <w:rPr>
                <w:rFonts w:ascii="Arial" w:hAnsi="Arial" w:cs="Arial"/>
                <w:szCs w:val="17"/>
              </w:rPr>
            </w:pPr>
            <w:r>
              <w:rPr>
                <w:rFonts w:ascii="Arial" w:hAnsi="Arial" w:cs="Arial"/>
                <w:szCs w:val="17"/>
              </w:rPr>
              <w:t>Dir 7.1.3</w:t>
            </w:r>
          </w:p>
          <w:p w14:paraId="2827CFA7" w14:textId="60E9F65A" w:rsidR="00FB1D38" w:rsidRDefault="00FB1D38" w:rsidP="00FB1D38">
            <w:pPr>
              <w:spacing w:before="60" w:after="60"/>
              <w:rPr>
                <w:rFonts w:ascii="Arial" w:hAnsi="Arial" w:cs="Arial"/>
                <w:szCs w:val="17"/>
              </w:rPr>
            </w:pPr>
            <w:r w:rsidRPr="00F8620E">
              <w:rPr>
                <w:rFonts w:ascii="Arial" w:hAnsi="Arial" w:cs="Arial"/>
                <w:szCs w:val="17"/>
              </w:rPr>
              <w:t>Departures to contracts during tender negotiation</w:t>
            </w:r>
          </w:p>
        </w:tc>
        <w:tc>
          <w:tcPr>
            <w:tcW w:w="7371" w:type="dxa"/>
            <w:tcBorders>
              <w:top w:val="single" w:sz="4" w:space="0" w:color="auto"/>
              <w:bottom w:val="single" w:sz="4" w:space="0" w:color="auto"/>
            </w:tcBorders>
          </w:tcPr>
          <w:p w14:paraId="1A5613BC" w14:textId="1DE0FD92" w:rsidR="00FB1D38" w:rsidRPr="005C7E45" w:rsidRDefault="00FB1D38" w:rsidP="00FB1D38">
            <w:pPr>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5C7E45">
              <w:rPr>
                <w:rFonts w:ascii="Arial" w:hAnsi="Arial" w:cs="Arial"/>
                <w:szCs w:val="17"/>
              </w:rPr>
              <w:t>(a)</w:t>
            </w:r>
            <w:r w:rsidRPr="005C7E45">
              <w:rPr>
                <w:rFonts w:ascii="Arial" w:hAnsi="Arial" w:cs="Arial"/>
                <w:szCs w:val="17"/>
              </w:rPr>
              <w:tab/>
              <w:t>Agencies may, at their discretion, accept non-material contract departures requested by tenderers.</w:t>
            </w:r>
          </w:p>
        </w:tc>
        <w:tc>
          <w:tcPr>
            <w:tcW w:w="709" w:type="dxa"/>
            <w:tcBorders>
              <w:top w:val="single" w:sz="4" w:space="0" w:color="auto"/>
              <w:bottom w:val="single" w:sz="4" w:space="0" w:color="auto"/>
            </w:tcBorders>
          </w:tcPr>
          <w:p w14:paraId="733FD382" w14:textId="21AB96B3" w:rsidR="00FB1D38" w:rsidRPr="005C7E4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C7E45">
              <w:rPr>
                <w:rFonts w:asciiTheme="majorHAnsi" w:hAnsiTheme="majorHAnsi" w:cstheme="majorHAnsi"/>
                <w:sz w:val="20"/>
                <w:szCs w:val="20"/>
              </w:rPr>
              <w:sym w:font="Wingdings" w:char="F0A8"/>
            </w:r>
          </w:p>
        </w:tc>
      </w:tr>
      <w:tr w:rsidR="00FB1D38" w:rsidRPr="00F8620E" w14:paraId="47EB40D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18F895CA" w14:textId="45225743"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3971E6F" w14:textId="6762B7A7" w:rsidR="00FB1D38" w:rsidRPr="005C7E45" w:rsidRDefault="00FB1D38" w:rsidP="00FB1D38">
            <w:pPr>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5C7E45">
              <w:rPr>
                <w:rFonts w:ascii="Arial" w:hAnsi="Arial" w:cs="Arial"/>
                <w:szCs w:val="17"/>
              </w:rPr>
              <w:t>(b)</w:t>
            </w:r>
            <w:r w:rsidRPr="005C7E45">
              <w:rPr>
                <w:rFonts w:ascii="Arial" w:hAnsi="Arial" w:cs="Arial"/>
                <w:szCs w:val="17"/>
              </w:rPr>
              <w:tab/>
              <w:t>Agencies must obtain approval under the Instructions before accepting a material contract departure proposed by a tenderer.</w:t>
            </w:r>
          </w:p>
        </w:tc>
        <w:tc>
          <w:tcPr>
            <w:tcW w:w="709" w:type="dxa"/>
            <w:tcBorders>
              <w:top w:val="single" w:sz="4" w:space="0" w:color="auto"/>
              <w:bottom w:val="single" w:sz="4" w:space="0" w:color="auto"/>
            </w:tcBorders>
          </w:tcPr>
          <w:p w14:paraId="277736B5" w14:textId="36138BA2" w:rsidR="00FB1D38" w:rsidRPr="005C7E4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5C7E45">
              <w:rPr>
                <w:rFonts w:asciiTheme="majorHAnsi" w:hAnsiTheme="majorHAnsi" w:cstheme="majorHAnsi"/>
                <w:sz w:val="20"/>
                <w:szCs w:val="20"/>
              </w:rPr>
              <w:sym w:font="Wingdings" w:char="F0A8"/>
            </w:r>
          </w:p>
        </w:tc>
      </w:tr>
      <w:tr w:rsidR="00FB1D38" w14:paraId="7C6A3C6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Pr>
          <w:p w14:paraId="786EA967" w14:textId="77777777" w:rsidR="00FB1D38" w:rsidRDefault="00FB1D38" w:rsidP="00FB1D38">
            <w:pPr>
              <w:pStyle w:val="Listnumindent2"/>
              <w:spacing w:before="60" w:after="60"/>
              <w:ind w:left="6"/>
            </w:pPr>
            <w:r>
              <w:t>Dir 7.1.4</w:t>
            </w:r>
          </w:p>
          <w:p w14:paraId="535B4ADA" w14:textId="4865C961" w:rsidR="00FB1D38" w:rsidRDefault="00FB1D38" w:rsidP="00FB1D38">
            <w:pPr>
              <w:pStyle w:val="Listnumindent2"/>
              <w:spacing w:before="60" w:after="60"/>
              <w:ind w:left="6"/>
            </w:pPr>
            <w:r w:rsidRPr="00F8620E">
              <w:t>Amendments to contracts during life of contract</w:t>
            </w:r>
          </w:p>
        </w:tc>
        <w:tc>
          <w:tcPr>
            <w:tcW w:w="7371" w:type="dxa"/>
            <w:tcBorders>
              <w:top w:val="single" w:sz="4" w:space="0" w:color="auto"/>
              <w:bottom w:val="single" w:sz="4" w:space="0" w:color="auto"/>
            </w:tcBorders>
          </w:tcPr>
          <w:p w14:paraId="70535F64" w14:textId="6AA6B9D7" w:rsidR="00FB1D38" w:rsidRPr="005C7E45" w:rsidRDefault="00FB1D38" w:rsidP="00FB1D38">
            <w:pPr>
              <w:pStyle w:val="Listnumindent2"/>
              <w:spacing w:before="60" w:after="60"/>
              <w:ind w:left="233" w:hanging="227"/>
              <w:jc w:val="left"/>
              <w:cnfStyle w:val="000000000000" w:firstRow="0" w:lastRow="0" w:firstColumn="0" w:lastColumn="0" w:oddVBand="0" w:evenVBand="0" w:oddHBand="0" w:evenHBand="0" w:firstRowFirstColumn="0" w:firstRowLastColumn="0" w:lastRowFirstColumn="0" w:lastRowLastColumn="0"/>
            </w:pPr>
            <w:r w:rsidRPr="005C7E45">
              <w:t>(a)</w:t>
            </w:r>
            <w:r w:rsidRPr="005C7E45">
              <w:tab/>
              <w:t>Agencies may, at their discretion, agree to non-material contract amendments at any time after the contract is executed.</w:t>
            </w:r>
          </w:p>
        </w:tc>
        <w:tc>
          <w:tcPr>
            <w:tcW w:w="709" w:type="dxa"/>
            <w:tcBorders>
              <w:top w:val="single" w:sz="4" w:space="0" w:color="auto"/>
              <w:bottom w:val="single" w:sz="4" w:space="0" w:color="auto"/>
            </w:tcBorders>
          </w:tcPr>
          <w:p w14:paraId="497F6322" w14:textId="0BCBBA02" w:rsidR="00FB1D38" w:rsidRPr="005C7E45"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C7E45">
              <w:rPr>
                <w:rFonts w:asciiTheme="majorHAnsi" w:hAnsiTheme="majorHAnsi" w:cstheme="majorHAnsi"/>
                <w:sz w:val="20"/>
                <w:szCs w:val="20"/>
              </w:rPr>
              <w:sym w:font="Wingdings" w:char="F0A8"/>
            </w:r>
          </w:p>
        </w:tc>
      </w:tr>
      <w:tr w:rsidR="00FB1D38" w14:paraId="7A9F176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1777B117" w14:textId="1E853C7F" w:rsidR="00FB1D38" w:rsidRDefault="00FB1D38" w:rsidP="00FB1D38">
            <w:pPr>
              <w:pStyle w:val="Listnumindent2"/>
              <w:spacing w:before="60" w:after="60"/>
              <w:ind w:left="6"/>
            </w:pPr>
          </w:p>
        </w:tc>
        <w:tc>
          <w:tcPr>
            <w:tcW w:w="7371" w:type="dxa"/>
            <w:tcBorders>
              <w:top w:val="single" w:sz="4" w:space="0" w:color="auto"/>
              <w:bottom w:val="single" w:sz="4" w:space="0" w:color="auto"/>
            </w:tcBorders>
          </w:tcPr>
          <w:p w14:paraId="65D17AB2" w14:textId="4384816C" w:rsidR="00FB1D38" w:rsidRDefault="00FB1D38" w:rsidP="00FB1D38">
            <w:pPr>
              <w:pStyle w:val="Listnumindent2"/>
              <w:spacing w:before="60" w:after="60"/>
              <w:ind w:left="233" w:hanging="227"/>
              <w:jc w:val="left"/>
              <w:cnfStyle w:val="000000000000" w:firstRow="0" w:lastRow="0" w:firstColumn="0" w:lastColumn="0" w:oddVBand="0" w:evenVBand="0" w:oddHBand="0" w:evenHBand="0" w:firstRowFirstColumn="0" w:firstRowLastColumn="0" w:lastRowFirstColumn="0" w:lastRowLastColumn="0"/>
            </w:pPr>
            <w:r>
              <w:t>(b)</w:t>
            </w:r>
            <w:r>
              <w:tab/>
              <w:t>Agencies must obtain approval under the Instructions before agreeing to a material contract amendment after a contract is executed.</w:t>
            </w:r>
          </w:p>
        </w:tc>
        <w:tc>
          <w:tcPr>
            <w:tcW w:w="709" w:type="dxa"/>
            <w:tcBorders>
              <w:top w:val="single" w:sz="4" w:space="0" w:color="auto"/>
              <w:bottom w:val="single" w:sz="4" w:space="0" w:color="auto"/>
            </w:tcBorders>
          </w:tcPr>
          <w:p w14:paraId="305CF979" w14:textId="0E3681B3"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32BF7196"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2AD5A410" w14:textId="77777777" w:rsidR="00FB1D38" w:rsidRDefault="00FB1D38" w:rsidP="00FB1D38">
            <w:pPr>
              <w:spacing w:before="60" w:after="60"/>
              <w:rPr>
                <w:rFonts w:asciiTheme="majorHAnsi" w:hAnsiTheme="majorHAnsi" w:cstheme="majorHAnsi"/>
              </w:rPr>
            </w:pPr>
            <w:r>
              <w:rPr>
                <w:rFonts w:asciiTheme="majorHAnsi" w:hAnsiTheme="majorHAnsi" w:cstheme="majorHAnsi"/>
              </w:rPr>
              <w:t>Dir 7.1.5</w:t>
            </w:r>
          </w:p>
          <w:p w14:paraId="47BAF97D" w14:textId="37D6B26A" w:rsidR="00FB1D38" w:rsidRDefault="00FB1D38" w:rsidP="00FB1D38">
            <w:pPr>
              <w:spacing w:before="60" w:after="60"/>
              <w:rPr>
                <w:rFonts w:asciiTheme="majorHAnsi" w:hAnsiTheme="majorHAnsi" w:cstheme="majorHAnsi"/>
              </w:rPr>
            </w:pPr>
            <w:r>
              <w:rPr>
                <w:rFonts w:asciiTheme="majorHAnsi" w:hAnsiTheme="majorHAnsi" w:cstheme="majorHAnsi"/>
              </w:rPr>
              <w:t xml:space="preserve">Departures and amendments to comply with law and </w:t>
            </w:r>
            <w:r>
              <w:rPr>
                <w:rFonts w:asciiTheme="majorHAnsi" w:hAnsiTheme="majorHAnsi" w:cstheme="majorHAnsi"/>
              </w:rPr>
              <w:lastRenderedPageBreak/>
              <w:t>policy</w:t>
            </w:r>
          </w:p>
        </w:tc>
        <w:tc>
          <w:tcPr>
            <w:tcW w:w="7371" w:type="dxa"/>
            <w:tcBorders>
              <w:top w:val="single" w:sz="4" w:space="0" w:color="auto"/>
              <w:bottom w:val="single" w:sz="4" w:space="0" w:color="auto"/>
            </w:tcBorders>
          </w:tcPr>
          <w:p w14:paraId="6B020C0C" w14:textId="7B55EF58"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lastRenderedPageBreak/>
              <w:t>For the avoidance of doubt, Agencies must ensure that departures and amendments under Directions 7.1.3 and 7.1.4 comply with these Directions, the Instructions and any legal, policy or probity requirements</w:t>
            </w:r>
          </w:p>
        </w:tc>
        <w:tc>
          <w:tcPr>
            <w:tcW w:w="709" w:type="dxa"/>
            <w:tcBorders>
              <w:top w:val="single" w:sz="4" w:space="0" w:color="auto"/>
              <w:bottom w:val="single" w:sz="4" w:space="0" w:color="auto"/>
            </w:tcBorders>
          </w:tcPr>
          <w:p w14:paraId="489507D1" w14:textId="5C1A727D"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rsidRPr="00F8620E" w14:paraId="5504B20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3FF4897B" w14:textId="77777777" w:rsidR="00FB1D38" w:rsidRDefault="00FB1D38" w:rsidP="00FB1D38">
            <w:pPr>
              <w:spacing w:before="60" w:after="60"/>
              <w:rPr>
                <w:rFonts w:asciiTheme="majorHAnsi" w:hAnsiTheme="majorHAnsi" w:cstheme="majorHAnsi"/>
              </w:rPr>
            </w:pPr>
            <w:r>
              <w:rPr>
                <w:rFonts w:asciiTheme="majorHAnsi" w:hAnsiTheme="majorHAnsi" w:cstheme="majorHAnsi"/>
              </w:rPr>
              <w:t>Dir 7.1.6</w:t>
            </w:r>
          </w:p>
          <w:p w14:paraId="670AB308" w14:textId="682D5EE6" w:rsidR="00FB1D38" w:rsidRDefault="00FB1D38" w:rsidP="00FB1D38">
            <w:pPr>
              <w:spacing w:before="60" w:after="60"/>
              <w:rPr>
                <w:rFonts w:asciiTheme="majorHAnsi" w:hAnsiTheme="majorHAnsi" w:cstheme="majorHAnsi"/>
              </w:rPr>
            </w:pPr>
            <w:r w:rsidRPr="00F8620E">
              <w:rPr>
                <w:rFonts w:asciiTheme="majorHAnsi" w:hAnsiTheme="majorHAnsi" w:cstheme="majorHAnsi"/>
              </w:rPr>
              <w:t xml:space="preserve">Projects subject to the High </w:t>
            </w:r>
            <w:r>
              <w:rPr>
                <w:rFonts w:asciiTheme="majorHAnsi" w:hAnsiTheme="majorHAnsi" w:cstheme="majorHAnsi"/>
              </w:rPr>
              <w:t>V</w:t>
            </w:r>
            <w:r w:rsidRPr="00F8620E">
              <w:rPr>
                <w:rFonts w:asciiTheme="majorHAnsi" w:hAnsiTheme="majorHAnsi" w:cstheme="majorHAnsi"/>
              </w:rPr>
              <w:t>alue High Risk Framework</w:t>
            </w:r>
          </w:p>
        </w:tc>
        <w:tc>
          <w:tcPr>
            <w:tcW w:w="7371" w:type="dxa"/>
            <w:tcBorders>
              <w:top w:val="single" w:sz="4" w:space="0" w:color="auto"/>
              <w:bottom w:val="single" w:sz="4" w:space="0" w:color="auto"/>
            </w:tcBorders>
          </w:tcPr>
          <w:p w14:paraId="2083358A" w14:textId="31399AA8" w:rsidR="00FB1D38" w:rsidRPr="00F8620E"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8620E">
              <w:rPr>
                <w:rFonts w:asciiTheme="majorHAnsi" w:hAnsiTheme="majorHAnsi" w:cstheme="majorHAnsi"/>
              </w:rPr>
              <w:t>For Public Construction Procurements subject to the High Value High Risk Project Assurance Framework:</w:t>
            </w:r>
          </w:p>
        </w:tc>
        <w:tc>
          <w:tcPr>
            <w:tcW w:w="709" w:type="dxa"/>
            <w:tcBorders>
              <w:top w:val="single" w:sz="4" w:space="0" w:color="auto"/>
              <w:bottom w:val="single" w:sz="4" w:space="0" w:color="auto"/>
            </w:tcBorders>
            <w:shd w:val="clear" w:color="auto" w:fill="F2F2F2" w:themeFill="background1" w:themeFillShade="F2"/>
          </w:tcPr>
          <w:p w14:paraId="64A9BDBB"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rsidRPr="00F8620E" w14:paraId="5A521ED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79A46366"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32863099" w14:textId="692450B8" w:rsidR="00FB1D38" w:rsidRPr="00557676" w:rsidRDefault="00FB1D38" w:rsidP="00FB1D38">
            <w:pPr>
              <w:pStyle w:val="Listnumindent2"/>
              <w:numPr>
                <w:ilvl w:val="7"/>
                <w:numId w:val="6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557676">
              <w:t>an amended Victorian Public Construction Contract or an alternative form of contract permitted under that framework is permitted under these Directions;</w:t>
            </w:r>
          </w:p>
        </w:tc>
        <w:tc>
          <w:tcPr>
            <w:tcW w:w="709" w:type="dxa"/>
            <w:tcBorders>
              <w:top w:val="single" w:sz="4" w:space="0" w:color="auto"/>
              <w:bottom w:val="single" w:sz="4" w:space="0" w:color="auto"/>
            </w:tcBorders>
          </w:tcPr>
          <w:p w14:paraId="610330D3" w14:textId="66135B6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rsidRPr="00F8620E" w14:paraId="68219A8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20AE3A94"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570A0898" w14:textId="573A0D7D" w:rsidR="00FB1D38" w:rsidRPr="00557676" w:rsidRDefault="00FB1D38" w:rsidP="00FB1D38">
            <w:pPr>
              <w:pStyle w:val="Listnumindent2"/>
              <w:numPr>
                <w:ilvl w:val="7"/>
                <w:numId w:val="6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557676">
              <w:t>material contract departures approved under the High Value High Risk Framework do not require separate approval under Direction 7.1.3(b); and</w:t>
            </w:r>
          </w:p>
        </w:tc>
        <w:tc>
          <w:tcPr>
            <w:tcW w:w="709" w:type="dxa"/>
            <w:tcBorders>
              <w:top w:val="single" w:sz="4" w:space="0" w:color="auto"/>
              <w:bottom w:val="single" w:sz="4" w:space="0" w:color="auto"/>
            </w:tcBorders>
          </w:tcPr>
          <w:p w14:paraId="36F89E57" w14:textId="0FA71514"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rsidRPr="00F8620E" w14:paraId="00E4C077"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13D7A44"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3E88513A" w14:textId="3D2B4239" w:rsidR="00FB1D38" w:rsidRPr="00557676" w:rsidRDefault="00FB1D38" w:rsidP="00FB1D38">
            <w:pPr>
              <w:pStyle w:val="Listnumindent2"/>
              <w:numPr>
                <w:ilvl w:val="7"/>
                <w:numId w:val="6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557676">
              <w:t>material contract amendments approved under the High Value High Risk Framework do not require separate approval under Direction 7.1.4(b).</w:t>
            </w:r>
          </w:p>
        </w:tc>
        <w:tc>
          <w:tcPr>
            <w:tcW w:w="709" w:type="dxa"/>
            <w:tcBorders>
              <w:top w:val="single" w:sz="4" w:space="0" w:color="auto"/>
              <w:bottom w:val="single" w:sz="4" w:space="0" w:color="auto"/>
            </w:tcBorders>
          </w:tcPr>
          <w:p w14:paraId="0EA105B3" w14:textId="17E067C0"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2B118839"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03635F48" w14:textId="77777777" w:rsidR="00FB1D38" w:rsidRDefault="00FB1D38" w:rsidP="00FB1D38">
            <w:pPr>
              <w:spacing w:before="60" w:after="60"/>
              <w:rPr>
                <w:rFonts w:asciiTheme="majorHAnsi" w:hAnsiTheme="majorHAnsi" w:cstheme="majorHAnsi"/>
              </w:rPr>
            </w:pPr>
            <w:r>
              <w:rPr>
                <w:rFonts w:asciiTheme="majorHAnsi" w:hAnsiTheme="majorHAnsi" w:cstheme="majorHAnsi"/>
              </w:rPr>
              <w:t>Dir 7.1.7</w:t>
            </w:r>
          </w:p>
          <w:p w14:paraId="70027EF2" w14:textId="6143DC32" w:rsidR="00FB1D38" w:rsidRDefault="00FB1D38" w:rsidP="00FB1D38">
            <w:pPr>
              <w:spacing w:before="60" w:after="60"/>
              <w:rPr>
                <w:rFonts w:asciiTheme="majorHAnsi" w:hAnsiTheme="majorHAnsi" w:cstheme="majorHAnsi"/>
              </w:rPr>
            </w:pPr>
            <w:r w:rsidRPr="006961DC">
              <w:rPr>
                <w:rFonts w:asciiTheme="majorHAnsi" w:hAnsiTheme="majorHAnsi" w:cstheme="majorHAnsi"/>
              </w:rPr>
              <w:t>Partnerships and alliancing</w:t>
            </w:r>
          </w:p>
        </w:tc>
        <w:tc>
          <w:tcPr>
            <w:tcW w:w="7371" w:type="dxa"/>
            <w:tcBorders>
              <w:top w:val="single" w:sz="4" w:space="0" w:color="auto"/>
              <w:bottom w:val="single" w:sz="4" w:space="0" w:color="auto"/>
            </w:tcBorders>
          </w:tcPr>
          <w:p w14:paraId="20CD5627" w14:textId="77777777"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t>Public Construction Procurements that are subject to the Partnerships Victoria Requirements or the Victorian Alliancing Policy:</w:t>
            </w:r>
          </w:p>
          <w:p w14:paraId="006ED7F6" w14:textId="77777777" w:rsidR="00FB1D38" w:rsidRDefault="00FB1D38" w:rsidP="00FB1D38">
            <w:pPr>
              <w:pStyle w:val="Listnumindent2"/>
              <w:numPr>
                <w:ilvl w:val="7"/>
                <w:numId w:val="6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are not required to comply with this Direction 7; and</w:t>
            </w:r>
          </w:p>
          <w:p w14:paraId="2ACCED0C" w14:textId="375F97EA" w:rsidR="00FB1D38" w:rsidRDefault="00FB1D38" w:rsidP="00FB1D38">
            <w:pPr>
              <w:pStyle w:val="Listnumindent2"/>
              <w:numPr>
                <w:ilvl w:val="7"/>
                <w:numId w:val="6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must use contracts that are consistent with those policies.</w:t>
            </w:r>
          </w:p>
        </w:tc>
        <w:tc>
          <w:tcPr>
            <w:tcW w:w="709" w:type="dxa"/>
            <w:tcBorders>
              <w:top w:val="single" w:sz="4" w:space="0" w:color="auto"/>
              <w:bottom w:val="single" w:sz="4" w:space="0" w:color="auto"/>
            </w:tcBorders>
          </w:tcPr>
          <w:p w14:paraId="12AEA4D4" w14:textId="16F8EF2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4EAE4A7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8A0806B" w14:textId="67013855" w:rsidR="00FB1D38" w:rsidRDefault="00FB1D38" w:rsidP="00FB1D38">
            <w:pPr>
              <w:spacing w:before="60" w:after="60"/>
              <w:rPr>
                <w:rFonts w:ascii="Arial" w:hAnsi="Arial" w:cs="Arial"/>
                <w:szCs w:val="17"/>
              </w:rPr>
            </w:pPr>
            <w:r>
              <w:rPr>
                <w:rFonts w:ascii="Arial" w:hAnsi="Arial" w:cs="Arial"/>
                <w:szCs w:val="17"/>
              </w:rPr>
              <w:t>Inst 7.1.1</w:t>
            </w:r>
          </w:p>
          <w:p w14:paraId="25289A06" w14:textId="0F62CC5B" w:rsidR="00FB1D38" w:rsidRDefault="00FB1D38" w:rsidP="00FB1D38">
            <w:pPr>
              <w:spacing w:before="60" w:after="60"/>
              <w:rPr>
                <w:rFonts w:ascii="Arial" w:hAnsi="Arial" w:cs="Arial"/>
                <w:szCs w:val="17"/>
              </w:rPr>
            </w:pPr>
            <w:r>
              <w:rPr>
                <w:rFonts w:ascii="Arial" w:hAnsi="Arial" w:cs="Arial"/>
                <w:szCs w:val="17"/>
              </w:rPr>
              <w:t>Victorian Public Construction Contracts</w:t>
            </w:r>
          </w:p>
        </w:tc>
        <w:tc>
          <w:tcPr>
            <w:tcW w:w="7371" w:type="dxa"/>
            <w:tcBorders>
              <w:top w:val="single" w:sz="4" w:space="0" w:color="auto"/>
              <w:bottom w:val="single" w:sz="4" w:space="0" w:color="auto"/>
            </w:tcBorders>
          </w:tcPr>
          <w:p w14:paraId="21A98B82" w14:textId="318EBFED" w:rsidR="00FB1D38" w:rsidRPr="002708A5" w:rsidRDefault="00FB1D38" w:rsidP="00FB1D38">
            <w:pPr>
              <w:pStyle w:val="Listnumindent"/>
              <w:numPr>
                <w:ilvl w:val="6"/>
                <w:numId w:val="67"/>
              </w:numPr>
              <w:tabs>
                <w:tab w:val="clear" w:pos="1296"/>
              </w:tabs>
              <w:spacing w:before="60" w:after="60"/>
              <w:ind w:left="232" w:hanging="232"/>
              <w:jc w:val="left"/>
              <w:cnfStyle w:val="000000000000" w:firstRow="0" w:lastRow="0" w:firstColumn="0" w:lastColumn="0" w:oddVBand="0" w:evenVBand="0" w:oddHBand="0" w:evenHBand="0" w:firstRowFirstColumn="0" w:firstRowLastColumn="0" w:lastRowFirstColumn="0" w:lastRowLastColumn="0"/>
            </w:pPr>
            <w:r>
              <w:t>The Victorian Public Construction Contracts are those contracts listed as being Victorian Public Construction Contracts on the Department’s website.</w:t>
            </w:r>
          </w:p>
        </w:tc>
        <w:tc>
          <w:tcPr>
            <w:tcW w:w="709" w:type="dxa"/>
            <w:tcBorders>
              <w:top w:val="single" w:sz="4" w:space="0" w:color="auto"/>
              <w:bottom w:val="single" w:sz="4" w:space="0" w:color="auto"/>
            </w:tcBorders>
            <w:shd w:val="clear" w:color="auto" w:fill="F2F2F2" w:themeFill="background1" w:themeFillShade="F2"/>
          </w:tcPr>
          <w:p w14:paraId="0059BDF7"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62FC202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319559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DF4D652" w14:textId="429F3C44" w:rsidR="00FB1D38" w:rsidRPr="002708A5" w:rsidRDefault="00FB1D38" w:rsidP="00FB1D38">
            <w:pPr>
              <w:pStyle w:val="Listnumindent"/>
              <w:numPr>
                <w:ilvl w:val="6"/>
                <w:numId w:val="67"/>
              </w:numPr>
              <w:spacing w:before="60" w:after="60"/>
              <w:ind w:left="232" w:hanging="232"/>
              <w:jc w:val="left"/>
              <w:cnfStyle w:val="000000000000" w:firstRow="0" w:lastRow="0" w:firstColumn="0" w:lastColumn="0" w:oddVBand="0" w:evenVBand="0" w:oddHBand="0" w:evenHBand="0" w:firstRowFirstColumn="0" w:firstRowLastColumn="0" w:lastRowFirstColumn="0" w:lastRowLastColumn="0"/>
            </w:pPr>
            <w:r>
              <w:t>The Victorian Public Construction Contracts approved under Instruction 7.1.1(a) must be:</w:t>
            </w:r>
          </w:p>
        </w:tc>
        <w:tc>
          <w:tcPr>
            <w:tcW w:w="709" w:type="dxa"/>
            <w:tcBorders>
              <w:top w:val="single" w:sz="4" w:space="0" w:color="auto"/>
              <w:bottom w:val="single" w:sz="4" w:space="0" w:color="auto"/>
            </w:tcBorders>
          </w:tcPr>
          <w:p w14:paraId="64CEF389"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3DC5654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E7C290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C3EB9A0" w14:textId="2A80ADDF" w:rsidR="00FB1D38" w:rsidRPr="002708A5" w:rsidRDefault="00FB1D38" w:rsidP="00FB1D38">
            <w:pPr>
              <w:pStyle w:val="Listnumindent2"/>
              <w:numPr>
                <w:ilvl w:val="7"/>
                <w:numId w:val="68"/>
              </w:numPr>
              <w:tabs>
                <w:tab w:val="clear" w:pos="2205"/>
              </w:tabs>
              <w:spacing w:before="60" w:after="60"/>
              <w:ind w:left="516" w:hanging="284"/>
              <w:jc w:val="left"/>
              <w:cnfStyle w:val="000000000000" w:firstRow="0" w:lastRow="0" w:firstColumn="0" w:lastColumn="0" w:oddVBand="0" w:evenVBand="0" w:oddHBand="0" w:evenHBand="0" w:firstRowFirstColumn="0" w:firstRowLastColumn="0" w:lastRowFirstColumn="0" w:lastRowLastColumn="0"/>
            </w:pPr>
            <w:r>
              <w:t>published on the Department’s or an Agency’s website; or</w:t>
            </w:r>
          </w:p>
        </w:tc>
        <w:tc>
          <w:tcPr>
            <w:tcW w:w="709" w:type="dxa"/>
            <w:tcBorders>
              <w:top w:val="single" w:sz="4" w:space="0" w:color="auto"/>
              <w:bottom w:val="single" w:sz="4" w:space="0" w:color="auto"/>
            </w:tcBorders>
          </w:tcPr>
          <w:p w14:paraId="4D63FEEC" w14:textId="0D25BEDC"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FB6069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214052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515FA09" w14:textId="76143BA9" w:rsidR="00FB1D38" w:rsidRPr="00442EDE" w:rsidRDefault="00FB1D38" w:rsidP="00FB1D38">
            <w:pPr>
              <w:pStyle w:val="Listnumindent2"/>
              <w:numPr>
                <w:ilvl w:val="7"/>
                <w:numId w:val="68"/>
              </w:numPr>
              <w:tabs>
                <w:tab w:val="clear" w:pos="2205"/>
              </w:tabs>
              <w:spacing w:before="60" w:after="60"/>
              <w:ind w:left="516" w:hanging="284"/>
              <w:jc w:val="left"/>
              <w:cnfStyle w:val="000000000000" w:firstRow="0" w:lastRow="0" w:firstColumn="0" w:lastColumn="0" w:oddVBand="0" w:evenVBand="0" w:oddHBand="0" w:evenHBand="0" w:firstRowFirstColumn="0" w:firstRowLastColumn="0" w:lastRowFirstColumn="0" w:lastRowLastColumn="0"/>
              <w:rPr>
                <w:b/>
              </w:rPr>
            </w:pPr>
            <w:r>
              <w:t>made available for inspection on request where publication is not possible due to third party intellectual property rights.</w:t>
            </w:r>
          </w:p>
        </w:tc>
        <w:tc>
          <w:tcPr>
            <w:tcW w:w="709" w:type="dxa"/>
            <w:tcBorders>
              <w:top w:val="single" w:sz="4" w:space="0" w:color="auto"/>
              <w:bottom w:val="single" w:sz="4" w:space="0" w:color="auto"/>
            </w:tcBorders>
          </w:tcPr>
          <w:p w14:paraId="672621CE" w14:textId="7C17BC1C"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6BC5484"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3F364D0E" w14:textId="77777777" w:rsidR="00FB1D38" w:rsidRDefault="00FB1D38" w:rsidP="00FB1D38">
            <w:pPr>
              <w:spacing w:before="60" w:after="60"/>
              <w:rPr>
                <w:rFonts w:asciiTheme="majorHAnsi" w:hAnsiTheme="majorHAnsi" w:cstheme="majorHAnsi"/>
              </w:rPr>
            </w:pPr>
            <w:r>
              <w:rPr>
                <w:rFonts w:ascii="Arial" w:hAnsi="Arial" w:cs="Arial"/>
                <w:szCs w:val="17"/>
              </w:rPr>
              <w:t>Inst 7.1.2</w:t>
            </w:r>
          </w:p>
          <w:p w14:paraId="4384D5F6" w14:textId="2136F897" w:rsidR="00FB1D38" w:rsidRDefault="00FB1D38" w:rsidP="00FB1D38">
            <w:pPr>
              <w:spacing w:before="60" w:after="60"/>
              <w:rPr>
                <w:rFonts w:ascii="Arial" w:hAnsi="Arial" w:cs="Arial"/>
                <w:szCs w:val="17"/>
              </w:rPr>
            </w:pPr>
            <w:r>
              <w:rPr>
                <w:rFonts w:ascii="Arial" w:hAnsi="Arial" w:cs="Arial"/>
                <w:szCs w:val="17"/>
              </w:rPr>
              <w:t>Use of Victorian Public Construction Contracts</w:t>
            </w:r>
          </w:p>
        </w:tc>
        <w:tc>
          <w:tcPr>
            <w:tcW w:w="7371" w:type="dxa"/>
            <w:tcBorders>
              <w:top w:val="single" w:sz="4" w:space="0" w:color="auto"/>
              <w:bottom w:val="single" w:sz="4" w:space="0" w:color="auto"/>
            </w:tcBorders>
          </w:tcPr>
          <w:p w14:paraId="5A111475" w14:textId="08A893FC" w:rsidR="00FB1D38" w:rsidRPr="00736801" w:rsidRDefault="00FB1D38" w:rsidP="00FB1D38">
            <w:pPr>
              <w:pStyle w:val="Listnumindent2"/>
              <w:spacing w:before="60" w:after="60"/>
              <w:ind w:left="375" w:hanging="369"/>
              <w:jc w:val="left"/>
              <w:cnfStyle w:val="000000000000" w:firstRow="0" w:lastRow="0" w:firstColumn="0" w:lastColumn="0" w:oddVBand="0" w:evenVBand="0" w:oddHBand="0" w:evenHBand="0" w:firstRowFirstColumn="0" w:firstRowLastColumn="0" w:lastRowFirstColumn="0" w:lastRowLastColumn="0"/>
            </w:pPr>
            <w:r>
              <w:t>(aa)</w:t>
            </w:r>
            <w:r>
              <w:tab/>
              <w:t>An Agency is permitted under Direction 7.1.2(a)(ii) to issue a tender that includes an alternative form of contract for Works or Construction Services valued up to $15,000 (inclusive of GST).</w:t>
            </w:r>
          </w:p>
        </w:tc>
        <w:tc>
          <w:tcPr>
            <w:tcW w:w="709" w:type="dxa"/>
            <w:tcBorders>
              <w:top w:val="single" w:sz="4" w:space="0" w:color="auto"/>
              <w:bottom w:val="single" w:sz="4" w:space="0" w:color="auto"/>
            </w:tcBorders>
          </w:tcPr>
          <w:p w14:paraId="5C4AC164" w14:textId="79100766"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332FF3C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015681B"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66D634A" w14:textId="77777777" w:rsidR="00FB1D38" w:rsidRDefault="00FB1D38" w:rsidP="00FB1D38">
            <w:pPr>
              <w:pStyle w:val="Listnumindent"/>
              <w:numPr>
                <w:ilvl w:val="6"/>
                <w:numId w:val="69"/>
              </w:numPr>
              <w:tabs>
                <w:tab w:val="clear" w:pos="1296"/>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An Agency is permitted under Direction 7.1.2(a)(i) to issue a tender that includes an amended Victorian Public Construction Contract or an alternative form of contract if one or more of the following circumstances apply:</w:t>
            </w:r>
          </w:p>
          <w:p w14:paraId="67F8B0C5" w14:textId="77777777" w:rsidR="00FB1D38" w:rsidRPr="00736801" w:rsidRDefault="00FB1D38" w:rsidP="00FB1D38">
            <w:pPr>
              <w:pStyle w:val="Listnumindent2"/>
              <w:numPr>
                <w:ilvl w:val="7"/>
                <w:numId w:val="90"/>
              </w:numPr>
              <w:spacing w:before="60" w:after="60"/>
              <w:ind w:left="516" w:hanging="283"/>
              <w:jc w:val="left"/>
              <w:cnfStyle w:val="000000000000" w:firstRow="0" w:lastRow="0" w:firstColumn="0" w:lastColumn="0" w:oddVBand="0" w:evenVBand="0" w:oddHBand="0" w:evenHBand="0" w:firstRowFirstColumn="0" w:firstRowLastColumn="0" w:lastRowFirstColumn="0" w:lastRowLastColumn="0"/>
            </w:pPr>
            <w:r w:rsidRPr="00736801">
              <w:t>Victorian Public Construction Contracts are inappropriate for the type of Works or Construction Services being procured</w:t>
            </w:r>
          </w:p>
          <w:p w14:paraId="4AA25C38" w14:textId="77777777" w:rsidR="00FB1D38" w:rsidRPr="00736801" w:rsidRDefault="00FB1D38" w:rsidP="00FB1D38">
            <w:pPr>
              <w:pStyle w:val="Listnumindent2"/>
              <w:numPr>
                <w:ilvl w:val="7"/>
                <w:numId w:val="68"/>
              </w:numPr>
              <w:tabs>
                <w:tab w:val="clear" w:pos="2205"/>
              </w:tabs>
              <w:spacing w:before="60" w:after="60"/>
              <w:ind w:left="516" w:hanging="284"/>
              <w:jc w:val="left"/>
              <w:cnfStyle w:val="000000000000" w:firstRow="0" w:lastRow="0" w:firstColumn="0" w:lastColumn="0" w:oddVBand="0" w:evenVBand="0" w:oddHBand="0" w:evenHBand="0" w:firstRowFirstColumn="0" w:firstRowLastColumn="0" w:lastRowFirstColumn="0" w:lastRowLastColumn="0"/>
            </w:pPr>
            <w:r w:rsidRPr="00736801">
              <w:t>Victorian Public Construction Contracts do not sufficiently address interface issues where there are multiple contractors working on a site or where the Works are undertaken on an operational site; or</w:t>
            </w:r>
          </w:p>
          <w:p w14:paraId="6047BAE9" w14:textId="0F3A4ACB" w:rsidR="00FB1D38" w:rsidRPr="00736801" w:rsidRDefault="00FB1D38" w:rsidP="00FB1D38">
            <w:pPr>
              <w:pStyle w:val="Listnumindent2"/>
              <w:numPr>
                <w:ilvl w:val="7"/>
                <w:numId w:val="68"/>
              </w:numPr>
              <w:tabs>
                <w:tab w:val="clear" w:pos="2205"/>
              </w:tabs>
              <w:spacing w:before="60" w:after="60"/>
              <w:ind w:left="516"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736801">
              <w:t>the Works or Construction Services relate to leased premises or third party property where the form of contract is required to be approved by the lessor or such third party.</w:t>
            </w:r>
          </w:p>
        </w:tc>
        <w:tc>
          <w:tcPr>
            <w:tcW w:w="709" w:type="dxa"/>
            <w:tcBorders>
              <w:top w:val="single" w:sz="4" w:space="0" w:color="auto"/>
              <w:bottom w:val="single" w:sz="4" w:space="0" w:color="auto"/>
            </w:tcBorders>
            <w:shd w:val="clear" w:color="auto" w:fill="F2F2F2" w:themeFill="background1" w:themeFillShade="F2"/>
          </w:tcPr>
          <w:p w14:paraId="3ADA6B17"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6E086D30"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3BBAE7A"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2214D00" w14:textId="078C5793" w:rsidR="00FB1D38" w:rsidRPr="00736801" w:rsidRDefault="00FB1D38" w:rsidP="00FB1D38">
            <w:pPr>
              <w:pStyle w:val="Listnumindent"/>
              <w:numPr>
                <w:ilvl w:val="6"/>
                <w:numId w:val="69"/>
              </w:numPr>
              <w:tabs>
                <w:tab w:val="clear" w:pos="1296"/>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007CD7">
              <w:t xml:space="preserve">Within 30 days after issuing a tender that relies on </w:t>
            </w:r>
            <w:r>
              <w:t>Instruction 7.1.2 paragraph</w:t>
            </w:r>
            <w:r w:rsidRPr="00007CD7">
              <w:t xml:space="preserve"> (a), the Accountable Officer must provide a copy of the contract to the Department and details of the applicable circumstances</w:t>
            </w:r>
            <w:r>
              <w:t>.</w:t>
            </w:r>
          </w:p>
        </w:tc>
        <w:tc>
          <w:tcPr>
            <w:tcW w:w="709" w:type="dxa"/>
            <w:tcBorders>
              <w:top w:val="single" w:sz="4" w:space="0" w:color="auto"/>
              <w:bottom w:val="single" w:sz="4" w:space="0" w:color="auto"/>
            </w:tcBorders>
          </w:tcPr>
          <w:p w14:paraId="2293A1D7" w14:textId="76FA1D4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2B7D92D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68B62CC"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975763F" w14:textId="77777777" w:rsidR="00FB1D38" w:rsidRPr="00736801"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pPr>
            <w:r w:rsidRPr="00736801">
              <w:t>Transitional use of agency precedent contracts</w:t>
            </w:r>
          </w:p>
          <w:p w14:paraId="3C5A1D40" w14:textId="7D567E9D" w:rsidR="00FB1D38" w:rsidRPr="00736801" w:rsidRDefault="00FB1D38" w:rsidP="00FB1D38">
            <w:pPr>
              <w:pStyle w:val="Listnumindent"/>
              <w:numPr>
                <w:ilvl w:val="6"/>
                <w:numId w:val="69"/>
              </w:numPr>
              <w:tabs>
                <w:tab w:val="clear" w:pos="1296"/>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Agencies are permitted to use existing precedent forms of contract instead of Victorian Public Construction Contracts in accordance with the transitional processes published by the Department.</w:t>
            </w:r>
          </w:p>
        </w:tc>
        <w:tc>
          <w:tcPr>
            <w:tcW w:w="709" w:type="dxa"/>
            <w:tcBorders>
              <w:top w:val="single" w:sz="4" w:space="0" w:color="auto"/>
              <w:bottom w:val="single" w:sz="4" w:space="0" w:color="auto"/>
            </w:tcBorders>
          </w:tcPr>
          <w:p w14:paraId="682104BA" w14:textId="74432F1F"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C2E921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296A59E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008E8A8" w14:textId="1ECBA128" w:rsidR="00FB1D38" w:rsidRPr="00736801" w:rsidRDefault="00FB1D38" w:rsidP="00FB1D38">
            <w:pPr>
              <w:pStyle w:val="Listnumindent"/>
              <w:numPr>
                <w:ilvl w:val="6"/>
                <w:numId w:val="69"/>
              </w:numPr>
              <w:tabs>
                <w:tab w:val="clear" w:pos="1296"/>
                <w:tab w:val="num" w:pos="233"/>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If, under the processes described in Instruction 7.1.2 paragraph (a), an Agency is advised that a contract is no longer permitted for transitional use, the Agency must discontinue use of that contract from the date the Agency is notified of the decision.</w:t>
            </w:r>
          </w:p>
        </w:tc>
        <w:tc>
          <w:tcPr>
            <w:tcW w:w="709" w:type="dxa"/>
            <w:tcBorders>
              <w:top w:val="single" w:sz="4" w:space="0" w:color="auto"/>
              <w:bottom w:val="single" w:sz="4" w:space="0" w:color="auto"/>
            </w:tcBorders>
          </w:tcPr>
          <w:p w14:paraId="20D27623" w14:textId="5073A6C8"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7078364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Pr>
          <w:p w14:paraId="6809E293" w14:textId="77777777" w:rsidR="00FB1D38" w:rsidRDefault="00FB1D38" w:rsidP="00FB1D38">
            <w:pPr>
              <w:pStyle w:val="Listnumindent2"/>
              <w:spacing w:before="60" w:after="60"/>
              <w:ind w:left="6"/>
            </w:pPr>
            <w:r>
              <w:t>Inst 7.1.3</w:t>
            </w:r>
          </w:p>
          <w:p w14:paraId="621DE179" w14:textId="7A81FE68" w:rsidR="00FB1D38" w:rsidRPr="000E1CAB" w:rsidRDefault="00FB1D38" w:rsidP="00FB1D38">
            <w:pPr>
              <w:pStyle w:val="Listnumindent2"/>
              <w:spacing w:before="60" w:after="60"/>
              <w:ind w:left="6"/>
            </w:pPr>
            <w:r w:rsidRPr="000E1CAB">
              <w:t>Departures to contracts during tender negotiation</w:t>
            </w:r>
          </w:p>
        </w:tc>
        <w:tc>
          <w:tcPr>
            <w:tcW w:w="7371" w:type="dxa"/>
            <w:tcBorders>
              <w:top w:val="single" w:sz="4" w:space="0" w:color="auto"/>
              <w:bottom w:val="single" w:sz="4" w:space="0" w:color="auto"/>
            </w:tcBorders>
          </w:tcPr>
          <w:p w14:paraId="2F5FCFF3" w14:textId="0D42988C" w:rsidR="00FB1D38" w:rsidRPr="00706FF8" w:rsidRDefault="00FB1D38" w:rsidP="00FB1D38">
            <w:pPr>
              <w:pStyle w:val="Listnumindent2"/>
              <w:numPr>
                <w:ilvl w:val="7"/>
                <w:numId w:val="16"/>
              </w:numPr>
              <w:tabs>
                <w:tab w:val="clear" w:pos="2205"/>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pPr>
            <w:r>
              <w:t xml:space="preserve">For </w:t>
            </w:r>
            <w:r w:rsidRPr="00C63057">
              <w:rPr>
                <w:rFonts w:ascii="Arial" w:hAnsi="Arial" w:cs="Arial"/>
                <w:szCs w:val="17"/>
              </w:rPr>
              <w:t>the</w:t>
            </w:r>
            <w:r>
              <w:t xml:space="preserve"> purposes of Direction 7.1.3, a material contract departure is one that, taking into account the value, complexity and risk of the Works or Construction Services, could substantially impact the manner in which Public Construction Procurement is undertaken by other Agencies.</w:t>
            </w:r>
          </w:p>
        </w:tc>
        <w:tc>
          <w:tcPr>
            <w:tcW w:w="709" w:type="dxa"/>
            <w:tcBorders>
              <w:top w:val="single" w:sz="4" w:space="0" w:color="auto"/>
              <w:bottom w:val="single" w:sz="4" w:space="0" w:color="auto"/>
            </w:tcBorders>
            <w:shd w:val="clear" w:color="auto" w:fill="F2F2F2" w:themeFill="background1" w:themeFillShade="F2"/>
          </w:tcPr>
          <w:p w14:paraId="09B973D3"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12E0807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C0DE0A6"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B7000AC" w14:textId="59B532EE" w:rsidR="00FB1D38" w:rsidRPr="00706FF8" w:rsidRDefault="00FB1D38" w:rsidP="00FB1D38">
            <w:pPr>
              <w:pStyle w:val="Listnumindent2"/>
              <w:numPr>
                <w:ilvl w:val="7"/>
                <w:numId w:val="16"/>
              </w:numPr>
              <w:tabs>
                <w:tab w:val="clear" w:pos="2205"/>
                <w:tab w:val="num" w:pos="458"/>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pPr>
            <w:r>
              <w:t>A</w:t>
            </w:r>
            <w:r w:rsidRPr="008020D0">
              <w:t xml:space="preserve"> material contract departure must only be accepted during tender negotiations following approval </w:t>
            </w:r>
            <w:r w:rsidRPr="00C521E9">
              <w:t>by the Secretary</w:t>
            </w:r>
            <w:r>
              <w:t>.</w:t>
            </w:r>
          </w:p>
        </w:tc>
        <w:tc>
          <w:tcPr>
            <w:tcW w:w="709" w:type="dxa"/>
            <w:tcBorders>
              <w:top w:val="single" w:sz="4" w:space="0" w:color="auto"/>
              <w:bottom w:val="single" w:sz="4" w:space="0" w:color="auto"/>
            </w:tcBorders>
          </w:tcPr>
          <w:p w14:paraId="62D67B15" w14:textId="17D952B2"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7A2B11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5F34ED1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4EEE498" w14:textId="77777777" w:rsidR="00FB1D38" w:rsidRPr="008020D0" w:rsidRDefault="00FB1D38" w:rsidP="00FB1D38">
            <w:pPr>
              <w:pStyle w:val="Listnumindent2"/>
              <w:numPr>
                <w:ilvl w:val="7"/>
                <w:numId w:val="16"/>
              </w:numPr>
              <w:tabs>
                <w:tab w:val="clear" w:pos="2205"/>
                <w:tab w:val="num" w:pos="458"/>
              </w:tabs>
              <w:spacing w:before="60" w:after="60"/>
              <w:ind w:left="375" w:hanging="342"/>
              <w:jc w:val="left"/>
              <w:cnfStyle w:val="000000000000" w:firstRow="0" w:lastRow="0" w:firstColumn="0" w:lastColumn="0" w:oddVBand="0" w:evenVBand="0" w:oddHBand="0" w:evenHBand="0" w:firstRowFirstColumn="0" w:firstRowLastColumn="0" w:lastRowFirstColumn="0" w:lastRowLastColumn="0"/>
            </w:pPr>
            <w:r w:rsidRPr="00512491">
              <w:t xml:space="preserve">A request for approval </w:t>
            </w:r>
            <w:r>
              <w:t>under Instruction 7.1.3(b</w:t>
            </w:r>
            <w:r w:rsidRPr="00190B8B">
              <w:t xml:space="preserve">) must be made in writing </w:t>
            </w:r>
            <w:r w:rsidRPr="008020D0">
              <w:t>to the Secretary by an Accountable Officer, including:</w:t>
            </w:r>
          </w:p>
          <w:p w14:paraId="2BC45EF5" w14:textId="36CB721A" w:rsidR="00FB1D38" w:rsidRPr="00512491" w:rsidRDefault="00FB1D38" w:rsidP="00FB1D38">
            <w:pPr>
              <w:pStyle w:val="Listnumindent2"/>
              <w:numPr>
                <w:ilvl w:val="7"/>
                <w:numId w:val="69"/>
              </w:numPr>
              <w:tabs>
                <w:tab w:val="clear" w:pos="2205"/>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t</w:t>
            </w:r>
            <w:r w:rsidRPr="00C521E9">
              <w:rPr>
                <w:rFonts w:ascii="Arial" w:hAnsi="Arial" w:cs="Arial"/>
                <w:szCs w:val="17"/>
              </w:rPr>
              <w:t>he contract departure m</w:t>
            </w:r>
            <w:r w:rsidRPr="004F2140">
              <w:rPr>
                <w:rFonts w:ascii="Arial" w:hAnsi="Arial" w:cs="Arial"/>
                <w:szCs w:val="17"/>
              </w:rPr>
              <w:t>arked up against the contract issued at tender</w:t>
            </w:r>
            <w:r w:rsidRPr="00512491">
              <w:rPr>
                <w:rFonts w:ascii="Arial" w:hAnsi="Arial" w:cs="Arial"/>
                <w:szCs w:val="17"/>
              </w:rPr>
              <w:t>; and</w:t>
            </w:r>
          </w:p>
          <w:p w14:paraId="0C77C992" w14:textId="009D2453" w:rsidR="00FB1D38" w:rsidRPr="00706FF8" w:rsidRDefault="00FB1D38" w:rsidP="00FB1D38">
            <w:pPr>
              <w:pStyle w:val="Listnumindent2"/>
              <w:numPr>
                <w:ilvl w:val="7"/>
                <w:numId w:val="69"/>
              </w:numPr>
              <w:tabs>
                <w:tab w:val="clear" w:pos="2205"/>
              </w:tabs>
              <w:spacing w:before="60" w:after="60"/>
              <w:ind w:left="516"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512491">
              <w:rPr>
                <w:rFonts w:ascii="Arial" w:hAnsi="Arial" w:cs="Arial"/>
                <w:szCs w:val="17"/>
              </w:rPr>
              <w:t xml:space="preserve">the reasons why </w:t>
            </w:r>
            <w:r w:rsidRPr="00190B8B">
              <w:rPr>
                <w:rFonts w:ascii="Arial" w:hAnsi="Arial" w:cs="Arial"/>
                <w:szCs w:val="17"/>
              </w:rPr>
              <w:t>the departure or departures should be accepted</w:t>
            </w:r>
            <w:r>
              <w:rPr>
                <w:rFonts w:ascii="Arial" w:hAnsi="Arial" w:cs="Arial"/>
                <w:szCs w:val="17"/>
              </w:rPr>
              <w:t>.</w:t>
            </w:r>
          </w:p>
        </w:tc>
        <w:tc>
          <w:tcPr>
            <w:tcW w:w="709" w:type="dxa"/>
            <w:tcBorders>
              <w:top w:val="single" w:sz="4" w:space="0" w:color="auto"/>
              <w:bottom w:val="single" w:sz="4" w:space="0" w:color="auto"/>
            </w:tcBorders>
          </w:tcPr>
          <w:p w14:paraId="6A7CAD72" w14:textId="074642A5"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4338C3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F88056C" w14:textId="77777777" w:rsidR="00FB1D38" w:rsidRDefault="00FB1D38" w:rsidP="00FB1D38">
            <w:pPr>
              <w:pStyle w:val="Listnumindent2"/>
              <w:spacing w:before="60" w:after="60"/>
              <w:ind w:left="6"/>
            </w:pPr>
            <w:r>
              <w:lastRenderedPageBreak/>
              <w:t>Inst 7.1.4</w:t>
            </w:r>
          </w:p>
          <w:p w14:paraId="19C74DFF" w14:textId="4B8D872F" w:rsidR="00FB1D38" w:rsidRPr="007F2004" w:rsidRDefault="00FB1D38" w:rsidP="00FB1D38">
            <w:pPr>
              <w:pStyle w:val="Listnumindent2"/>
              <w:spacing w:before="60" w:after="60"/>
              <w:ind w:left="6"/>
            </w:pPr>
            <w:r w:rsidRPr="007F2004">
              <w:t>Amendments to contracts during life of contract</w:t>
            </w:r>
          </w:p>
        </w:tc>
        <w:tc>
          <w:tcPr>
            <w:tcW w:w="7371" w:type="dxa"/>
            <w:tcBorders>
              <w:top w:val="single" w:sz="4" w:space="0" w:color="auto"/>
              <w:bottom w:val="single" w:sz="4" w:space="0" w:color="auto"/>
            </w:tcBorders>
          </w:tcPr>
          <w:p w14:paraId="5C75FE25" w14:textId="51F79FCA" w:rsidR="00FB1D38" w:rsidRPr="00AF5067" w:rsidRDefault="00FB1D38" w:rsidP="00FB1D38">
            <w:pPr>
              <w:pStyle w:val="Listnumindent2"/>
              <w:numPr>
                <w:ilvl w:val="7"/>
                <w:numId w:val="17"/>
              </w:numPr>
              <w:tabs>
                <w:tab w:val="clear" w:pos="2205"/>
                <w:tab w:val="num" w:pos="516"/>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pPr>
            <w:r w:rsidRPr="00190B8B">
              <w:t>For the purposes of Direction 7.1.4, a material contract amendment is one that, taking into account the value, complexity and risk of the Works or Construction Services, could substantially impact the manner in which Public Construction Procurement is undertaken by other Agencies.</w:t>
            </w:r>
          </w:p>
        </w:tc>
        <w:tc>
          <w:tcPr>
            <w:tcW w:w="709" w:type="dxa"/>
            <w:tcBorders>
              <w:top w:val="single" w:sz="4" w:space="0" w:color="auto"/>
              <w:bottom w:val="single" w:sz="4" w:space="0" w:color="auto"/>
            </w:tcBorders>
            <w:shd w:val="clear" w:color="auto" w:fill="F2F2F2" w:themeFill="background1" w:themeFillShade="F2"/>
          </w:tcPr>
          <w:p w14:paraId="361C1118" w14:textId="408DA27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62CFCAE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FA098A6" w14:textId="77777777" w:rsidR="00FB1D38" w:rsidRDefault="00FB1D38" w:rsidP="00FB1D38">
            <w:pPr>
              <w:pStyle w:val="Listnumindent2"/>
              <w:spacing w:before="60" w:after="60"/>
              <w:ind w:left="6"/>
            </w:pPr>
          </w:p>
        </w:tc>
        <w:tc>
          <w:tcPr>
            <w:tcW w:w="7371" w:type="dxa"/>
            <w:tcBorders>
              <w:top w:val="single" w:sz="4" w:space="0" w:color="auto"/>
              <w:bottom w:val="single" w:sz="4" w:space="0" w:color="auto"/>
            </w:tcBorders>
          </w:tcPr>
          <w:p w14:paraId="7F0D0818" w14:textId="67C90CA4" w:rsidR="00FB1D38" w:rsidRPr="00AF5067" w:rsidRDefault="00FB1D38" w:rsidP="00FB1D38">
            <w:pPr>
              <w:pStyle w:val="Listnumindent2"/>
              <w:numPr>
                <w:ilvl w:val="7"/>
                <w:numId w:val="17"/>
              </w:numPr>
              <w:tabs>
                <w:tab w:val="clear" w:pos="2205"/>
                <w:tab w:val="num" w:pos="458"/>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338C0">
              <w:t>A m</w:t>
            </w:r>
            <w:r w:rsidRPr="005D6B68">
              <w:t xml:space="preserve">aterial </w:t>
            </w:r>
            <w:r w:rsidRPr="0057599B">
              <w:t>contract amendment m</w:t>
            </w:r>
            <w:r w:rsidRPr="005F0442">
              <w:t xml:space="preserve">ust only </w:t>
            </w:r>
            <w:r w:rsidRPr="008020D0">
              <w:t>be agreed to following approval by the Secretary.</w:t>
            </w:r>
          </w:p>
        </w:tc>
        <w:tc>
          <w:tcPr>
            <w:tcW w:w="709" w:type="dxa"/>
            <w:tcBorders>
              <w:top w:val="single" w:sz="4" w:space="0" w:color="auto"/>
              <w:bottom w:val="single" w:sz="4" w:space="0" w:color="auto"/>
            </w:tcBorders>
          </w:tcPr>
          <w:p w14:paraId="31FC8139" w14:textId="149FA5CD"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7B527A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71E85F7A" w14:textId="77777777" w:rsidR="00FB1D38" w:rsidRDefault="00FB1D38" w:rsidP="00FB1D38">
            <w:pPr>
              <w:pStyle w:val="Listnumindent2"/>
              <w:spacing w:before="60" w:after="60"/>
              <w:ind w:left="6"/>
            </w:pPr>
          </w:p>
        </w:tc>
        <w:tc>
          <w:tcPr>
            <w:tcW w:w="7371" w:type="dxa"/>
            <w:tcBorders>
              <w:top w:val="single" w:sz="4" w:space="0" w:color="auto"/>
              <w:bottom w:val="single" w:sz="4" w:space="0" w:color="auto"/>
            </w:tcBorders>
          </w:tcPr>
          <w:p w14:paraId="5E93B692" w14:textId="77777777" w:rsidR="00FB1D38" w:rsidRPr="008020D0" w:rsidRDefault="00FB1D38" w:rsidP="00FB1D38">
            <w:pPr>
              <w:pStyle w:val="Listnumindent2"/>
              <w:numPr>
                <w:ilvl w:val="7"/>
                <w:numId w:val="17"/>
              </w:numPr>
              <w:tabs>
                <w:tab w:val="clear" w:pos="2205"/>
                <w:tab w:val="num" w:pos="458"/>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C521E9">
              <w:t>A request for approval under paragraph (b)</w:t>
            </w:r>
            <w:r w:rsidRPr="004F2140">
              <w:t xml:space="preserve"> must be made in writing</w:t>
            </w:r>
            <w:r w:rsidRPr="00512491">
              <w:t xml:space="preserve"> </w:t>
            </w:r>
            <w:r w:rsidRPr="008020D0">
              <w:t>to the Secretary by an Accountable Officer, including:</w:t>
            </w:r>
          </w:p>
          <w:p w14:paraId="63CFEB75" w14:textId="700BB65A" w:rsidR="00FB1D38" w:rsidRPr="00512491" w:rsidRDefault="00FB1D38" w:rsidP="00FB1D38">
            <w:pPr>
              <w:pStyle w:val="Listnumindent2"/>
              <w:numPr>
                <w:ilvl w:val="7"/>
                <w:numId w:val="67"/>
              </w:numPr>
              <w:tabs>
                <w:tab w:val="clear" w:pos="2205"/>
              </w:tabs>
              <w:spacing w:before="60" w:after="60"/>
              <w:ind w:left="800"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description of t</w:t>
            </w:r>
            <w:r w:rsidRPr="00C521E9">
              <w:rPr>
                <w:rFonts w:ascii="Arial" w:hAnsi="Arial" w:cs="Arial"/>
                <w:szCs w:val="17"/>
              </w:rPr>
              <w:t>he nature of the proposed</w:t>
            </w:r>
            <w:r w:rsidRPr="004F2140">
              <w:rPr>
                <w:rFonts w:ascii="Arial" w:hAnsi="Arial" w:cs="Arial"/>
                <w:szCs w:val="17"/>
              </w:rPr>
              <w:t xml:space="preserve"> amendment</w:t>
            </w:r>
            <w:r w:rsidRPr="00512491">
              <w:rPr>
                <w:rFonts w:ascii="Arial" w:hAnsi="Arial" w:cs="Arial"/>
                <w:szCs w:val="17"/>
              </w:rPr>
              <w:t>;</w:t>
            </w:r>
          </w:p>
          <w:p w14:paraId="3A88E157" w14:textId="77777777" w:rsidR="00FB1D38" w:rsidRPr="00007CD7" w:rsidRDefault="00FB1D38" w:rsidP="00FB1D38">
            <w:pPr>
              <w:pStyle w:val="Listnumindent2"/>
              <w:numPr>
                <w:ilvl w:val="7"/>
                <w:numId w:val="67"/>
              </w:numPr>
              <w:tabs>
                <w:tab w:val="clear" w:pos="2205"/>
              </w:tabs>
              <w:spacing w:before="60" w:after="60"/>
              <w:ind w:left="800" w:hanging="28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07CD7">
              <w:rPr>
                <w:rFonts w:ascii="Arial" w:hAnsi="Arial" w:cs="Arial"/>
                <w:szCs w:val="17"/>
              </w:rPr>
              <w:t>explanation as to how the proposed amendment arose; and</w:t>
            </w:r>
          </w:p>
          <w:p w14:paraId="7AA3CA05" w14:textId="3039876B" w:rsidR="00FB1D38" w:rsidRPr="00190B8B" w:rsidRDefault="00FB1D38" w:rsidP="00FB1D38">
            <w:pPr>
              <w:pStyle w:val="Listnumindent2"/>
              <w:numPr>
                <w:ilvl w:val="7"/>
                <w:numId w:val="67"/>
              </w:numPr>
              <w:tabs>
                <w:tab w:val="clear" w:pos="2205"/>
              </w:tabs>
              <w:spacing w:before="60" w:after="60"/>
              <w:ind w:left="800" w:hanging="284"/>
              <w:jc w:val="left"/>
              <w:cnfStyle w:val="000000000000" w:firstRow="0" w:lastRow="0" w:firstColumn="0" w:lastColumn="0" w:oddVBand="0" w:evenVBand="0" w:oddHBand="0" w:evenHBand="0" w:firstRowFirstColumn="0" w:firstRowLastColumn="0" w:lastRowFirstColumn="0" w:lastRowLastColumn="0"/>
            </w:pPr>
            <w:r w:rsidRPr="00007CD7">
              <w:rPr>
                <w:rFonts w:ascii="Arial" w:hAnsi="Arial" w:cs="Arial"/>
                <w:szCs w:val="17"/>
              </w:rPr>
              <w:t>reasons why the proposed amendment should made.</w:t>
            </w:r>
          </w:p>
        </w:tc>
        <w:tc>
          <w:tcPr>
            <w:tcW w:w="709" w:type="dxa"/>
            <w:tcBorders>
              <w:top w:val="single" w:sz="4" w:space="0" w:color="auto"/>
              <w:bottom w:val="single" w:sz="4" w:space="0" w:color="auto"/>
            </w:tcBorders>
          </w:tcPr>
          <w:p w14:paraId="788A2803" w14:textId="4BA85DC6"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4EEEA7A1"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79CC304A" w14:textId="37737FE1" w:rsidR="00FB1D38" w:rsidRDefault="00FB1D38" w:rsidP="00FB1D38">
            <w:pPr>
              <w:spacing w:before="60" w:after="60"/>
              <w:rPr>
                <w:rFonts w:ascii="Arial" w:hAnsi="Arial" w:cs="Arial"/>
                <w:szCs w:val="17"/>
              </w:rPr>
            </w:pPr>
            <w:r>
              <w:rPr>
                <w:rFonts w:ascii="Arial" w:hAnsi="Arial" w:cs="Arial"/>
                <w:szCs w:val="17"/>
              </w:rPr>
              <w:t>Dir 7.2.1</w:t>
            </w:r>
          </w:p>
          <w:p w14:paraId="4477C6F9" w14:textId="5D3823EF" w:rsidR="00FB1D38" w:rsidRDefault="00FB1D38" w:rsidP="00FB1D38">
            <w:pPr>
              <w:spacing w:before="60" w:after="60"/>
              <w:rPr>
                <w:rFonts w:ascii="Arial" w:hAnsi="Arial" w:cs="Arial"/>
                <w:szCs w:val="17"/>
              </w:rPr>
            </w:pPr>
            <w:r>
              <w:rPr>
                <w:rFonts w:ascii="Arial" w:hAnsi="Arial" w:cs="Arial"/>
                <w:szCs w:val="17"/>
              </w:rPr>
              <w:t>Compliance with legislative and policy requirements</w:t>
            </w:r>
          </w:p>
        </w:tc>
        <w:tc>
          <w:tcPr>
            <w:tcW w:w="7371" w:type="dxa"/>
            <w:tcBorders>
              <w:top w:val="single" w:sz="4" w:space="0" w:color="auto"/>
              <w:bottom w:val="single" w:sz="4" w:space="0" w:color="auto"/>
            </w:tcBorders>
          </w:tcPr>
          <w:p w14:paraId="42190663" w14:textId="60229C2A" w:rsidR="00FB1D38" w:rsidRPr="00407B5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Agencies must ensure that contracts for Works or Construction Services comply with policy and legislative requirements, including the policies set out in the Instructions.</w:t>
            </w:r>
          </w:p>
        </w:tc>
        <w:tc>
          <w:tcPr>
            <w:tcW w:w="709" w:type="dxa"/>
            <w:tcBorders>
              <w:top w:val="single" w:sz="4" w:space="0" w:color="auto"/>
              <w:bottom w:val="single" w:sz="4" w:space="0" w:color="auto"/>
            </w:tcBorders>
          </w:tcPr>
          <w:p w14:paraId="5516EC30" w14:textId="60D7B9C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4C0B45CC"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169564CA" w14:textId="77777777" w:rsidR="00FB1D38" w:rsidRDefault="00FB1D38" w:rsidP="00FB1D38">
            <w:pPr>
              <w:spacing w:before="60" w:after="60"/>
              <w:rPr>
                <w:rFonts w:ascii="Arial" w:hAnsi="Arial" w:cs="Arial"/>
                <w:szCs w:val="17"/>
              </w:rPr>
            </w:pPr>
            <w:r>
              <w:rPr>
                <w:rFonts w:ascii="Arial" w:hAnsi="Arial" w:cs="Arial"/>
                <w:szCs w:val="17"/>
              </w:rPr>
              <w:t>Dir 7.2.2</w:t>
            </w:r>
          </w:p>
          <w:p w14:paraId="13C90E3A" w14:textId="4A8122F8" w:rsidR="00FB1D38" w:rsidRDefault="00FB1D38" w:rsidP="00FB1D38">
            <w:pPr>
              <w:spacing w:before="60" w:after="60"/>
              <w:rPr>
                <w:rFonts w:ascii="Arial" w:hAnsi="Arial" w:cs="Arial"/>
                <w:szCs w:val="17"/>
              </w:rPr>
            </w:pPr>
            <w:r w:rsidRPr="00407B54">
              <w:rPr>
                <w:rFonts w:ascii="Arial" w:hAnsi="Arial" w:cs="Arial"/>
                <w:szCs w:val="17"/>
              </w:rPr>
              <w:t>Non-Standard Commercial Arrange</w:t>
            </w:r>
            <w:r>
              <w:rPr>
                <w:rFonts w:ascii="Arial" w:hAnsi="Arial" w:cs="Arial"/>
                <w:szCs w:val="17"/>
              </w:rPr>
              <w:t>-</w:t>
            </w:r>
            <w:r w:rsidRPr="00407B54">
              <w:rPr>
                <w:rFonts w:ascii="Arial" w:hAnsi="Arial" w:cs="Arial"/>
                <w:szCs w:val="17"/>
              </w:rPr>
              <w:t>ments</w:t>
            </w:r>
          </w:p>
        </w:tc>
        <w:tc>
          <w:tcPr>
            <w:tcW w:w="7371" w:type="dxa"/>
            <w:tcBorders>
              <w:top w:val="single" w:sz="4" w:space="0" w:color="auto"/>
              <w:bottom w:val="single" w:sz="4" w:space="0" w:color="auto"/>
            </w:tcBorders>
          </w:tcPr>
          <w:p w14:paraId="2333833D" w14:textId="593091B1" w:rsidR="00FB1D38" w:rsidRPr="00407B54"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Agencies must not propose or enter into a Non-Standard Commercial Arrangement, in a tender process or as a contract amendment, except as permitted in the Instructions.</w:t>
            </w:r>
          </w:p>
        </w:tc>
        <w:tc>
          <w:tcPr>
            <w:tcW w:w="709" w:type="dxa"/>
            <w:tcBorders>
              <w:top w:val="single" w:sz="4" w:space="0" w:color="auto"/>
              <w:bottom w:val="single" w:sz="4" w:space="0" w:color="auto"/>
            </w:tcBorders>
          </w:tcPr>
          <w:p w14:paraId="0A3E8F88" w14:textId="64053645"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438B81AF"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CE6C05B" w14:textId="77777777" w:rsidR="00FB1D38" w:rsidRDefault="00FB1D38" w:rsidP="00FB1D38">
            <w:pPr>
              <w:spacing w:before="60" w:after="60"/>
              <w:rPr>
                <w:rFonts w:ascii="Arial" w:hAnsi="Arial" w:cs="Arial"/>
                <w:szCs w:val="17"/>
              </w:rPr>
            </w:pPr>
            <w:r>
              <w:rPr>
                <w:rFonts w:ascii="Arial" w:hAnsi="Arial" w:cs="Arial"/>
                <w:szCs w:val="17"/>
              </w:rPr>
              <w:t>Dir 7.2.3</w:t>
            </w:r>
          </w:p>
          <w:p w14:paraId="0CEF33A1" w14:textId="20829419" w:rsidR="00FB1D38" w:rsidRDefault="00FB1D38" w:rsidP="00FB1D38">
            <w:pPr>
              <w:spacing w:before="60" w:after="60"/>
              <w:rPr>
                <w:rFonts w:ascii="Arial" w:hAnsi="Arial" w:cs="Arial"/>
                <w:szCs w:val="17"/>
              </w:rPr>
            </w:pPr>
            <w:r>
              <w:rPr>
                <w:rFonts w:ascii="Arial" w:hAnsi="Arial" w:cs="Arial"/>
                <w:szCs w:val="17"/>
              </w:rPr>
              <w:t>Risk allocation</w:t>
            </w:r>
          </w:p>
        </w:tc>
        <w:tc>
          <w:tcPr>
            <w:tcW w:w="7371" w:type="dxa"/>
            <w:tcBorders>
              <w:top w:val="single" w:sz="4" w:space="0" w:color="auto"/>
              <w:bottom w:val="single" w:sz="4" w:space="0" w:color="auto"/>
            </w:tcBorders>
          </w:tcPr>
          <w:p w14:paraId="0C5B13E1" w14:textId="77777777" w:rsidR="00FB1D38" w:rsidRPr="00EC579E"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EC579E">
              <w:rPr>
                <w:rFonts w:ascii="Arial" w:hAnsi="Arial" w:cs="Arial"/>
                <w:szCs w:val="17"/>
              </w:rPr>
              <w:t>Agencies must ensure that contracts for Works or Construction Services:</w:t>
            </w:r>
          </w:p>
          <w:p w14:paraId="1D16488D" w14:textId="77777777" w:rsidR="00FB1D38" w:rsidRPr="00407B54" w:rsidRDefault="00FB1D38" w:rsidP="00FB1D38">
            <w:pPr>
              <w:pStyle w:val="Listnumindent2"/>
              <w:numPr>
                <w:ilvl w:val="7"/>
                <w:numId w:val="70"/>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407B54">
              <w:t>clearly define the roles and responsibilities of the parties to the contract;</w:t>
            </w:r>
          </w:p>
          <w:p w14:paraId="7AEA0A55" w14:textId="77777777" w:rsidR="00FB1D38" w:rsidRPr="00407B54" w:rsidRDefault="00FB1D38" w:rsidP="00FB1D38">
            <w:pPr>
              <w:pStyle w:val="Listnumindent2"/>
              <w:numPr>
                <w:ilvl w:val="7"/>
                <w:numId w:val="70"/>
              </w:numPr>
              <w:tabs>
                <w:tab w:val="clear" w:pos="2205"/>
                <w:tab w:val="num" w:pos="516"/>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pPr>
            <w:r w:rsidRPr="00407B54">
              <w:t>identify responsibility for key risks associated with the Works or Construction Services;</w:t>
            </w:r>
          </w:p>
          <w:p w14:paraId="7F9B5929" w14:textId="77777777" w:rsidR="00FB1D38" w:rsidRPr="00407B54" w:rsidRDefault="00FB1D38" w:rsidP="00FB1D38">
            <w:pPr>
              <w:pStyle w:val="Listnumindent2"/>
              <w:numPr>
                <w:ilvl w:val="7"/>
                <w:numId w:val="70"/>
              </w:numPr>
              <w:tabs>
                <w:tab w:val="clear" w:pos="2205"/>
                <w:tab w:val="num" w:pos="516"/>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pPr>
            <w:r w:rsidRPr="00407B54">
              <w:t>as far as practicable, allocate risks to the party best able to manage them, and</w:t>
            </w:r>
          </w:p>
          <w:p w14:paraId="4F9C5D10" w14:textId="4A165B1C" w:rsidR="00FB1D38" w:rsidRPr="00407B54" w:rsidRDefault="00FB1D38" w:rsidP="00FB1D38">
            <w:pPr>
              <w:pStyle w:val="Listnumindent2"/>
              <w:numPr>
                <w:ilvl w:val="7"/>
                <w:numId w:val="70"/>
              </w:numPr>
              <w:tabs>
                <w:tab w:val="clear" w:pos="2205"/>
                <w:tab w:val="num" w:pos="516"/>
              </w:tabs>
              <w:spacing w:before="60" w:after="60"/>
              <w:ind w:left="233" w:hanging="20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407B54">
              <w:t>address any mandatory requirements set out in the Instructions.</w:t>
            </w:r>
          </w:p>
        </w:tc>
        <w:tc>
          <w:tcPr>
            <w:tcW w:w="709" w:type="dxa"/>
            <w:tcBorders>
              <w:top w:val="single" w:sz="4" w:space="0" w:color="auto"/>
              <w:bottom w:val="single" w:sz="4" w:space="0" w:color="auto"/>
            </w:tcBorders>
          </w:tcPr>
          <w:p w14:paraId="3CAB03C8" w14:textId="49372B89"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5D1EFA2"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7CA1698F" w14:textId="51D58184" w:rsidR="00FB1D38" w:rsidRDefault="00FB1D38" w:rsidP="00FB1D38">
            <w:pPr>
              <w:spacing w:before="60" w:after="60"/>
              <w:rPr>
                <w:rFonts w:ascii="Arial" w:hAnsi="Arial" w:cs="Arial"/>
                <w:szCs w:val="17"/>
              </w:rPr>
            </w:pPr>
            <w:r>
              <w:rPr>
                <w:rFonts w:ascii="Arial" w:hAnsi="Arial" w:cs="Arial"/>
                <w:szCs w:val="17"/>
              </w:rPr>
              <w:t>Dir 7.2.4 Subcontract-ing</w:t>
            </w:r>
          </w:p>
        </w:tc>
        <w:tc>
          <w:tcPr>
            <w:tcW w:w="7371" w:type="dxa"/>
            <w:tcBorders>
              <w:top w:val="single" w:sz="4" w:space="0" w:color="auto"/>
              <w:bottom w:val="single" w:sz="4" w:space="0" w:color="auto"/>
            </w:tcBorders>
          </w:tcPr>
          <w:p w14:paraId="77D03C76" w14:textId="77777777" w:rsidR="00FB1D38" w:rsidRPr="00EC579E"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EC579E">
              <w:rPr>
                <w:rFonts w:ascii="Arial" w:hAnsi="Arial" w:cs="Arial"/>
                <w:szCs w:val="17"/>
              </w:rPr>
              <w:t>Contracts must contain appropriate mechanisms to ensure that:</w:t>
            </w:r>
          </w:p>
          <w:p w14:paraId="0AAC7681" w14:textId="77777777" w:rsidR="00FB1D38" w:rsidRPr="006078AD" w:rsidRDefault="00FB1D38" w:rsidP="00FB1D38">
            <w:pPr>
              <w:pStyle w:val="Listnumindent2"/>
              <w:numPr>
                <w:ilvl w:val="7"/>
                <w:numId w:val="7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6078AD">
              <w:t>the Principal has appropriate visibility of, and rights to approve, subcontracting arrangements;</w:t>
            </w:r>
          </w:p>
          <w:p w14:paraId="154ADB41" w14:textId="77777777" w:rsidR="00FB1D38" w:rsidRPr="006078AD" w:rsidRDefault="00FB1D38" w:rsidP="00FB1D38">
            <w:pPr>
              <w:pStyle w:val="Listnumindent2"/>
              <w:numPr>
                <w:ilvl w:val="7"/>
                <w:numId w:val="7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6078AD">
              <w:t>terms and conditions of subcontracts are compatible with those of the head contract and consistent with the principles of risk allocation and security of payment set out in this Direction; and</w:t>
            </w:r>
          </w:p>
          <w:p w14:paraId="575B7E9F" w14:textId="723DAA29" w:rsidR="00FB1D38" w:rsidRPr="006078AD" w:rsidRDefault="00FB1D38" w:rsidP="00FB1D38">
            <w:pPr>
              <w:pStyle w:val="Listnumindent2"/>
              <w:numPr>
                <w:ilvl w:val="7"/>
                <w:numId w:val="7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6078AD">
              <w:t>the Contractor demonstrates proof of payment to subcontractors and suppliers.</w:t>
            </w:r>
          </w:p>
        </w:tc>
        <w:tc>
          <w:tcPr>
            <w:tcW w:w="709" w:type="dxa"/>
            <w:tcBorders>
              <w:top w:val="single" w:sz="4" w:space="0" w:color="auto"/>
              <w:bottom w:val="single" w:sz="4" w:space="0" w:color="auto"/>
            </w:tcBorders>
          </w:tcPr>
          <w:p w14:paraId="6C157459" w14:textId="648DF033"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0F73F6F1"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98FD2E8" w14:textId="77777777" w:rsidR="00FB1D38" w:rsidRDefault="00FB1D38" w:rsidP="00FB1D38">
            <w:pPr>
              <w:spacing w:before="60" w:after="60"/>
              <w:rPr>
                <w:rFonts w:ascii="Arial" w:hAnsi="Arial" w:cs="Arial"/>
                <w:szCs w:val="17"/>
              </w:rPr>
            </w:pPr>
            <w:r>
              <w:rPr>
                <w:rFonts w:ascii="Arial" w:hAnsi="Arial" w:cs="Arial"/>
                <w:szCs w:val="17"/>
              </w:rPr>
              <w:t>Dir 7.2.5</w:t>
            </w:r>
          </w:p>
          <w:p w14:paraId="16983165" w14:textId="2B0210C1" w:rsidR="00FB1D38" w:rsidRDefault="00FB1D38" w:rsidP="00FB1D38">
            <w:pPr>
              <w:spacing w:before="60" w:after="60"/>
              <w:rPr>
                <w:rFonts w:ascii="Arial" w:hAnsi="Arial" w:cs="Arial"/>
                <w:szCs w:val="17"/>
              </w:rPr>
            </w:pPr>
            <w:r>
              <w:rPr>
                <w:rFonts w:ascii="Arial" w:hAnsi="Arial" w:cs="Arial"/>
                <w:szCs w:val="17"/>
              </w:rPr>
              <w:t>Dispute resolution</w:t>
            </w:r>
          </w:p>
        </w:tc>
        <w:tc>
          <w:tcPr>
            <w:tcW w:w="7371" w:type="dxa"/>
            <w:tcBorders>
              <w:top w:val="single" w:sz="4" w:space="0" w:color="auto"/>
              <w:bottom w:val="single" w:sz="4" w:space="0" w:color="auto"/>
            </w:tcBorders>
          </w:tcPr>
          <w:p w14:paraId="67ABADF4" w14:textId="6121EF73" w:rsidR="00FB1D38" w:rsidRPr="0052191A"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473E4">
              <w:rPr>
                <w:rFonts w:ascii="Arial" w:hAnsi="Arial" w:cs="Arial"/>
                <w:szCs w:val="17"/>
              </w:rPr>
              <w:t>Agencies must ensure that contracts provide for efficient and effective resolution of disputes (including through the use of alternative dispute resolution procedures) that take into account the Procurement Model and the nature and complexity of the Works or Construction Services being performed under the contract and any related contracts.</w:t>
            </w:r>
          </w:p>
        </w:tc>
        <w:tc>
          <w:tcPr>
            <w:tcW w:w="709" w:type="dxa"/>
            <w:tcBorders>
              <w:top w:val="single" w:sz="4" w:space="0" w:color="auto"/>
              <w:bottom w:val="single" w:sz="4" w:space="0" w:color="auto"/>
            </w:tcBorders>
          </w:tcPr>
          <w:p w14:paraId="403D67AC" w14:textId="3444AEA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49D68BC8"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74E1E26" w14:textId="77777777" w:rsidR="00FB1D38" w:rsidRDefault="00FB1D38" w:rsidP="00FB1D38">
            <w:pPr>
              <w:spacing w:before="60" w:after="60"/>
              <w:rPr>
                <w:rFonts w:ascii="Arial" w:hAnsi="Arial" w:cs="Arial"/>
                <w:szCs w:val="17"/>
              </w:rPr>
            </w:pPr>
            <w:r>
              <w:rPr>
                <w:rFonts w:ascii="Arial" w:hAnsi="Arial" w:cs="Arial"/>
                <w:szCs w:val="17"/>
              </w:rPr>
              <w:t>Dir 7.2.6</w:t>
            </w:r>
          </w:p>
          <w:p w14:paraId="541499D9" w14:textId="03A67704" w:rsidR="00FB1D38" w:rsidRDefault="00FB1D38" w:rsidP="00FB1D38">
            <w:pPr>
              <w:spacing w:before="60" w:after="60"/>
              <w:rPr>
                <w:rFonts w:ascii="Arial" w:hAnsi="Arial" w:cs="Arial"/>
                <w:szCs w:val="17"/>
              </w:rPr>
            </w:pPr>
            <w:r>
              <w:rPr>
                <w:rFonts w:ascii="Arial" w:hAnsi="Arial" w:cs="Arial"/>
                <w:szCs w:val="17"/>
              </w:rPr>
              <w:t>Performance security</w:t>
            </w:r>
          </w:p>
        </w:tc>
        <w:tc>
          <w:tcPr>
            <w:tcW w:w="7371" w:type="dxa"/>
            <w:tcBorders>
              <w:top w:val="single" w:sz="4" w:space="0" w:color="auto"/>
              <w:bottom w:val="single" w:sz="4" w:space="0" w:color="auto"/>
            </w:tcBorders>
          </w:tcPr>
          <w:p w14:paraId="355F0C2C" w14:textId="3C529071" w:rsidR="00FB1D38" w:rsidRPr="0052191A"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473E4">
              <w:rPr>
                <w:rFonts w:ascii="Arial" w:hAnsi="Arial" w:cs="Arial"/>
                <w:szCs w:val="17"/>
              </w:rPr>
              <w:t>Where a supplier is required to provide performance security, the contract must allow the supplier to provide an unconditional undertaking, in a form and from a financial institution acceptable to the Agency, as an alternative to cash.</w:t>
            </w:r>
          </w:p>
        </w:tc>
        <w:tc>
          <w:tcPr>
            <w:tcW w:w="709" w:type="dxa"/>
            <w:tcBorders>
              <w:top w:val="single" w:sz="4" w:space="0" w:color="auto"/>
              <w:bottom w:val="single" w:sz="4" w:space="0" w:color="auto"/>
            </w:tcBorders>
          </w:tcPr>
          <w:p w14:paraId="1A62D4DF" w14:textId="49ED9D4D"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709BD0BF"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4C2FFAF" w14:textId="77777777" w:rsidR="00FB1D38" w:rsidRDefault="00FB1D38" w:rsidP="00FB1D38">
            <w:pPr>
              <w:spacing w:before="60" w:after="60"/>
              <w:rPr>
                <w:rFonts w:ascii="Arial" w:hAnsi="Arial" w:cs="Arial"/>
                <w:szCs w:val="17"/>
              </w:rPr>
            </w:pPr>
            <w:r>
              <w:rPr>
                <w:rFonts w:ascii="Arial" w:hAnsi="Arial" w:cs="Arial"/>
                <w:szCs w:val="17"/>
              </w:rPr>
              <w:t>Dir 7.2.7</w:t>
            </w:r>
          </w:p>
          <w:p w14:paraId="54D80276" w14:textId="42DE17FB" w:rsidR="00FB1D38" w:rsidRDefault="00FB1D38" w:rsidP="00FB1D38">
            <w:pPr>
              <w:spacing w:before="60" w:after="60"/>
              <w:rPr>
                <w:rFonts w:ascii="Arial" w:hAnsi="Arial" w:cs="Arial"/>
                <w:szCs w:val="17"/>
              </w:rPr>
            </w:pPr>
            <w:r>
              <w:rPr>
                <w:rFonts w:ascii="Arial" w:hAnsi="Arial" w:cs="Arial"/>
                <w:szCs w:val="17"/>
              </w:rPr>
              <w:t>Security of payment</w:t>
            </w:r>
          </w:p>
        </w:tc>
        <w:tc>
          <w:tcPr>
            <w:tcW w:w="7371" w:type="dxa"/>
            <w:tcBorders>
              <w:top w:val="single" w:sz="4" w:space="0" w:color="auto"/>
              <w:bottom w:val="single" w:sz="4" w:space="0" w:color="auto"/>
            </w:tcBorders>
          </w:tcPr>
          <w:p w14:paraId="13F3311F" w14:textId="77777777" w:rsidR="00FB1D38" w:rsidRPr="008473E4" w:rsidRDefault="00FB1D38" w:rsidP="00FB1D38">
            <w:pPr>
              <w:pStyle w:val="NormalIndent"/>
              <w:spacing w:before="60" w:after="60"/>
              <w:ind w:left="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473E4">
              <w:rPr>
                <w:rFonts w:ascii="Arial" w:hAnsi="Arial" w:cs="Arial"/>
                <w:szCs w:val="17"/>
              </w:rPr>
              <w:t xml:space="preserve">Contracts must be consistent with the requirements of the </w:t>
            </w:r>
            <w:r w:rsidRPr="008473E4">
              <w:rPr>
                <w:rFonts w:ascii="Arial" w:hAnsi="Arial" w:cs="Arial"/>
                <w:b/>
                <w:szCs w:val="17"/>
              </w:rPr>
              <w:t>Building and Construction Industry Security of Payment Act 2002</w:t>
            </w:r>
            <w:r w:rsidRPr="008473E4">
              <w:rPr>
                <w:rFonts w:ascii="Arial" w:hAnsi="Arial" w:cs="Arial"/>
                <w:szCs w:val="17"/>
              </w:rPr>
              <w:t xml:space="preserve"> and provide for:</w:t>
            </w:r>
          </w:p>
          <w:p w14:paraId="73B02BF4" w14:textId="77777777" w:rsidR="00FB1D38" w:rsidRPr="0052191A" w:rsidRDefault="00FB1D38" w:rsidP="00FB1D38">
            <w:pPr>
              <w:pStyle w:val="Listnumindent2"/>
              <w:numPr>
                <w:ilvl w:val="7"/>
                <w:numId w:val="72"/>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52191A">
              <w:t>fair entitlement to payment, including identifying appropriate milestone payments; and</w:t>
            </w:r>
          </w:p>
          <w:p w14:paraId="7DE345A0" w14:textId="48932A99" w:rsidR="00FB1D38" w:rsidRPr="007F7FBE" w:rsidRDefault="00FB1D38" w:rsidP="00FB1D38">
            <w:pPr>
              <w:pStyle w:val="Listnumindent2"/>
              <w:numPr>
                <w:ilvl w:val="7"/>
                <w:numId w:val="72"/>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b/>
              </w:rPr>
            </w:pPr>
            <w:r w:rsidRPr="0052191A">
              <w:t>prompt payment, with interest payable on late payments</w:t>
            </w:r>
            <w:r w:rsidRPr="008473E4">
              <w:rPr>
                <w:rFonts w:ascii="Arial" w:hAnsi="Arial" w:cs="Arial"/>
                <w:szCs w:val="17"/>
              </w:rPr>
              <w:t>.</w:t>
            </w:r>
          </w:p>
        </w:tc>
        <w:tc>
          <w:tcPr>
            <w:tcW w:w="709" w:type="dxa"/>
            <w:tcBorders>
              <w:top w:val="single" w:sz="4" w:space="0" w:color="auto"/>
              <w:bottom w:val="single" w:sz="4" w:space="0" w:color="auto"/>
            </w:tcBorders>
          </w:tcPr>
          <w:p w14:paraId="12F30663" w14:textId="3BB8823E"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261CC0E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2609278E" w14:textId="77777777" w:rsidR="00FB1D38" w:rsidRDefault="00FB1D38" w:rsidP="00FB1D38">
            <w:pPr>
              <w:spacing w:before="60" w:after="60"/>
              <w:rPr>
                <w:rFonts w:ascii="Arial" w:hAnsi="Arial" w:cs="Arial"/>
                <w:szCs w:val="17"/>
              </w:rPr>
            </w:pPr>
            <w:r>
              <w:rPr>
                <w:rFonts w:ascii="Arial" w:hAnsi="Arial" w:cs="Arial"/>
                <w:szCs w:val="17"/>
              </w:rPr>
              <w:t>Inst 7.2.1</w:t>
            </w:r>
          </w:p>
          <w:p w14:paraId="005F5784" w14:textId="0CBAFB19" w:rsidR="00FB1D38" w:rsidRPr="00082F29" w:rsidRDefault="00FB1D38" w:rsidP="00FB1D38">
            <w:pPr>
              <w:pStyle w:val="Listnumindent2"/>
              <w:spacing w:before="60" w:after="60"/>
              <w:ind w:left="6"/>
            </w:pPr>
            <w:r w:rsidRPr="00082F29">
              <w:t>Compliance with legislative and policy requirements</w:t>
            </w:r>
          </w:p>
        </w:tc>
        <w:tc>
          <w:tcPr>
            <w:tcW w:w="7371" w:type="dxa"/>
            <w:tcBorders>
              <w:top w:val="single" w:sz="4" w:space="0" w:color="auto"/>
              <w:bottom w:val="single" w:sz="4" w:space="0" w:color="auto"/>
            </w:tcBorders>
          </w:tcPr>
          <w:p w14:paraId="64AD0E2F" w14:textId="278DD0BD" w:rsidR="00FB1D38" w:rsidRPr="00082F29"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 xml:space="preserve">Agencies must ensure that all contracts for Works or Construction </w:t>
            </w:r>
            <w:r w:rsidRPr="00143463">
              <w:rPr>
                <w:rFonts w:ascii="Arial" w:hAnsi="Arial" w:cs="Arial"/>
                <w:szCs w:val="17"/>
              </w:rPr>
              <w:t>Services</w:t>
            </w:r>
            <w:r>
              <w:t xml:space="preserve"> comply with relevant legislative requirements.</w:t>
            </w:r>
          </w:p>
        </w:tc>
        <w:tc>
          <w:tcPr>
            <w:tcW w:w="709" w:type="dxa"/>
            <w:tcBorders>
              <w:top w:val="single" w:sz="4" w:space="0" w:color="auto"/>
              <w:bottom w:val="single" w:sz="4" w:space="0" w:color="auto"/>
            </w:tcBorders>
          </w:tcPr>
          <w:p w14:paraId="5E0619DC" w14:textId="009FEE95"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4103B7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07BBCC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24A3C1D" w14:textId="77777777"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Agencies must ensure that the following government policy requirements are addressed in all contracts for Works or Construction Services:</w:t>
            </w:r>
          </w:p>
          <w:p w14:paraId="34F1039F" w14:textId="6FF41DE6"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b/>
            </w:r>
            <w:r w:rsidRPr="00143463">
              <w:rPr>
                <w:rFonts w:ascii="Arial" w:hAnsi="Arial" w:cs="Arial"/>
                <w:szCs w:val="17"/>
              </w:rPr>
              <w:t>Partnerships Victoria Requirements;</w:t>
            </w:r>
          </w:p>
          <w:p w14:paraId="1D24B17F" w14:textId="2CF28C10"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b/>
            </w:r>
            <w:r w:rsidRPr="00143463">
              <w:rPr>
                <w:rFonts w:ascii="Arial" w:hAnsi="Arial" w:cs="Arial"/>
                <w:szCs w:val="17"/>
              </w:rPr>
              <w:t>Victorian Alliancing Policy;</w:t>
            </w:r>
          </w:p>
          <w:p w14:paraId="23BA1A99" w14:textId="77777777"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lastRenderedPageBreak/>
              <w:t>Fair Payments Policy;</w:t>
            </w:r>
          </w:p>
          <w:p w14:paraId="359B21AB" w14:textId="77777777"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Protective Data Security Standards;</w:t>
            </w:r>
          </w:p>
          <w:p w14:paraId="1B677EE8" w14:textId="228D9750"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b/>
            </w:r>
            <w:r w:rsidRPr="00143463">
              <w:rPr>
                <w:rFonts w:ascii="Arial" w:hAnsi="Arial" w:cs="Arial"/>
                <w:szCs w:val="17"/>
              </w:rPr>
              <w:t>Whole of Victorian Government Intellectual Property Policy;</w:t>
            </w:r>
          </w:p>
          <w:p w14:paraId="6C7C3F54" w14:textId="77777777"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DataVic Access Policy;</w:t>
            </w:r>
          </w:p>
          <w:p w14:paraId="75966A6E" w14:textId="77777777"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Supplier Code of Conduct;</w:t>
            </w:r>
          </w:p>
          <w:p w14:paraId="267DF3FA" w14:textId="77777777" w:rsidR="00FB1D38" w:rsidRPr="00143463"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Local Jobs First – Victorian Industry Participation Policy;</w:t>
            </w:r>
          </w:p>
          <w:p w14:paraId="49057498" w14:textId="496DFFCD" w:rsidR="00FB1D38" w:rsidRPr="00143463" w:rsidRDefault="00B57165"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 xml:space="preserve">Local Jobs First - </w:t>
            </w:r>
            <w:r w:rsidR="00FB1D38" w:rsidRPr="00143463">
              <w:rPr>
                <w:rFonts w:ascii="Arial" w:hAnsi="Arial" w:cs="Arial"/>
                <w:szCs w:val="17"/>
              </w:rPr>
              <w:t>Major Projects Skills Guarantee; and</w:t>
            </w:r>
          </w:p>
          <w:p w14:paraId="0605FE6E" w14:textId="032BE377" w:rsidR="00FB1D38" w:rsidRPr="00082F29" w:rsidRDefault="00FB1D38" w:rsidP="00FB1D38">
            <w:pPr>
              <w:pStyle w:val="Listnumindent2"/>
              <w:numPr>
                <w:ilvl w:val="0"/>
                <w:numId w:val="74"/>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b/>
            </w:r>
            <w:r w:rsidRPr="00143463">
              <w:rPr>
                <w:rFonts w:ascii="Arial" w:hAnsi="Arial" w:cs="Arial"/>
                <w:szCs w:val="17"/>
              </w:rPr>
              <w:t>Victoria’s Social Procurement Framework.</w:t>
            </w:r>
          </w:p>
        </w:tc>
        <w:tc>
          <w:tcPr>
            <w:tcW w:w="709" w:type="dxa"/>
            <w:tcBorders>
              <w:top w:val="single" w:sz="4" w:space="0" w:color="auto"/>
              <w:bottom w:val="single" w:sz="4" w:space="0" w:color="auto"/>
            </w:tcBorders>
          </w:tcPr>
          <w:p w14:paraId="2EFE7729" w14:textId="12907870"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lastRenderedPageBreak/>
              <w:sym w:font="Wingdings" w:char="F0A8"/>
            </w:r>
          </w:p>
        </w:tc>
      </w:tr>
      <w:tr w:rsidR="00FB1D38" w14:paraId="220C0370"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250CDF64"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5AF622FC" w14:textId="77777777"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Agencies must ensure that contracts for Works or Construction Services that are required to comply with the shared reporting regime in Instruction 8.2:</w:t>
            </w:r>
          </w:p>
          <w:p w14:paraId="2FA90D1E" w14:textId="77777777" w:rsidR="00FB1D38" w:rsidRPr="00143463" w:rsidRDefault="00FB1D38" w:rsidP="00FB1D38">
            <w:pPr>
              <w:pStyle w:val="Listnumindent2"/>
              <w:numPr>
                <w:ilvl w:val="0"/>
                <w:numId w:val="75"/>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obtain supplier consent for performance information for that contract being used to evaluate the supplier in future Victorian Government tenders;</w:t>
            </w:r>
          </w:p>
          <w:p w14:paraId="0368FD23" w14:textId="39E75935" w:rsidR="00FB1D38" w:rsidRPr="00143463" w:rsidRDefault="00FB1D38" w:rsidP="00FB1D38">
            <w:pPr>
              <w:pStyle w:val="Listnumindent2"/>
              <w:numPr>
                <w:ilvl w:val="0"/>
                <w:numId w:val="75"/>
              </w:numPr>
              <w:tabs>
                <w:tab w:val="left" w:pos="516"/>
              </w:tabs>
              <w:spacing w:before="60" w:after="60"/>
              <w:ind w:left="516" w:hanging="227"/>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ab/>
            </w:r>
            <w:r w:rsidRPr="00143463">
              <w:rPr>
                <w:rFonts w:ascii="Arial" w:hAnsi="Arial" w:cs="Arial"/>
                <w:szCs w:val="17"/>
              </w:rPr>
              <w:t>link to provisions in the Tender Documentation; and</w:t>
            </w:r>
          </w:p>
          <w:p w14:paraId="79E2C502" w14:textId="797FB593" w:rsidR="00FB1D38" w:rsidRPr="00082F29" w:rsidRDefault="00FB1D38" w:rsidP="00FB1D38">
            <w:pPr>
              <w:pStyle w:val="Listnumindent2"/>
              <w:numPr>
                <w:ilvl w:val="0"/>
                <w:numId w:val="75"/>
              </w:numPr>
              <w:tabs>
                <w:tab w:val="left" w:pos="516"/>
              </w:tabs>
              <w:spacing w:before="60" w:after="60"/>
              <w:ind w:left="720" w:hanging="43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143463">
              <w:rPr>
                <w:rFonts w:ascii="Arial" w:hAnsi="Arial" w:cs="Arial"/>
                <w:szCs w:val="17"/>
              </w:rPr>
              <w:t>require the supplier to cooperate with the shared reporting regime.</w:t>
            </w:r>
          </w:p>
        </w:tc>
        <w:tc>
          <w:tcPr>
            <w:tcW w:w="709" w:type="dxa"/>
            <w:tcBorders>
              <w:top w:val="single" w:sz="4" w:space="0" w:color="auto"/>
              <w:bottom w:val="single" w:sz="4" w:space="0" w:color="auto"/>
            </w:tcBorders>
          </w:tcPr>
          <w:p w14:paraId="0BACDB16" w14:textId="31232440"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71FBCEB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EAF3BF2"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5D2B0ABC" w14:textId="77777777"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To give contractual effect to commitments made by suppliers under Instruction 4.1.5, Agencies must ensure that contracts for Works or Construction Services:</w:t>
            </w:r>
          </w:p>
          <w:p w14:paraId="5747B1BA" w14:textId="77777777" w:rsidR="00FB1D38" w:rsidRPr="00863729" w:rsidRDefault="00FB1D38" w:rsidP="00FB1D38">
            <w:pPr>
              <w:pStyle w:val="Listnumindent2"/>
              <w:numPr>
                <w:ilvl w:val="0"/>
                <w:numId w:val="76"/>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63729">
              <w:rPr>
                <w:rFonts w:ascii="Arial" w:hAnsi="Arial" w:cs="Arial"/>
                <w:szCs w:val="17"/>
              </w:rPr>
              <w:t xml:space="preserve">include </w:t>
            </w:r>
            <w:r w:rsidRPr="00143463">
              <w:rPr>
                <w:rFonts w:ascii="Arial" w:hAnsi="Arial" w:cs="Arial"/>
                <w:szCs w:val="17"/>
              </w:rPr>
              <w:t>continuing</w:t>
            </w:r>
            <w:r w:rsidRPr="00863729">
              <w:rPr>
                <w:rFonts w:ascii="Arial" w:hAnsi="Arial" w:cs="Arial"/>
                <w:szCs w:val="17"/>
              </w:rPr>
              <w:t xml:space="preserve"> obligations on the supplier, that apply from the date the tender is submitted and survive contract termination or expiry, that mirror the probity commitments made by the Contractor in the tender process; and</w:t>
            </w:r>
          </w:p>
          <w:p w14:paraId="739B7E10" w14:textId="5AAB12CD" w:rsidR="00FB1D38" w:rsidRPr="00082F29" w:rsidRDefault="00FB1D38" w:rsidP="00FB1D38">
            <w:pPr>
              <w:pStyle w:val="Listnumindent2"/>
              <w:numPr>
                <w:ilvl w:val="0"/>
                <w:numId w:val="76"/>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pPr>
            <w:r w:rsidRPr="00863729">
              <w:rPr>
                <w:rFonts w:ascii="Arial" w:hAnsi="Arial" w:cs="Arial"/>
                <w:szCs w:val="17"/>
              </w:rPr>
              <w:t>entitle the Agency to remedies if the obligations are breached, including remedies for substantial breach where appropriate.</w:t>
            </w:r>
          </w:p>
        </w:tc>
        <w:tc>
          <w:tcPr>
            <w:tcW w:w="709" w:type="dxa"/>
            <w:tcBorders>
              <w:top w:val="single" w:sz="4" w:space="0" w:color="auto"/>
              <w:bottom w:val="single" w:sz="4" w:space="0" w:color="auto"/>
            </w:tcBorders>
          </w:tcPr>
          <w:p w14:paraId="2F403322" w14:textId="517FDBE1"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B97BBE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26D56CC1"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64B9E27B" w14:textId="07706846"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Agencies must ensure that all contracts for Works or Construction Services grant the Agency sufficient rights to comply with legal or policy requirements to disclose information.</w:t>
            </w:r>
          </w:p>
        </w:tc>
        <w:tc>
          <w:tcPr>
            <w:tcW w:w="709" w:type="dxa"/>
            <w:tcBorders>
              <w:top w:val="single" w:sz="4" w:space="0" w:color="auto"/>
              <w:bottom w:val="single" w:sz="4" w:space="0" w:color="auto"/>
            </w:tcBorders>
          </w:tcPr>
          <w:p w14:paraId="4A3275A1" w14:textId="21804911"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127ABF6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199F632"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27529A7D" w14:textId="77777777"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26FD8142" w14:textId="77777777" w:rsidR="00FB1D38" w:rsidRPr="00863729" w:rsidRDefault="00FB1D38" w:rsidP="00FB1D38">
            <w:pPr>
              <w:pStyle w:val="Listnumindent2"/>
              <w:numPr>
                <w:ilvl w:val="0"/>
                <w:numId w:val="77"/>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63729">
              <w:rPr>
                <w:rFonts w:ascii="Arial" w:hAnsi="Arial" w:cs="Arial"/>
                <w:szCs w:val="17"/>
              </w:rPr>
              <w:t>‘geoscience data’ includes geological, geotechnical and environmental information, reports, maps, images, recordings, survey results and drill core, drill cutting and associated materials embodied in any form; and</w:t>
            </w:r>
          </w:p>
          <w:p w14:paraId="6A86CB81" w14:textId="3498BB8D" w:rsidR="00FB1D38" w:rsidRPr="00082F29" w:rsidRDefault="00FB1D38" w:rsidP="00FB1D38">
            <w:pPr>
              <w:pStyle w:val="Listnumindent2"/>
              <w:numPr>
                <w:ilvl w:val="0"/>
                <w:numId w:val="77"/>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pPr>
            <w:r w:rsidRPr="00863729">
              <w:rPr>
                <w:rFonts w:ascii="Arial" w:hAnsi="Arial" w:cs="Arial"/>
                <w:szCs w:val="17"/>
              </w:rPr>
              <w:t>‘geoscience data collected for the project’ includes geoscience data generated, placed, stored, processed, retrieved, printed, accessed, or produced using data supplied by the Principal, for the purpose of the contract.</w:t>
            </w:r>
          </w:p>
        </w:tc>
        <w:tc>
          <w:tcPr>
            <w:tcW w:w="709" w:type="dxa"/>
            <w:tcBorders>
              <w:top w:val="single" w:sz="4" w:space="0" w:color="auto"/>
              <w:bottom w:val="single" w:sz="4" w:space="0" w:color="auto"/>
            </w:tcBorders>
          </w:tcPr>
          <w:p w14:paraId="503A10EB" w14:textId="1D3BFDB2"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02A203D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74A71AD4"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49BD3DD0" w14:textId="4F9FD22F" w:rsidR="00FB1D38"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 xml:space="preserve">When procuring Works, Agencies must ensure that their contracts prohibit the installation into any building of Type A or Type B Construction a Prescribed Combustible Product as part of an External Wall (including as an attachment), as per the </w:t>
            </w:r>
            <w:r w:rsidRPr="0015095A">
              <w:rPr>
                <w:b/>
              </w:rPr>
              <w:t>Minister’s Guideline MG-14: Issue of building permits where building work involves the use of certain cladding products</w:t>
            </w:r>
            <w:r>
              <w:t xml:space="preserve">, unless the Contractor or designer has obtained a determination of the Building Appeals Board that the installation of the Prescribed Combustible Product complies with the </w:t>
            </w:r>
            <w:r w:rsidRPr="0015095A">
              <w:rPr>
                <w:b/>
              </w:rPr>
              <w:t>Building Act 1993 (Vic)</w:t>
            </w:r>
            <w:r>
              <w:t>.</w:t>
            </w:r>
          </w:p>
        </w:tc>
        <w:tc>
          <w:tcPr>
            <w:tcW w:w="709" w:type="dxa"/>
            <w:tcBorders>
              <w:top w:val="single" w:sz="4" w:space="0" w:color="auto"/>
              <w:bottom w:val="single" w:sz="4" w:space="0" w:color="auto"/>
            </w:tcBorders>
          </w:tcPr>
          <w:p w14:paraId="7BF925B5" w14:textId="4F5C2674"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1BE74172" w14:textId="3B6B1532"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7D51B811" w14:textId="63D931FA"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3FE30549" w14:textId="77777777" w:rsidR="003E3DCC" w:rsidRDefault="00FB1D38" w:rsidP="00FB1D38">
            <w:pPr>
              <w:pStyle w:val="Listnumindent2"/>
              <w:numPr>
                <w:ilvl w:val="7"/>
                <w:numId w:val="73"/>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C7767A">
              <w:t>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following requirements</w:t>
            </w:r>
            <w:r w:rsidR="003E3DCC">
              <w:t>.</w:t>
            </w:r>
          </w:p>
          <w:p w14:paraId="3506B26B" w14:textId="4F16FC89" w:rsidR="00FB1D38" w:rsidRPr="000E7973" w:rsidRDefault="00FB1D38" w:rsidP="003E3DCC">
            <w:pPr>
              <w:pStyle w:val="Listnumindent2"/>
              <w:spacing w:before="60" w:after="60"/>
              <w:ind w:left="233"/>
              <w:jc w:val="left"/>
              <w:cnfStyle w:val="000000000000" w:firstRow="0" w:lastRow="0" w:firstColumn="0" w:lastColumn="0" w:oddVBand="0" w:evenVBand="0" w:oddHBand="0" w:evenHBand="0" w:firstRowFirstColumn="0" w:firstRowLastColumn="0" w:lastRowFirstColumn="0" w:lastRowLastColumn="0"/>
            </w:pPr>
            <w:r>
              <w:t>The requirement of the minimum rates of pay for tip truck owner drivers clause is set out in Instruction 7.2.1(h).</w:t>
            </w:r>
          </w:p>
        </w:tc>
        <w:tc>
          <w:tcPr>
            <w:tcW w:w="709" w:type="dxa"/>
            <w:tcBorders>
              <w:top w:val="single" w:sz="4" w:space="0" w:color="auto"/>
              <w:bottom w:val="single" w:sz="4" w:space="0" w:color="auto"/>
            </w:tcBorders>
          </w:tcPr>
          <w:p w14:paraId="43BFDEA1" w14:textId="091A936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2598DEF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012B5554"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7.2.2</w:t>
            </w:r>
          </w:p>
          <w:p w14:paraId="3B2B3CFE" w14:textId="28BC3948" w:rsidR="00FB1D38" w:rsidRPr="00082F29" w:rsidRDefault="00FB1D38" w:rsidP="00FB1D38">
            <w:pPr>
              <w:pStyle w:val="Listnumindent2"/>
              <w:spacing w:before="60" w:after="60"/>
              <w:ind w:left="6"/>
            </w:pPr>
            <w:r w:rsidRPr="00082F29">
              <w:t>Non-Standard Commercial Arrange</w:t>
            </w:r>
            <w:r>
              <w:t>-</w:t>
            </w:r>
            <w:r w:rsidRPr="00082F29">
              <w:t>ments</w:t>
            </w:r>
          </w:p>
        </w:tc>
        <w:tc>
          <w:tcPr>
            <w:tcW w:w="7371" w:type="dxa"/>
            <w:tcBorders>
              <w:top w:val="single" w:sz="4" w:space="0" w:color="auto"/>
              <w:bottom w:val="single" w:sz="4" w:space="0" w:color="auto"/>
            </w:tcBorders>
          </w:tcPr>
          <w:p w14:paraId="04CF9D77" w14:textId="24728FC1" w:rsidR="00FB1D38" w:rsidRPr="000D5226" w:rsidRDefault="00FB1D38" w:rsidP="00FB1D38">
            <w:pPr>
              <w:pStyle w:val="Listnumindent2"/>
              <w:numPr>
                <w:ilvl w:val="7"/>
                <w:numId w:val="7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Non-Standard Commercial Arrangements must only be proposed or agreed to following approval by the Secretary.</w:t>
            </w:r>
          </w:p>
        </w:tc>
        <w:tc>
          <w:tcPr>
            <w:tcW w:w="709" w:type="dxa"/>
            <w:tcBorders>
              <w:top w:val="single" w:sz="4" w:space="0" w:color="auto"/>
              <w:bottom w:val="single" w:sz="4" w:space="0" w:color="auto"/>
            </w:tcBorders>
          </w:tcPr>
          <w:p w14:paraId="2BD892C2" w14:textId="6DAE360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F81056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7AC5A5C4" w14:textId="77777777" w:rsidR="00FB1D38" w:rsidRDefault="00FB1D38" w:rsidP="00FB1D38">
            <w:pPr>
              <w:spacing w:before="60" w:after="60"/>
              <w:rPr>
                <w:rFonts w:asciiTheme="majorHAnsi" w:hAnsiTheme="majorHAnsi" w:cstheme="majorHAnsi"/>
              </w:rPr>
            </w:pPr>
          </w:p>
        </w:tc>
        <w:tc>
          <w:tcPr>
            <w:tcW w:w="7371" w:type="dxa"/>
            <w:tcBorders>
              <w:top w:val="single" w:sz="4" w:space="0" w:color="auto"/>
              <w:bottom w:val="single" w:sz="4" w:space="0" w:color="auto"/>
            </w:tcBorders>
          </w:tcPr>
          <w:p w14:paraId="4D4B5F0F" w14:textId="77777777" w:rsidR="00FB1D38" w:rsidRPr="000D5226" w:rsidRDefault="00FB1D38" w:rsidP="00FB1D38">
            <w:pPr>
              <w:pStyle w:val="Listnumindent2"/>
              <w:numPr>
                <w:ilvl w:val="7"/>
                <w:numId w:val="78"/>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 request for approval under paragraph (a) must be made in writing to the Secretary by an Accountable Officer, specifying:</w:t>
            </w:r>
          </w:p>
          <w:p w14:paraId="5F8A9565" w14:textId="77777777" w:rsidR="00FB1D38" w:rsidRPr="000D5226" w:rsidRDefault="00FB1D38" w:rsidP="00FB1D38">
            <w:pPr>
              <w:pStyle w:val="Listnumindent2"/>
              <w:numPr>
                <w:ilvl w:val="0"/>
                <w:numId w:val="80"/>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D5226">
              <w:rPr>
                <w:rFonts w:ascii="Arial" w:hAnsi="Arial" w:cs="Arial"/>
                <w:szCs w:val="17"/>
              </w:rPr>
              <w:t>the nature of the proposed arrangement;</w:t>
            </w:r>
          </w:p>
          <w:p w14:paraId="62922073" w14:textId="77777777" w:rsidR="00FB1D38" w:rsidRPr="000D5226" w:rsidRDefault="00FB1D38" w:rsidP="00FB1D38">
            <w:pPr>
              <w:pStyle w:val="Listnumindent2"/>
              <w:numPr>
                <w:ilvl w:val="0"/>
                <w:numId w:val="80"/>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0D5226">
              <w:rPr>
                <w:rFonts w:ascii="Arial" w:hAnsi="Arial" w:cs="Arial"/>
                <w:szCs w:val="17"/>
              </w:rPr>
              <w:t>how the proposed arrangement arose; and</w:t>
            </w:r>
          </w:p>
          <w:p w14:paraId="0B753B5B" w14:textId="1AF3D709" w:rsidR="00FB1D38" w:rsidRDefault="00FB1D38" w:rsidP="00FB1D38">
            <w:pPr>
              <w:pStyle w:val="Listnumindent2"/>
              <w:numPr>
                <w:ilvl w:val="0"/>
                <w:numId w:val="80"/>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pPr>
            <w:r w:rsidRPr="000D5226">
              <w:rPr>
                <w:rFonts w:ascii="Arial" w:hAnsi="Arial" w:cs="Arial"/>
                <w:szCs w:val="17"/>
              </w:rPr>
              <w:t>reasons why the proposed arrangement should be approved</w:t>
            </w:r>
            <w:r w:rsidRPr="000D5226">
              <w:t>.</w:t>
            </w:r>
          </w:p>
        </w:tc>
        <w:tc>
          <w:tcPr>
            <w:tcW w:w="709" w:type="dxa"/>
            <w:tcBorders>
              <w:top w:val="single" w:sz="4" w:space="0" w:color="auto"/>
              <w:bottom w:val="single" w:sz="4" w:space="0" w:color="auto"/>
            </w:tcBorders>
          </w:tcPr>
          <w:p w14:paraId="2B72BBF2" w14:textId="60210448"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A8270E9"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552AEE28"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7.2.3</w:t>
            </w:r>
          </w:p>
          <w:p w14:paraId="379EE15E" w14:textId="62950274" w:rsidR="00FB1D38" w:rsidRPr="00082F29" w:rsidRDefault="00FB1D38" w:rsidP="00FB1D38">
            <w:pPr>
              <w:pStyle w:val="Listnumindent2"/>
              <w:spacing w:before="60" w:after="60"/>
              <w:ind w:left="6"/>
            </w:pPr>
            <w:r w:rsidRPr="00082F29">
              <w:lastRenderedPageBreak/>
              <w:t>Early termination (termination for convenience)</w:t>
            </w:r>
          </w:p>
        </w:tc>
        <w:tc>
          <w:tcPr>
            <w:tcW w:w="7371" w:type="dxa"/>
            <w:tcBorders>
              <w:top w:val="single" w:sz="4" w:space="0" w:color="auto"/>
              <w:bottom w:val="single" w:sz="4" w:space="0" w:color="auto"/>
            </w:tcBorders>
          </w:tcPr>
          <w:p w14:paraId="326C6A27" w14:textId="77777777" w:rsidR="00FB1D38" w:rsidRPr="000D5226" w:rsidRDefault="00FB1D38" w:rsidP="00FB1D38">
            <w:pPr>
              <w:pStyle w:val="Listnumindent2"/>
              <w:numPr>
                <w:ilvl w:val="7"/>
                <w:numId w:val="8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lastRenderedPageBreak/>
              <w:t xml:space="preserve">If a contract gives the Principal the right to terminate early, the contract must meet the </w:t>
            </w:r>
            <w:r>
              <w:lastRenderedPageBreak/>
              <w:t>requirements in Instruction 7.7.2(b) and (c).</w:t>
            </w:r>
          </w:p>
          <w:p w14:paraId="0431350F" w14:textId="77777777" w:rsidR="00FB1D38" w:rsidRPr="000D5226" w:rsidRDefault="00FB1D38" w:rsidP="00FB1D38">
            <w:pPr>
              <w:pStyle w:val="Listnumindent2"/>
              <w:numPr>
                <w:ilvl w:val="7"/>
                <w:numId w:val="8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In the event the Principal exercises the right, the Contractor must be required to:</w:t>
            </w:r>
          </w:p>
          <w:p w14:paraId="6ECD4096" w14:textId="77777777" w:rsidR="00FB1D38" w:rsidRDefault="00FB1D38" w:rsidP="00FB1D38">
            <w:pPr>
              <w:pStyle w:val="Listnumindent2"/>
              <w:numPr>
                <w:ilvl w:val="0"/>
                <w:numId w:val="82"/>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cease work within the time directed by the Principal</w:t>
            </w:r>
          </w:p>
          <w:p w14:paraId="5333A6EA" w14:textId="77777777" w:rsidR="00FB1D38" w:rsidRDefault="00FB1D38" w:rsidP="00FB1D38">
            <w:pPr>
              <w:pStyle w:val="Listnumindent2"/>
              <w:numPr>
                <w:ilvl w:val="0"/>
                <w:numId w:val="82"/>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demobilise its equipment and personnel from the site</w:t>
            </w:r>
          </w:p>
          <w:p w14:paraId="7F97328D" w14:textId="77777777" w:rsidR="00FB1D38" w:rsidRPr="008020D0" w:rsidRDefault="00FB1D38" w:rsidP="00FB1D38">
            <w:pPr>
              <w:pStyle w:val="Listnumindent2"/>
              <w:numPr>
                <w:ilvl w:val="0"/>
                <w:numId w:val="82"/>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secure the site and Works performed to date; and</w:t>
            </w:r>
          </w:p>
          <w:p w14:paraId="667B395E" w14:textId="77777777" w:rsidR="00FB1D38" w:rsidRDefault="00FB1D38" w:rsidP="00FB1D38">
            <w:pPr>
              <w:pStyle w:val="Listnumindent2"/>
              <w:numPr>
                <w:ilvl w:val="0"/>
                <w:numId w:val="82"/>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in all circumstances mitigate its costs.</w:t>
            </w:r>
          </w:p>
          <w:p w14:paraId="2054A597" w14:textId="77777777" w:rsidR="00FB1D38" w:rsidRDefault="00FB1D38" w:rsidP="00FB1D38">
            <w:pPr>
              <w:pStyle w:val="Listnumindent2"/>
              <w:numPr>
                <w:ilvl w:val="7"/>
                <w:numId w:val="81"/>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Other than for exceptional projects or where appropriate for the delivery model, the Contractor must not be entitled to:</w:t>
            </w:r>
          </w:p>
          <w:p w14:paraId="6A614E8C" w14:textId="77777777" w:rsidR="00FB1D38" w:rsidRDefault="00FB1D38" w:rsidP="00FB1D38">
            <w:pPr>
              <w:pStyle w:val="Listnumindent2"/>
              <w:numPr>
                <w:ilvl w:val="0"/>
                <w:numId w:val="83"/>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future profit on the Works or Construction Services not performed under the Contract; or</w:t>
            </w:r>
          </w:p>
          <w:p w14:paraId="6538B12E" w14:textId="70582DEB" w:rsidR="00FB1D38" w:rsidRPr="00082F29" w:rsidRDefault="00FB1D38" w:rsidP="00FB1D38">
            <w:pPr>
              <w:pStyle w:val="Listnumindent2"/>
              <w:numPr>
                <w:ilvl w:val="0"/>
                <w:numId w:val="83"/>
              </w:numPr>
              <w:tabs>
                <w:tab w:val="left" w:pos="516"/>
              </w:tabs>
              <w:spacing w:before="60" w:after="60"/>
              <w:ind w:hanging="351"/>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020D0">
              <w:rPr>
                <w:rFonts w:ascii="Arial" w:hAnsi="Arial" w:cs="Arial"/>
                <w:szCs w:val="17"/>
              </w:rPr>
              <w:t>compensation for economic or consequential loss, including opportunity cost or profit forgone as a result of entering into the contract.</w:t>
            </w:r>
          </w:p>
        </w:tc>
        <w:tc>
          <w:tcPr>
            <w:tcW w:w="709" w:type="dxa"/>
            <w:tcBorders>
              <w:top w:val="single" w:sz="4" w:space="0" w:color="auto"/>
              <w:bottom w:val="single" w:sz="4" w:space="0" w:color="auto"/>
            </w:tcBorders>
          </w:tcPr>
          <w:p w14:paraId="4AF23057" w14:textId="02CF273D"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lastRenderedPageBreak/>
              <w:sym w:font="Wingdings" w:char="F0A8"/>
            </w:r>
          </w:p>
        </w:tc>
      </w:tr>
      <w:tr w:rsidR="00FB1D38" w14:paraId="0D89B188"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B6B376E"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7.2.4</w:t>
            </w:r>
          </w:p>
          <w:p w14:paraId="54FC563F" w14:textId="04792AAB" w:rsidR="00FB1D38" w:rsidRDefault="00FB1D38" w:rsidP="00FB1D38">
            <w:pPr>
              <w:spacing w:before="60" w:after="60"/>
              <w:ind w:left="6"/>
              <w:rPr>
                <w:rFonts w:asciiTheme="majorHAnsi" w:hAnsiTheme="majorHAnsi" w:cstheme="majorHAnsi"/>
              </w:rPr>
            </w:pPr>
            <w:r>
              <w:rPr>
                <w:rFonts w:asciiTheme="majorHAnsi" w:hAnsiTheme="majorHAnsi" w:cstheme="majorHAnsi"/>
              </w:rPr>
              <w:t>Subcontract-ing</w:t>
            </w:r>
          </w:p>
        </w:tc>
        <w:tc>
          <w:tcPr>
            <w:tcW w:w="7371" w:type="dxa"/>
            <w:tcBorders>
              <w:top w:val="single" w:sz="4" w:space="0" w:color="auto"/>
              <w:bottom w:val="single" w:sz="4" w:space="0" w:color="auto"/>
            </w:tcBorders>
          </w:tcPr>
          <w:p w14:paraId="6F85911D" w14:textId="204780B3" w:rsidR="00FB1D38" w:rsidRPr="00082F29"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330D6">
              <w:rPr>
                <w:rFonts w:ascii="Arial" w:hAnsi="Arial" w:cs="Arial"/>
                <w:szCs w:val="17"/>
              </w:rPr>
              <w:t xml:space="preserve">Agencies must require, at a minimum, statutory declarations from Contractors stating that payments have been made to subcontractors in </w:t>
            </w:r>
            <w:r>
              <w:rPr>
                <w:rFonts w:ascii="Arial" w:hAnsi="Arial" w:cs="Arial"/>
                <w:szCs w:val="17"/>
              </w:rPr>
              <w:t>the form set out in Attachment 1</w:t>
            </w:r>
            <w:r w:rsidRPr="002330D6">
              <w:rPr>
                <w:rFonts w:ascii="Arial" w:hAnsi="Arial" w:cs="Arial"/>
                <w:szCs w:val="17"/>
              </w:rPr>
              <w:t xml:space="preserve"> to Instruction 7.2.</w:t>
            </w:r>
          </w:p>
        </w:tc>
        <w:tc>
          <w:tcPr>
            <w:tcW w:w="709" w:type="dxa"/>
            <w:tcBorders>
              <w:top w:val="single" w:sz="4" w:space="0" w:color="auto"/>
              <w:bottom w:val="single" w:sz="4" w:space="0" w:color="auto"/>
            </w:tcBorders>
          </w:tcPr>
          <w:p w14:paraId="721D0AC1" w14:textId="4CFF8CF3"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F396018"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301F51D1"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7.2.5</w:t>
            </w:r>
          </w:p>
          <w:p w14:paraId="21E15656" w14:textId="614E6A6B" w:rsidR="00FB1D38" w:rsidRPr="00082F29" w:rsidRDefault="00FB1D38" w:rsidP="00FB1D38">
            <w:pPr>
              <w:pStyle w:val="Listnumindent2"/>
              <w:spacing w:before="60" w:after="60"/>
              <w:ind w:left="6"/>
            </w:pPr>
            <w:r w:rsidRPr="00082F29">
              <w:t>Liability caps and exclusions</w:t>
            </w:r>
          </w:p>
        </w:tc>
        <w:tc>
          <w:tcPr>
            <w:tcW w:w="7371" w:type="dxa"/>
            <w:tcBorders>
              <w:top w:val="single" w:sz="4" w:space="0" w:color="auto"/>
              <w:bottom w:val="single" w:sz="4" w:space="0" w:color="auto"/>
            </w:tcBorders>
          </w:tcPr>
          <w:p w14:paraId="7BB4EC4B" w14:textId="77777777" w:rsidR="00FB1D38"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A Contractor’s liability must not be excluded or limited for:</w:t>
            </w:r>
          </w:p>
          <w:p w14:paraId="66D9E870" w14:textId="77777777" w:rsidR="00FB1D38" w:rsidRPr="002A366F" w:rsidRDefault="00FB1D38" w:rsidP="00FB1D38">
            <w:pPr>
              <w:pStyle w:val="Listnumindent2"/>
              <w:numPr>
                <w:ilvl w:val="7"/>
                <w:numId w:val="84"/>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2A366F">
              <w:t>third party claims against the Principal in respect of personal injury, death, loss or damage to any property</w:t>
            </w:r>
          </w:p>
          <w:p w14:paraId="50B6FFCE" w14:textId="77777777" w:rsidR="00FB1D38" w:rsidRPr="002A366F" w:rsidRDefault="00FB1D38" w:rsidP="00FB1D38">
            <w:pPr>
              <w:pStyle w:val="Listnumindent2"/>
              <w:numPr>
                <w:ilvl w:val="7"/>
                <w:numId w:val="84"/>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2A366F">
              <w:t>wilful misconduct, wilful default, wilful neglect, gross negligence, fraud or criminal acts or omissions of the Contractor, its employees or agents;</w:t>
            </w:r>
          </w:p>
          <w:p w14:paraId="178069FD" w14:textId="77777777" w:rsidR="00FB1D38" w:rsidRPr="002A366F" w:rsidRDefault="00FB1D38" w:rsidP="00FB1D38">
            <w:pPr>
              <w:pStyle w:val="Listnumindent2"/>
              <w:numPr>
                <w:ilvl w:val="7"/>
                <w:numId w:val="84"/>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2A366F">
              <w:t>liability which cannot be excluded at law; and</w:t>
            </w:r>
          </w:p>
          <w:p w14:paraId="5CB9D684" w14:textId="346ED4D2" w:rsidR="00FB1D38" w:rsidRPr="00C7767A" w:rsidRDefault="00FB1D38" w:rsidP="00FB1D38">
            <w:pPr>
              <w:pStyle w:val="Listnumindent2"/>
              <w:numPr>
                <w:ilvl w:val="7"/>
                <w:numId w:val="84"/>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2A366F">
              <w:t>abandonment of work under the Contract by the Contractor.</w:t>
            </w:r>
          </w:p>
        </w:tc>
        <w:tc>
          <w:tcPr>
            <w:tcW w:w="709" w:type="dxa"/>
            <w:tcBorders>
              <w:top w:val="single" w:sz="4" w:space="0" w:color="auto"/>
              <w:bottom w:val="single" w:sz="4" w:space="0" w:color="auto"/>
            </w:tcBorders>
          </w:tcPr>
          <w:p w14:paraId="60677C6A" w14:textId="56EC943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27FE8C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4E1D3031" w14:textId="77777777" w:rsidR="00FB1D38" w:rsidRDefault="00FB1D38" w:rsidP="00FB1D38">
            <w:pPr>
              <w:spacing w:before="60" w:after="60"/>
              <w:rPr>
                <w:rFonts w:asciiTheme="majorHAnsi" w:hAnsiTheme="majorHAnsi" w:cstheme="majorHAnsi"/>
              </w:rPr>
            </w:pPr>
            <w:r>
              <w:rPr>
                <w:rFonts w:ascii="Arial" w:hAnsi="Arial" w:cs="Arial"/>
                <w:szCs w:val="17"/>
              </w:rPr>
              <w:t>Dir 8.1</w:t>
            </w:r>
          </w:p>
          <w:p w14:paraId="02B89395" w14:textId="7F5A813E" w:rsidR="00FB1D38" w:rsidRDefault="00FB1D38" w:rsidP="00FB1D38">
            <w:pPr>
              <w:spacing w:before="60" w:after="60"/>
              <w:ind w:left="6"/>
              <w:rPr>
                <w:rFonts w:asciiTheme="majorHAnsi" w:hAnsiTheme="majorHAnsi" w:cstheme="majorHAnsi"/>
              </w:rPr>
            </w:pPr>
            <w:r>
              <w:rPr>
                <w:rFonts w:ascii="Arial" w:hAnsi="Arial" w:cs="Arial"/>
                <w:szCs w:val="17"/>
              </w:rPr>
              <w:t>Debrief for tender participants</w:t>
            </w:r>
          </w:p>
        </w:tc>
        <w:tc>
          <w:tcPr>
            <w:tcW w:w="7371" w:type="dxa"/>
            <w:tcBorders>
              <w:top w:val="single" w:sz="4" w:space="0" w:color="auto"/>
              <w:bottom w:val="single" w:sz="4" w:space="0" w:color="auto"/>
            </w:tcBorders>
          </w:tcPr>
          <w:p w14:paraId="0E58DFA4" w14:textId="77777777" w:rsidR="00FB1D38" w:rsidRDefault="00FB1D38" w:rsidP="00FB1D38">
            <w:pPr>
              <w:pStyle w:val="Listnumindent2"/>
              <w:numPr>
                <w:ilvl w:val="7"/>
                <w:numId w:val="8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E76165">
              <w:t>At the conclusion of a process to engage a supplier to perform Works or Construction Services, Agencies must inform all tender participants of the outcome.</w:t>
            </w:r>
          </w:p>
          <w:p w14:paraId="3E909F87" w14:textId="02885D2A" w:rsidR="00C330FF" w:rsidRPr="00E76165" w:rsidRDefault="00C330FF" w:rsidP="00C330FF">
            <w:pPr>
              <w:pStyle w:val="Listnumindent2"/>
              <w:spacing w:before="60" w:after="60"/>
              <w:jc w:val="both"/>
              <w:cnfStyle w:val="000000000000" w:firstRow="0" w:lastRow="0" w:firstColumn="0" w:lastColumn="0" w:oddVBand="0" w:evenVBand="0" w:oddHBand="0" w:evenHBand="0" w:firstRowFirstColumn="0" w:firstRowLastColumn="0" w:lastRowFirstColumn="0" w:lastRowLastColumn="0"/>
            </w:pPr>
            <w:r w:rsidRPr="0063550E">
              <w:rPr>
                <w:rFonts w:asciiTheme="majorHAnsi" w:hAnsiTheme="majorHAnsi" w:cstheme="majorHAnsi"/>
                <w:i/>
              </w:rPr>
              <w:t>Issues to consider when planning a debrief appear in Instruction 8.1</w:t>
            </w:r>
          </w:p>
        </w:tc>
        <w:tc>
          <w:tcPr>
            <w:tcW w:w="709" w:type="dxa"/>
            <w:tcBorders>
              <w:top w:val="single" w:sz="4" w:space="0" w:color="auto"/>
              <w:bottom w:val="single" w:sz="4" w:space="0" w:color="auto"/>
            </w:tcBorders>
          </w:tcPr>
          <w:p w14:paraId="6D919ACF" w14:textId="5B9587DF"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449689A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13752F8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1AD0ABD" w14:textId="56FB0FBD" w:rsidR="00FB1D38" w:rsidRPr="00E76165" w:rsidRDefault="00FB1D38" w:rsidP="00FB1D38">
            <w:pPr>
              <w:pStyle w:val="Listnumindent2"/>
              <w:numPr>
                <w:ilvl w:val="7"/>
                <w:numId w:val="85"/>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E76165">
              <w:t>Agencies must offer a debrief to all tender participants and, if the offer of a debrief is accepted, ensure a debrief is provided promptly in accordance with the requirements set out in the Instructions.</w:t>
            </w:r>
          </w:p>
        </w:tc>
        <w:tc>
          <w:tcPr>
            <w:tcW w:w="709" w:type="dxa"/>
            <w:tcBorders>
              <w:top w:val="single" w:sz="4" w:space="0" w:color="auto"/>
              <w:bottom w:val="single" w:sz="4" w:space="0" w:color="auto"/>
            </w:tcBorders>
          </w:tcPr>
          <w:p w14:paraId="3681AD15" w14:textId="11D4A022"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620C4C1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5FBFEEE4" w14:textId="77777777" w:rsidR="00FB1D38" w:rsidRDefault="00FB1D38" w:rsidP="00FB1D38">
            <w:pPr>
              <w:spacing w:before="60" w:after="60"/>
              <w:rPr>
                <w:rFonts w:asciiTheme="majorHAnsi" w:hAnsiTheme="majorHAnsi" w:cstheme="majorHAnsi"/>
              </w:rPr>
            </w:pPr>
            <w:r>
              <w:rPr>
                <w:rFonts w:ascii="Arial" w:hAnsi="Arial" w:cs="Arial"/>
                <w:szCs w:val="17"/>
              </w:rPr>
              <w:t>Dir 8.2</w:t>
            </w:r>
          </w:p>
          <w:p w14:paraId="3C5F614C" w14:textId="5A49E415" w:rsidR="00FB1D38" w:rsidRDefault="00FB1D38" w:rsidP="00FB1D38">
            <w:pPr>
              <w:spacing w:before="60" w:after="60"/>
              <w:rPr>
                <w:rFonts w:asciiTheme="majorHAnsi" w:hAnsiTheme="majorHAnsi" w:cstheme="majorHAnsi"/>
              </w:rPr>
            </w:pPr>
            <w:r>
              <w:rPr>
                <w:rFonts w:ascii="Arial" w:hAnsi="Arial" w:cs="Arial"/>
                <w:szCs w:val="17"/>
              </w:rPr>
              <w:t>Supplier performance and shared reporting regime</w:t>
            </w:r>
          </w:p>
        </w:tc>
        <w:tc>
          <w:tcPr>
            <w:tcW w:w="7371" w:type="dxa"/>
            <w:tcBorders>
              <w:top w:val="single" w:sz="4" w:space="0" w:color="auto"/>
              <w:bottom w:val="single" w:sz="4" w:space="0" w:color="auto"/>
            </w:tcBorders>
          </w:tcPr>
          <w:p w14:paraId="3BD3A6F3" w14:textId="6CBDA756" w:rsidR="00FB1D38" w:rsidRPr="000C0914" w:rsidRDefault="00FB1D38" w:rsidP="00FB1D38">
            <w:pPr>
              <w:pStyle w:val="Listnumindent2"/>
              <w:numPr>
                <w:ilvl w:val="7"/>
                <w:numId w:val="8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rsidRPr="000C0914">
              <w:t>Agencies must establish appropriate processes to monitor supplier performance and to receive supplier feedback on the Agency's performance.</w:t>
            </w:r>
          </w:p>
        </w:tc>
        <w:tc>
          <w:tcPr>
            <w:tcW w:w="709" w:type="dxa"/>
            <w:tcBorders>
              <w:top w:val="single" w:sz="4" w:space="0" w:color="auto"/>
              <w:bottom w:val="single" w:sz="4" w:space="0" w:color="auto"/>
            </w:tcBorders>
          </w:tcPr>
          <w:p w14:paraId="2C62DA23" w14:textId="5E79B7A0"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665F5FA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703DE60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1AE97AD" w14:textId="6B3DF5E2" w:rsidR="00FB1D38" w:rsidRPr="000C0914" w:rsidRDefault="00FB1D38" w:rsidP="00FB1D38">
            <w:pPr>
              <w:pStyle w:val="Listnumindent2"/>
              <w:numPr>
                <w:ilvl w:val="7"/>
                <w:numId w:val="86"/>
              </w:numPr>
              <w:tabs>
                <w:tab w:val="clear" w:pos="2205"/>
              </w:tabs>
              <w:spacing w:before="60" w:after="60"/>
              <w:ind w:left="233" w:hanging="233"/>
              <w:jc w:val="left"/>
              <w:cnfStyle w:val="000000000000" w:firstRow="0" w:lastRow="0" w:firstColumn="0" w:lastColumn="0" w:oddVBand="0" w:evenVBand="0" w:oddHBand="0" w:evenHBand="0" w:firstRowFirstColumn="0" w:firstRowLastColumn="0" w:lastRowFirstColumn="0" w:lastRowLastColumn="0"/>
            </w:pPr>
            <w:r>
              <w:t>Agencies must comply with any shared reporting set out in the Instruction.</w:t>
            </w:r>
          </w:p>
        </w:tc>
        <w:tc>
          <w:tcPr>
            <w:tcW w:w="709" w:type="dxa"/>
            <w:tcBorders>
              <w:top w:val="single" w:sz="4" w:space="0" w:color="auto"/>
              <w:bottom w:val="single" w:sz="4" w:space="0" w:color="auto"/>
            </w:tcBorders>
          </w:tcPr>
          <w:p w14:paraId="71FD8882" w14:textId="05688C49"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36E268AE"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795EA83B" w14:textId="77777777" w:rsidR="00FB1D38" w:rsidRDefault="00FB1D38" w:rsidP="00FB1D38">
            <w:pPr>
              <w:spacing w:before="60" w:after="60"/>
              <w:rPr>
                <w:rFonts w:ascii="Arial" w:hAnsi="Arial" w:cs="Arial"/>
                <w:szCs w:val="17"/>
              </w:rPr>
            </w:pPr>
            <w:r>
              <w:rPr>
                <w:rFonts w:ascii="Arial" w:hAnsi="Arial" w:cs="Arial"/>
                <w:szCs w:val="17"/>
              </w:rPr>
              <w:t>Inst 8.2.1</w:t>
            </w:r>
          </w:p>
          <w:p w14:paraId="0D5A88A6" w14:textId="0D4EFE75" w:rsidR="00FB1D38" w:rsidRDefault="00FB1D38" w:rsidP="00FB1D38">
            <w:pPr>
              <w:spacing w:before="60" w:after="60"/>
              <w:rPr>
                <w:rFonts w:ascii="Arial" w:hAnsi="Arial" w:cs="Arial"/>
                <w:szCs w:val="17"/>
              </w:rPr>
            </w:pPr>
            <w:r>
              <w:rPr>
                <w:rFonts w:ascii="Arial" w:hAnsi="Arial" w:cs="Arial"/>
                <w:szCs w:val="17"/>
              </w:rPr>
              <w:t>Regime to apply to new procurement only</w:t>
            </w:r>
          </w:p>
        </w:tc>
        <w:tc>
          <w:tcPr>
            <w:tcW w:w="7371" w:type="dxa"/>
            <w:tcBorders>
              <w:top w:val="single" w:sz="4" w:space="0" w:color="auto"/>
              <w:bottom w:val="single" w:sz="4" w:space="0" w:color="auto"/>
            </w:tcBorders>
          </w:tcPr>
          <w:p w14:paraId="6538EFF1" w14:textId="01E6D762" w:rsidR="00FB1D38" w:rsidRPr="00AD10E3" w:rsidRDefault="00FB1D38" w:rsidP="00FB1D38">
            <w:pPr>
              <w:pStyle w:val="Listnumindent2"/>
              <w:spacing w:before="60" w:after="60"/>
              <w:jc w:val="left"/>
              <w:cnfStyle w:val="000000000000" w:firstRow="0" w:lastRow="0" w:firstColumn="0" w:lastColumn="0" w:oddVBand="0" w:evenVBand="0" w:oddHBand="0" w:evenHBand="0" w:firstRowFirstColumn="0" w:firstRowLastColumn="0" w:lastRowFirstColumn="0" w:lastRowLastColumn="0"/>
            </w:pPr>
            <w:r w:rsidRPr="00AD10E3">
              <w:t>Public Construction Procurement starting on or after 1 July 2018 must comply with this Instruction 8.2.</w:t>
            </w:r>
          </w:p>
        </w:tc>
        <w:tc>
          <w:tcPr>
            <w:tcW w:w="709" w:type="dxa"/>
            <w:tcBorders>
              <w:top w:val="single" w:sz="4" w:space="0" w:color="auto"/>
              <w:bottom w:val="single" w:sz="4" w:space="0" w:color="auto"/>
            </w:tcBorders>
            <w:shd w:val="clear" w:color="auto" w:fill="F2F2F2" w:themeFill="background1" w:themeFillShade="F2"/>
          </w:tcPr>
          <w:p w14:paraId="5459CDC3"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39F2E87E"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tcBorders>
          </w:tcPr>
          <w:p w14:paraId="3618FABC" w14:textId="754098A0" w:rsidR="00FB1D38" w:rsidRDefault="00FB1D38" w:rsidP="00FB1D38">
            <w:pPr>
              <w:spacing w:before="60" w:after="60"/>
              <w:rPr>
                <w:rFonts w:asciiTheme="majorHAnsi" w:hAnsiTheme="majorHAnsi" w:cstheme="majorHAnsi"/>
              </w:rPr>
            </w:pPr>
            <w:r>
              <w:rPr>
                <w:rFonts w:ascii="Arial" w:hAnsi="Arial" w:cs="Arial"/>
                <w:szCs w:val="17"/>
              </w:rPr>
              <w:t>Inst 8.2.2</w:t>
            </w:r>
          </w:p>
          <w:p w14:paraId="00A086ED" w14:textId="7757CDB8" w:rsidR="00FB1D38" w:rsidRDefault="00FB1D38" w:rsidP="00FB1D38">
            <w:pPr>
              <w:spacing w:before="60" w:after="60"/>
              <w:rPr>
                <w:rFonts w:ascii="Arial" w:hAnsi="Arial" w:cs="Arial"/>
                <w:szCs w:val="17"/>
              </w:rPr>
            </w:pPr>
            <w:r>
              <w:rPr>
                <w:rFonts w:ascii="Arial" w:hAnsi="Arial" w:cs="Arial"/>
                <w:szCs w:val="17"/>
              </w:rPr>
              <w:t>Performance reporting</w:t>
            </w:r>
          </w:p>
        </w:tc>
        <w:tc>
          <w:tcPr>
            <w:tcW w:w="7371" w:type="dxa"/>
            <w:tcBorders>
              <w:top w:val="single" w:sz="4" w:space="0" w:color="auto"/>
              <w:bottom w:val="single" w:sz="4" w:space="0" w:color="auto"/>
            </w:tcBorders>
          </w:tcPr>
          <w:p w14:paraId="43CE50A3" w14:textId="77777777" w:rsidR="00FB1D38" w:rsidRPr="008F3426" w:rsidRDefault="00FB1D38" w:rsidP="00FB1D38">
            <w:pPr>
              <w:pStyle w:val="Listnumindent2"/>
              <w:numPr>
                <w:ilvl w:val="0"/>
                <w:numId w:val="13"/>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 xml:space="preserve">In additional to any other means of assessing how suppliers perform, </w:t>
            </w:r>
            <w:r w:rsidRPr="008F3426">
              <w:rPr>
                <w:rFonts w:ascii="Arial" w:hAnsi="Arial" w:cs="Arial"/>
                <w:szCs w:val="17"/>
              </w:rPr>
              <w:t xml:space="preserve">Agencies must assess how suppliers perform using the template </w:t>
            </w:r>
            <w:r>
              <w:rPr>
                <w:rFonts w:ascii="Arial" w:hAnsi="Arial" w:cs="Arial"/>
                <w:szCs w:val="17"/>
              </w:rPr>
              <w:t xml:space="preserve">nominated by the Secretary </w:t>
            </w:r>
            <w:r w:rsidRPr="008F3426">
              <w:rPr>
                <w:rFonts w:ascii="Arial" w:hAnsi="Arial" w:cs="Arial"/>
                <w:szCs w:val="17"/>
              </w:rPr>
              <w:t>when:</w:t>
            </w:r>
          </w:p>
          <w:p w14:paraId="5CF85C72" w14:textId="77777777" w:rsidR="00FB1D38" w:rsidRPr="008F3426" w:rsidRDefault="00FB1D38" w:rsidP="00FB1D38">
            <w:pPr>
              <w:pStyle w:val="Listnumindent2"/>
              <w:numPr>
                <w:ilvl w:val="1"/>
                <w:numId w:val="13"/>
              </w:numPr>
              <w:spacing w:before="60" w:after="60"/>
              <w:ind w:left="658"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F3426">
              <w:rPr>
                <w:rFonts w:ascii="Arial" w:hAnsi="Arial" w:cs="Arial"/>
                <w:szCs w:val="17"/>
              </w:rPr>
              <w:t>for suppliers of Works - the value of the contract engaging the supplier is $500,000 (inclusive of GST) or higher, or</w:t>
            </w:r>
          </w:p>
          <w:p w14:paraId="3EFF7C72" w14:textId="77777777" w:rsidR="00FB1D38" w:rsidRPr="008F3426" w:rsidRDefault="00FB1D38" w:rsidP="00FB1D38">
            <w:pPr>
              <w:pStyle w:val="Listnumindent2"/>
              <w:numPr>
                <w:ilvl w:val="1"/>
                <w:numId w:val="13"/>
              </w:numPr>
              <w:spacing w:before="60" w:after="60"/>
              <w:ind w:left="658"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F3426">
              <w:rPr>
                <w:rFonts w:ascii="Arial" w:hAnsi="Arial" w:cs="Arial"/>
                <w:szCs w:val="17"/>
              </w:rPr>
              <w:t>for suppliers of Construction Services - the value of the contract engaging the supplier is $200,0</w:t>
            </w:r>
            <w:r>
              <w:rPr>
                <w:rFonts w:ascii="Arial" w:hAnsi="Arial" w:cs="Arial"/>
                <w:szCs w:val="17"/>
              </w:rPr>
              <w:t>00 (inclusive of GST) or higher;</w:t>
            </w:r>
          </w:p>
          <w:p w14:paraId="2964DAEF" w14:textId="6F1343B8" w:rsidR="00FB1D38" w:rsidRPr="00AD10E3" w:rsidRDefault="00FB1D38" w:rsidP="00FB1D38">
            <w:pPr>
              <w:pStyle w:val="Listnumindent2"/>
              <w:spacing w:before="60" w:after="60"/>
              <w:ind w:left="375"/>
              <w:jc w:val="left"/>
              <w:cnfStyle w:val="000000000000" w:firstRow="0" w:lastRow="0" w:firstColumn="0" w:lastColumn="0" w:oddVBand="0" w:evenVBand="0" w:oddHBand="0" w:evenHBand="0" w:firstRowFirstColumn="0" w:firstRowLastColumn="0" w:lastRowFirstColumn="0" w:lastRowLastColumn="0"/>
            </w:pPr>
            <w:r>
              <w:t>with the exception of suppliers engaged under contracts that comply with the Public Private Partnerships requirements or the Victorian Alliancing Policy.</w:t>
            </w:r>
          </w:p>
        </w:tc>
        <w:tc>
          <w:tcPr>
            <w:tcW w:w="709" w:type="dxa"/>
            <w:tcBorders>
              <w:top w:val="single" w:sz="4" w:space="0" w:color="auto"/>
              <w:bottom w:val="single" w:sz="4" w:space="0" w:color="auto"/>
            </w:tcBorders>
            <w:shd w:val="clear" w:color="auto" w:fill="auto"/>
          </w:tcPr>
          <w:p w14:paraId="1D2FDC71" w14:textId="47F603FA"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50087C92" w14:textId="77777777" w:rsidTr="00FB1D38">
        <w:tc>
          <w:tcPr>
            <w:cnfStyle w:val="001000000000" w:firstRow="0" w:lastRow="0" w:firstColumn="1" w:lastColumn="0" w:oddVBand="0" w:evenVBand="0" w:oddHBand="0" w:evenHBand="0" w:firstRowFirstColumn="0" w:firstRowLastColumn="0" w:lastRowFirstColumn="0" w:lastRowLastColumn="0"/>
            <w:tcW w:w="1191" w:type="dxa"/>
          </w:tcPr>
          <w:p w14:paraId="33BAF6A1"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26945C73" w14:textId="45C21270" w:rsidR="00FB1D38" w:rsidRPr="00AD10E3" w:rsidRDefault="00FB1D38" w:rsidP="00FB1D38">
            <w:pPr>
              <w:pStyle w:val="Listnumindent2"/>
              <w:numPr>
                <w:ilvl w:val="0"/>
                <w:numId w:val="13"/>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F3426">
              <w:rPr>
                <w:rFonts w:ascii="Arial" w:hAnsi="Arial" w:cs="Arial"/>
                <w:szCs w:val="17"/>
              </w:rPr>
              <w:t xml:space="preserve">Subject to paragraph (a), Agencies must report on how suppliers perform. Completed reports must be submitted to </w:t>
            </w:r>
            <w:r>
              <w:rPr>
                <w:rFonts w:ascii="Arial" w:hAnsi="Arial" w:cs="Arial"/>
                <w:szCs w:val="17"/>
              </w:rPr>
              <w:t xml:space="preserve">the website or system nominated by the Secretary </w:t>
            </w:r>
            <w:r w:rsidRPr="008F3426">
              <w:rPr>
                <w:rFonts w:ascii="Arial" w:hAnsi="Arial" w:cs="Arial"/>
                <w:szCs w:val="17"/>
              </w:rPr>
              <w:t>at the times set out in Instructions 8.2.2 and 8.2.3.</w:t>
            </w:r>
          </w:p>
        </w:tc>
        <w:tc>
          <w:tcPr>
            <w:tcW w:w="709" w:type="dxa"/>
            <w:tcBorders>
              <w:top w:val="single" w:sz="4" w:space="0" w:color="auto"/>
              <w:bottom w:val="single" w:sz="4" w:space="0" w:color="auto"/>
            </w:tcBorders>
          </w:tcPr>
          <w:p w14:paraId="24AB7914" w14:textId="62C0132B"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523A59AF" w14:textId="77777777" w:rsidTr="00FB1D38">
        <w:tc>
          <w:tcPr>
            <w:cnfStyle w:val="001000000000" w:firstRow="0" w:lastRow="0" w:firstColumn="1" w:lastColumn="0" w:oddVBand="0" w:evenVBand="0" w:oddHBand="0" w:evenHBand="0" w:firstRowFirstColumn="0" w:firstRowLastColumn="0" w:lastRowFirstColumn="0" w:lastRowLastColumn="0"/>
            <w:tcW w:w="1191" w:type="dxa"/>
          </w:tcPr>
          <w:p w14:paraId="24B6FAD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AC2F5F6" w14:textId="0146150E" w:rsidR="00FB1D38" w:rsidRPr="00AD10E3" w:rsidRDefault="00FB1D38" w:rsidP="00FB1D38">
            <w:pPr>
              <w:pStyle w:val="Listnumindent2"/>
              <w:numPr>
                <w:ilvl w:val="0"/>
                <w:numId w:val="13"/>
              </w:num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 xml:space="preserve">When assessing how suppliers perform Agencies must provide the </w:t>
            </w:r>
            <w:r w:rsidRPr="00AD10E3">
              <w:rPr>
                <w:rFonts w:ascii="Arial" w:hAnsi="Arial" w:cs="Arial"/>
                <w:szCs w:val="17"/>
              </w:rPr>
              <w:t>supplier</w:t>
            </w:r>
            <w:r>
              <w:t xml:space="preserve"> with an opportunity to reply to the assessment. This opportunity to reply may be time limited.</w:t>
            </w:r>
          </w:p>
        </w:tc>
        <w:tc>
          <w:tcPr>
            <w:tcW w:w="709" w:type="dxa"/>
            <w:tcBorders>
              <w:top w:val="single" w:sz="4" w:space="0" w:color="auto"/>
              <w:bottom w:val="single" w:sz="4" w:space="0" w:color="auto"/>
            </w:tcBorders>
          </w:tcPr>
          <w:p w14:paraId="446293A4" w14:textId="73F03F7A"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sym w:font="Wingdings" w:char="F0A8"/>
            </w:r>
          </w:p>
        </w:tc>
      </w:tr>
      <w:tr w:rsidR="00FB1D38" w14:paraId="05EADB3A"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1B7B03A9"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8.2.3</w:t>
            </w:r>
          </w:p>
          <w:p w14:paraId="4309AC58" w14:textId="5EDE8E4E" w:rsidR="00FB1D38" w:rsidRPr="00AD10E3" w:rsidRDefault="00FB1D38" w:rsidP="00FB1D38">
            <w:pPr>
              <w:pStyle w:val="Listnumindent2"/>
              <w:spacing w:before="60" w:after="60"/>
              <w:ind w:left="6"/>
              <w:rPr>
                <w:rFonts w:ascii="Arial" w:hAnsi="Arial" w:cs="Arial"/>
                <w:szCs w:val="17"/>
              </w:rPr>
            </w:pPr>
            <w:r w:rsidRPr="00AD10E3">
              <w:lastRenderedPageBreak/>
              <w:t>When to assess how suppliers of Works perform</w:t>
            </w:r>
          </w:p>
        </w:tc>
        <w:tc>
          <w:tcPr>
            <w:tcW w:w="7371" w:type="dxa"/>
            <w:tcBorders>
              <w:top w:val="single" w:sz="4" w:space="0" w:color="auto"/>
              <w:bottom w:val="single" w:sz="4" w:space="0" w:color="auto"/>
            </w:tcBorders>
          </w:tcPr>
          <w:p w14:paraId="50E98C00" w14:textId="77777777" w:rsidR="00FB1D38" w:rsidRPr="008F342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F3426">
              <w:rPr>
                <w:rFonts w:ascii="Arial" w:hAnsi="Arial" w:cs="Arial"/>
                <w:szCs w:val="17"/>
              </w:rPr>
              <w:lastRenderedPageBreak/>
              <w:t>Assess how suppliers of Works perform:</w:t>
            </w:r>
          </w:p>
          <w:p w14:paraId="2AACCB32" w14:textId="77777777" w:rsidR="00FB1D38" w:rsidRPr="00E73F47" w:rsidRDefault="00FB1D38" w:rsidP="00FB1D38">
            <w:pPr>
              <w:pStyle w:val="Listnumindent"/>
              <w:numPr>
                <w:ilvl w:val="6"/>
                <w:numId w:val="87"/>
              </w:numPr>
              <w:tabs>
                <w:tab w:val="clear" w:pos="1296"/>
                <w:tab w:val="num" w:pos="369"/>
              </w:tabs>
              <w:spacing w:before="60" w:after="60"/>
              <w:ind w:left="375" w:hanging="375"/>
              <w:jc w:val="left"/>
              <w:cnfStyle w:val="000000000000" w:firstRow="0" w:lastRow="0" w:firstColumn="0" w:lastColumn="0" w:oddVBand="0" w:evenVBand="0" w:oddHBand="0" w:evenHBand="0" w:firstRowFirstColumn="0" w:firstRowLastColumn="0" w:lastRowFirstColumn="0" w:lastRowLastColumn="0"/>
            </w:pPr>
            <w:r w:rsidRPr="00E73F47">
              <w:lastRenderedPageBreak/>
              <w:t>every six calendar months from the date of possession of the site until practical completion of the Works, when the expected duration of the contract engaging the supplier is 12 months or longer;</w:t>
            </w:r>
          </w:p>
          <w:p w14:paraId="41FC05EB" w14:textId="77777777" w:rsidR="00FB1D38" w:rsidRPr="00A51491"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A51491">
              <w:t>within 30 days of the date for practical completion of the Works;</w:t>
            </w:r>
          </w:p>
          <w:p w14:paraId="7C7BF085" w14:textId="77777777" w:rsidR="00FB1D38" w:rsidRPr="00A51491"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A51491">
              <w:t>within 30 days of the end of the defects liability period for the Works; and</w:t>
            </w:r>
          </w:p>
          <w:p w14:paraId="39C70A97" w14:textId="77777777" w:rsidR="00FB1D38" w:rsidRPr="00A51491"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A51491">
              <w:t>at any time when a significant issue affecting the supplier’s performance arises.</w:t>
            </w:r>
          </w:p>
          <w:p w14:paraId="6525935E" w14:textId="7D134360" w:rsidR="00FB1D38" w:rsidRPr="008F3426"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8F3426">
              <w:rPr>
                <w:rFonts w:ascii="Arial" w:hAnsi="Arial" w:cs="Arial"/>
                <w:szCs w:val="17"/>
              </w:rPr>
              <w:t>If a performance report required under paragraph (a) is due to fall within two calendar months of the performance report required at practical completion of the Works, only the performance report at practical completion of the Works need be completed.</w:t>
            </w:r>
          </w:p>
        </w:tc>
        <w:tc>
          <w:tcPr>
            <w:tcW w:w="709" w:type="dxa"/>
            <w:tcBorders>
              <w:top w:val="single" w:sz="4" w:space="0" w:color="auto"/>
              <w:bottom w:val="single" w:sz="4" w:space="0" w:color="auto"/>
            </w:tcBorders>
          </w:tcPr>
          <w:p w14:paraId="6D937076" w14:textId="361F9051"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82B2D">
              <w:rPr>
                <w:rFonts w:asciiTheme="majorHAnsi" w:hAnsiTheme="majorHAnsi" w:cstheme="majorHAnsi"/>
                <w:sz w:val="20"/>
                <w:szCs w:val="20"/>
              </w:rPr>
              <w:lastRenderedPageBreak/>
              <w:sym w:font="Wingdings" w:char="F0A8"/>
            </w:r>
          </w:p>
        </w:tc>
      </w:tr>
      <w:tr w:rsidR="00FB1D38" w14:paraId="79269FEB"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1C696A1E" w14:textId="77777777" w:rsidR="00FB1D38" w:rsidRDefault="00FB1D38" w:rsidP="00FB1D38">
            <w:pPr>
              <w:spacing w:before="60" w:after="60"/>
              <w:rPr>
                <w:rFonts w:asciiTheme="majorHAnsi" w:hAnsiTheme="majorHAnsi" w:cstheme="majorHAnsi"/>
              </w:rPr>
            </w:pPr>
            <w:r>
              <w:rPr>
                <w:rFonts w:asciiTheme="majorHAnsi" w:hAnsiTheme="majorHAnsi" w:cstheme="majorHAnsi"/>
              </w:rPr>
              <w:t>Inst 8.2.4</w:t>
            </w:r>
          </w:p>
          <w:p w14:paraId="412C7783" w14:textId="14D19EC5" w:rsidR="00FB1D38" w:rsidRPr="00E73F47" w:rsidRDefault="00FB1D38" w:rsidP="00FB1D38">
            <w:pPr>
              <w:pStyle w:val="Listnumindent2"/>
              <w:spacing w:before="60" w:after="60"/>
              <w:ind w:left="6"/>
              <w:rPr>
                <w:rFonts w:ascii="Arial" w:hAnsi="Arial" w:cs="Arial"/>
                <w:szCs w:val="17"/>
              </w:rPr>
            </w:pPr>
            <w:r w:rsidRPr="00E73F47">
              <w:t>When to assess how suppliers of Construction Services perform</w:t>
            </w:r>
          </w:p>
        </w:tc>
        <w:tc>
          <w:tcPr>
            <w:tcW w:w="7371" w:type="dxa"/>
            <w:tcBorders>
              <w:top w:val="single" w:sz="4" w:space="0" w:color="auto"/>
              <w:bottom w:val="single" w:sz="4" w:space="0" w:color="auto"/>
            </w:tcBorders>
          </w:tcPr>
          <w:p w14:paraId="258D933F" w14:textId="77777777" w:rsidR="00FB1D38" w:rsidRPr="00314BFF"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14BFF">
              <w:rPr>
                <w:rFonts w:ascii="Arial" w:hAnsi="Arial" w:cs="Arial"/>
                <w:szCs w:val="17"/>
              </w:rPr>
              <w:t>Assess how suppliers of Construction Services perform:</w:t>
            </w:r>
          </w:p>
          <w:p w14:paraId="4356AC7B" w14:textId="77777777" w:rsidR="00FB1D38" w:rsidRPr="00314BFF" w:rsidRDefault="00FB1D38" w:rsidP="00FB1D38">
            <w:pPr>
              <w:pStyle w:val="Listnumindent"/>
              <w:numPr>
                <w:ilvl w:val="6"/>
                <w:numId w:val="12"/>
              </w:numPr>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314BFF">
              <w:t>every six calendar months, when the expected duration of the contract engaging the supplier of Construction Services is 12 months or longer;</w:t>
            </w:r>
          </w:p>
          <w:p w14:paraId="6F23C74B" w14:textId="77777777" w:rsidR="00FB1D38" w:rsidRPr="00314BFF"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314BFF">
              <w:t>within 30 days of the end of the contract engaging the supplier of Construction Services;</w:t>
            </w:r>
          </w:p>
          <w:p w14:paraId="4AA17591" w14:textId="77777777" w:rsidR="00FB1D38" w:rsidRPr="00314BFF"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314BFF">
              <w:t>for suppliers of Construction Services engaged as designers of buildings or infrastructure - within 30 days of the date when the later of the final design or working drawings and related documents (such as the specification) are submitted;</w:t>
            </w:r>
          </w:p>
          <w:p w14:paraId="2F28161E" w14:textId="77777777" w:rsidR="00FB1D38" w:rsidRPr="00314BFF"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314BFF">
              <w:t>for suppliers of Construction Services where their services affect the delivery of buildings or infrastructure -</w:t>
            </w:r>
          </w:p>
          <w:p w14:paraId="2FE53997" w14:textId="2227C3BD" w:rsidR="00FB1D38" w:rsidRPr="00314BFF" w:rsidRDefault="00FB1D38" w:rsidP="00FB1D38">
            <w:pPr>
              <w:pStyle w:val="Listnumindent"/>
              <w:numPr>
                <w:ilvl w:val="1"/>
                <w:numId w:val="15"/>
              </w:numPr>
              <w:tabs>
                <w:tab w:val="clear" w:pos="1781"/>
              </w:tabs>
              <w:spacing w:before="60" w:after="60"/>
              <w:ind w:left="658" w:hanging="283"/>
              <w:jc w:val="left"/>
              <w:cnfStyle w:val="000000000000" w:firstRow="0" w:lastRow="0" w:firstColumn="0" w:lastColumn="0" w:oddVBand="0" w:evenVBand="0" w:oddHBand="0" w:evenHBand="0" w:firstRowFirstColumn="0" w:firstRowLastColumn="0" w:lastRowFirstColumn="0" w:lastRowLastColumn="0"/>
            </w:pPr>
            <w:r w:rsidRPr="00314BFF">
              <w:t>within 30 days of the date for practical completion of the Works; and</w:t>
            </w:r>
          </w:p>
          <w:p w14:paraId="07DF34A5" w14:textId="77777777" w:rsidR="00FB1D38" w:rsidRPr="00314BFF" w:rsidRDefault="00FB1D38" w:rsidP="00FB1D38">
            <w:pPr>
              <w:pStyle w:val="Listnumindent"/>
              <w:numPr>
                <w:ilvl w:val="1"/>
                <w:numId w:val="15"/>
              </w:numPr>
              <w:tabs>
                <w:tab w:val="clear" w:pos="1781"/>
              </w:tabs>
              <w:spacing w:before="60" w:after="60"/>
              <w:ind w:left="658" w:hanging="283"/>
              <w:jc w:val="left"/>
              <w:cnfStyle w:val="000000000000" w:firstRow="0" w:lastRow="0" w:firstColumn="0" w:lastColumn="0" w:oddVBand="0" w:evenVBand="0" w:oddHBand="0" w:evenHBand="0" w:firstRowFirstColumn="0" w:firstRowLastColumn="0" w:lastRowFirstColumn="0" w:lastRowLastColumn="0"/>
            </w:pPr>
            <w:r w:rsidRPr="00314BFF">
              <w:t>within 30 days of the end of the defects liability period for the Works;</w:t>
            </w:r>
          </w:p>
          <w:p w14:paraId="18F348CE" w14:textId="77777777" w:rsidR="00FB1D38" w:rsidRPr="00314BFF" w:rsidRDefault="00FB1D38" w:rsidP="00FB1D38">
            <w:pPr>
              <w:pStyle w:val="Listnumindent"/>
              <w:tabs>
                <w:tab w:val="clear" w:pos="1296"/>
                <w:tab w:val="num" w:pos="369"/>
              </w:tabs>
              <w:spacing w:before="60" w:after="60"/>
              <w:ind w:left="369" w:hanging="369"/>
              <w:jc w:val="left"/>
              <w:cnfStyle w:val="000000000000" w:firstRow="0" w:lastRow="0" w:firstColumn="0" w:lastColumn="0" w:oddVBand="0" w:evenVBand="0" w:oddHBand="0" w:evenHBand="0" w:firstRowFirstColumn="0" w:firstRowLastColumn="0" w:lastRowFirstColumn="0" w:lastRowLastColumn="0"/>
            </w:pPr>
            <w:r w:rsidRPr="00314BFF">
              <w:t>at any time when a significant issue affecting the supplier’s performance arises.</w:t>
            </w:r>
          </w:p>
          <w:p w14:paraId="61F1A199" w14:textId="483CB66A" w:rsidR="00FB1D38" w:rsidRPr="008F3426" w:rsidRDefault="00FB1D38" w:rsidP="00FB1D38">
            <w:pPr>
              <w:pStyle w:val="Listnumindent2"/>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14BFF">
              <w:rPr>
                <w:rFonts w:ascii="Arial" w:hAnsi="Arial" w:cs="Arial"/>
                <w:szCs w:val="17"/>
              </w:rPr>
              <w:t>If two performance reports are required within 2 calendar months of each other, only the later of the two reports need be completed</w:t>
            </w:r>
            <w:r>
              <w:t>.</w:t>
            </w:r>
          </w:p>
        </w:tc>
        <w:tc>
          <w:tcPr>
            <w:tcW w:w="709" w:type="dxa"/>
            <w:tcBorders>
              <w:top w:val="single" w:sz="4" w:space="0" w:color="auto"/>
              <w:bottom w:val="single" w:sz="4" w:space="0" w:color="auto"/>
            </w:tcBorders>
          </w:tcPr>
          <w:p w14:paraId="0DD14F97"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0E3BAD69"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191E6525" w14:textId="77777777" w:rsidR="00FB1D38" w:rsidRDefault="00FB1D38" w:rsidP="00FB1D38">
            <w:pPr>
              <w:spacing w:before="60" w:after="60"/>
              <w:rPr>
                <w:rFonts w:asciiTheme="majorHAnsi" w:hAnsiTheme="majorHAnsi" w:cstheme="majorHAnsi"/>
              </w:rPr>
            </w:pPr>
            <w:r>
              <w:rPr>
                <w:rFonts w:ascii="Arial" w:hAnsi="Arial" w:cs="Arial"/>
                <w:szCs w:val="17"/>
              </w:rPr>
              <w:t>Dir 8.3</w:t>
            </w:r>
          </w:p>
          <w:p w14:paraId="3E1B08DE" w14:textId="77777777" w:rsidR="00FB1D38" w:rsidRDefault="00FB1D38" w:rsidP="00FB1D38">
            <w:pPr>
              <w:spacing w:before="60" w:after="60"/>
              <w:rPr>
                <w:rFonts w:asciiTheme="majorHAnsi" w:hAnsiTheme="majorHAnsi" w:cstheme="majorHAnsi"/>
              </w:rPr>
            </w:pPr>
            <w:r>
              <w:rPr>
                <w:rFonts w:ascii="Arial" w:hAnsi="Arial" w:cs="Arial"/>
                <w:szCs w:val="17"/>
              </w:rPr>
              <w:t>Complaints</w:t>
            </w:r>
          </w:p>
        </w:tc>
        <w:tc>
          <w:tcPr>
            <w:tcW w:w="7371" w:type="dxa"/>
            <w:tcBorders>
              <w:top w:val="single" w:sz="4" w:space="0" w:color="auto"/>
              <w:bottom w:val="single" w:sz="4" w:space="0" w:color="auto"/>
            </w:tcBorders>
          </w:tcPr>
          <w:p w14:paraId="2E3010FB" w14:textId="77777777" w:rsidR="00FB1D38"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C7753">
              <w:rPr>
                <w:rFonts w:ascii="Arial" w:hAnsi="Arial" w:cs="Arial"/>
                <w:szCs w:val="17"/>
              </w:rPr>
              <w:t>Agencies must establish appropriate processes to respond to complaints raised by tender participants (and potential participants) about the conduct of Public Construction Procurement by the Agency.</w:t>
            </w:r>
          </w:p>
        </w:tc>
        <w:tc>
          <w:tcPr>
            <w:tcW w:w="709" w:type="dxa"/>
            <w:tcBorders>
              <w:top w:val="single" w:sz="4" w:space="0" w:color="auto"/>
              <w:bottom w:val="single" w:sz="4" w:space="0" w:color="auto"/>
            </w:tcBorders>
          </w:tcPr>
          <w:p w14:paraId="050828FB"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36438824"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798AB4E2" w14:textId="77777777" w:rsidR="00FB1D38" w:rsidRDefault="00FB1D38" w:rsidP="00FB1D38">
            <w:pPr>
              <w:spacing w:before="60" w:after="60"/>
              <w:rPr>
                <w:rFonts w:asciiTheme="majorHAnsi" w:hAnsiTheme="majorHAnsi" w:cstheme="majorHAnsi"/>
              </w:rPr>
            </w:pPr>
            <w:r>
              <w:rPr>
                <w:rFonts w:ascii="Arial" w:hAnsi="Arial" w:cs="Arial"/>
                <w:szCs w:val="17"/>
              </w:rPr>
              <w:t>Inst 8.3</w:t>
            </w:r>
          </w:p>
          <w:p w14:paraId="594A3F75" w14:textId="77777777" w:rsidR="00FB1D38" w:rsidRDefault="00FB1D38" w:rsidP="00FB1D38">
            <w:pPr>
              <w:spacing w:before="60" w:after="60"/>
              <w:rPr>
                <w:rFonts w:asciiTheme="majorHAnsi" w:hAnsiTheme="majorHAnsi" w:cstheme="majorHAnsi"/>
              </w:rPr>
            </w:pPr>
            <w:r>
              <w:rPr>
                <w:rFonts w:ascii="Arial" w:hAnsi="Arial" w:cs="Arial"/>
                <w:szCs w:val="17"/>
              </w:rPr>
              <w:t>Complaints</w:t>
            </w:r>
          </w:p>
        </w:tc>
        <w:tc>
          <w:tcPr>
            <w:tcW w:w="7371" w:type="dxa"/>
            <w:tcBorders>
              <w:top w:val="single" w:sz="4" w:space="0" w:color="auto"/>
              <w:bottom w:val="single" w:sz="4" w:space="0" w:color="auto"/>
            </w:tcBorders>
          </w:tcPr>
          <w:p w14:paraId="10714100" w14:textId="77777777" w:rsidR="00FB1D38" w:rsidRPr="00CC09C4"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pPr>
            <w:r w:rsidRPr="004C7753">
              <w:rPr>
                <w:rFonts w:ascii="Arial" w:hAnsi="Arial" w:cs="Arial"/>
                <w:szCs w:val="17"/>
              </w:rPr>
              <w:t>Agencies must ensure that they handle complaints from suppliers and potential suppliers in an appropriate manner.</w:t>
            </w:r>
          </w:p>
        </w:tc>
        <w:tc>
          <w:tcPr>
            <w:tcW w:w="709" w:type="dxa"/>
            <w:tcBorders>
              <w:top w:val="single" w:sz="4" w:space="0" w:color="auto"/>
              <w:bottom w:val="single" w:sz="4" w:space="0" w:color="auto"/>
            </w:tcBorders>
          </w:tcPr>
          <w:p w14:paraId="63D75A24"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73D1A92F"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68BF7DC2" w14:textId="77777777" w:rsidR="00FB1D38" w:rsidRDefault="00FB1D38" w:rsidP="00FB1D38">
            <w:pPr>
              <w:spacing w:before="60" w:after="60"/>
              <w:rPr>
                <w:rFonts w:asciiTheme="majorHAnsi" w:hAnsiTheme="majorHAnsi" w:cstheme="majorHAnsi"/>
              </w:rPr>
            </w:pPr>
            <w:r>
              <w:rPr>
                <w:rFonts w:ascii="Arial" w:hAnsi="Arial" w:cs="Arial"/>
                <w:szCs w:val="17"/>
              </w:rPr>
              <w:t>Dir 9.1</w:t>
            </w:r>
          </w:p>
          <w:p w14:paraId="154872EA" w14:textId="77777777" w:rsidR="00FB1D38" w:rsidRDefault="00FB1D38" w:rsidP="00FB1D38">
            <w:pPr>
              <w:spacing w:before="60" w:after="60"/>
              <w:rPr>
                <w:rFonts w:asciiTheme="majorHAnsi" w:hAnsiTheme="majorHAnsi" w:cstheme="majorHAnsi"/>
              </w:rPr>
            </w:pPr>
            <w:r>
              <w:rPr>
                <w:rFonts w:ascii="Arial" w:hAnsi="Arial" w:cs="Arial"/>
                <w:szCs w:val="17"/>
              </w:rPr>
              <w:t>Standards for public construction</w:t>
            </w:r>
          </w:p>
        </w:tc>
        <w:tc>
          <w:tcPr>
            <w:tcW w:w="7371" w:type="dxa"/>
            <w:tcBorders>
              <w:top w:val="single" w:sz="4" w:space="0" w:color="auto"/>
              <w:bottom w:val="single" w:sz="4" w:space="0" w:color="auto"/>
            </w:tcBorders>
          </w:tcPr>
          <w:p w14:paraId="176D4304" w14:textId="3EF5266E" w:rsidR="00FB1D38" w:rsidRPr="00CC09C4" w:rsidRDefault="00FB1D38" w:rsidP="00FB1D38">
            <w:pPr>
              <w:spacing w:before="60" w:after="60"/>
              <w:ind w:left="375" w:hanging="375"/>
              <w:jc w:val="left"/>
              <w:cnfStyle w:val="000000000000" w:firstRow="0" w:lastRow="0" w:firstColumn="0" w:lastColumn="0" w:oddVBand="0" w:evenVBand="0" w:oddHBand="0" w:evenHBand="0" w:firstRowFirstColumn="0" w:firstRowLastColumn="0" w:lastRowFirstColumn="0" w:lastRowLastColumn="0"/>
            </w:pPr>
            <w:r>
              <w:rPr>
                <w:rFonts w:ascii="Arial" w:hAnsi="Arial" w:cs="Arial"/>
                <w:szCs w:val="17"/>
              </w:rPr>
              <w:t>(b)</w:t>
            </w:r>
            <w:r>
              <w:rPr>
                <w:rFonts w:ascii="Arial" w:hAnsi="Arial" w:cs="Arial"/>
                <w:szCs w:val="17"/>
              </w:rPr>
              <w:tab/>
            </w:r>
            <w:r w:rsidRPr="004B2B50">
              <w:rPr>
                <w:rFonts w:ascii="Arial" w:hAnsi="Arial" w:cs="Arial"/>
                <w:szCs w:val="17"/>
              </w:rPr>
              <w:t>Where relevant, Agencies must ensure compliance with any Standard set out in Instruction</w:t>
            </w:r>
            <w:r>
              <w:rPr>
                <w:rFonts w:ascii="Arial" w:hAnsi="Arial" w:cs="Arial"/>
                <w:szCs w:val="17"/>
              </w:rPr>
              <w:t xml:space="preserve"> 9</w:t>
            </w:r>
            <w:r w:rsidRPr="004B2B50">
              <w:rPr>
                <w:rFonts w:ascii="Arial" w:hAnsi="Arial" w:cs="Arial"/>
                <w:szCs w:val="17"/>
              </w:rPr>
              <w:t>.</w:t>
            </w:r>
          </w:p>
        </w:tc>
        <w:tc>
          <w:tcPr>
            <w:tcW w:w="709" w:type="dxa"/>
            <w:tcBorders>
              <w:top w:val="single" w:sz="4" w:space="0" w:color="auto"/>
              <w:bottom w:val="single" w:sz="4" w:space="0" w:color="auto"/>
            </w:tcBorders>
          </w:tcPr>
          <w:p w14:paraId="55B0B948"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205AC35E" w14:textId="77777777" w:rsidTr="00FB1D38">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bottom w:val="single" w:sz="4" w:space="0" w:color="auto"/>
            </w:tcBorders>
          </w:tcPr>
          <w:p w14:paraId="22FF2D80" w14:textId="77777777" w:rsidR="00FB1D38" w:rsidRDefault="00FB1D38" w:rsidP="00FB1D38">
            <w:pPr>
              <w:spacing w:before="60" w:after="60"/>
              <w:rPr>
                <w:rFonts w:asciiTheme="majorHAnsi" w:hAnsiTheme="majorHAnsi" w:cstheme="majorHAnsi"/>
              </w:rPr>
            </w:pPr>
            <w:r>
              <w:rPr>
                <w:rFonts w:ascii="Arial" w:hAnsi="Arial" w:cs="Arial"/>
                <w:szCs w:val="17"/>
              </w:rPr>
              <w:t>Inst 9.1</w:t>
            </w:r>
          </w:p>
          <w:p w14:paraId="3281470A" w14:textId="77777777" w:rsidR="00FB1D38" w:rsidRDefault="00FB1D38" w:rsidP="00FB1D38">
            <w:pPr>
              <w:spacing w:before="60" w:after="60"/>
              <w:rPr>
                <w:rFonts w:asciiTheme="majorHAnsi" w:hAnsiTheme="majorHAnsi" w:cstheme="majorHAnsi"/>
              </w:rPr>
            </w:pPr>
            <w:r>
              <w:rPr>
                <w:rFonts w:ascii="Arial" w:hAnsi="Arial" w:cs="Arial"/>
                <w:szCs w:val="17"/>
              </w:rPr>
              <w:t>Standard for constructing a community fire refuge</w:t>
            </w:r>
          </w:p>
        </w:tc>
        <w:tc>
          <w:tcPr>
            <w:tcW w:w="7371" w:type="dxa"/>
            <w:tcBorders>
              <w:top w:val="single" w:sz="4" w:space="0" w:color="auto"/>
              <w:bottom w:val="single" w:sz="4" w:space="0" w:color="auto"/>
            </w:tcBorders>
          </w:tcPr>
          <w:p w14:paraId="248F25AC" w14:textId="77777777" w:rsidR="00FB1D38" w:rsidRPr="002824DF"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824DF">
              <w:rPr>
                <w:rFonts w:ascii="Arial" w:hAnsi="Arial" w:cs="Arial"/>
                <w:szCs w:val="17"/>
              </w:rPr>
              <w:t xml:space="preserve">This Standard applies to public construction (as defined in the </w:t>
            </w:r>
            <w:r w:rsidRPr="002824DF">
              <w:rPr>
                <w:rFonts w:ascii="Arial" w:hAnsi="Arial" w:cs="Arial"/>
                <w:b/>
                <w:szCs w:val="17"/>
              </w:rPr>
              <w:t>Project Development and Construction Management Act 1994 (Vic)</w:t>
            </w:r>
            <w:r w:rsidRPr="002824DF">
              <w:rPr>
                <w:rFonts w:ascii="Arial" w:hAnsi="Arial" w:cs="Arial"/>
                <w:szCs w:val="17"/>
              </w:rPr>
              <w:t>, by or on behalf of Agencies, of any building to be used as a community fire refuge.</w:t>
            </w:r>
          </w:p>
          <w:p w14:paraId="22A50590" w14:textId="7C89DC88" w:rsidR="00FB1D38"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2824DF">
              <w:rPr>
                <w:rFonts w:ascii="Arial" w:hAnsi="Arial" w:cs="Arial"/>
                <w:szCs w:val="17"/>
              </w:rPr>
              <w:t xml:space="preserve">Community fire refuge has the meaning given to it in section 50A of the </w:t>
            </w:r>
            <w:r w:rsidRPr="002824DF">
              <w:rPr>
                <w:rFonts w:ascii="Arial" w:hAnsi="Arial" w:cs="Arial"/>
                <w:b/>
                <w:szCs w:val="17"/>
              </w:rPr>
              <w:t>Country Fire Authority Act</w:t>
            </w:r>
            <w:r w:rsidRPr="002824DF">
              <w:rPr>
                <w:rFonts w:ascii="Arial" w:hAnsi="Arial" w:cs="Arial"/>
                <w:szCs w:val="17"/>
              </w:rPr>
              <w:t>.</w:t>
            </w:r>
          </w:p>
          <w:p w14:paraId="5E4BC387" w14:textId="107E5F39" w:rsidR="00FB1D38" w:rsidRPr="000E7973" w:rsidRDefault="00FB1D38" w:rsidP="00FB1D3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Pr>
                <w:rFonts w:ascii="Arial" w:hAnsi="Arial" w:cs="Arial"/>
                <w:szCs w:val="17"/>
              </w:rPr>
              <w:t>The object and performance requirements for constructing a community fire refuge are set out in instruction 9.1.</w:t>
            </w:r>
          </w:p>
        </w:tc>
        <w:tc>
          <w:tcPr>
            <w:tcW w:w="709" w:type="dxa"/>
            <w:tcBorders>
              <w:top w:val="single" w:sz="4" w:space="0" w:color="auto"/>
              <w:bottom w:val="single" w:sz="4" w:space="0" w:color="auto"/>
            </w:tcBorders>
          </w:tcPr>
          <w:p w14:paraId="1B98EA89" w14:textId="77777777" w:rsidR="00FB1D38" w:rsidRPr="00082B2D"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82B2D">
              <w:rPr>
                <w:rFonts w:asciiTheme="majorHAnsi" w:hAnsiTheme="majorHAnsi" w:cstheme="majorHAnsi"/>
                <w:sz w:val="20"/>
                <w:szCs w:val="20"/>
              </w:rPr>
              <w:sym w:font="Wingdings" w:char="F0A8"/>
            </w:r>
          </w:p>
        </w:tc>
      </w:tr>
      <w:tr w:rsidR="00FB1D38" w14:paraId="2051217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6212AD56" w14:textId="77777777" w:rsidR="00FB1D38" w:rsidRDefault="00FB1D38" w:rsidP="00FB1D38">
            <w:pPr>
              <w:spacing w:before="60" w:after="60"/>
              <w:rPr>
                <w:rFonts w:asciiTheme="majorHAnsi" w:hAnsiTheme="majorHAnsi" w:cstheme="majorHAnsi"/>
              </w:rPr>
            </w:pPr>
            <w:r>
              <w:rPr>
                <w:rFonts w:ascii="Arial" w:hAnsi="Arial" w:cs="Arial"/>
                <w:szCs w:val="17"/>
              </w:rPr>
              <w:t>Dir 10.1</w:t>
            </w:r>
          </w:p>
          <w:p w14:paraId="27C94FDE" w14:textId="0190B555" w:rsidR="00FB1D38" w:rsidRDefault="00FB1D38" w:rsidP="00FB1D38">
            <w:pPr>
              <w:spacing w:before="60" w:after="60"/>
              <w:rPr>
                <w:rFonts w:asciiTheme="majorHAnsi" w:hAnsiTheme="majorHAnsi" w:cstheme="majorHAnsi"/>
              </w:rPr>
            </w:pPr>
            <w:r>
              <w:rPr>
                <w:rFonts w:ascii="Arial" w:hAnsi="Arial" w:cs="Arial"/>
                <w:szCs w:val="17"/>
              </w:rPr>
              <w:t>Responsibilities of the Accountable Officer</w:t>
            </w:r>
          </w:p>
        </w:tc>
        <w:tc>
          <w:tcPr>
            <w:tcW w:w="7371" w:type="dxa"/>
            <w:tcBorders>
              <w:top w:val="single" w:sz="4" w:space="0" w:color="auto"/>
              <w:bottom w:val="single" w:sz="4" w:space="0" w:color="auto"/>
            </w:tcBorders>
          </w:tcPr>
          <w:p w14:paraId="637E6A90" w14:textId="2EFE5C8C" w:rsidR="00FB1D38" w:rsidRPr="009B53E3"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The Accountable Officer of each Agency must, with respect to their Agency:</w:t>
            </w:r>
          </w:p>
        </w:tc>
        <w:tc>
          <w:tcPr>
            <w:tcW w:w="709" w:type="dxa"/>
            <w:tcBorders>
              <w:top w:val="single" w:sz="4" w:space="0" w:color="auto"/>
              <w:bottom w:val="single" w:sz="4" w:space="0" w:color="auto"/>
            </w:tcBorders>
            <w:shd w:val="clear" w:color="auto" w:fill="F2F2F2" w:themeFill="background1" w:themeFillShade="F2"/>
          </w:tcPr>
          <w:p w14:paraId="77146B8F" w14:textId="27D11A6A"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B1D38" w14:paraId="0C7DF4F9"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49E44CE"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6C27406" w14:textId="7E19F80C" w:rsidR="00FB1D38" w:rsidRPr="009B53E3" w:rsidRDefault="00FB1D38" w:rsidP="00FB1D38">
            <w:pPr>
              <w:pStyle w:val="Listnumindent"/>
              <w:numPr>
                <w:ilvl w:val="6"/>
                <w:numId w:val="13"/>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ensure the Agency is appropriately resourced with staff qualified and skilled to undertake Public Construction Procurement;</w:t>
            </w:r>
          </w:p>
        </w:tc>
        <w:tc>
          <w:tcPr>
            <w:tcW w:w="709" w:type="dxa"/>
            <w:tcBorders>
              <w:top w:val="single" w:sz="4" w:space="0" w:color="auto"/>
              <w:bottom w:val="single" w:sz="4" w:space="0" w:color="auto"/>
            </w:tcBorders>
          </w:tcPr>
          <w:p w14:paraId="6CE9ADD8" w14:textId="1BEF1300"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5FFE730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2893B2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5AF90A6" w14:textId="4AB14E98" w:rsidR="00FB1D38" w:rsidRPr="009B53E3" w:rsidRDefault="00FB1D38" w:rsidP="00FB1D38">
            <w:pPr>
              <w:pStyle w:val="Listnumindent"/>
              <w:numPr>
                <w:ilvl w:val="6"/>
                <w:numId w:val="13"/>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establish appropriate and effective governance frameworks to ensure compliance with these Directions and Instructions including appropriate record management systems;</w:t>
            </w:r>
          </w:p>
        </w:tc>
        <w:tc>
          <w:tcPr>
            <w:tcW w:w="709" w:type="dxa"/>
            <w:tcBorders>
              <w:top w:val="single" w:sz="4" w:space="0" w:color="auto"/>
              <w:bottom w:val="single" w:sz="4" w:space="0" w:color="auto"/>
            </w:tcBorders>
          </w:tcPr>
          <w:p w14:paraId="7B4D1AB3" w14:textId="3DB8AD35"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10F1E65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D7D4894"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A5638BE" w14:textId="40B6138F" w:rsidR="00FB1D38" w:rsidRPr="009B53E3" w:rsidRDefault="00FB1D38" w:rsidP="00FB1D38">
            <w:pPr>
              <w:pStyle w:val="Listnumindent"/>
              <w:numPr>
                <w:ilvl w:val="6"/>
                <w:numId w:val="13"/>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ensure appropriate responsibility, authority and accountability for Public Construction Procurement is defined and allocated within the Accountable Officer's operating frameworks, including documenting:</w:t>
            </w:r>
          </w:p>
        </w:tc>
        <w:tc>
          <w:tcPr>
            <w:tcW w:w="709" w:type="dxa"/>
            <w:tcBorders>
              <w:top w:val="single" w:sz="4" w:space="0" w:color="auto"/>
              <w:bottom w:val="single" w:sz="4" w:space="0" w:color="auto"/>
            </w:tcBorders>
          </w:tcPr>
          <w:p w14:paraId="58CBCF47" w14:textId="70D9ABA8"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096C3CB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76A557F"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55E8D8E" w14:textId="29B98617" w:rsidR="00FB1D38" w:rsidRPr="009B53E3" w:rsidRDefault="00FB1D38" w:rsidP="00FB1D38">
            <w:pPr>
              <w:pStyle w:val="Listnumindent2"/>
              <w:numPr>
                <w:ilvl w:val="7"/>
                <w:numId w:val="14"/>
              </w:numPr>
              <w:tabs>
                <w:tab w:val="clear" w:pos="2205"/>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who is responsible for monitoring compliance with these Directions and Instructions;</w:t>
            </w:r>
          </w:p>
        </w:tc>
        <w:tc>
          <w:tcPr>
            <w:tcW w:w="709" w:type="dxa"/>
            <w:tcBorders>
              <w:top w:val="single" w:sz="4" w:space="0" w:color="auto"/>
              <w:bottom w:val="single" w:sz="4" w:space="0" w:color="auto"/>
            </w:tcBorders>
          </w:tcPr>
          <w:p w14:paraId="67693EB3" w14:textId="699B5154"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6588A185"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49F2FC16"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09BDA193" w14:textId="039FB59A" w:rsidR="00FB1D38" w:rsidRPr="009B53E3" w:rsidRDefault="00FB1D38" w:rsidP="00FB1D38">
            <w:pPr>
              <w:pStyle w:val="Listnumindent2"/>
              <w:numPr>
                <w:ilvl w:val="7"/>
                <w:numId w:val="14"/>
              </w:numPr>
              <w:tabs>
                <w:tab w:val="clear" w:pos="220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ensuring systems and processes to support compliance with these Directions and Instructions are in place; and</w:t>
            </w:r>
          </w:p>
        </w:tc>
        <w:tc>
          <w:tcPr>
            <w:tcW w:w="709" w:type="dxa"/>
            <w:tcBorders>
              <w:top w:val="single" w:sz="4" w:space="0" w:color="auto"/>
              <w:bottom w:val="single" w:sz="4" w:space="0" w:color="auto"/>
            </w:tcBorders>
          </w:tcPr>
          <w:p w14:paraId="4AEC461D" w14:textId="068BE2C1"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4D96386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B49BE00"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770AC65C" w14:textId="70E0315E" w:rsidR="00FB1D38" w:rsidRPr="009B53E3" w:rsidRDefault="00FB1D38" w:rsidP="00FB1D38">
            <w:pPr>
              <w:pStyle w:val="Listnumindent2"/>
              <w:numPr>
                <w:ilvl w:val="7"/>
                <w:numId w:val="14"/>
              </w:numPr>
              <w:tabs>
                <w:tab w:val="clear" w:pos="2205"/>
                <w:tab w:val="num" w:pos="877"/>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who is responsible and accountable for decision-making and any approvals required under these Directions and Instructions; and</w:t>
            </w:r>
          </w:p>
        </w:tc>
        <w:tc>
          <w:tcPr>
            <w:tcW w:w="709" w:type="dxa"/>
            <w:tcBorders>
              <w:top w:val="single" w:sz="4" w:space="0" w:color="auto"/>
              <w:bottom w:val="single" w:sz="4" w:space="0" w:color="auto"/>
            </w:tcBorders>
          </w:tcPr>
          <w:p w14:paraId="7368B8BF" w14:textId="3F86B46B"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5359E7F3"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Borders>
              <w:bottom w:val="single" w:sz="4" w:space="0" w:color="auto"/>
            </w:tcBorders>
          </w:tcPr>
          <w:p w14:paraId="38423FB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093737F" w14:textId="281123B4" w:rsidR="00FB1D38" w:rsidRPr="009F3E6D" w:rsidRDefault="00FB1D38" w:rsidP="00FB1D38">
            <w:pPr>
              <w:pStyle w:val="Listnumindent"/>
              <w:numPr>
                <w:ilvl w:val="6"/>
                <w:numId w:val="13"/>
              </w:numPr>
              <w:tabs>
                <w:tab w:val="clear" w:pos="1296"/>
                <w:tab w:val="num" w:pos="310"/>
              </w:tabs>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9F3E6D">
              <w:rPr>
                <w:rFonts w:ascii="Arial" w:hAnsi="Arial" w:cs="Arial"/>
                <w:szCs w:val="17"/>
              </w:rPr>
              <w:t>ensure that exemptions from these Directions and Instructions are sought and implemented appropriately.</w:t>
            </w:r>
          </w:p>
        </w:tc>
        <w:tc>
          <w:tcPr>
            <w:tcW w:w="709" w:type="dxa"/>
            <w:tcBorders>
              <w:top w:val="single" w:sz="4" w:space="0" w:color="auto"/>
              <w:bottom w:val="single" w:sz="4" w:space="0" w:color="auto"/>
            </w:tcBorders>
          </w:tcPr>
          <w:p w14:paraId="13C2C06E" w14:textId="2DC45074"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1D95FC5D"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tcBorders>
          </w:tcPr>
          <w:p w14:paraId="6FFE0CC6" w14:textId="77777777" w:rsidR="00FB1D38" w:rsidRDefault="00FB1D38" w:rsidP="00FB1D38">
            <w:pPr>
              <w:spacing w:before="60" w:after="60"/>
              <w:rPr>
                <w:rFonts w:asciiTheme="majorHAnsi" w:hAnsiTheme="majorHAnsi" w:cstheme="majorHAnsi"/>
              </w:rPr>
            </w:pPr>
            <w:r>
              <w:rPr>
                <w:rFonts w:ascii="Arial" w:hAnsi="Arial" w:cs="Arial"/>
                <w:szCs w:val="17"/>
              </w:rPr>
              <w:t>Dir 10.2</w:t>
            </w:r>
          </w:p>
          <w:p w14:paraId="56DFFCC4" w14:textId="63813C95" w:rsidR="00FB1D38" w:rsidRDefault="00FB1D38" w:rsidP="00FB1D38">
            <w:pPr>
              <w:spacing w:before="60" w:after="60"/>
              <w:rPr>
                <w:rFonts w:asciiTheme="majorHAnsi" w:hAnsiTheme="majorHAnsi" w:cstheme="majorHAnsi"/>
              </w:rPr>
            </w:pPr>
            <w:r>
              <w:rPr>
                <w:rFonts w:ascii="Arial" w:hAnsi="Arial" w:cs="Arial"/>
                <w:szCs w:val="17"/>
              </w:rPr>
              <w:t>Delegation</w:t>
            </w:r>
          </w:p>
        </w:tc>
        <w:tc>
          <w:tcPr>
            <w:tcW w:w="7371" w:type="dxa"/>
            <w:tcBorders>
              <w:top w:val="single" w:sz="4" w:space="0" w:color="auto"/>
              <w:bottom w:val="single" w:sz="4" w:space="0" w:color="auto"/>
            </w:tcBorders>
          </w:tcPr>
          <w:p w14:paraId="58D8E823" w14:textId="057F710D" w:rsidR="00FB1D38" w:rsidRPr="00A82CA2" w:rsidRDefault="00FB1D38" w:rsidP="00FB1D38">
            <w:pPr>
              <w:pStyle w:val="Listnumindent2"/>
              <w:spacing w:before="60" w:after="60"/>
              <w:ind w:left="6"/>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The Accountable Officer may delegate, in writing, powers and responsibilities under these Directions and the Instructions, other than this power of delegation and the certification of Special Circumstances under Instruction 3.2.2(j), in which case:</w:t>
            </w:r>
          </w:p>
        </w:tc>
        <w:tc>
          <w:tcPr>
            <w:tcW w:w="709" w:type="dxa"/>
            <w:tcBorders>
              <w:top w:val="single" w:sz="4" w:space="0" w:color="auto"/>
              <w:bottom w:val="single" w:sz="4" w:space="0" w:color="auto"/>
            </w:tcBorders>
          </w:tcPr>
          <w:p w14:paraId="7ACCF8E1" w14:textId="2922730E"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B53E3">
              <w:rPr>
                <w:rFonts w:asciiTheme="majorHAnsi" w:hAnsiTheme="majorHAnsi" w:cstheme="majorHAnsi"/>
                <w:sz w:val="20"/>
                <w:szCs w:val="20"/>
              </w:rPr>
              <w:sym w:font="Wingdings" w:char="F0A8"/>
            </w:r>
          </w:p>
        </w:tc>
      </w:tr>
      <w:tr w:rsidR="00FB1D38" w14:paraId="1A5B01EC"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C5A24F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594942B7" w14:textId="2BD4CA93" w:rsidR="00FB1D38" w:rsidRPr="003009A0" w:rsidRDefault="00FB1D38" w:rsidP="00FB1D38">
            <w:pPr>
              <w:pStyle w:val="Listnumindent2"/>
              <w:numPr>
                <w:ilvl w:val="6"/>
                <w:numId w:val="92"/>
              </w:numPr>
              <w:tabs>
                <w:tab w:val="clear" w:pos="1296"/>
              </w:tabs>
              <w:spacing w:before="60" w:after="60"/>
              <w:ind w:left="375" w:hanging="375"/>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the Accountable Officer must:</w:t>
            </w:r>
          </w:p>
        </w:tc>
        <w:tc>
          <w:tcPr>
            <w:tcW w:w="709" w:type="dxa"/>
            <w:tcBorders>
              <w:top w:val="single" w:sz="4" w:space="0" w:color="auto"/>
              <w:bottom w:val="single" w:sz="4" w:space="0" w:color="auto"/>
            </w:tcBorders>
            <w:shd w:val="clear" w:color="auto" w:fill="F2F2F2" w:themeFill="background1" w:themeFillShade="F2"/>
          </w:tcPr>
          <w:p w14:paraId="6A9153CC" w14:textId="366A5A99"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2B0E9188"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E8C1595"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F24D557" w14:textId="644B64B6" w:rsidR="00FB1D38" w:rsidRPr="003009A0" w:rsidRDefault="00FB1D38" w:rsidP="00FB1D38">
            <w:pPr>
              <w:pStyle w:val="Listnumindent2"/>
              <w:numPr>
                <w:ilvl w:val="7"/>
                <w:numId w:val="15"/>
              </w:numPr>
              <w:tabs>
                <w:tab w:val="clear" w:pos="2205"/>
                <w:tab w:val="num" w:pos="735"/>
              </w:tabs>
              <w:spacing w:before="60" w:after="60"/>
              <w:ind w:hanging="175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retain accountability for the requirement;</w:t>
            </w:r>
          </w:p>
        </w:tc>
        <w:tc>
          <w:tcPr>
            <w:tcW w:w="709" w:type="dxa"/>
            <w:tcBorders>
              <w:top w:val="single" w:sz="4" w:space="0" w:color="auto"/>
              <w:bottom w:val="single" w:sz="4" w:space="0" w:color="auto"/>
            </w:tcBorders>
          </w:tcPr>
          <w:p w14:paraId="631926C5" w14:textId="53FFFE6E"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43739411"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45B937B"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83596F3" w14:textId="4B9C7546" w:rsidR="00FB1D38" w:rsidRPr="003009A0" w:rsidRDefault="00FB1D38" w:rsidP="00FB1D38">
            <w:pPr>
              <w:pStyle w:val="Listnumindent2"/>
              <w:numPr>
                <w:ilvl w:val="7"/>
                <w:numId w:val="15"/>
              </w:numPr>
              <w:tabs>
                <w:tab w:val="clear" w:pos="2205"/>
                <w:tab w:val="num" w:pos="735"/>
              </w:tabs>
              <w:spacing w:before="60" w:after="60"/>
              <w:ind w:hanging="175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oversee the relevant actions of their delegates;</w:t>
            </w:r>
          </w:p>
        </w:tc>
        <w:tc>
          <w:tcPr>
            <w:tcW w:w="709" w:type="dxa"/>
            <w:tcBorders>
              <w:top w:val="single" w:sz="4" w:space="0" w:color="auto"/>
              <w:bottom w:val="single" w:sz="4" w:space="0" w:color="auto"/>
            </w:tcBorders>
          </w:tcPr>
          <w:p w14:paraId="5AECA3C5" w14:textId="1ED0B6B4"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67FF3F8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3E01BA5B"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63571125" w14:textId="6DB507B2" w:rsidR="00FB1D38" w:rsidRPr="003009A0" w:rsidRDefault="00FB1D38" w:rsidP="00FB1D38">
            <w:pPr>
              <w:pStyle w:val="Listnumindent2"/>
              <w:numPr>
                <w:ilvl w:val="7"/>
                <w:numId w:val="15"/>
              </w:numPr>
              <w:tabs>
                <w:tab w:val="clear" w:pos="2205"/>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ensure that the delegation is appropriate for the efficient and effective conduct of the business of the Agency;</w:t>
            </w:r>
          </w:p>
        </w:tc>
        <w:tc>
          <w:tcPr>
            <w:tcW w:w="709" w:type="dxa"/>
            <w:tcBorders>
              <w:top w:val="single" w:sz="4" w:space="0" w:color="auto"/>
              <w:bottom w:val="single" w:sz="4" w:space="0" w:color="auto"/>
            </w:tcBorders>
          </w:tcPr>
          <w:p w14:paraId="1E399B59" w14:textId="47FDCAB7"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52668CA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5899CF59"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FB47202" w14:textId="42FC20BF" w:rsidR="00FB1D38" w:rsidRPr="003009A0" w:rsidRDefault="00FB1D38" w:rsidP="00FB1D38">
            <w:pPr>
              <w:pStyle w:val="Listnumindent2"/>
              <w:numPr>
                <w:ilvl w:val="7"/>
                <w:numId w:val="15"/>
              </w:numPr>
              <w:tabs>
                <w:tab w:val="clear" w:pos="2205"/>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ensure that the delegation is assigned to a position and that position is appropriate in relation to the powers and responsibility being delegated;</w:t>
            </w:r>
          </w:p>
        </w:tc>
        <w:tc>
          <w:tcPr>
            <w:tcW w:w="709" w:type="dxa"/>
            <w:tcBorders>
              <w:top w:val="single" w:sz="4" w:space="0" w:color="auto"/>
              <w:bottom w:val="single" w:sz="4" w:space="0" w:color="auto"/>
            </w:tcBorders>
          </w:tcPr>
          <w:p w14:paraId="6886870C" w14:textId="6E56B894"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56E918F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78933E2"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598575F" w14:textId="6140E00F" w:rsidR="00FB1D38" w:rsidRPr="003009A0" w:rsidRDefault="00FB1D38" w:rsidP="00FB1D38">
            <w:pPr>
              <w:pStyle w:val="Listnumindent2"/>
              <w:numPr>
                <w:ilvl w:val="7"/>
                <w:numId w:val="15"/>
              </w:numPr>
              <w:tabs>
                <w:tab w:val="clear" w:pos="2205"/>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keep a record of the delegation;</w:t>
            </w:r>
          </w:p>
        </w:tc>
        <w:tc>
          <w:tcPr>
            <w:tcW w:w="709" w:type="dxa"/>
            <w:tcBorders>
              <w:top w:val="single" w:sz="4" w:space="0" w:color="auto"/>
              <w:bottom w:val="single" w:sz="4" w:space="0" w:color="auto"/>
            </w:tcBorders>
          </w:tcPr>
          <w:p w14:paraId="105CA212" w14:textId="0FF3E767"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3796C1E6"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EF8B6A3"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6835B77" w14:textId="7F4D6C1C" w:rsidR="00FB1D38" w:rsidRPr="003009A0" w:rsidRDefault="00FB1D38" w:rsidP="00FB1D38">
            <w:pPr>
              <w:pStyle w:val="Listnumindent2"/>
              <w:numPr>
                <w:ilvl w:val="7"/>
                <w:numId w:val="15"/>
              </w:numPr>
              <w:tabs>
                <w:tab w:val="clear" w:pos="2205"/>
                <w:tab w:val="num" w:pos="735"/>
              </w:tabs>
              <w:spacing w:before="60" w:after="60"/>
              <w:ind w:left="735" w:hanging="283"/>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ensure that the delegation is regularly reviewed and updated as required to ensure it is kept current; and</w:t>
            </w:r>
          </w:p>
        </w:tc>
        <w:tc>
          <w:tcPr>
            <w:tcW w:w="709" w:type="dxa"/>
            <w:tcBorders>
              <w:top w:val="single" w:sz="4" w:space="0" w:color="auto"/>
              <w:bottom w:val="single" w:sz="4" w:space="0" w:color="auto"/>
            </w:tcBorders>
          </w:tcPr>
          <w:p w14:paraId="3858AC50" w14:textId="1B01019C"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03173E9E"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1524C8B7"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F34E3C1" w14:textId="53C346C9" w:rsidR="00FB1D38" w:rsidRPr="00A82CA2" w:rsidRDefault="00FB1D38" w:rsidP="00FB1D38">
            <w:pPr>
              <w:pStyle w:val="Listnumindent2"/>
              <w:numPr>
                <w:ilvl w:val="6"/>
                <w:numId w:val="92"/>
              </w:numPr>
              <w:spacing w:before="60" w:after="60"/>
              <w:ind w:left="310" w:hanging="310"/>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the delegate must:</w:t>
            </w:r>
          </w:p>
        </w:tc>
        <w:tc>
          <w:tcPr>
            <w:tcW w:w="709" w:type="dxa"/>
            <w:tcBorders>
              <w:top w:val="single" w:sz="4" w:space="0" w:color="auto"/>
              <w:bottom w:val="single" w:sz="4" w:space="0" w:color="auto"/>
            </w:tcBorders>
            <w:shd w:val="clear" w:color="auto" w:fill="F2F2F2" w:themeFill="background1" w:themeFillShade="F2"/>
          </w:tcPr>
          <w:p w14:paraId="6B1243B2" w14:textId="77777777"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1D38" w14:paraId="128D66C7"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61DC33E"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1ED80149" w14:textId="0AF5AFCE" w:rsidR="00FB1D38" w:rsidRPr="00A82CA2" w:rsidRDefault="00FB1D38" w:rsidP="00FB1D38">
            <w:pPr>
              <w:pStyle w:val="Listnumindent2"/>
              <w:numPr>
                <w:ilvl w:val="0"/>
                <w:numId w:val="19"/>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be an executive employed by the Agency</w:t>
            </w:r>
            <w:r w:rsidRPr="003009A0">
              <w:rPr>
                <w:rFonts w:ascii="Arial" w:hAnsi="Arial" w:cs="Arial"/>
                <w:szCs w:val="17"/>
              </w:rPr>
              <w:t>;</w:t>
            </w:r>
          </w:p>
        </w:tc>
        <w:tc>
          <w:tcPr>
            <w:tcW w:w="709" w:type="dxa"/>
            <w:tcBorders>
              <w:top w:val="single" w:sz="4" w:space="0" w:color="auto"/>
              <w:bottom w:val="single" w:sz="4" w:space="0" w:color="auto"/>
            </w:tcBorders>
          </w:tcPr>
          <w:p w14:paraId="5FB6063D" w14:textId="10A77113"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07B6562A"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26AFB16B"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3D36120A" w14:textId="4030E136" w:rsidR="00FB1D38" w:rsidRPr="00A82CA2" w:rsidRDefault="00FB1D38" w:rsidP="00FB1D38">
            <w:pPr>
              <w:pStyle w:val="Listnumindent2"/>
              <w:numPr>
                <w:ilvl w:val="0"/>
                <w:numId w:val="19"/>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t>be appropriately qualified or experienced to perform the delegated functions;</w:t>
            </w:r>
          </w:p>
        </w:tc>
        <w:tc>
          <w:tcPr>
            <w:tcW w:w="709" w:type="dxa"/>
            <w:tcBorders>
              <w:top w:val="single" w:sz="4" w:space="0" w:color="auto"/>
              <w:bottom w:val="single" w:sz="4" w:space="0" w:color="auto"/>
            </w:tcBorders>
          </w:tcPr>
          <w:p w14:paraId="5E5EDE00" w14:textId="02A9B09C"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607645C2"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6D35F195" w14:textId="77777777" w:rsidR="00FB1D38" w:rsidRDefault="00FB1D38" w:rsidP="00FB1D38">
            <w:pPr>
              <w:spacing w:before="60" w:after="60"/>
              <w:rPr>
                <w:rFonts w:ascii="Arial" w:hAnsi="Arial" w:cs="Arial"/>
                <w:szCs w:val="17"/>
              </w:rPr>
            </w:pPr>
          </w:p>
        </w:tc>
        <w:tc>
          <w:tcPr>
            <w:tcW w:w="7371" w:type="dxa"/>
            <w:tcBorders>
              <w:top w:val="single" w:sz="4" w:space="0" w:color="auto"/>
              <w:bottom w:val="single" w:sz="4" w:space="0" w:color="auto"/>
            </w:tcBorders>
          </w:tcPr>
          <w:p w14:paraId="4981D63E" w14:textId="53243D12" w:rsidR="00FB1D38" w:rsidRPr="00A82CA2" w:rsidRDefault="00FB1D38" w:rsidP="00FB1D38">
            <w:pPr>
              <w:pStyle w:val="Listnumindent2"/>
              <w:numPr>
                <w:ilvl w:val="0"/>
                <w:numId w:val="19"/>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use the delegation for the purpose intended; and</w:t>
            </w:r>
          </w:p>
        </w:tc>
        <w:tc>
          <w:tcPr>
            <w:tcW w:w="709" w:type="dxa"/>
            <w:tcBorders>
              <w:top w:val="single" w:sz="4" w:space="0" w:color="auto"/>
              <w:bottom w:val="single" w:sz="4" w:space="0" w:color="auto"/>
            </w:tcBorders>
          </w:tcPr>
          <w:p w14:paraId="1504DEC5" w14:textId="42E907D2"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r w:rsidR="00FB1D38" w14:paraId="04584C1B" w14:textId="77777777" w:rsidTr="00FB1D38">
        <w:tc>
          <w:tcPr>
            <w:cnfStyle w:val="001000000000" w:firstRow="0" w:lastRow="0" w:firstColumn="1" w:lastColumn="0" w:oddVBand="0" w:evenVBand="0" w:oddHBand="0" w:evenHBand="0" w:firstRowFirstColumn="0" w:firstRowLastColumn="0" w:lastRowFirstColumn="0" w:lastRowLastColumn="0"/>
            <w:tcW w:w="1191" w:type="dxa"/>
            <w:vMerge/>
          </w:tcPr>
          <w:p w14:paraId="0461F54A" w14:textId="77777777" w:rsidR="00FB1D38" w:rsidRDefault="00FB1D38" w:rsidP="00FB1D38">
            <w:pPr>
              <w:spacing w:before="60" w:after="60"/>
              <w:rPr>
                <w:rFonts w:ascii="Arial" w:hAnsi="Arial" w:cs="Arial"/>
                <w:szCs w:val="17"/>
              </w:rPr>
            </w:pPr>
          </w:p>
        </w:tc>
        <w:tc>
          <w:tcPr>
            <w:tcW w:w="7371" w:type="dxa"/>
            <w:tcBorders>
              <w:top w:val="single" w:sz="4" w:space="0" w:color="auto"/>
            </w:tcBorders>
          </w:tcPr>
          <w:p w14:paraId="3D0BC178" w14:textId="0BDBEDF0" w:rsidR="00FB1D38" w:rsidRPr="003009A0" w:rsidRDefault="00FB1D38" w:rsidP="00FB1D38">
            <w:pPr>
              <w:pStyle w:val="Listnumindent2"/>
              <w:numPr>
                <w:ilvl w:val="0"/>
                <w:numId w:val="19"/>
              </w:numPr>
              <w:spacing w:before="60" w:after="60"/>
              <w:ind w:left="735" w:hanging="304"/>
              <w:jc w:val="left"/>
              <w:cnfStyle w:val="000000000000" w:firstRow="0" w:lastRow="0" w:firstColumn="0" w:lastColumn="0" w:oddVBand="0" w:evenVBand="0" w:oddHBand="0" w:evenHBand="0" w:firstRowFirstColumn="0" w:firstRowLastColumn="0" w:lastRowFirstColumn="0" w:lastRowLastColumn="0"/>
              <w:rPr>
                <w:rFonts w:ascii="Arial" w:hAnsi="Arial" w:cs="Arial"/>
                <w:szCs w:val="17"/>
              </w:rPr>
            </w:pPr>
            <w:r w:rsidRPr="003009A0">
              <w:rPr>
                <w:rFonts w:ascii="Arial" w:hAnsi="Arial" w:cs="Arial"/>
                <w:szCs w:val="17"/>
              </w:rPr>
              <w:t>act within the limits of the delegation.</w:t>
            </w:r>
          </w:p>
        </w:tc>
        <w:tc>
          <w:tcPr>
            <w:tcW w:w="709" w:type="dxa"/>
            <w:tcBorders>
              <w:top w:val="single" w:sz="4" w:space="0" w:color="auto"/>
            </w:tcBorders>
          </w:tcPr>
          <w:p w14:paraId="0709EB2B" w14:textId="00DDD125" w:rsidR="00FB1D38" w:rsidRPr="009B53E3" w:rsidRDefault="00FB1D38" w:rsidP="00FB1D38">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53E3">
              <w:rPr>
                <w:rFonts w:asciiTheme="majorHAnsi" w:hAnsiTheme="majorHAnsi" w:cstheme="majorHAnsi"/>
                <w:sz w:val="20"/>
                <w:szCs w:val="20"/>
              </w:rPr>
              <w:sym w:font="Wingdings" w:char="F0A8"/>
            </w:r>
          </w:p>
        </w:tc>
      </w:tr>
    </w:tbl>
    <w:p w14:paraId="35D3976A" w14:textId="77777777" w:rsidR="00FB1D38" w:rsidRDefault="00FB1D38" w:rsidP="00FB1D38">
      <w:pPr>
        <w:rPr>
          <w:rFonts w:asciiTheme="majorHAnsi" w:hAnsiTheme="majorHAnsi" w:cstheme="majorHAnsi"/>
        </w:rPr>
      </w:pPr>
    </w:p>
    <w:tbl>
      <w:tblPr>
        <w:tblStyle w:val="TableGridLight"/>
        <w:tblW w:w="0" w:type="auto"/>
        <w:tblLook w:val="04A0" w:firstRow="1" w:lastRow="0" w:firstColumn="1" w:lastColumn="0" w:noHBand="0" w:noVBand="1"/>
      </w:tblPr>
      <w:tblGrid>
        <w:gridCol w:w="900"/>
        <w:gridCol w:w="1192"/>
        <w:gridCol w:w="1844"/>
        <w:gridCol w:w="3970"/>
        <w:gridCol w:w="1336"/>
      </w:tblGrid>
      <w:tr w:rsidR="00FB1D38" w:rsidRPr="008777A4" w14:paraId="54125C82" w14:textId="77777777" w:rsidTr="00D02A39">
        <w:tc>
          <w:tcPr>
            <w:tcW w:w="900" w:type="dxa"/>
            <w:shd w:val="clear" w:color="auto" w:fill="auto"/>
          </w:tcPr>
          <w:p w14:paraId="11649FF7" w14:textId="77777777" w:rsidR="00FB1D38" w:rsidRPr="008777A4" w:rsidRDefault="00FB1D38" w:rsidP="00D02A39">
            <w:pPr>
              <w:pStyle w:val="NormalIndent"/>
              <w:spacing w:before="60" w:after="60"/>
              <w:ind w:left="0"/>
              <w:rPr>
                <w:rFonts w:ascii="Arial" w:hAnsi="Arial" w:cs="Arial"/>
                <w:b/>
                <w:sz w:val="16"/>
                <w:szCs w:val="16"/>
              </w:rPr>
            </w:pPr>
            <w:r w:rsidRPr="008777A4">
              <w:rPr>
                <w:rFonts w:ascii="Arial" w:hAnsi="Arial" w:cs="Arial"/>
                <w:b/>
                <w:sz w:val="16"/>
                <w:szCs w:val="16"/>
              </w:rPr>
              <w:t>Revision</w:t>
            </w:r>
          </w:p>
        </w:tc>
        <w:tc>
          <w:tcPr>
            <w:tcW w:w="1192" w:type="dxa"/>
            <w:shd w:val="clear" w:color="auto" w:fill="auto"/>
          </w:tcPr>
          <w:p w14:paraId="5C599421" w14:textId="77777777" w:rsidR="00FB1D38" w:rsidRPr="008777A4" w:rsidRDefault="00FB1D38" w:rsidP="00D02A39">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7394A82D" w14:textId="77777777" w:rsidR="00FB1D38" w:rsidRPr="008777A4" w:rsidRDefault="00FB1D38" w:rsidP="00D02A39">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2904BFA9" w14:textId="77777777" w:rsidR="00FB1D38" w:rsidRPr="008777A4" w:rsidRDefault="00FB1D38" w:rsidP="00D02A39">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36396CDE" w14:textId="77777777" w:rsidR="00FB1D38" w:rsidRPr="008777A4" w:rsidRDefault="00FB1D38" w:rsidP="00D02A39">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FB1D38" w:rsidRPr="008777A4" w14:paraId="538B1C83" w14:textId="77777777" w:rsidTr="00D02A39">
        <w:tc>
          <w:tcPr>
            <w:tcW w:w="900" w:type="dxa"/>
            <w:shd w:val="clear" w:color="auto" w:fill="auto"/>
          </w:tcPr>
          <w:p w14:paraId="5F73DB97" w14:textId="77777777" w:rsidR="00FB1D38" w:rsidRPr="008777A4" w:rsidRDefault="00FB1D38" w:rsidP="00D02A39">
            <w:pPr>
              <w:pStyle w:val="NormalIndent"/>
              <w:spacing w:before="60" w:after="60"/>
              <w:ind w:left="0"/>
              <w:rPr>
                <w:rFonts w:ascii="Arial" w:hAnsi="Arial" w:cs="Arial"/>
                <w:sz w:val="16"/>
                <w:szCs w:val="16"/>
              </w:rPr>
            </w:pPr>
          </w:p>
        </w:tc>
        <w:tc>
          <w:tcPr>
            <w:tcW w:w="1192" w:type="dxa"/>
          </w:tcPr>
          <w:p w14:paraId="7ABC0D10" w14:textId="5D870B3F" w:rsidR="00FB1D38" w:rsidRPr="008777A4" w:rsidRDefault="00B57165" w:rsidP="00D02A39">
            <w:pPr>
              <w:pStyle w:val="NormalIndent"/>
              <w:spacing w:before="60" w:after="60"/>
              <w:ind w:left="0"/>
              <w:rPr>
                <w:rFonts w:ascii="Arial" w:hAnsi="Arial" w:cs="Arial"/>
                <w:sz w:val="16"/>
                <w:szCs w:val="16"/>
              </w:rPr>
            </w:pPr>
            <w:r>
              <w:rPr>
                <w:rFonts w:ascii="Arial" w:hAnsi="Arial" w:cs="Arial"/>
                <w:sz w:val="16"/>
                <w:szCs w:val="16"/>
              </w:rPr>
              <w:t xml:space="preserve">  </w:t>
            </w:r>
            <w:r w:rsidR="00FB1D38" w:rsidRPr="008777A4">
              <w:rPr>
                <w:rFonts w:ascii="Arial" w:hAnsi="Arial" w:cs="Arial"/>
                <w:sz w:val="16"/>
                <w:szCs w:val="16"/>
              </w:rPr>
              <w:t>1/07/2018</w:t>
            </w:r>
          </w:p>
        </w:tc>
        <w:tc>
          <w:tcPr>
            <w:tcW w:w="1844" w:type="dxa"/>
          </w:tcPr>
          <w:p w14:paraId="1B4E1D85" w14:textId="77777777" w:rsidR="00FB1D38" w:rsidRPr="008777A4" w:rsidRDefault="00FB1D38" w:rsidP="00D02A39">
            <w:pPr>
              <w:pStyle w:val="NormalIndent"/>
              <w:spacing w:before="60" w:after="60"/>
              <w:ind w:left="0"/>
              <w:rPr>
                <w:rFonts w:ascii="Arial" w:hAnsi="Arial" w:cs="Arial"/>
                <w:sz w:val="16"/>
                <w:szCs w:val="16"/>
              </w:rPr>
            </w:pPr>
          </w:p>
        </w:tc>
        <w:tc>
          <w:tcPr>
            <w:tcW w:w="3970" w:type="dxa"/>
          </w:tcPr>
          <w:p w14:paraId="1ECF30CA" w14:textId="77777777" w:rsidR="00FB1D38" w:rsidRPr="008777A4" w:rsidRDefault="00FB1D38" w:rsidP="00D02A39">
            <w:pPr>
              <w:pStyle w:val="NormalIndent"/>
              <w:spacing w:before="60" w:after="60"/>
              <w:ind w:left="0"/>
              <w:rPr>
                <w:rFonts w:ascii="Arial" w:hAnsi="Arial" w:cs="Arial"/>
                <w:sz w:val="16"/>
                <w:szCs w:val="16"/>
              </w:rPr>
            </w:pPr>
            <w:r w:rsidRPr="008777A4">
              <w:rPr>
                <w:rFonts w:ascii="Arial" w:hAnsi="Arial" w:cs="Arial"/>
                <w:sz w:val="16"/>
                <w:szCs w:val="16"/>
              </w:rPr>
              <w:t>First release</w:t>
            </w:r>
            <w:r>
              <w:rPr>
                <w:rFonts w:ascii="Arial" w:hAnsi="Arial" w:cs="Arial"/>
                <w:sz w:val="16"/>
                <w:szCs w:val="16"/>
              </w:rPr>
              <w:t>.</w:t>
            </w:r>
          </w:p>
        </w:tc>
        <w:tc>
          <w:tcPr>
            <w:tcW w:w="1336" w:type="dxa"/>
          </w:tcPr>
          <w:p w14:paraId="0D8F7513" w14:textId="77777777" w:rsidR="00FB1D38" w:rsidRPr="008777A4" w:rsidRDefault="00FB1D38" w:rsidP="00D02A39">
            <w:pPr>
              <w:pStyle w:val="NormalIndent"/>
              <w:spacing w:before="60" w:after="60"/>
              <w:ind w:left="0"/>
              <w:rPr>
                <w:rFonts w:ascii="Arial" w:hAnsi="Arial" w:cs="Arial"/>
                <w:sz w:val="16"/>
                <w:szCs w:val="16"/>
              </w:rPr>
            </w:pPr>
          </w:p>
        </w:tc>
      </w:tr>
      <w:tr w:rsidR="00FB1D38" w:rsidRPr="008777A4" w14:paraId="099799DA" w14:textId="77777777" w:rsidTr="00D02A39">
        <w:tc>
          <w:tcPr>
            <w:tcW w:w="900" w:type="dxa"/>
            <w:shd w:val="clear" w:color="auto" w:fill="auto"/>
          </w:tcPr>
          <w:p w14:paraId="1AD1B9CA" w14:textId="77777777" w:rsidR="00FB1D38" w:rsidRPr="008777A4" w:rsidRDefault="00FB1D38" w:rsidP="00D02A39">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7AD138F2" w14:textId="7DE980EB" w:rsidR="00FB1D38" w:rsidRPr="008777A4" w:rsidRDefault="00FB1D38" w:rsidP="00D02A39">
            <w:pPr>
              <w:pStyle w:val="NormalIndent"/>
              <w:spacing w:before="60" w:after="60"/>
              <w:ind w:left="0"/>
              <w:rPr>
                <w:rFonts w:ascii="Arial" w:hAnsi="Arial" w:cs="Arial"/>
                <w:sz w:val="16"/>
                <w:szCs w:val="16"/>
              </w:rPr>
            </w:pPr>
            <w:r>
              <w:rPr>
                <w:rFonts w:ascii="Arial" w:hAnsi="Arial" w:cs="Arial"/>
                <w:sz w:val="16"/>
                <w:szCs w:val="16"/>
              </w:rPr>
              <w:t>27/</w:t>
            </w:r>
            <w:r w:rsidR="00B57165">
              <w:rPr>
                <w:rFonts w:ascii="Arial" w:hAnsi="Arial" w:cs="Arial"/>
                <w:sz w:val="16"/>
                <w:szCs w:val="16"/>
              </w:rPr>
              <w:t>0</w:t>
            </w:r>
            <w:r>
              <w:rPr>
                <w:rFonts w:ascii="Arial" w:hAnsi="Arial" w:cs="Arial"/>
                <w:sz w:val="16"/>
                <w:szCs w:val="16"/>
              </w:rPr>
              <w:t>8/2018</w:t>
            </w:r>
          </w:p>
        </w:tc>
        <w:tc>
          <w:tcPr>
            <w:tcW w:w="1844" w:type="dxa"/>
          </w:tcPr>
          <w:p w14:paraId="47828F74" w14:textId="77777777" w:rsidR="00FB1D38" w:rsidRPr="008777A4" w:rsidRDefault="00FB1D38" w:rsidP="00D02A39">
            <w:pPr>
              <w:pStyle w:val="NormalIndent"/>
              <w:spacing w:before="60" w:after="60"/>
              <w:ind w:left="0"/>
              <w:rPr>
                <w:rFonts w:ascii="Arial" w:hAnsi="Arial" w:cs="Arial"/>
                <w:sz w:val="16"/>
                <w:szCs w:val="16"/>
              </w:rPr>
            </w:pPr>
            <w:r>
              <w:rPr>
                <w:rFonts w:ascii="Arial" w:hAnsi="Arial" w:cs="Arial"/>
                <w:sz w:val="16"/>
                <w:szCs w:val="16"/>
              </w:rPr>
              <w:t>Instruction 7.2.1</w:t>
            </w:r>
          </w:p>
        </w:tc>
        <w:tc>
          <w:tcPr>
            <w:tcW w:w="3970" w:type="dxa"/>
          </w:tcPr>
          <w:p w14:paraId="76C63293" w14:textId="77777777" w:rsidR="00FB1D38" w:rsidRPr="008777A4" w:rsidRDefault="00FB1D38" w:rsidP="00D02A39">
            <w:pPr>
              <w:pStyle w:val="NormalIndent"/>
              <w:spacing w:before="60" w:after="60"/>
              <w:ind w:left="0"/>
              <w:rPr>
                <w:rFonts w:ascii="Arial" w:hAnsi="Arial" w:cs="Arial"/>
                <w:sz w:val="16"/>
                <w:szCs w:val="16"/>
              </w:rPr>
            </w:pPr>
            <w:r>
              <w:rPr>
                <w:sz w:val="16"/>
                <w:szCs w:val="16"/>
              </w:rPr>
              <w:t>N</w:t>
            </w:r>
            <w:r w:rsidRPr="00337F96">
              <w:rPr>
                <w:sz w:val="16"/>
                <w:szCs w:val="16"/>
              </w:rPr>
              <w:t xml:space="preserve">ew sub-paragraph (h) </w:t>
            </w:r>
            <w:r>
              <w:rPr>
                <w:sz w:val="16"/>
                <w:szCs w:val="16"/>
              </w:rPr>
              <w:t xml:space="preserve">inserted </w:t>
            </w:r>
            <w:r w:rsidRPr="00337F96">
              <w:rPr>
                <w:sz w:val="16"/>
                <w:szCs w:val="16"/>
              </w:rPr>
              <w:t>to describe the policy Minimum rates of pay for tip truck owner drivers on government projects</w:t>
            </w:r>
            <w:r>
              <w:rPr>
                <w:sz w:val="16"/>
                <w:szCs w:val="16"/>
              </w:rPr>
              <w:t>.</w:t>
            </w:r>
          </w:p>
        </w:tc>
        <w:tc>
          <w:tcPr>
            <w:tcW w:w="1336" w:type="dxa"/>
          </w:tcPr>
          <w:p w14:paraId="2C8F1EA6" w14:textId="77777777" w:rsidR="00FB1D38" w:rsidRPr="008777A4" w:rsidRDefault="00FB1D38" w:rsidP="00D02A39">
            <w:pPr>
              <w:pStyle w:val="NormalIndent"/>
              <w:spacing w:before="60" w:after="60"/>
              <w:ind w:left="0"/>
              <w:rPr>
                <w:rFonts w:ascii="Arial" w:hAnsi="Arial" w:cs="Arial"/>
                <w:sz w:val="16"/>
                <w:szCs w:val="16"/>
              </w:rPr>
            </w:pPr>
            <w:r w:rsidRPr="008777A4">
              <w:rPr>
                <w:rFonts w:ascii="Arial" w:hAnsi="Arial" w:cs="Arial"/>
                <w:sz w:val="16"/>
                <w:szCs w:val="16"/>
              </w:rPr>
              <w:t>DTF</w:t>
            </w:r>
          </w:p>
        </w:tc>
      </w:tr>
      <w:tr w:rsidR="00FB1D38" w:rsidRPr="008777A4" w14:paraId="1A29AEE3" w14:textId="77777777" w:rsidTr="00D02A39">
        <w:tc>
          <w:tcPr>
            <w:tcW w:w="900" w:type="dxa"/>
            <w:shd w:val="clear" w:color="auto" w:fill="auto"/>
          </w:tcPr>
          <w:p w14:paraId="17F607FB" w14:textId="77777777"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2</w:t>
            </w:r>
          </w:p>
        </w:tc>
        <w:tc>
          <w:tcPr>
            <w:tcW w:w="1192" w:type="dxa"/>
          </w:tcPr>
          <w:p w14:paraId="549CDC1C" w14:textId="77777777"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20B4F34B" w14:textId="77777777"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Instructions 3.2, 5.1, 6.1, 7.1, 7.2, 8.2</w:t>
            </w:r>
          </w:p>
        </w:tc>
        <w:tc>
          <w:tcPr>
            <w:tcW w:w="3970" w:type="dxa"/>
          </w:tcPr>
          <w:p w14:paraId="58E644E8" w14:textId="77777777"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Minor amendments to clarify requirements.</w:t>
            </w:r>
          </w:p>
        </w:tc>
        <w:tc>
          <w:tcPr>
            <w:tcW w:w="1336" w:type="dxa"/>
          </w:tcPr>
          <w:p w14:paraId="14EE6F1F" w14:textId="77777777"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DTF</w:t>
            </w:r>
          </w:p>
        </w:tc>
      </w:tr>
      <w:tr w:rsidR="00FB1D38" w:rsidRPr="008777A4" w14:paraId="3847B3FE" w14:textId="77777777" w:rsidTr="00D02A39">
        <w:tc>
          <w:tcPr>
            <w:tcW w:w="900" w:type="dxa"/>
            <w:shd w:val="clear" w:color="auto" w:fill="auto"/>
          </w:tcPr>
          <w:p w14:paraId="1C06E431" w14:textId="31D0F2C3"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4F6CF5AE" w14:textId="0203B58E"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20/</w:t>
            </w:r>
            <w:r w:rsidR="00B57165">
              <w:rPr>
                <w:rFonts w:ascii="Arial" w:hAnsi="Arial" w:cs="Arial"/>
                <w:sz w:val="16"/>
                <w:szCs w:val="16"/>
              </w:rPr>
              <w:t>0</w:t>
            </w:r>
            <w:r>
              <w:rPr>
                <w:rFonts w:ascii="Arial" w:hAnsi="Arial" w:cs="Arial"/>
                <w:sz w:val="16"/>
                <w:szCs w:val="16"/>
              </w:rPr>
              <w:t>5/2019</w:t>
            </w:r>
          </w:p>
        </w:tc>
        <w:tc>
          <w:tcPr>
            <w:tcW w:w="1844" w:type="dxa"/>
          </w:tcPr>
          <w:p w14:paraId="2219F1CC" w14:textId="11FF1781"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All</w:t>
            </w:r>
          </w:p>
        </w:tc>
        <w:tc>
          <w:tcPr>
            <w:tcW w:w="3970" w:type="dxa"/>
          </w:tcPr>
          <w:p w14:paraId="585DF3ED" w14:textId="1A78183B"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 xml:space="preserve">Reformatted to include clause numbering.  </w:t>
            </w:r>
            <w:r w:rsidR="00706D2A">
              <w:rPr>
                <w:rFonts w:ascii="Arial" w:hAnsi="Arial" w:cs="Arial"/>
                <w:sz w:val="16"/>
                <w:szCs w:val="16"/>
              </w:rPr>
              <w:t>Additional n</w:t>
            </w:r>
            <w:r>
              <w:rPr>
                <w:rFonts w:ascii="Arial" w:hAnsi="Arial" w:cs="Arial"/>
                <w:sz w:val="16"/>
                <w:szCs w:val="16"/>
              </w:rPr>
              <w:t xml:space="preserve">on-mandatory items </w:t>
            </w:r>
            <w:r w:rsidR="00706D2A">
              <w:rPr>
                <w:rFonts w:ascii="Arial" w:hAnsi="Arial" w:cs="Arial"/>
                <w:sz w:val="16"/>
                <w:szCs w:val="16"/>
              </w:rPr>
              <w:t xml:space="preserve">are not included.  The location of non-mandatory items is noted in italics text </w:t>
            </w:r>
            <w:r w:rsidR="003E3DCC">
              <w:rPr>
                <w:rFonts w:ascii="Arial" w:hAnsi="Arial" w:cs="Arial"/>
                <w:sz w:val="16"/>
                <w:szCs w:val="16"/>
              </w:rPr>
              <w:t xml:space="preserve">as </w:t>
            </w:r>
            <w:r>
              <w:rPr>
                <w:rFonts w:ascii="Arial" w:hAnsi="Arial" w:cs="Arial"/>
                <w:sz w:val="16"/>
                <w:szCs w:val="16"/>
              </w:rPr>
              <w:t>‘Issues to consider”</w:t>
            </w:r>
            <w:r w:rsidR="00706D2A">
              <w:rPr>
                <w:rFonts w:ascii="Arial" w:hAnsi="Arial" w:cs="Arial"/>
                <w:sz w:val="16"/>
                <w:szCs w:val="16"/>
              </w:rPr>
              <w:t>.</w:t>
            </w:r>
          </w:p>
        </w:tc>
        <w:tc>
          <w:tcPr>
            <w:tcW w:w="1336" w:type="dxa"/>
          </w:tcPr>
          <w:p w14:paraId="2763BC9E" w14:textId="344E6CCE" w:rsidR="00FB1D38" w:rsidRDefault="00FB1D38" w:rsidP="00D02A39">
            <w:pPr>
              <w:pStyle w:val="NormalIndent"/>
              <w:spacing w:before="60" w:after="60"/>
              <w:ind w:left="0"/>
              <w:rPr>
                <w:rFonts w:ascii="Arial" w:hAnsi="Arial" w:cs="Arial"/>
                <w:sz w:val="16"/>
                <w:szCs w:val="16"/>
              </w:rPr>
            </w:pPr>
            <w:r>
              <w:rPr>
                <w:rFonts w:ascii="Arial" w:hAnsi="Arial" w:cs="Arial"/>
                <w:sz w:val="16"/>
                <w:szCs w:val="16"/>
              </w:rPr>
              <w:t>DTF</w:t>
            </w:r>
          </w:p>
        </w:tc>
      </w:tr>
      <w:tr w:rsidR="00B57165" w:rsidRPr="008777A4" w14:paraId="4B8A598A" w14:textId="77777777" w:rsidTr="00D02A39">
        <w:tc>
          <w:tcPr>
            <w:tcW w:w="900" w:type="dxa"/>
            <w:shd w:val="clear" w:color="auto" w:fill="auto"/>
          </w:tcPr>
          <w:p w14:paraId="79305596" w14:textId="1599E2D2" w:rsidR="00B57165" w:rsidRDefault="00B57165" w:rsidP="00D02A39">
            <w:pPr>
              <w:pStyle w:val="NormalIndent"/>
              <w:spacing w:before="60" w:after="60"/>
              <w:ind w:left="0"/>
              <w:rPr>
                <w:rFonts w:ascii="Arial" w:hAnsi="Arial" w:cs="Arial"/>
                <w:sz w:val="16"/>
                <w:szCs w:val="16"/>
              </w:rPr>
            </w:pPr>
            <w:r>
              <w:rPr>
                <w:rFonts w:ascii="Arial" w:hAnsi="Arial" w:cs="Arial"/>
                <w:sz w:val="16"/>
                <w:szCs w:val="16"/>
              </w:rPr>
              <w:t>4</w:t>
            </w:r>
          </w:p>
        </w:tc>
        <w:tc>
          <w:tcPr>
            <w:tcW w:w="1192" w:type="dxa"/>
          </w:tcPr>
          <w:p w14:paraId="4E504E5B" w14:textId="20C74B00" w:rsidR="00B57165" w:rsidRDefault="00B57165" w:rsidP="00D02A39">
            <w:pPr>
              <w:pStyle w:val="NormalIndent"/>
              <w:spacing w:before="60" w:after="60"/>
              <w:ind w:left="0"/>
              <w:rPr>
                <w:rFonts w:ascii="Arial" w:hAnsi="Arial" w:cs="Arial"/>
                <w:sz w:val="16"/>
                <w:szCs w:val="16"/>
              </w:rPr>
            </w:pPr>
            <w:r>
              <w:rPr>
                <w:rFonts w:ascii="Arial" w:hAnsi="Arial" w:cs="Arial"/>
                <w:sz w:val="16"/>
                <w:szCs w:val="16"/>
              </w:rPr>
              <w:t xml:space="preserve"> 2 /08/2019</w:t>
            </w:r>
          </w:p>
        </w:tc>
        <w:tc>
          <w:tcPr>
            <w:tcW w:w="1844" w:type="dxa"/>
          </w:tcPr>
          <w:p w14:paraId="79DAE46D" w14:textId="73F33C62" w:rsidR="00B57165" w:rsidRDefault="00B57165" w:rsidP="00D02A39">
            <w:pPr>
              <w:pStyle w:val="NormalIndent"/>
              <w:spacing w:before="60" w:after="60"/>
              <w:ind w:left="0"/>
              <w:rPr>
                <w:rFonts w:ascii="Arial" w:hAnsi="Arial" w:cs="Arial"/>
                <w:sz w:val="16"/>
                <w:szCs w:val="16"/>
              </w:rPr>
            </w:pPr>
            <w:r>
              <w:rPr>
                <w:rFonts w:ascii="Arial" w:hAnsi="Arial" w:cs="Arial"/>
                <w:sz w:val="16"/>
                <w:szCs w:val="16"/>
              </w:rPr>
              <w:t>Instruction 3.4</w:t>
            </w:r>
          </w:p>
        </w:tc>
        <w:tc>
          <w:tcPr>
            <w:tcW w:w="3970" w:type="dxa"/>
          </w:tcPr>
          <w:p w14:paraId="5D7A34F6" w14:textId="2B6D414F" w:rsidR="00B57165" w:rsidRDefault="00B57165" w:rsidP="00D02A39">
            <w:pPr>
              <w:pStyle w:val="NormalIndent"/>
              <w:spacing w:before="60" w:after="60"/>
              <w:ind w:left="0"/>
              <w:rPr>
                <w:rFonts w:ascii="Arial" w:hAnsi="Arial" w:cs="Arial"/>
                <w:sz w:val="16"/>
                <w:szCs w:val="16"/>
              </w:rPr>
            </w:pPr>
            <w:r>
              <w:rPr>
                <w:rFonts w:ascii="Arial" w:hAnsi="Arial" w:cs="Arial"/>
                <w:sz w:val="16"/>
                <w:szCs w:val="16"/>
              </w:rPr>
              <w:t>Clarify when a Tender Notice must be used for Selective Tenders and Limited Tenders.</w:t>
            </w:r>
          </w:p>
        </w:tc>
        <w:tc>
          <w:tcPr>
            <w:tcW w:w="1336" w:type="dxa"/>
          </w:tcPr>
          <w:p w14:paraId="344EBBE0" w14:textId="5B5E93C0" w:rsidR="00B57165" w:rsidRDefault="00B57165" w:rsidP="00D02A39">
            <w:pPr>
              <w:pStyle w:val="NormalIndent"/>
              <w:spacing w:before="60" w:after="60"/>
              <w:ind w:left="0"/>
              <w:rPr>
                <w:rFonts w:ascii="Arial" w:hAnsi="Arial" w:cs="Arial"/>
                <w:sz w:val="16"/>
                <w:szCs w:val="16"/>
              </w:rPr>
            </w:pPr>
            <w:r>
              <w:rPr>
                <w:rFonts w:ascii="Arial" w:hAnsi="Arial" w:cs="Arial"/>
                <w:sz w:val="16"/>
                <w:szCs w:val="16"/>
              </w:rPr>
              <w:t>DTF</w:t>
            </w:r>
          </w:p>
        </w:tc>
      </w:tr>
    </w:tbl>
    <w:p w14:paraId="3CCE0951" w14:textId="77777777" w:rsidR="008074C7" w:rsidRPr="00E55CD9" w:rsidRDefault="008074C7" w:rsidP="00A82CA2">
      <w:pPr>
        <w:rPr>
          <w:rFonts w:asciiTheme="majorHAnsi" w:hAnsiTheme="majorHAnsi" w:cstheme="majorHAnsi"/>
        </w:rPr>
      </w:pPr>
    </w:p>
    <w:sectPr w:rsidR="008074C7" w:rsidRPr="00E55CD9" w:rsidSect="00FB1D38">
      <w:headerReference w:type="default" r:id="rId14"/>
      <w:footerReference w:type="default" r:id="rId15"/>
      <w:pgSz w:w="11906" w:h="16838" w:code="9"/>
      <w:pgMar w:top="1985" w:right="1440" w:bottom="1418"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8625" w14:textId="77777777" w:rsidR="00175771" w:rsidRDefault="00175771" w:rsidP="002D711A">
      <w:pPr>
        <w:spacing w:after="0" w:line="240" w:lineRule="auto"/>
      </w:pPr>
      <w:r>
        <w:separator/>
      </w:r>
    </w:p>
  </w:endnote>
  <w:endnote w:type="continuationSeparator" w:id="0">
    <w:p w14:paraId="477C27BF" w14:textId="77777777" w:rsidR="00175771" w:rsidRDefault="0017577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52AD" w14:textId="2D04248D" w:rsidR="00175771" w:rsidRPr="00232612" w:rsidRDefault="008B23E7" w:rsidP="0046021E">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9776" behindDoc="0" locked="0" layoutInCell="0" allowOverlap="1" wp14:anchorId="12FAEE79" wp14:editId="61B648FE">
              <wp:simplePos x="0" y="0"/>
              <wp:positionH relativeFrom="page">
                <wp:posOffset>0</wp:posOffset>
              </wp:positionH>
              <wp:positionV relativeFrom="page">
                <wp:posOffset>10234930</wp:posOffset>
              </wp:positionV>
              <wp:extent cx="7560310" cy="266700"/>
              <wp:effectExtent l="0" t="0" r="0" b="0"/>
              <wp:wrapNone/>
              <wp:docPr id="1" name="MSIPCM006f4864a11f2cef5cc6f4a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D153F" w14:textId="2871B491" w:rsidR="008B23E7" w:rsidRPr="008B23E7" w:rsidRDefault="008B23E7" w:rsidP="008B23E7">
                          <w:pPr>
                            <w:spacing w:before="0" w:after="0"/>
                            <w:rPr>
                              <w:rFonts w:ascii="Calibri" w:hAnsi="Calibri" w:cs="Calibri"/>
                              <w:color w:val="000000"/>
                              <w:sz w:val="22"/>
                            </w:rPr>
                          </w:pPr>
                          <w:r w:rsidRPr="008B23E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AEE79" id="_x0000_t202" coordsize="21600,21600" o:spt="202" path="m,l,21600r21600,l21600,xe">
              <v:stroke joinstyle="miter"/>
              <v:path gradientshapeok="t" o:connecttype="rect"/>
            </v:shapetype>
            <v:shape id="MSIPCM006f4864a11f2cef5cc6f4a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DjJj4KGwMAADgGAAAOAAAAAAAAAAAA&#10;AAAAAC4CAABkcnMvZTJvRG9jLnhtbFBLAQItABQABgAIAAAAIQBgEcYm3gAAAAsBAAAPAAAAAAAA&#10;AAAAAAAAAHUFAABkcnMvZG93bnJldi54bWxQSwUGAAAAAAQABADzAAAAgAYAAAAA&#10;" o:allowincell="f" filled="f" stroked="f" strokeweight=".5pt">
              <v:textbox inset="20pt,0,,0">
                <w:txbxContent>
                  <w:p w14:paraId="490D153F" w14:textId="2871B491" w:rsidR="008B23E7" w:rsidRPr="008B23E7" w:rsidRDefault="008B23E7" w:rsidP="008B23E7">
                    <w:pPr>
                      <w:spacing w:before="0" w:after="0"/>
                      <w:rPr>
                        <w:rFonts w:ascii="Calibri" w:hAnsi="Calibri" w:cs="Calibri"/>
                        <w:color w:val="000000"/>
                        <w:sz w:val="22"/>
                      </w:rPr>
                    </w:pPr>
                    <w:r w:rsidRPr="008B23E7">
                      <w:rPr>
                        <w:rFonts w:ascii="Calibri" w:hAnsi="Calibri" w:cs="Calibri"/>
                        <w:color w:val="000000"/>
                        <w:sz w:val="22"/>
                      </w:rPr>
                      <w:t>OFFICIAL</w:t>
                    </w:r>
                  </w:p>
                </w:txbxContent>
              </v:textbox>
              <w10:wrap anchorx="page" anchory="page"/>
            </v:shape>
          </w:pict>
        </mc:Fallback>
      </mc:AlternateContent>
    </w:r>
    <w:r w:rsidR="00175771">
      <w:rPr>
        <w:b/>
        <w:color w:val="0063A6" w:themeColor="accent1"/>
      </w:rPr>
      <w:t>Evidence guide for mandatory requirements of the Directions and Instructions</w:t>
    </w:r>
  </w:p>
  <w:p w14:paraId="7E9077CF" w14:textId="5DE0D6F3" w:rsidR="00175771" w:rsidRPr="00C022F9" w:rsidRDefault="00175771" w:rsidP="0046021E">
    <w:pPr>
      <w:pStyle w:val="Footer"/>
      <w:tabs>
        <w:tab w:val="center" w:pos="4395"/>
      </w:tabs>
      <w:rPr>
        <w:noProof w:val="0"/>
      </w:rPr>
    </w:pPr>
    <w:r>
      <w:rPr>
        <w:b/>
        <w:color w:val="0063A6" w:themeColor="accent1"/>
      </w:rPr>
      <w:t>Public Construction</w:t>
    </w:r>
    <w:r>
      <w:rPr>
        <w:b/>
        <w:color w:val="0063A6" w:themeColor="accent1"/>
      </w:rPr>
      <w:br/>
    </w:r>
    <w:r>
      <w:rPr>
        <w:noProof w:val="0"/>
      </w:rPr>
      <w:t xml:space="preserve">Current as at </w:t>
    </w:r>
    <w:r w:rsidR="008B23E7">
      <w:rPr>
        <w:noProof w:val="0"/>
      </w:rPr>
      <w:t>2 August</w:t>
    </w:r>
    <w:r>
      <w:rPr>
        <w:noProof w:val="0"/>
      </w:rPr>
      <w:t xml:space="preserve"> 2019</w:t>
    </w:r>
    <w:r>
      <w:rPr>
        <w:noProof w:val="0"/>
      </w:rP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3F8F" w14:textId="77777777" w:rsidR="00175771" w:rsidRDefault="00175771" w:rsidP="002D711A">
      <w:pPr>
        <w:spacing w:after="0" w:line="240" w:lineRule="auto"/>
      </w:pPr>
      <w:r>
        <w:separator/>
      </w:r>
    </w:p>
  </w:footnote>
  <w:footnote w:type="continuationSeparator" w:id="0">
    <w:p w14:paraId="447C1F31" w14:textId="77777777" w:rsidR="00175771" w:rsidRDefault="00175771"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AB26" w14:textId="006D3F39" w:rsidR="00175771" w:rsidRDefault="00175771">
    <w:pPr>
      <w:pStyle w:val="Header"/>
    </w:pPr>
    <w:r>
      <w:rPr>
        <w:noProof/>
      </w:rPr>
      <w:drawing>
        <wp:anchor distT="0" distB="0" distL="114300" distR="114300" simplePos="0" relativeHeight="251656704" behindDoc="0" locked="0" layoutInCell="1" allowOverlap="1" wp14:anchorId="525CA24E" wp14:editId="06AEB512">
          <wp:simplePos x="0" y="0"/>
          <wp:positionH relativeFrom="column">
            <wp:posOffset>-971550</wp:posOffset>
          </wp:positionH>
          <wp:positionV relativeFrom="page">
            <wp:posOffset>0</wp:posOffset>
          </wp:positionV>
          <wp:extent cx="7629525" cy="740410"/>
          <wp:effectExtent l="0" t="0" r="9525"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BDC37CD" wp14:editId="21E95BEC">
          <wp:simplePos x="0" y="0"/>
          <wp:positionH relativeFrom="column">
            <wp:posOffset>-353695</wp:posOffset>
          </wp:positionH>
          <wp:positionV relativeFrom="page">
            <wp:posOffset>177165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902C93"/>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 w15:restartNumberingAfterBreak="0">
    <w:nsid w:val="01CE62C2"/>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3" w15:restartNumberingAfterBreak="0">
    <w:nsid w:val="0481088E"/>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 w15:restartNumberingAfterBreak="0">
    <w:nsid w:val="077D6565"/>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084E46DA"/>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6" w15:restartNumberingAfterBreak="0">
    <w:nsid w:val="08BC414A"/>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7" w15:restartNumberingAfterBreak="0">
    <w:nsid w:val="091C326D"/>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8" w15:restartNumberingAfterBreak="0">
    <w:nsid w:val="0A5B014F"/>
    <w:multiLevelType w:val="hybridMultilevel"/>
    <w:tmpl w:val="A17A3DEA"/>
    <w:lvl w:ilvl="0" w:tplc="E18C35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9E116E"/>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10" w15:restartNumberingAfterBreak="0">
    <w:nsid w:val="0D5815C3"/>
    <w:multiLevelType w:val="hybridMultilevel"/>
    <w:tmpl w:val="A95A55E6"/>
    <w:lvl w:ilvl="0" w:tplc="582E57FA">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1" w15:restartNumberingAfterBreak="0">
    <w:nsid w:val="0DC3305B"/>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start w:val="1"/>
      <w:numFmt w:val="lowerRoman"/>
      <w:lvlText w:val="%9."/>
      <w:lvlJc w:val="right"/>
      <w:pPr>
        <w:ind w:left="6126" w:hanging="180"/>
      </w:pPr>
    </w:lvl>
  </w:abstractNum>
  <w:abstractNum w:abstractNumId="12" w15:restartNumberingAfterBreak="0">
    <w:nsid w:val="0E667ECE"/>
    <w:multiLevelType w:val="hybridMultilevel"/>
    <w:tmpl w:val="5C4AD916"/>
    <w:lvl w:ilvl="0" w:tplc="823CCD66">
      <w:start w:val="1"/>
      <w:numFmt w:val="lowerRoman"/>
      <w:lvlText w:val="(%1)"/>
      <w:lvlJc w:val="left"/>
      <w:pPr>
        <w:ind w:left="1151" w:hanging="720"/>
      </w:pPr>
      <w:rPr>
        <w:rFonts w:asciiTheme="minorHAnsi" w:hAnsiTheme="minorHAnsi" w:cstheme="minorBidi" w:hint="default"/>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13" w15:restartNumberingAfterBreak="0">
    <w:nsid w:val="0F3E7C83"/>
    <w:multiLevelType w:val="hybridMultilevel"/>
    <w:tmpl w:val="FACE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83E61"/>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15" w15:restartNumberingAfterBreak="0">
    <w:nsid w:val="13542E77"/>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16" w15:restartNumberingAfterBreak="0">
    <w:nsid w:val="14286FF4"/>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17" w15:restartNumberingAfterBreak="0">
    <w:nsid w:val="14DF61DA"/>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8" w15:restartNumberingAfterBreak="0">
    <w:nsid w:val="15AA5907"/>
    <w:multiLevelType w:val="hybridMultilevel"/>
    <w:tmpl w:val="54A0EC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2B3711"/>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0" w15:restartNumberingAfterBreak="0">
    <w:nsid w:val="16545550"/>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2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03476"/>
    <w:multiLevelType w:val="hybridMultilevel"/>
    <w:tmpl w:val="BA888D96"/>
    <w:lvl w:ilvl="0" w:tplc="A9803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C60226"/>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24" w15:restartNumberingAfterBreak="0">
    <w:nsid w:val="19E067BE"/>
    <w:multiLevelType w:val="hybridMultilevel"/>
    <w:tmpl w:val="32BCBB3A"/>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5" w15:restartNumberingAfterBreak="0">
    <w:nsid w:val="1B780BD3"/>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26" w15:restartNumberingAfterBreak="0">
    <w:nsid w:val="1C231CC8"/>
    <w:multiLevelType w:val="multilevel"/>
    <w:tmpl w:val="0EEA6BB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1781"/>
        </w:tabs>
        <w:ind w:left="1637"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27" w15:restartNumberingAfterBreak="0">
    <w:nsid w:val="1C48259C"/>
    <w:multiLevelType w:val="multilevel"/>
    <w:tmpl w:val="4B58DE14"/>
    <w:lvl w:ilvl="0">
      <w:start w:val="1"/>
      <w:numFmt w:val="lowerLetter"/>
      <w:lvlText w:val="(%1)"/>
      <w:lvlJc w:val="left"/>
      <w:pPr>
        <w:tabs>
          <w:tab w:val="num" w:pos="360"/>
        </w:tabs>
        <w:ind w:left="360" w:hanging="360"/>
      </w:pPr>
      <w:rPr>
        <w:rFonts w:hint="default"/>
        <w:b w:val="0"/>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504"/>
        </w:tabs>
        <w:ind w:left="504"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28" w15:restartNumberingAfterBreak="0">
    <w:nsid w:val="1DC675E7"/>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15:restartNumberingAfterBreak="0">
    <w:nsid w:val="1E931E27"/>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30" w15:restartNumberingAfterBreak="0">
    <w:nsid w:val="23117CB8"/>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31" w15:restartNumberingAfterBreak="0">
    <w:nsid w:val="259A3922"/>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2"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A386C08"/>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4" w15:restartNumberingAfterBreak="0">
    <w:nsid w:val="2AF2413A"/>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35" w15:restartNumberingAfterBreak="0">
    <w:nsid w:val="2C3C245E"/>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36" w15:restartNumberingAfterBreak="0">
    <w:nsid w:val="2D8A4A6B"/>
    <w:multiLevelType w:val="hybridMultilevel"/>
    <w:tmpl w:val="447A7730"/>
    <w:lvl w:ilvl="0" w:tplc="0A0477F4">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7" w15:restartNumberingAfterBreak="0">
    <w:nsid w:val="2DB37A88"/>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38" w15:restartNumberingAfterBreak="0">
    <w:nsid w:val="320A592A"/>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39" w15:restartNumberingAfterBreak="0">
    <w:nsid w:val="399E109A"/>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0" w15:restartNumberingAfterBreak="0">
    <w:nsid w:val="3B64304C"/>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41" w15:restartNumberingAfterBreak="0">
    <w:nsid w:val="3B9D27CE"/>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2" w15:restartNumberingAfterBreak="0">
    <w:nsid w:val="3BE61FA8"/>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3" w15:restartNumberingAfterBreak="0">
    <w:nsid w:val="3D925A0C"/>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4" w15:restartNumberingAfterBreak="0">
    <w:nsid w:val="3E34194A"/>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5" w15:restartNumberingAfterBreak="0">
    <w:nsid w:val="3E935D2C"/>
    <w:multiLevelType w:val="hybridMultilevel"/>
    <w:tmpl w:val="B0A0607A"/>
    <w:lvl w:ilvl="0" w:tplc="E702F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FC36A23"/>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47" w15:restartNumberingAfterBreak="0">
    <w:nsid w:val="41A46BD3"/>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8" w15:restartNumberingAfterBreak="0">
    <w:nsid w:val="423F3F01"/>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49"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0" w15:restartNumberingAfterBreak="0">
    <w:nsid w:val="449C5702"/>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51" w15:restartNumberingAfterBreak="0">
    <w:nsid w:val="481F7F65"/>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52" w15:restartNumberingAfterBreak="0">
    <w:nsid w:val="4D8D4EE6"/>
    <w:multiLevelType w:val="hybridMultilevel"/>
    <w:tmpl w:val="A17A3DEA"/>
    <w:lvl w:ilvl="0" w:tplc="E18C35F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2438DA"/>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54" w15:restartNumberingAfterBreak="0">
    <w:nsid w:val="50E058C6"/>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55" w15:restartNumberingAfterBreak="0">
    <w:nsid w:val="51E63D2C"/>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56" w15:restartNumberingAfterBreak="0">
    <w:nsid w:val="54DD730E"/>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7" w15:restartNumberingAfterBreak="0">
    <w:nsid w:val="5514154C"/>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58" w15:restartNumberingAfterBreak="0">
    <w:nsid w:val="554B68E7"/>
    <w:multiLevelType w:val="hybridMultilevel"/>
    <w:tmpl w:val="A17A3DEA"/>
    <w:lvl w:ilvl="0" w:tplc="E18C35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9A4D7E"/>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60" w15:restartNumberingAfterBreak="0">
    <w:nsid w:val="570C27A3"/>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61" w15:restartNumberingAfterBreak="0">
    <w:nsid w:val="57940E65"/>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62" w15:restartNumberingAfterBreak="0">
    <w:nsid w:val="5A6E03DA"/>
    <w:multiLevelType w:val="multilevel"/>
    <w:tmpl w:val="C3D69A5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bullet"/>
      <w:lvlText w:val=""/>
      <w:lvlJc w:val="left"/>
      <w:pPr>
        <w:tabs>
          <w:tab w:val="num" w:pos="1296"/>
        </w:tabs>
        <w:ind w:left="1296" w:hanging="504"/>
      </w:pPr>
      <w:rPr>
        <w:rFonts w:ascii="Symbol" w:hAnsi="Symbol"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63" w15:restartNumberingAfterBreak="0">
    <w:nsid w:val="5ADB5BBF"/>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64" w15:restartNumberingAfterBreak="0">
    <w:nsid w:val="5C5158E3"/>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65" w15:restartNumberingAfterBreak="0">
    <w:nsid w:val="6183207B"/>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66" w15:restartNumberingAfterBreak="0">
    <w:nsid w:val="622576E7"/>
    <w:multiLevelType w:val="multilevel"/>
    <w:tmpl w:val="2898D4A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67" w15:restartNumberingAfterBreak="0">
    <w:nsid w:val="64F60007"/>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68" w15:restartNumberingAfterBreak="0">
    <w:nsid w:val="66AA5334"/>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69" w15:restartNumberingAfterBreak="0">
    <w:nsid w:val="66AA653E"/>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70" w15:restartNumberingAfterBreak="0">
    <w:nsid w:val="68817B9F"/>
    <w:multiLevelType w:val="hybridMultilevel"/>
    <w:tmpl w:val="A8EE27E4"/>
    <w:lvl w:ilvl="0" w:tplc="FEA6C24E">
      <w:start w:val="1"/>
      <w:numFmt w:val="lowerRoman"/>
      <w:lvlText w:val="(%1)"/>
      <w:lvlJc w:val="left"/>
      <w:pPr>
        <w:ind w:left="1151" w:hanging="720"/>
      </w:pPr>
      <w:rPr>
        <w:rFonts w:hint="default"/>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71" w15:restartNumberingAfterBreak="0">
    <w:nsid w:val="688D26AD"/>
    <w:multiLevelType w:val="multilevel"/>
    <w:tmpl w:val="35B24AE4"/>
    <w:numStyleLink w:val="CUNumber"/>
  </w:abstractNum>
  <w:abstractNum w:abstractNumId="72" w15:restartNumberingAfterBreak="0">
    <w:nsid w:val="6D2573AC"/>
    <w:multiLevelType w:val="multilevel"/>
    <w:tmpl w:val="DE585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DD95BFC"/>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74" w15:restartNumberingAfterBreak="0">
    <w:nsid w:val="71D426C5"/>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75" w15:restartNumberingAfterBreak="0">
    <w:nsid w:val="726B423A"/>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76" w15:restartNumberingAfterBreak="0">
    <w:nsid w:val="73EF7089"/>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77" w15:restartNumberingAfterBreak="0">
    <w:nsid w:val="74D13546"/>
    <w:multiLevelType w:val="hybridMultilevel"/>
    <w:tmpl w:val="DE0890E8"/>
    <w:lvl w:ilvl="0" w:tplc="2C901D0C">
      <w:start w:val="1"/>
      <w:numFmt w:val="lowerRoman"/>
      <w:lvlText w:val="(%1)"/>
      <w:lvlJc w:val="left"/>
      <w:pPr>
        <w:ind w:left="726" w:hanging="72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78" w15:restartNumberingAfterBreak="0">
    <w:nsid w:val="75562A07"/>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79" w15:restartNumberingAfterBreak="0">
    <w:nsid w:val="757E3A10"/>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80" w15:restartNumberingAfterBreak="0">
    <w:nsid w:val="75BC783F"/>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81" w15:restartNumberingAfterBreak="0">
    <w:nsid w:val="77C931DC"/>
    <w:multiLevelType w:val="multilevel"/>
    <w:tmpl w:val="0006362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b w:val="0"/>
      </w:rPr>
    </w:lvl>
    <w:lvl w:ilvl="8">
      <w:start w:val="1"/>
      <w:numFmt w:val="decimal"/>
      <w:lvlText w:val="%9."/>
      <w:lvlJc w:val="left"/>
      <w:pPr>
        <w:tabs>
          <w:tab w:val="num" w:pos="1296"/>
        </w:tabs>
        <w:ind w:left="1296" w:hanging="504"/>
      </w:pPr>
      <w:rPr>
        <w:rFonts w:hint="default"/>
      </w:rPr>
    </w:lvl>
  </w:abstractNum>
  <w:abstractNum w:abstractNumId="82"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C082143"/>
    <w:multiLevelType w:val="multilevel"/>
    <w:tmpl w:val="F9B8946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Letter"/>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85" w15:restartNumberingAfterBreak="0">
    <w:nsid w:val="7CF64C00"/>
    <w:multiLevelType w:val="multilevel"/>
    <w:tmpl w:val="06B0FF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bullet"/>
      <w:lvlText w:val=""/>
      <w:lvlJc w:val="left"/>
      <w:pPr>
        <w:tabs>
          <w:tab w:val="num" w:pos="2205"/>
        </w:tabs>
        <w:ind w:left="2205" w:hanging="504"/>
      </w:pPr>
      <w:rPr>
        <w:rFonts w:ascii="Symbol" w:hAnsi="Symbol" w:hint="default"/>
      </w:rPr>
    </w:lvl>
    <w:lvl w:ilvl="8">
      <w:start w:val="1"/>
      <w:numFmt w:val="decimal"/>
      <w:lvlText w:val="%9."/>
      <w:lvlJc w:val="left"/>
      <w:pPr>
        <w:tabs>
          <w:tab w:val="num" w:pos="1296"/>
        </w:tabs>
        <w:ind w:left="1296" w:hanging="504"/>
      </w:pPr>
      <w:rPr>
        <w:rFonts w:hint="default"/>
      </w:rPr>
    </w:lvl>
  </w:abstractNum>
  <w:abstractNum w:abstractNumId="86" w15:restartNumberingAfterBreak="0">
    <w:nsid w:val="7FD44514"/>
    <w:multiLevelType w:val="multilevel"/>
    <w:tmpl w:val="6D2E03D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bullet"/>
      <w:lvlText w:val=""/>
      <w:lvlJc w:val="left"/>
      <w:pPr>
        <w:tabs>
          <w:tab w:val="num" w:pos="1296"/>
        </w:tabs>
        <w:ind w:left="1296" w:hanging="504"/>
      </w:pPr>
      <w:rPr>
        <w:rFonts w:ascii="Symbol" w:hAnsi="Symbol"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49"/>
  </w:num>
  <w:num w:numId="2">
    <w:abstractNumId w:val="32"/>
  </w:num>
  <w:num w:numId="3">
    <w:abstractNumId w:val="83"/>
  </w:num>
  <w:num w:numId="4">
    <w:abstractNumId w:val="21"/>
  </w:num>
  <w:num w:numId="5">
    <w:abstractNumId w:val="0"/>
  </w:num>
  <w:num w:numId="6">
    <w:abstractNumId w:val="71"/>
  </w:num>
  <w:num w:numId="7">
    <w:abstractNumId w:val="82"/>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78"/>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num>
  <w:num w:numId="14">
    <w:abstractNumId w:val="26"/>
  </w:num>
  <w:num w:numId="15">
    <w:abstractNumId w:val="62"/>
  </w:num>
  <w:num w:numId="16">
    <w:abstractNumId w:val="75"/>
  </w:num>
  <w:num w:numId="17">
    <w:abstractNumId w:val="41"/>
  </w:num>
  <w:num w:numId="18">
    <w:abstractNumId w:val="18"/>
  </w:num>
  <w:num w:numId="19">
    <w:abstractNumId w:val="12"/>
  </w:num>
  <w:num w:numId="20">
    <w:abstractNumId w:val="70"/>
  </w:num>
  <w:num w:numId="21">
    <w:abstractNumId w:val="22"/>
  </w:num>
  <w:num w:numId="22">
    <w:abstractNumId w:val="36"/>
  </w:num>
  <w:num w:numId="23">
    <w:abstractNumId w:val="10"/>
  </w:num>
  <w:num w:numId="24">
    <w:abstractNumId w:val="45"/>
  </w:num>
  <w:num w:numId="25">
    <w:abstractNumId w:val="5"/>
  </w:num>
  <w:num w:numId="26">
    <w:abstractNumId w:val="20"/>
  </w:num>
  <w:num w:numId="27">
    <w:abstractNumId w:val="13"/>
  </w:num>
  <w:num w:numId="28">
    <w:abstractNumId w:val="27"/>
  </w:num>
  <w:num w:numId="29">
    <w:abstractNumId w:val="34"/>
  </w:num>
  <w:num w:numId="30">
    <w:abstractNumId w:val="7"/>
  </w:num>
  <w:num w:numId="31">
    <w:abstractNumId w:val="16"/>
  </w:num>
  <w:num w:numId="32">
    <w:abstractNumId w:val="46"/>
  </w:num>
  <w:num w:numId="33">
    <w:abstractNumId w:val="69"/>
  </w:num>
  <w:num w:numId="34">
    <w:abstractNumId w:val="54"/>
  </w:num>
  <w:num w:numId="35">
    <w:abstractNumId w:val="85"/>
  </w:num>
  <w:num w:numId="36">
    <w:abstractNumId w:val="76"/>
  </w:num>
  <w:num w:numId="37">
    <w:abstractNumId w:val="64"/>
  </w:num>
  <w:num w:numId="38">
    <w:abstractNumId w:val="38"/>
  </w:num>
  <w:num w:numId="39">
    <w:abstractNumId w:val="74"/>
  </w:num>
  <w:num w:numId="40">
    <w:abstractNumId w:val="53"/>
  </w:num>
  <w:num w:numId="41">
    <w:abstractNumId w:val="15"/>
  </w:num>
  <w:num w:numId="42">
    <w:abstractNumId w:val="6"/>
  </w:num>
  <w:num w:numId="43">
    <w:abstractNumId w:val="50"/>
  </w:num>
  <w:num w:numId="44">
    <w:abstractNumId w:val="47"/>
  </w:num>
  <w:num w:numId="45">
    <w:abstractNumId w:val="30"/>
  </w:num>
  <w:num w:numId="46">
    <w:abstractNumId w:val="48"/>
  </w:num>
  <w:num w:numId="47">
    <w:abstractNumId w:val="39"/>
  </w:num>
  <w:num w:numId="48">
    <w:abstractNumId w:val="73"/>
  </w:num>
  <w:num w:numId="49">
    <w:abstractNumId w:val="14"/>
  </w:num>
  <w:num w:numId="50">
    <w:abstractNumId w:val="29"/>
  </w:num>
  <w:num w:numId="51">
    <w:abstractNumId w:val="67"/>
  </w:num>
  <w:num w:numId="52">
    <w:abstractNumId w:val="2"/>
  </w:num>
  <w:num w:numId="53">
    <w:abstractNumId w:val="23"/>
  </w:num>
  <w:num w:numId="54">
    <w:abstractNumId w:val="42"/>
  </w:num>
  <w:num w:numId="55">
    <w:abstractNumId w:val="63"/>
  </w:num>
  <w:num w:numId="56">
    <w:abstractNumId w:val="9"/>
  </w:num>
  <w:num w:numId="57">
    <w:abstractNumId w:val="57"/>
  </w:num>
  <w:num w:numId="58">
    <w:abstractNumId w:val="35"/>
  </w:num>
  <w:num w:numId="59">
    <w:abstractNumId w:val="44"/>
  </w:num>
  <w:num w:numId="60">
    <w:abstractNumId w:val="80"/>
  </w:num>
  <w:num w:numId="61">
    <w:abstractNumId w:val="81"/>
  </w:num>
  <w:num w:numId="62">
    <w:abstractNumId w:val="52"/>
  </w:num>
  <w:num w:numId="63">
    <w:abstractNumId w:val="58"/>
  </w:num>
  <w:num w:numId="64">
    <w:abstractNumId w:val="8"/>
  </w:num>
  <w:num w:numId="65">
    <w:abstractNumId w:val="51"/>
  </w:num>
  <w:num w:numId="66">
    <w:abstractNumId w:val="43"/>
  </w:num>
  <w:num w:numId="67">
    <w:abstractNumId w:val="4"/>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31"/>
  </w:num>
  <w:num w:numId="71">
    <w:abstractNumId w:val="33"/>
  </w:num>
  <w:num w:numId="72">
    <w:abstractNumId w:val="56"/>
  </w:num>
  <w:num w:numId="73">
    <w:abstractNumId w:val="84"/>
  </w:num>
  <w:num w:numId="74">
    <w:abstractNumId w:val="60"/>
  </w:num>
  <w:num w:numId="75">
    <w:abstractNumId w:val="11"/>
  </w:num>
  <w:num w:numId="76">
    <w:abstractNumId w:val="28"/>
  </w:num>
  <w:num w:numId="77">
    <w:abstractNumId w:val="65"/>
  </w:num>
  <w:num w:numId="78">
    <w:abstractNumId w:val="61"/>
  </w:num>
  <w:num w:numId="79">
    <w:abstractNumId w:val="24"/>
  </w:num>
  <w:num w:numId="80">
    <w:abstractNumId w:val="77"/>
  </w:num>
  <w:num w:numId="81">
    <w:abstractNumId w:val="19"/>
  </w:num>
  <w:num w:numId="82">
    <w:abstractNumId w:val="59"/>
  </w:num>
  <w:num w:numId="83">
    <w:abstractNumId w:val="3"/>
  </w:num>
  <w:num w:numId="84">
    <w:abstractNumId w:val="79"/>
  </w:num>
  <w:num w:numId="85">
    <w:abstractNumId w:val="17"/>
  </w:num>
  <w:num w:numId="86">
    <w:abstractNumId w:val="1"/>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num>
  <w:num w:numId="89">
    <w:abstractNumId w:val="55"/>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72"/>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23E"/>
    <w:rsid w:val="00001097"/>
    <w:rsid w:val="00002EA5"/>
    <w:rsid w:val="00002FC9"/>
    <w:rsid w:val="00003026"/>
    <w:rsid w:val="00003777"/>
    <w:rsid w:val="00003DCD"/>
    <w:rsid w:val="0000436A"/>
    <w:rsid w:val="00005967"/>
    <w:rsid w:val="000061E8"/>
    <w:rsid w:val="000070A0"/>
    <w:rsid w:val="00007CD7"/>
    <w:rsid w:val="0001260A"/>
    <w:rsid w:val="00012F6F"/>
    <w:rsid w:val="00014213"/>
    <w:rsid w:val="000143CC"/>
    <w:rsid w:val="000143E3"/>
    <w:rsid w:val="00014B55"/>
    <w:rsid w:val="00016263"/>
    <w:rsid w:val="000173DE"/>
    <w:rsid w:val="0002058F"/>
    <w:rsid w:val="0002087F"/>
    <w:rsid w:val="000209B7"/>
    <w:rsid w:val="00020E3E"/>
    <w:rsid w:val="00020FEB"/>
    <w:rsid w:val="0002268B"/>
    <w:rsid w:val="0002399C"/>
    <w:rsid w:val="00023BF3"/>
    <w:rsid w:val="00025178"/>
    <w:rsid w:val="00025447"/>
    <w:rsid w:val="00026811"/>
    <w:rsid w:val="00026CB0"/>
    <w:rsid w:val="000316D9"/>
    <w:rsid w:val="00031744"/>
    <w:rsid w:val="00032018"/>
    <w:rsid w:val="000324E2"/>
    <w:rsid w:val="000325DC"/>
    <w:rsid w:val="00037214"/>
    <w:rsid w:val="0004077A"/>
    <w:rsid w:val="0004185E"/>
    <w:rsid w:val="000430D0"/>
    <w:rsid w:val="000444DE"/>
    <w:rsid w:val="000508F0"/>
    <w:rsid w:val="00051B92"/>
    <w:rsid w:val="0005345D"/>
    <w:rsid w:val="00053DEE"/>
    <w:rsid w:val="00055F26"/>
    <w:rsid w:val="00056988"/>
    <w:rsid w:val="0006040E"/>
    <w:rsid w:val="00060B73"/>
    <w:rsid w:val="000624A1"/>
    <w:rsid w:val="00062F79"/>
    <w:rsid w:val="00063AD2"/>
    <w:rsid w:val="000648BC"/>
    <w:rsid w:val="00065B5C"/>
    <w:rsid w:val="0006600F"/>
    <w:rsid w:val="000676E0"/>
    <w:rsid w:val="00070B8A"/>
    <w:rsid w:val="000710E5"/>
    <w:rsid w:val="00071668"/>
    <w:rsid w:val="00071F3F"/>
    <w:rsid w:val="0007444A"/>
    <w:rsid w:val="000744DD"/>
    <w:rsid w:val="00074E0C"/>
    <w:rsid w:val="00075E6C"/>
    <w:rsid w:val="000768D6"/>
    <w:rsid w:val="00076F2C"/>
    <w:rsid w:val="00077A46"/>
    <w:rsid w:val="0008015C"/>
    <w:rsid w:val="00080639"/>
    <w:rsid w:val="00080F9E"/>
    <w:rsid w:val="00081C12"/>
    <w:rsid w:val="00081FFE"/>
    <w:rsid w:val="00082602"/>
    <w:rsid w:val="00082B2D"/>
    <w:rsid w:val="00082F29"/>
    <w:rsid w:val="0008319B"/>
    <w:rsid w:val="00084BA1"/>
    <w:rsid w:val="0008557E"/>
    <w:rsid w:val="00085C5C"/>
    <w:rsid w:val="00087245"/>
    <w:rsid w:val="000872F8"/>
    <w:rsid w:val="00087BA4"/>
    <w:rsid w:val="00090795"/>
    <w:rsid w:val="00090C7C"/>
    <w:rsid w:val="000910FE"/>
    <w:rsid w:val="0009147E"/>
    <w:rsid w:val="0009299E"/>
    <w:rsid w:val="00093900"/>
    <w:rsid w:val="00094D54"/>
    <w:rsid w:val="00096BE6"/>
    <w:rsid w:val="000A0498"/>
    <w:rsid w:val="000A0615"/>
    <w:rsid w:val="000A1409"/>
    <w:rsid w:val="000A2B05"/>
    <w:rsid w:val="000A32B9"/>
    <w:rsid w:val="000A3302"/>
    <w:rsid w:val="000A34D2"/>
    <w:rsid w:val="000A3849"/>
    <w:rsid w:val="000A439A"/>
    <w:rsid w:val="000A4CC8"/>
    <w:rsid w:val="000A584D"/>
    <w:rsid w:val="000A6F9D"/>
    <w:rsid w:val="000B0D6B"/>
    <w:rsid w:val="000B1D97"/>
    <w:rsid w:val="000B2673"/>
    <w:rsid w:val="000B29AD"/>
    <w:rsid w:val="000B7328"/>
    <w:rsid w:val="000B79B5"/>
    <w:rsid w:val="000C0914"/>
    <w:rsid w:val="000C30D4"/>
    <w:rsid w:val="000C4023"/>
    <w:rsid w:val="000C4258"/>
    <w:rsid w:val="000C4716"/>
    <w:rsid w:val="000C4DB1"/>
    <w:rsid w:val="000C54B2"/>
    <w:rsid w:val="000C59C8"/>
    <w:rsid w:val="000C59CA"/>
    <w:rsid w:val="000C5DAD"/>
    <w:rsid w:val="000C6372"/>
    <w:rsid w:val="000C7655"/>
    <w:rsid w:val="000D007F"/>
    <w:rsid w:val="000D0920"/>
    <w:rsid w:val="000D093A"/>
    <w:rsid w:val="000D0A54"/>
    <w:rsid w:val="000D1564"/>
    <w:rsid w:val="000D2349"/>
    <w:rsid w:val="000D4812"/>
    <w:rsid w:val="000D5226"/>
    <w:rsid w:val="000D581D"/>
    <w:rsid w:val="000D5CE4"/>
    <w:rsid w:val="000D6BB6"/>
    <w:rsid w:val="000D6E7F"/>
    <w:rsid w:val="000E0E0F"/>
    <w:rsid w:val="000E0EFA"/>
    <w:rsid w:val="000E1CAB"/>
    <w:rsid w:val="000E33FD"/>
    <w:rsid w:val="000E3709"/>
    <w:rsid w:val="000E392D"/>
    <w:rsid w:val="000E3D05"/>
    <w:rsid w:val="000E4F72"/>
    <w:rsid w:val="000E508F"/>
    <w:rsid w:val="000E5871"/>
    <w:rsid w:val="000E7973"/>
    <w:rsid w:val="000F1804"/>
    <w:rsid w:val="000F24C9"/>
    <w:rsid w:val="000F421B"/>
    <w:rsid w:val="000F4288"/>
    <w:rsid w:val="000F4AA2"/>
    <w:rsid w:val="000F4B4C"/>
    <w:rsid w:val="000F4F51"/>
    <w:rsid w:val="000F6B60"/>
    <w:rsid w:val="000F7165"/>
    <w:rsid w:val="000F79B6"/>
    <w:rsid w:val="000F7FC4"/>
    <w:rsid w:val="00100A90"/>
    <w:rsid w:val="00102379"/>
    <w:rsid w:val="001029DB"/>
    <w:rsid w:val="00102C8F"/>
    <w:rsid w:val="00103722"/>
    <w:rsid w:val="00104986"/>
    <w:rsid w:val="001050D6"/>
    <w:rsid w:val="00105402"/>
    <w:rsid w:val="0010655E"/>
    <w:rsid w:val="001065D6"/>
    <w:rsid w:val="001068D5"/>
    <w:rsid w:val="00107012"/>
    <w:rsid w:val="001078B4"/>
    <w:rsid w:val="0011026D"/>
    <w:rsid w:val="00111140"/>
    <w:rsid w:val="00111250"/>
    <w:rsid w:val="00112477"/>
    <w:rsid w:val="001145CB"/>
    <w:rsid w:val="0011541C"/>
    <w:rsid w:val="001157FC"/>
    <w:rsid w:val="00116612"/>
    <w:rsid w:val="001210F6"/>
    <w:rsid w:val="00121252"/>
    <w:rsid w:val="00121BAE"/>
    <w:rsid w:val="00122289"/>
    <w:rsid w:val="0012379D"/>
    <w:rsid w:val="00123FD0"/>
    <w:rsid w:val="00124609"/>
    <w:rsid w:val="001254CE"/>
    <w:rsid w:val="001258E4"/>
    <w:rsid w:val="001265A1"/>
    <w:rsid w:val="00130861"/>
    <w:rsid w:val="00130FBF"/>
    <w:rsid w:val="001319C0"/>
    <w:rsid w:val="00132BA4"/>
    <w:rsid w:val="0013344E"/>
    <w:rsid w:val="001361F0"/>
    <w:rsid w:val="00136875"/>
    <w:rsid w:val="00137715"/>
    <w:rsid w:val="00137769"/>
    <w:rsid w:val="001405A6"/>
    <w:rsid w:val="00140708"/>
    <w:rsid w:val="001422CC"/>
    <w:rsid w:val="001428F8"/>
    <w:rsid w:val="00143463"/>
    <w:rsid w:val="001459B1"/>
    <w:rsid w:val="00145C4F"/>
    <w:rsid w:val="00147877"/>
    <w:rsid w:val="0015085F"/>
    <w:rsid w:val="00151993"/>
    <w:rsid w:val="001526CF"/>
    <w:rsid w:val="001528A5"/>
    <w:rsid w:val="00152A8D"/>
    <w:rsid w:val="00152D96"/>
    <w:rsid w:val="00152DC4"/>
    <w:rsid w:val="00153729"/>
    <w:rsid w:val="0015381D"/>
    <w:rsid w:val="00153E5F"/>
    <w:rsid w:val="00157565"/>
    <w:rsid w:val="00160321"/>
    <w:rsid w:val="0016143D"/>
    <w:rsid w:val="001617B6"/>
    <w:rsid w:val="00161F6F"/>
    <w:rsid w:val="00164E24"/>
    <w:rsid w:val="00165E66"/>
    <w:rsid w:val="00166DF9"/>
    <w:rsid w:val="00167060"/>
    <w:rsid w:val="001674B8"/>
    <w:rsid w:val="00170D74"/>
    <w:rsid w:val="00170FC6"/>
    <w:rsid w:val="0017245A"/>
    <w:rsid w:val="00175771"/>
    <w:rsid w:val="00175C5D"/>
    <w:rsid w:val="001800E7"/>
    <w:rsid w:val="00183036"/>
    <w:rsid w:val="00183DE3"/>
    <w:rsid w:val="001850A7"/>
    <w:rsid w:val="0019093D"/>
    <w:rsid w:val="00190B8B"/>
    <w:rsid w:val="00190C25"/>
    <w:rsid w:val="001919AE"/>
    <w:rsid w:val="00192388"/>
    <w:rsid w:val="00195344"/>
    <w:rsid w:val="00195D2B"/>
    <w:rsid w:val="00195F9E"/>
    <w:rsid w:val="00196143"/>
    <w:rsid w:val="00196C1C"/>
    <w:rsid w:val="00197697"/>
    <w:rsid w:val="00197C3B"/>
    <w:rsid w:val="00197D60"/>
    <w:rsid w:val="001A1E8E"/>
    <w:rsid w:val="001A24FC"/>
    <w:rsid w:val="001A2D9E"/>
    <w:rsid w:val="001A521A"/>
    <w:rsid w:val="001A561D"/>
    <w:rsid w:val="001A7985"/>
    <w:rsid w:val="001B080D"/>
    <w:rsid w:val="001B08C0"/>
    <w:rsid w:val="001B10D9"/>
    <w:rsid w:val="001B1346"/>
    <w:rsid w:val="001B1E74"/>
    <w:rsid w:val="001B2022"/>
    <w:rsid w:val="001B28B5"/>
    <w:rsid w:val="001B29A9"/>
    <w:rsid w:val="001B312A"/>
    <w:rsid w:val="001B37B0"/>
    <w:rsid w:val="001B3FDC"/>
    <w:rsid w:val="001B56FB"/>
    <w:rsid w:val="001B5C07"/>
    <w:rsid w:val="001B7169"/>
    <w:rsid w:val="001B7F25"/>
    <w:rsid w:val="001C00FC"/>
    <w:rsid w:val="001C06E6"/>
    <w:rsid w:val="001C2875"/>
    <w:rsid w:val="001C3DDE"/>
    <w:rsid w:val="001C4A77"/>
    <w:rsid w:val="001C5784"/>
    <w:rsid w:val="001C61CD"/>
    <w:rsid w:val="001C61F1"/>
    <w:rsid w:val="001C63DF"/>
    <w:rsid w:val="001C7BAE"/>
    <w:rsid w:val="001D07B8"/>
    <w:rsid w:val="001D1271"/>
    <w:rsid w:val="001D170F"/>
    <w:rsid w:val="001D1931"/>
    <w:rsid w:val="001D2419"/>
    <w:rsid w:val="001D3469"/>
    <w:rsid w:val="001D52F5"/>
    <w:rsid w:val="001D54DD"/>
    <w:rsid w:val="001D672C"/>
    <w:rsid w:val="001D6965"/>
    <w:rsid w:val="001D6985"/>
    <w:rsid w:val="001E06FF"/>
    <w:rsid w:val="001E1562"/>
    <w:rsid w:val="001E187F"/>
    <w:rsid w:val="001E2DDF"/>
    <w:rsid w:val="001E31FA"/>
    <w:rsid w:val="001E34EF"/>
    <w:rsid w:val="001E3BDF"/>
    <w:rsid w:val="001E48F9"/>
    <w:rsid w:val="001E5AEF"/>
    <w:rsid w:val="001E64F6"/>
    <w:rsid w:val="001E69AA"/>
    <w:rsid w:val="001E7AEB"/>
    <w:rsid w:val="001F0D4D"/>
    <w:rsid w:val="001F1763"/>
    <w:rsid w:val="001F19CE"/>
    <w:rsid w:val="001F1E6F"/>
    <w:rsid w:val="001F4E9E"/>
    <w:rsid w:val="001F5CDD"/>
    <w:rsid w:val="001F735F"/>
    <w:rsid w:val="001F741C"/>
    <w:rsid w:val="001F76E8"/>
    <w:rsid w:val="001F78BB"/>
    <w:rsid w:val="00200420"/>
    <w:rsid w:val="002016E3"/>
    <w:rsid w:val="002028EC"/>
    <w:rsid w:val="0020309D"/>
    <w:rsid w:val="0020368B"/>
    <w:rsid w:val="00203877"/>
    <w:rsid w:val="00204294"/>
    <w:rsid w:val="00204B82"/>
    <w:rsid w:val="00205B24"/>
    <w:rsid w:val="00206F39"/>
    <w:rsid w:val="00207F39"/>
    <w:rsid w:val="00211ADB"/>
    <w:rsid w:val="00212027"/>
    <w:rsid w:val="00213420"/>
    <w:rsid w:val="00214A91"/>
    <w:rsid w:val="00214F65"/>
    <w:rsid w:val="00215163"/>
    <w:rsid w:val="0021645D"/>
    <w:rsid w:val="00216667"/>
    <w:rsid w:val="00216986"/>
    <w:rsid w:val="002206F7"/>
    <w:rsid w:val="00220E38"/>
    <w:rsid w:val="00221293"/>
    <w:rsid w:val="00222BEB"/>
    <w:rsid w:val="00222DD1"/>
    <w:rsid w:val="00223EC5"/>
    <w:rsid w:val="0022414D"/>
    <w:rsid w:val="002242C0"/>
    <w:rsid w:val="00224BE6"/>
    <w:rsid w:val="00225E60"/>
    <w:rsid w:val="002270BF"/>
    <w:rsid w:val="002273CB"/>
    <w:rsid w:val="0023202C"/>
    <w:rsid w:val="00232399"/>
    <w:rsid w:val="00232612"/>
    <w:rsid w:val="00232BF7"/>
    <w:rsid w:val="00232EE6"/>
    <w:rsid w:val="00233950"/>
    <w:rsid w:val="00233FF6"/>
    <w:rsid w:val="00234036"/>
    <w:rsid w:val="00235DDE"/>
    <w:rsid w:val="00236A5E"/>
    <w:rsid w:val="0023787E"/>
    <w:rsid w:val="00237A95"/>
    <w:rsid w:val="002404DB"/>
    <w:rsid w:val="00240E96"/>
    <w:rsid w:val="002415AA"/>
    <w:rsid w:val="00241F1A"/>
    <w:rsid w:val="002424E3"/>
    <w:rsid w:val="002428E9"/>
    <w:rsid w:val="00243376"/>
    <w:rsid w:val="00244546"/>
    <w:rsid w:val="00244C11"/>
    <w:rsid w:val="00245043"/>
    <w:rsid w:val="00246CF4"/>
    <w:rsid w:val="00247E82"/>
    <w:rsid w:val="00250310"/>
    <w:rsid w:val="00250BA3"/>
    <w:rsid w:val="0025159C"/>
    <w:rsid w:val="002517CB"/>
    <w:rsid w:val="00251FBC"/>
    <w:rsid w:val="00252554"/>
    <w:rsid w:val="00252E18"/>
    <w:rsid w:val="00252F22"/>
    <w:rsid w:val="0025346D"/>
    <w:rsid w:val="0025391E"/>
    <w:rsid w:val="00253D60"/>
    <w:rsid w:val="00253FBF"/>
    <w:rsid w:val="0025542A"/>
    <w:rsid w:val="002556E3"/>
    <w:rsid w:val="00256B0F"/>
    <w:rsid w:val="00257CC9"/>
    <w:rsid w:val="002600AC"/>
    <w:rsid w:val="00262D21"/>
    <w:rsid w:val="00262F0E"/>
    <w:rsid w:val="00262FDD"/>
    <w:rsid w:val="00263708"/>
    <w:rsid w:val="00264843"/>
    <w:rsid w:val="00264DCB"/>
    <w:rsid w:val="0026502A"/>
    <w:rsid w:val="00265494"/>
    <w:rsid w:val="002665B4"/>
    <w:rsid w:val="00266C80"/>
    <w:rsid w:val="00267B04"/>
    <w:rsid w:val="00270287"/>
    <w:rsid w:val="002704B6"/>
    <w:rsid w:val="002708A5"/>
    <w:rsid w:val="00270E0D"/>
    <w:rsid w:val="0027453F"/>
    <w:rsid w:val="00275722"/>
    <w:rsid w:val="00277645"/>
    <w:rsid w:val="002776E0"/>
    <w:rsid w:val="00277B0B"/>
    <w:rsid w:val="002803C5"/>
    <w:rsid w:val="00280D94"/>
    <w:rsid w:val="00284FA2"/>
    <w:rsid w:val="002855B2"/>
    <w:rsid w:val="002859AB"/>
    <w:rsid w:val="002860F8"/>
    <w:rsid w:val="002873EA"/>
    <w:rsid w:val="002901C5"/>
    <w:rsid w:val="00290AD5"/>
    <w:rsid w:val="00292B9B"/>
    <w:rsid w:val="00292D36"/>
    <w:rsid w:val="00294533"/>
    <w:rsid w:val="00294B9C"/>
    <w:rsid w:val="00297281"/>
    <w:rsid w:val="00297746"/>
    <w:rsid w:val="002A048D"/>
    <w:rsid w:val="002A2A76"/>
    <w:rsid w:val="002A3162"/>
    <w:rsid w:val="002A366F"/>
    <w:rsid w:val="002A4C2F"/>
    <w:rsid w:val="002A73F0"/>
    <w:rsid w:val="002B03F1"/>
    <w:rsid w:val="002B04E6"/>
    <w:rsid w:val="002B2729"/>
    <w:rsid w:val="002B2B6F"/>
    <w:rsid w:val="002B2CFB"/>
    <w:rsid w:val="002B36C0"/>
    <w:rsid w:val="002B406E"/>
    <w:rsid w:val="002B5CA4"/>
    <w:rsid w:val="002B5CDE"/>
    <w:rsid w:val="002B5E2B"/>
    <w:rsid w:val="002B63E3"/>
    <w:rsid w:val="002B63F4"/>
    <w:rsid w:val="002B6DAA"/>
    <w:rsid w:val="002B78E3"/>
    <w:rsid w:val="002C0E12"/>
    <w:rsid w:val="002C156D"/>
    <w:rsid w:val="002C1A6F"/>
    <w:rsid w:val="002C26DF"/>
    <w:rsid w:val="002C3254"/>
    <w:rsid w:val="002C5739"/>
    <w:rsid w:val="002C6909"/>
    <w:rsid w:val="002D0602"/>
    <w:rsid w:val="002D07C4"/>
    <w:rsid w:val="002D0816"/>
    <w:rsid w:val="002D2F4F"/>
    <w:rsid w:val="002D4199"/>
    <w:rsid w:val="002D5562"/>
    <w:rsid w:val="002D711A"/>
    <w:rsid w:val="002D7336"/>
    <w:rsid w:val="002D7BA4"/>
    <w:rsid w:val="002E1DE7"/>
    <w:rsid w:val="002E3396"/>
    <w:rsid w:val="002E769D"/>
    <w:rsid w:val="002F0246"/>
    <w:rsid w:val="002F0324"/>
    <w:rsid w:val="002F07A9"/>
    <w:rsid w:val="002F1A0D"/>
    <w:rsid w:val="002F1FB8"/>
    <w:rsid w:val="002F2953"/>
    <w:rsid w:val="002F30B8"/>
    <w:rsid w:val="002F3887"/>
    <w:rsid w:val="002F4149"/>
    <w:rsid w:val="002F5929"/>
    <w:rsid w:val="00301929"/>
    <w:rsid w:val="0030356D"/>
    <w:rsid w:val="0030478B"/>
    <w:rsid w:val="00305C5B"/>
    <w:rsid w:val="00310C13"/>
    <w:rsid w:val="00310CAB"/>
    <w:rsid w:val="0031149C"/>
    <w:rsid w:val="00312B53"/>
    <w:rsid w:val="00313675"/>
    <w:rsid w:val="00313994"/>
    <w:rsid w:val="00313D0A"/>
    <w:rsid w:val="00315126"/>
    <w:rsid w:val="00316786"/>
    <w:rsid w:val="00317F3B"/>
    <w:rsid w:val="00322F52"/>
    <w:rsid w:val="0032336A"/>
    <w:rsid w:val="0032392C"/>
    <w:rsid w:val="00324C17"/>
    <w:rsid w:val="00325040"/>
    <w:rsid w:val="00326461"/>
    <w:rsid w:val="00327716"/>
    <w:rsid w:val="00331D16"/>
    <w:rsid w:val="003353EE"/>
    <w:rsid w:val="00335950"/>
    <w:rsid w:val="003376FC"/>
    <w:rsid w:val="00337D22"/>
    <w:rsid w:val="003441E8"/>
    <w:rsid w:val="0034630F"/>
    <w:rsid w:val="00346BE5"/>
    <w:rsid w:val="003472C0"/>
    <w:rsid w:val="00347FD1"/>
    <w:rsid w:val="003505E2"/>
    <w:rsid w:val="003516F8"/>
    <w:rsid w:val="00351E4D"/>
    <w:rsid w:val="0035204E"/>
    <w:rsid w:val="00352169"/>
    <w:rsid w:val="00352887"/>
    <w:rsid w:val="003537C3"/>
    <w:rsid w:val="00354056"/>
    <w:rsid w:val="003547BF"/>
    <w:rsid w:val="003556C8"/>
    <w:rsid w:val="003558C7"/>
    <w:rsid w:val="00356942"/>
    <w:rsid w:val="00356A3B"/>
    <w:rsid w:val="00360957"/>
    <w:rsid w:val="00362803"/>
    <w:rsid w:val="0036371A"/>
    <w:rsid w:val="00363A71"/>
    <w:rsid w:val="00363EB6"/>
    <w:rsid w:val="003640F6"/>
    <w:rsid w:val="00366467"/>
    <w:rsid w:val="0036778F"/>
    <w:rsid w:val="00370B77"/>
    <w:rsid w:val="00371937"/>
    <w:rsid w:val="00371A0D"/>
    <w:rsid w:val="00371C22"/>
    <w:rsid w:val="00371D42"/>
    <w:rsid w:val="00372149"/>
    <w:rsid w:val="00372634"/>
    <w:rsid w:val="00373DD3"/>
    <w:rsid w:val="00375A52"/>
    <w:rsid w:val="00377D6D"/>
    <w:rsid w:val="00380D0C"/>
    <w:rsid w:val="00381295"/>
    <w:rsid w:val="003830B3"/>
    <w:rsid w:val="00383548"/>
    <w:rsid w:val="00385304"/>
    <w:rsid w:val="00385516"/>
    <w:rsid w:val="00385687"/>
    <w:rsid w:val="003857EF"/>
    <w:rsid w:val="00385800"/>
    <w:rsid w:val="00385C98"/>
    <w:rsid w:val="003863B1"/>
    <w:rsid w:val="0038771C"/>
    <w:rsid w:val="00390191"/>
    <w:rsid w:val="0039029E"/>
    <w:rsid w:val="00391FBD"/>
    <w:rsid w:val="00393728"/>
    <w:rsid w:val="00393A39"/>
    <w:rsid w:val="00394DCD"/>
    <w:rsid w:val="003962F6"/>
    <w:rsid w:val="00396A07"/>
    <w:rsid w:val="003971C6"/>
    <w:rsid w:val="00397640"/>
    <w:rsid w:val="003A01DE"/>
    <w:rsid w:val="003A2C5A"/>
    <w:rsid w:val="003A3948"/>
    <w:rsid w:val="003A3E18"/>
    <w:rsid w:val="003A430B"/>
    <w:rsid w:val="003A541A"/>
    <w:rsid w:val="003A6923"/>
    <w:rsid w:val="003A6C35"/>
    <w:rsid w:val="003B01EC"/>
    <w:rsid w:val="003B05EE"/>
    <w:rsid w:val="003B23D9"/>
    <w:rsid w:val="003B25C2"/>
    <w:rsid w:val="003B2E1C"/>
    <w:rsid w:val="003B6A23"/>
    <w:rsid w:val="003C146A"/>
    <w:rsid w:val="003C2C67"/>
    <w:rsid w:val="003C2D4C"/>
    <w:rsid w:val="003C3B3A"/>
    <w:rsid w:val="003C4D61"/>
    <w:rsid w:val="003C574C"/>
    <w:rsid w:val="003C5B94"/>
    <w:rsid w:val="003C5BA4"/>
    <w:rsid w:val="003C6ECB"/>
    <w:rsid w:val="003C7717"/>
    <w:rsid w:val="003D0CDD"/>
    <w:rsid w:val="003D0F2A"/>
    <w:rsid w:val="003D2B22"/>
    <w:rsid w:val="003D3BCE"/>
    <w:rsid w:val="003D5135"/>
    <w:rsid w:val="003D6162"/>
    <w:rsid w:val="003D7DEF"/>
    <w:rsid w:val="003E34C4"/>
    <w:rsid w:val="003E3B08"/>
    <w:rsid w:val="003E3DCC"/>
    <w:rsid w:val="003E3E26"/>
    <w:rsid w:val="003E416C"/>
    <w:rsid w:val="003E4229"/>
    <w:rsid w:val="003E42DE"/>
    <w:rsid w:val="003E49F1"/>
    <w:rsid w:val="003E57D1"/>
    <w:rsid w:val="003E775F"/>
    <w:rsid w:val="003F1295"/>
    <w:rsid w:val="003F1876"/>
    <w:rsid w:val="003F19A0"/>
    <w:rsid w:val="003F23C7"/>
    <w:rsid w:val="003F3840"/>
    <w:rsid w:val="003F5102"/>
    <w:rsid w:val="003F6065"/>
    <w:rsid w:val="003F66FE"/>
    <w:rsid w:val="003F76FC"/>
    <w:rsid w:val="003F7FE4"/>
    <w:rsid w:val="004002EB"/>
    <w:rsid w:val="00400FAA"/>
    <w:rsid w:val="00401472"/>
    <w:rsid w:val="00401522"/>
    <w:rsid w:val="004016BC"/>
    <w:rsid w:val="00401DE8"/>
    <w:rsid w:val="00402D3C"/>
    <w:rsid w:val="00404DDB"/>
    <w:rsid w:val="0040587B"/>
    <w:rsid w:val="004058B4"/>
    <w:rsid w:val="00406FE8"/>
    <w:rsid w:val="00407A79"/>
    <w:rsid w:val="00407B54"/>
    <w:rsid w:val="00413FEF"/>
    <w:rsid w:val="00415A74"/>
    <w:rsid w:val="00415F5C"/>
    <w:rsid w:val="0041723C"/>
    <w:rsid w:val="00417BAF"/>
    <w:rsid w:val="00421522"/>
    <w:rsid w:val="00422DDC"/>
    <w:rsid w:val="004231B5"/>
    <w:rsid w:val="004236C8"/>
    <w:rsid w:val="0042430D"/>
    <w:rsid w:val="0042454B"/>
    <w:rsid w:val="004245A6"/>
    <w:rsid w:val="004258D0"/>
    <w:rsid w:val="00426799"/>
    <w:rsid w:val="00427681"/>
    <w:rsid w:val="00433DB7"/>
    <w:rsid w:val="0043605C"/>
    <w:rsid w:val="004362EA"/>
    <w:rsid w:val="0044078C"/>
    <w:rsid w:val="00440804"/>
    <w:rsid w:val="00440FBC"/>
    <w:rsid w:val="00441BA2"/>
    <w:rsid w:val="004426DB"/>
    <w:rsid w:val="004429A5"/>
    <w:rsid w:val="00442D81"/>
    <w:rsid w:val="00442EDE"/>
    <w:rsid w:val="00450686"/>
    <w:rsid w:val="00452BA0"/>
    <w:rsid w:val="00453750"/>
    <w:rsid w:val="0045450F"/>
    <w:rsid w:val="00454DCC"/>
    <w:rsid w:val="00456941"/>
    <w:rsid w:val="004569E8"/>
    <w:rsid w:val="0045775D"/>
    <w:rsid w:val="0046000B"/>
    <w:rsid w:val="0046021E"/>
    <w:rsid w:val="00464AA3"/>
    <w:rsid w:val="00464AED"/>
    <w:rsid w:val="004650B1"/>
    <w:rsid w:val="00465F4E"/>
    <w:rsid w:val="00466189"/>
    <w:rsid w:val="004672E8"/>
    <w:rsid w:val="00467D12"/>
    <w:rsid w:val="004702EA"/>
    <w:rsid w:val="00470F0D"/>
    <w:rsid w:val="0047123E"/>
    <w:rsid w:val="00472528"/>
    <w:rsid w:val="00473313"/>
    <w:rsid w:val="00474CF1"/>
    <w:rsid w:val="00475CB1"/>
    <w:rsid w:val="00475DA4"/>
    <w:rsid w:val="00476915"/>
    <w:rsid w:val="00476DD5"/>
    <w:rsid w:val="00477C50"/>
    <w:rsid w:val="00480BCE"/>
    <w:rsid w:val="00481184"/>
    <w:rsid w:val="0048259C"/>
    <w:rsid w:val="00482CBC"/>
    <w:rsid w:val="00482D02"/>
    <w:rsid w:val="004849AA"/>
    <w:rsid w:val="00486A96"/>
    <w:rsid w:val="00486D2E"/>
    <w:rsid w:val="0048705D"/>
    <w:rsid w:val="00490369"/>
    <w:rsid w:val="00490D89"/>
    <w:rsid w:val="004913C9"/>
    <w:rsid w:val="00492CE1"/>
    <w:rsid w:val="00493512"/>
    <w:rsid w:val="0049416F"/>
    <w:rsid w:val="004957E7"/>
    <w:rsid w:val="00496768"/>
    <w:rsid w:val="004970D2"/>
    <w:rsid w:val="00497350"/>
    <w:rsid w:val="00497B24"/>
    <w:rsid w:val="004A15E8"/>
    <w:rsid w:val="004A192A"/>
    <w:rsid w:val="004A22EE"/>
    <w:rsid w:val="004A29D3"/>
    <w:rsid w:val="004A320E"/>
    <w:rsid w:val="004A3B97"/>
    <w:rsid w:val="004A7065"/>
    <w:rsid w:val="004A7519"/>
    <w:rsid w:val="004B0211"/>
    <w:rsid w:val="004B088E"/>
    <w:rsid w:val="004B18E9"/>
    <w:rsid w:val="004B2305"/>
    <w:rsid w:val="004B241C"/>
    <w:rsid w:val="004B2EA5"/>
    <w:rsid w:val="004B3142"/>
    <w:rsid w:val="004B3ECC"/>
    <w:rsid w:val="004B440A"/>
    <w:rsid w:val="004B4D8C"/>
    <w:rsid w:val="004C1FA3"/>
    <w:rsid w:val="004C38AB"/>
    <w:rsid w:val="004C3BBF"/>
    <w:rsid w:val="004C3E13"/>
    <w:rsid w:val="004C43D3"/>
    <w:rsid w:val="004C52B0"/>
    <w:rsid w:val="004C5877"/>
    <w:rsid w:val="004D01AC"/>
    <w:rsid w:val="004D0219"/>
    <w:rsid w:val="004D06BD"/>
    <w:rsid w:val="004D2140"/>
    <w:rsid w:val="004D22A3"/>
    <w:rsid w:val="004D23E3"/>
    <w:rsid w:val="004D3518"/>
    <w:rsid w:val="004D407A"/>
    <w:rsid w:val="004D62D6"/>
    <w:rsid w:val="004D7A86"/>
    <w:rsid w:val="004E17C9"/>
    <w:rsid w:val="004E1B1D"/>
    <w:rsid w:val="004E26F8"/>
    <w:rsid w:val="004E2821"/>
    <w:rsid w:val="004E40C4"/>
    <w:rsid w:val="004E44D3"/>
    <w:rsid w:val="004E4945"/>
    <w:rsid w:val="004E675A"/>
    <w:rsid w:val="004E6CA0"/>
    <w:rsid w:val="004E76EC"/>
    <w:rsid w:val="004E78A8"/>
    <w:rsid w:val="004E7B24"/>
    <w:rsid w:val="004F0E87"/>
    <w:rsid w:val="004F0F92"/>
    <w:rsid w:val="004F1963"/>
    <w:rsid w:val="004F1BA7"/>
    <w:rsid w:val="004F2140"/>
    <w:rsid w:val="004F2361"/>
    <w:rsid w:val="004F2ABE"/>
    <w:rsid w:val="004F2D46"/>
    <w:rsid w:val="004F3B1B"/>
    <w:rsid w:val="004F3F4E"/>
    <w:rsid w:val="004F47BA"/>
    <w:rsid w:val="004F5ADA"/>
    <w:rsid w:val="004F5CDF"/>
    <w:rsid w:val="004F5F6E"/>
    <w:rsid w:val="004F72AA"/>
    <w:rsid w:val="004F72C7"/>
    <w:rsid w:val="005004D4"/>
    <w:rsid w:val="00500F5E"/>
    <w:rsid w:val="00501195"/>
    <w:rsid w:val="00501CEB"/>
    <w:rsid w:val="00501EC1"/>
    <w:rsid w:val="00503058"/>
    <w:rsid w:val="00503FEA"/>
    <w:rsid w:val="005049E1"/>
    <w:rsid w:val="00507242"/>
    <w:rsid w:val="00510167"/>
    <w:rsid w:val="00512491"/>
    <w:rsid w:val="00512913"/>
    <w:rsid w:val="00512A27"/>
    <w:rsid w:val="00512D47"/>
    <w:rsid w:val="00512E53"/>
    <w:rsid w:val="00513D5B"/>
    <w:rsid w:val="00515C55"/>
    <w:rsid w:val="00515F22"/>
    <w:rsid w:val="0051748C"/>
    <w:rsid w:val="005211BF"/>
    <w:rsid w:val="0052191A"/>
    <w:rsid w:val="005222D6"/>
    <w:rsid w:val="00522DA9"/>
    <w:rsid w:val="005237F7"/>
    <w:rsid w:val="00523A8C"/>
    <w:rsid w:val="00525534"/>
    <w:rsid w:val="00525D3A"/>
    <w:rsid w:val="00525DD8"/>
    <w:rsid w:val="00527728"/>
    <w:rsid w:val="00527D07"/>
    <w:rsid w:val="005306A2"/>
    <w:rsid w:val="005321B0"/>
    <w:rsid w:val="00532F49"/>
    <w:rsid w:val="00533C08"/>
    <w:rsid w:val="0053416C"/>
    <w:rsid w:val="00534322"/>
    <w:rsid w:val="0053542D"/>
    <w:rsid w:val="00540B2E"/>
    <w:rsid w:val="005410DE"/>
    <w:rsid w:val="0054152D"/>
    <w:rsid w:val="005418BB"/>
    <w:rsid w:val="00541C2F"/>
    <w:rsid w:val="00541DFE"/>
    <w:rsid w:val="00544426"/>
    <w:rsid w:val="00545505"/>
    <w:rsid w:val="00545895"/>
    <w:rsid w:val="005462ED"/>
    <w:rsid w:val="005472A9"/>
    <w:rsid w:val="00547BB2"/>
    <w:rsid w:val="00547BC5"/>
    <w:rsid w:val="00547FA7"/>
    <w:rsid w:val="00551432"/>
    <w:rsid w:val="00552420"/>
    <w:rsid w:val="00552B15"/>
    <w:rsid w:val="005533F0"/>
    <w:rsid w:val="0055392D"/>
    <w:rsid w:val="005540EE"/>
    <w:rsid w:val="00554CD3"/>
    <w:rsid w:val="00557676"/>
    <w:rsid w:val="00557944"/>
    <w:rsid w:val="0056197A"/>
    <w:rsid w:val="00563527"/>
    <w:rsid w:val="00565173"/>
    <w:rsid w:val="00565384"/>
    <w:rsid w:val="005667B2"/>
    <w:rsid w:val="00566931"/>
    <w:rsid w:val="00567232"/>
    <w:rsid w:val="00567842"/>
    <w:rsid w:val="00567F56"/>
    <w:rsid w:val="005709FD"/>
    <w:rsid w:val="005718E4"/>
    <w:rsid w:val="00572C92"/>
    <w:rsid w:val="00573E76"/>
    <w:rsid w:val="00573F6B"/>
    <w:rsid w:val="005740AA"/>
    <w:rsid w:val="00574672"/>
    <w:rsid w:val="0057599B"/>
    <w:rsid w:val="00576298"/>
    <w:rsid w:val="005763B8"/>
    <w:rsid w:val="00580A5C"/>
    <w:rsid w:val="0058124E"/>
    <w:rsid w:val="00582BF0"/>
    <w:rsid w:val="00582D13"/>
    <w:rsid w:val="00582E55"/>
    <w:rsid w:val="005836F5"/>
    <w:rsid w:val="00583C57"/>
    <w:rsid w:val="00584A71"/>
    <w:rsid w:val="00586859"/>
    <w:rsid w:val="005875A3"/>
    <w:rsid w:val="005876FD"/>
    <w:rsid w:val="00590780"/>
    <w:rsid w:val="00590A59"/>
    <w:rsid w:val="00590A93"/>
    <w:rsid w:val="00590B15"/>
    <w:rsid w:val="00591F1A"/>
    <w:rsid w:val="00591FD3"/>
    <w:rsid w:val="00592162"/>
    <w:rsid w:val="00593AFA"/>
    <w:rsid w:val="00593D15"/>
    <w:rsid w:val="00595018"/>
    <w:rsid w:val="0059535B"/>
    <w:rsid w:val="00595933"/>
    <w:rsid w:val="005A0595"/>
    <w:rsid w:val="005A0B9D"/>
    <w:rsid w:val="005A1E64"/>
    <w:rsid w:val="005A2232"/>
    <w:rsid w:val="005A31FC"/>
    <w:rsid w:val="005A3416"/>
    <w:rsid w:val="005A486C"/>
    <w:rsid w:val="005A52D3"/>
    <w:rsid w:val="005A53CA"/>
    <w:rsid w:val="005A53E7"/>
    <w:rsid w:val="005A5607"/>
    <w:rsid w:val="005A63CF"/>
    <w:rsid w:val="005A7E8F"/>
    <w:rsid w:val="005B11FC"/>
    <w:rsid w:val="005B1401"/>
    <w:rsid w:val="005B1CC5"/>
    <w:rsid w:val="005B24FE"/>
    <w:rsid w:val="005B27FE"/>
    <w:rsid w:val="005B2AF7"/>
    <w:rsid w:val="005B4B5E"/>
    <w:rsid w:val="005B4CA4"/>
    <w:rsid w:val="005B4D7C"/>
    <w:rsid w:val="005B574F"/>
    <w:rsid w:val="005B5E48"/>
    <w:rsid w:val="005B5FBF"/>
    <w:rsid w:val="005B63D3"/>
    <w:rsid w:val="005B652D"/>
    <w:rsid w:val="005B680F"/>
    <w:rsid w:val="005B68D0"/>
    <w:rsid w:val="005B76DF"/>
    <w:rsid w:val="005B79CB"/>
    <w:rsid w:val="005B7C0F"/>
    <w:rsid w:val="005C0081"/>
    <w:rsid w:val="005C03D6"/>
    <w:rsid w:val="005C22FE"/>
    <w:rsid w:val="005C2365"/>
    <w:rsid w:val="005C4616"/>
    <w:rsid w:val="005C4C90"/>
    <w:rsid w:val="005C4CA2"/>
    <w:rsid w:val="005C64BE"/>
    <w:rsid w:val="005C776A"/>
    <w:rsid w:val="005C7E45"/>
    <w:rsid w:val="005D01BB"/>
    <w:rsid w:val="005D0C27"/>
    <w:rsid w:val="005D1EDD"/>
    <w:rsid w:val="005D330A"/>
    <w:rsid w:val="005D3A76"/>
    <w:rsid w:val="005D3FB8"/>
    <w:rsid w:val="005D53CA"/>
    <w:rsid w:val="005D649A"/>
    <w:rsid w:val="005D657F"/>
    <w:rsid w:val="005D68A0"/>
    <w:rsid w:val="005D6B68"/>
    <w:rsid w:val="005D7EB3"/>
    <w:rsid w:val="005E0009"/>
    <w:rsid w:val="005E019D"/>
    <w:rsid w:val="005E06FE"/>
    <w:rsid w:val="005E07A4"/>
    <w:rsid w:val="005E1472"/>
    <w:rsid w:val="005E15AB"/>
    <w:rsid w:val="005E185D"/>
    <w:rsid w:val="005E19DF"/>
    <w:rsid w:val="005E1D64"/>
    <w:rsid w:val="005E234E"/>
    <w:rsid w:val="005E326D"/>
    <w:rsid w:val="005E38D0"/>
    <w:rsid w:val="005E4C16"/>
    <w:rsid w:val="005E7625"/>
    <w:rsid w:val="005F0442"/>
    <w:rsid w:val="005F1810"/>
    <w:rsid w:val="005F1AFB"/>
    <w:rsid w:val="005F2622"/>
    <w:rsid w:val="005F3BC6"/>
    <w:rsid w:val="005F5CE4"/>
    <w:rsid w:val="005F61DF"/>
    <w:rsid w:val="005F7FEB"/>
    <w:rsid w:val="00600109"/>
    <w:rsid w:val="0060163A"/>
    <w:rsid w:val="006023F9"/>
    <w:rsid w:val="006028FC"/>
    <w:rsid w:val="006030F0"/>
    <w:rsid w:val="00603A91"/>
    <w:rsid w:val="006051BB"/>
    <w:rsid w:val="00606A15"/>
    <w:rsid w:val="006078AD"/>
    <w:rsid w:val="00607B8F"/>
    <w:rsid w:val="006103E6"/>
    <w:rsid w:val="00610559"/>
    <w:rsid w:val="006106FE"/>
    <w:rsid w:val="006116D0"/>
    <w:rsid w:val="00611E5B"/>
    <w:rsid w:val="0061201C"/>
    <w:rsid w:val="00612B2E"/>
    <w:rsid w:val="00614076"/>
    <w:rsid w:val="0061552D"/>
    <w:rsid w:val="006159B4"/>
    <w:rsid w:val="00615B2C"/>
    <w:rsid w:val="00615D97"/>
    <w:rsid w:val="006161C8"/>
    <w:rsid w:val="00616B09"/>
    <w:rsid w:val="006179B2"/>
    <w:rsid w:val="00620362"/>
    <w:rsid w:val="006218B4"/>
    <w:rsid w:val="0062196B"/>
    <w:rsid w:val="00623041"/>
    <w:rsid w:val="0062403B"/>
    <w:rsid w:val="00624EEF"/>
    <w:rsid w:val="006263E6"/>
    <w:rsid w:val="00626553"/>
    <w:rsid w:val="00626A77"/>
    <w:rsid w:val="0063299B"/>
    <w:rsid w:val="00632E93"/>
    <w:rsid w:val="00632F2E"/>
    <w:rsid w:val="006332F6"/>
    <w:rsid w:val="0063484E"/>
    <w:rsid w:val="006350BF"/>
    <w:rsid w:val="0063550E"/>
    <w:rsid w:val="006356EA"/>
    <w:rsid w:val="0063590C"/>
    <w:rsid w:val="00636A07"/>
    <w:rsid w:val="006378B4"/>
    <w:rsid w:val="006413F2"/>
    <w:rsid w:val="00642520"/>
    <w:rsid w:val="00644052"/>
    <w:rsid w:val="0064475B"/>
    <w:rsid w:val="00644783"/>
    <w:rsid w:val="006457DD"/>
    <w:rsid w:val="00646ACB"/>
    <w:rsid w:val="0065043D"/>
    <w:rsid w:val="00650B8C"/>
    <w:rsid w:val="0065162A"/>
    <w:rsid w:val="006534B2"/>
    <w:rsid w:val="00654333"/>
    <w:rsid w:val="006548DE"/>
    <w:rsid w:val="006558DD"/>
    <w:rsid w:val="00655EDA"/>
    <w:rsid w:val="0065615D"/>
    <w:rsid w:val="00656AFD"/>
    <w:rsid w:val="00657011"/>
    <w:rsid w:val="00660053"/>
    <w:rsid w:val="0066122F"/>
    <w:rsid w:val="00661B4F"/>
    <w:rsid w:val="00661C8F"/>
    <w:rsid w:val="00661E47"/>
    <w:rsid w:val="00663048"/>
    <w:rsid w:val="0066390F"/>
    <w:rsid w:val="006650B5"/>
    <w:rsid w:val="006651B1"/>
    <w:rsid w:val="00665778"/>
    <w:rsid w:val="0066705F"/>
    <w:rsid w:val="00667D77"/>
    <w:rsid w:val="00670751"/>
    <w:rsid w:val="00670E4D"/>
    <w:rsid w:val="00671AE4"/>
    <w:rsid w:val="0067337E"/>
    <w:rsid w:val="006746FD"/>
    <w:rsid w:val="00675D14"/>
    <w:rsid w:val="00675D5E"/>
    <w:rsid w:val="00676ACA"/>
    <w:rsid w:val="00676E05"/>
    <w:rsid w:val="00676E5F"/>
    <w:rsid w:val="0067730C"/>
    <w:rsid w:val="00680693"/>
    <w:rsid w:val="00680F74"/>
    <w:rsid w:val="00681947"/>
    <w:rsid w:val="006835A9"/>
    <w:rsid w:val="006847D3"/>
    <w:rsid w:val="0068495D"/>
    <w:rsid w:val="00685CEB"/>
    <w:rsid w:val="00686D93"/>
    <w:rsid w:val="006903AD"/>
    <w:rsid w:val="006904E1"/>
    <w:rsid w:val="00690A79"/>
    <w:rsid w:val="00690C4A"/>
    <w:rsid w:val="00690D53"/>
    <w:rsid w:val="00692346"/>
    <w:rsid w:val="006943D5"/>
    <w:rsid w:val="00695317"/>
    <w:rsid w:val="006961DC"/>
    <w:rsid w:val="0069776B"/>
    <w:rsid w:val="00697DE6"/>
    <w:rsid w:val="00697F70"/>
    <w:rsid w:val="006A20F0"/>
    <w:rsid w:val="006A3309"/>
    <w:rsid w:val="006A3E30"/>
    <w:rsid w:val="006A41F2"/>
    <w:rsid w:val="006A49DC"/>
    <w:rsid w:val="006A52E9"/>
    <w:rsid w:val="006A5379"/>
    <w:rsid w:val="006A5B34"/>
    <w:rsid w:val="006A6DEE"/>
    <w:rsid w:val="006A7266"/>
    <w:rsid w:val="006A7C58"/>
    <w:rsid w:val="006B08FE"/>
    <w:rsid w:val="006B1300"/>
    <w:rsid w:val="006B1C7F"/>
    <w:rsid w:val="006B31C7"/>
    <w:rsid w:val="006B38F4"/>
    <w:rsid w:val="006B3936"/>
    <w:rsid w:val="006B4158"/>
    <w:rsid w:val="006B5E7C"/>
    <w:rsid w:val="006B670B"/>
    <w:rsid w:val="006B769A"/>
    <w:rsid w:val="006B7BF1"/>
    <w:rsid w:val="006C0266"/>
    <w:rsid w:val="006C045E"/>
    <w:rsid w:val="006C1A90"/>
    <w:rsid w:val="006C3253"/>
    <w:rsid w:val="006C3A4C"/>
    <w:rsid w:val="006C521D"/>
    <w:rsid w:val="006C66FD"/>
    <w:rsid w:val="006C77A9"/>
    <w:rsid w:val="006D09CF"/>
    <w:rsid w:val="006D11FA"/>
    <w:rsid w:val="006D1C2A"/>
    <w:rsid w:val="006D3681"/>
    <w:rsid w:val="006D4242"/>
    <w:rsid w:val="006D4720"/>
    <w:rsid w:val="006D4F1F"/>
    <w:rsid w:val="006D7BF1"/>
    <w:rsid w:val="006D7DCF"/>
    <w:rsid w:val="006E0B1A"/>
    <w:rsid w:val="006E2F57"/>
    <w:rsid w:val="006E378E"/>
    <w:rsid w:val="006E3B80"/>
    <w:rsid w:val="006E4528"/>
    <w:rsid w:val="006E51F1"/>
    <w:rsid w:val="006E5C32"/>
    <w:rsid w:val="006E5C87"/>
    <w:rsid w:val="006E6191"/>
    <w:rsid w:val="006E67A3"/>
    <w:rsid w:val="006E6A0E"/>
    <w:rsid w:val="006E6CDF"/>
    <w:rsid w:val="006E6DCC"/>
    <w:rsid w:val="006E7AD7"/>
    <w:rsid w:val="006E7D1F"/>
    <w:rsid w:val="006F0286"/>
    <w:rsid w:val="006F37F2"/>
    <w:rsid w:val="006F3A27"/>
    <w:rsid w:val="006F5B28"/>
    <w:rsid w:val="006F6693"/>
    <w:rsid w:val="006F6BE8"/>
    <w:rsid w:val="007028CB"/>
    <w:rsid w:val="00704F08"/>
    <w:rsid w:val="00705393"/>
    <w:rsid w:val="00706D2A"/>
    <w:rsid w:val="00706D93"/>
    <w:rsid w:val="00706FF8"/>
    <w:rsid w:val="00707FE8"/>
    <w:rsid w:val="00712041"/>
    <w:rsid w:val="007129CC"/>
    <w:rsid w:val="00714AAE"/>
    <w:rsid w:val="007154C3"/>
    <w:rsid w:val="00715D41"/>
    <w:rsid w:val="00716A58"/>
    <w:rsid w:val="00716C78"/>
    <w:rsid w:val="007177DA"/>
    <w:rsid w:val="00717DF6"/>
    <w:rsid w:val="007203BB"/>
    <w:rsid w:val="00724962"/>
    <w:rsid w:val="00724A0F"/>
    <w:rsid w:val="007251A1"/>
    <w:rsid w:val="00726D2F"/>
    <w:rsid w:val="00727012"/>
    <w:rsid w:val="007279C4"/>
    <w:rsid w:val="00732E7E"/>
    <w:rsid w:val="007333FF"/>
    <w:rsid w:val="00734009"/>
    <w:rsid w:val="0073551D"/>
    <w:rsid w:val="00736732"/>
    <w:rsid w:val="00736756"/>
    <w:rsid w:val="00736801"/>
    <w:rsid w:val="007406E2"/>
    <w:rsid w:val="0074158F"/>
    <w:rsid w:val="0074189D"/>
    <w:rsid w:val="00741E1C"/>
    <w:rsid w:val="00742970"/>
    <w:rsid w:val="007432C6"/>
    <w:rsid w:val="00744DA3"/>
    <w:rsid w:val="00746426"/>
    <w:rsid w:val="007469EA"/>
    <w:rsid w:val="007506E4"/>
    <w:rsid w:val="00750BF9"/>
    <w:rsid w:val="00750CBE"/>
    <w:rsid w:val="00750F89"/>
    <w:rsid w:val="00751133"/>
    <w:rsid w:val="00752261"/>
    <w:rsid w:val="00752E4A"/>
    <w:rsid w:val="00753246"/>
    <w:rsid w:val="007532D3"/>
    <w:rsid w:val="007535CB"/>
    <w:rsid w:val="00754113"/>
    <w:rsid w:val="00755831"/>
    <w:rsid w:val="0076052F"/>
    <w:rsid w:val="00761EE8"/>
    <w:rsid w:val="00764513"/>
    <w:rsid w:val="00764CA6"/>
    <w:rsid w:val="00764CED"/>
    <w:rsid w:val="007650D2"/>
    <w:rsid w:val="0076600B"/>
    <w:rsid w:val="00766275"/>
    <w:rsid w:val="0076655A"/>
    <w:rsid w:val="00766B5A"/>
    <w:rsid w:val="00766EFA"/>
    <w:rsid w:val="00770E02"/>
    <w:rsid w:val="00771141"/>
    <w:rsid w:val="0077215A"/>
    <w:rsid w:val="00772537"/>
    <w:rsid w:val="00774E6D"/>
    <w:rsid w:val="00775169"/>
    <w:rsid w:val="00776B0D"/>
    <w:rsid w:val="007770A5"/>
    <w:rsid w:val="00777374"/>
    <w:rsid w:val="00777901"/>
    <w:rsid w:val="007779B1"/>
    <w:rsid w:val="007834F2"/>
    <w:rsid w:val="00783573"/>
    <w:rsid w:val="00784346"/>
    <w:rsid w:val="00784B73"/>
    <w:rsid w:val="00784DB2"/>
    <w:rsid w:val="007854CC"/>
    <w:rsid w:val="00787E5C"/>
    <w:rsid w:val="00790D7A"/>
    <w:rsid w:val="00791020"/>
    <w:rsid w:val="00791DDC"/>
    <w:rsid w:val="00792172"/>
    <w:rsid w:val="00792EC7"/>
    <w:rsid w:val="00795B0A"/>
    <w:rsid w:val="00795C1D"/>
    <w:rsid w:val="00796724"/>
    <w:rsid w:val="00796C0F"/>
    <w:rsid w:val="00797189"/>
    <w:rsid w:val="00797EEA"/>
    <w:rsid w:val="007A04D2"/>
    <w:rsid w:val="007A185F"/>
    <w:rsid w:val="007A22F9"/>
    <w:rsid w:val="007A2939"/>
    <w:rsid w:val="007A3709"/>
    <w:rsid w:val="007A3C97"/>
    <w:rsid w:val="007A4BFD"/>
    <w:rsid w:val="007A4E5B"/>
    <w:rsid w:val="007A4F94"/>
    <w:rsid w:val="007A5C9F"/>
    <w:rsid w:val="007A5F82"/>
    <w:rsid w:val="007A6770"/>
    <w:rsid w:val="007A69EC"/>
    <w:rsid w:val="007A7383"/>
    <w:rsid w:val="007A7761"/>
    <w:rsid w:val="007B06EA"/>
    <w:rsid w:val="007B0DD8"/>
    <w:rsid w:val="007B2862"/>
    <w:rsid w:val="007B411B"/>
    <w:rsid w:val="007B55FF"/>
    <w:rsid w:val="007B5E23"/>
    <w:rsid w:val="007B6031"/>
    <w:rsid w:val="007B7702"/>
    <w:rsid w:val="007B7817"/>
    <w:rsid w:val="007C0A6B"/>
    <w:rsid w:val="007C294F"/>
    <w:rsid w:val="007C3804"/>
    <w:rsid w:val="007C3D6A"/>
    <w:rsid w:val="007C4F8A"/>
    <w:rsid w:val="007C534C"/>
    <w:rsid w:val="007C5EBA"/>
    <w:rsid w:val="007C7109"/>
    <w:rsid w:val="007D0EC0"/>
    <w:rsid w:val="007D1AC1"/>
    <w:rsid w:val="007D2465"/>
    <w:rsid w:val="007D35A2"/>
    <w:rsid w:val="007D4B67"/>
    <w:rsid w:val="007D55E3"/>
    <w:rsid w:val="007D5798"/>
    <w:rsid w:val="007D5F9E"/>
    <w:rsid w:val="007D61B8"/>
    <w:rsid w:val="007D72CD"/>
    <w:rsid w:val="007D7715"/>
    <w:rsid w:val="007E0012"/>
    <w:rsid w:val="007E023F"/>
    <w:rsid w:val="007E076D"/>
    <w:rsid w:val="007E0859"/>
    <w:rsid w:val="007E0F6B"/>
    <w:rsid w:val="007E0F6E"/>
    <w:rsid w:val="007E539E"/>
    <w:rsid w:val="007E5E4B"/>
    <w:rsid w:val="007E6CA6"/>
    <w:rsid w:val="007E6D15"/>
    <w:rsid w:val="007E6F61"/>
    <w:rsid w:val="007F0723"/>
    <w:rsid w:val="007F1A4C"/>
    <w:rsid w:val="007F2004"/>
    <w:rsid w:val="007F201A"/>
    <w:rsid w:val="007F4BB9"/>
    <w:rsid w:val="007F4C30"/>
    <w:rsid w:val="007F4E43"/>
    <w:rsid w:val="007F5022"/>
    <w:rsid w:val="007F5524"/>
    <w:rsid w:val="007F6C3D"/>
    <w:rsid w:val="007F723F"/>
    <w:rsid w:val="007F77A0"/>
    <w:rsid w:val="007F7FBE"/>
    <w:rsid w:val="00800864"/>
    <w:rsid w:val="008011B7"/>
    <w:rsid w:val="00801591"/>
    <w:rsid w:val="008020D0"/>
    <w:rsid w:val="008022C3"/>
    <w:rsid w:val="008022EA"/>
    <w:rsid w:val="0080237F"/>
    <w:rsid w:val="0080404B"/>
    <w:rsid w:val="008041E6"/>
    <w:rsid w:val="00804A64"/>
    <w:rsid w:val="008060F3"/>
    <w:rsid w:val="00806169"/>
    <w:rsid w:val="008065D2"/>
    <w:rsid w:val="00806A8E"/>
    <w:rsid w:val="00806DFC"/>
    <w:rsid w:val="008072DA"/>
    <w:rsid w:val="008074C7"/>
    <w:rsid w:val="008109F5"/>
    <w:rsid w:val="00811F37"/>
    <w:rsid w:val="00811FD1"/>
    <w:rsid w:val="00812AE4"/>
    <w:rsid w:val="00813D2E"/>
    <w:rsid w:val="00814353"/>
    <w:rsid w:val="00814377"/>
    <w:rsid w:val="008153C1"/>
    <w:rsid w:val="00815F56"/>
    <w:rsid w:val="00816891"/>
    <w:rsid w:val="008176C8"/>
    <w:rsid w:val="0082014E"/>
    <w:rsid w:val="00820323"/>
    <w:rsid w:val="00820F77"/>
    <w:rsid w:val="0082166A"/>
    <w:rsid w:val="0082194C"/>
    <w:rsid w:val="00821C15"/>
    <w:rsid w:val="008222FF"/>
    <w:rsid w:val="008228DE"/>
    <w:rsid w:val="008241FF"/>
    <w:rsid w:val="00824416"/>
    <w:rsid w:val="008252F6"/>
    <w:rsid w:val="008257A5"/>
    <w:rsid w:val="00825F8D"/>
    <w:rsid w:val="00826114"/>
    <w:rsid w:val="008266F1"/>
    <w:rsid w:val="00826D9F"/>
    <w:rsid w:val="00827002"/>
    <w:rsid w:val="0083026C"/>
    <w:rsid w:val="008325BE"/>
    <w:rsid w:val="0083345D"/>
    <w:rsid w:val="00835E4C"/>
    <w:rsid w:val="00837576"/>
    <w:rsid w:val="00840067"/>
    <w:rsid w:val="0084098D"/>
    <w:rsid w:val="00840E9E"/>
    <w:rsid w:val="008411E9"/>
    <w:rsid w:val="00841617"/>
    <w:rsid w:val="00841F87"/>
    <w:rsid w:val="0084200F"/>
    <w:rsid w:val="0084272F"/>
    <w:rsid w:val="00843B2C"/>
    <w:rsid w:val="0084551D"/>
    <w:rsid w:val="008468B2"/>
    <w:rsid w:val="00847067"/>
    <w:rsid w:val="0085164A"/>
    <w:rsid w:val="008539FC"/>
    <w:rsid w:val="00853DF9"/>
    <w:rsid w:val="00854B89"/>
    <w:rsid w:val="00854D8E"/>
    <w:rsid w:val="00860530"/>
    <w:rsid w:val="00860FAC"/>
    <w:rsid w:val="00861898"/>
    <w:rsid w:val="00863729"/>
    <w:rsid w:val="00864065"/>
    <w:rsid w:val="008654D1"/>
    <w:rsid w:val="008668A8"/>
    <w:rsid w:val="008677FF"/>
    <w:rsid w:val="008707A4"/>
    <w:rsid w:val="00872C6F"/>
    <w:rsid w:val="008750E1"/>
    <w:rsid w:val="00875C9E"/>
    <w:rsid w:val="0087709B"/>
    <w:rsid w:val="008777F7"/>
    <w:rsid w:val="00880AC4"/>
    <w:rsid w:val="00883B1C"/>
    <w:rsid w:val="0088474D"/>
    <w:rsid w:val="00886333"/>
    <w:rsid w:val="0088773F"/>
    <w:rsid w:val="008877BE"/>
    <w:rsid w:val="00890F45"/>
    <w:rsid w:val="00891F84"/>
    <w:rsid w:val="00893206"/>
    <w:rsid w:val="008948C5"/>
    <w:rsid w:val="00894A8D"/>
    <w:rsid w:val="00894B48"/>
    <w:rsid w:val="00895F90"/>
    <w:rsid w:val="008964EA"/>
    <w:rsid w:val="008972D8"/>
    <w:rsid w:val="00897447"/>
    <w:rsid w:val="008A0538"/>
    <w:rsid w:val="008A0DA7"/>
    <w:rsid w:val="008A1B3D"/>
    <w:rsid w:val="008A2A41"/>
    <w:rsid w:val="008A2A71"/>
    <w:rsid w:val="008A403F"/>
    <w:rsid w:val="008A4900"/>
    <w:rsid w:val="008A4A14"/>
    <w:rsid w:val="008A53C1"/>
    <w:rsid w:val="008A55FE"/>
    <w:rsid w:val="008A5D92"/>
    <w:rsid w:val="008A684F"/>
    <w:rsid w:val="008A7024"/>
    <w:rsid w:val="008B05E7"/>
    <w:rsid w:val="008B0B0A"/>
    <w:rsid w:val="008B0CB1"/>
    <w:rsid w:val="008B0FD6"/>
    <w:rsid w:val="008B146D"/>
    <w:rsid w:val="008B1546"/>
    <w:rsid w:val="008B23E7"/>
    <w:rsid w:val="008B2EF5"/>
    <w:rsid w:val="008B42AD"/>
    <w:rsid w:val="008B4883"/>
    <w:rsid w:val="008B48A6"/>
    <w:rsid w:val="008B5666"/>
    <w:rsid w:val="008B6EE8"/>
    <w:rsid w:val="008B783C"/>
    <w:rsid w:val="008B7B92"/>
    <w:rsid w:val="008B7BA3"/>
    <w:rsid w:val="008B7DF8"/>
    <w:rsid w:val="008C0133"/>
    <w:rsid w:val="008C216E"/>
    <w:rsid w:val="008C232F"/>
    <w:rsid w:val="008C272B"/>
    <w:rsid w:val="008C43C2"/>
    <w:rsid w:val="008C4E63"/>
    <w:rsid w:val="008C5042"/>
    <w:rsid w:val="008C577E"/>
    <w:rsid w:val="008D0281"/>
    <w:rsid w:val="008D028B"/>
    <w:rsid w:val="008D1EED"/>
    <w:rsid w:val="008D21CB"/>
    <w:rsid w:val="008D4327"/>
    <w:rsid w:val="008D52FB"/>
    <w:rsid w:val="008E0B7F"/>
    <w:rsid w:val="008E0CD7"/>
    <w:rsid w:val="008E1D8C"/>
    <w:rsid w:val="008E2348"/>
    <w:rsid w:val="008E2CAD"/>
    <w:rsid w:val="008E3914"/>
    <w:rsid w:val="008E4481"/>
    <w:rsid w:val="008E4715"/>
    <w:rsid w:val="008E5197"/>
    <w:rsid w:val="008E5914"/>
    <w:rsid w:val="008E5E97"/>
    <w:rsid w:val="008E7938"/>
    <w:rsid w:val="008E7A78"/>
    <w:rsid w:val="008F139D"/>
    <w:rsid w:val="008F161A"/>
    <w:rsid w:val="008F1639"/>
    <w:rsid w:val="008F279B"/>
    <w:rsid w:val="008F2B15"/>
    <w:rsid w:val="008F33C6"/>
    <w:rsid w:val="008F4195"/>
    <w:rsid w:val="008F5376"/>
    <w:rsid w:val="008F5DE5"/>
    <w:rsid w:val="008F6D45"/>
    <w:rsid w:val="008F7733"/>
    <w:rsid w:val="0090148A"/>
    <w:rsid w:val="009022B2"/>
    <w:rsid w:val="00904959"/>
    <w:rsid w:val="00904AC3"/>
    <w:rsid w:val="0091094F"/>
    <w:rsid w:val="00912662"/>
    <w:rsid w:val="009137D1"/>
    <w:rsid w:val="00913A0A"/>
    <w:rsid w:val="0091423B"/>
    <w:rsid w:val="0091479B"/>
    <w:rsid w:val="00915313"/>
    <w:rsid w:val="00916404"/>
    <w:rsid w:val="00917213"/>
    <w:rsid w:val="00920769"/>
    <w:rsid w:val="00921106"/>
    <w:rsid w:val="00921562"/>
    <w:rsid w:val="009222E8"/>
    <w:rsid w:val="00922944"/>
    <w:rsid w:val="00923162"/>
    <w:rsid w:val="00924C35"/>
    <w:rsid w:val="00924C88"/>
    <w:rsid w:val="00925122"/>
    <w:rsid w:val="00925827"/>
    <w:rsid w:val="00925A1A"/>
    <w:rsid w:val="009261C1"/>
    <w:rsid w:val="0092665E"/>
    <w:rsid w:val="009270F2"/>
    <w:rsid w:val="009272E3"/>
    <w:rsid w:val="00930D5C"/>
    <w:rsid w:val="00930DD7"/>
    <w:rsid w:val="0093105B"/>
    <w:rsid w:val="0093187A"/>
    <w:rsid w:val="00931D79"/>
    <w:rsid w:val="00932B1C"/>
    <w:rsid w:val="0093358E"/>
    <w:rsid w:val="009338C0"/>
    <w:rsid w:val="009345F6"/>
    <w:rsid w:val="009355C9"/>
    <w:rsid w:val="0093677C"/>
    <w:rsid w:val="00936E49"/>
    <w:rsid w:val="00937A10"/>
    <w:rsid w:val="009413EE"/>
    <w:rsid w:val="00942FA7"/>
    <w:rsid w:val="00943B1D"/>
    <w:rsid w:val="00945A28"/>
    <w:rsid w:val="00945DF5"/>
    <w:rsid w:val="00950282"/>
    <w:rsid w:val="00951662"/>
    <w:rsid w:val="00951D0C"/>
    <w:rsid w:val="00954903"/>
    <w:rsid w:val="00955037"/>
    <w:rsid w:val="00955B67"/>
    <w:rsid w:val="00956010"/>
    <w:rsid w:val="0095671A"/>
    <w:rsid w:val="0095737A"/>
    <w:rsid w:val="0096135B"/>
    <w:rsid w:val="00962B02"/>
    <w:rsid w:val="00962CFC"/>
    <w:rsid w:val="00964700"/>
    <w:rsid w:val="009656BF"/>
    <w:rsid w:val="00965D85"/>
    <w:rsid w:val="00966115"/>
    <w:rsid w:val="00966525"/>
    <w:rsid w:val="00967A8B"/>
    <w:rsid w:val="00967F64"/>
    <w:rsid w:val="009729ED"/>
    <w:rsid w:val="00974604"/>
    <w:rsid w:val="0097567B"/>
    <w:rsid w:val="00975F78"/>
    <w:rsid w:val="00981765"/>
    <w:rsid w:val="009820B0"/>
    <w:rsid w:val="0098231E"/>
    <w:rsid w:val="00982703"/>
    <w:rsid w:val="009834C0"/>
    <w:rsid w:val="00983AD3"/>
    <w:rsid w:val="009840C4"/>
    <w:rsid w:val="00984EDD"/>
    <w:rsid w:val="00986AAC"/>
    <w:rsid w:val="0099006B"/>
    <w:rsid w:val="0099080B"/>
    <w:rsid w:val="00991086"/>
    <w:rsid w:val="00991345"/>
    <w:rsid w:val="009917CB"/>
    <w:rsid w:val="00992E20"/>
    <w:rsid w:val="009944E3"/>
    <w:rsid w:val="00994A12"/>
    <w:rsid w:val="00994BEB"/>
    <w:rsid w:val="00995526"/>
    <w:rsid w:val="00995588"/>
    <w:rsid w:val="00995E56"/>
    <w:rsid w:val="009968D0"/>
    <w:rsid w:val="009A005B"/>
    <w:rsid w:val="009A13EF"/>
    <w:rsid w:val="009A1B45"/>
    <w:rsid w:val="009A1DA2"/>
    <w:rsid w:val="009A26D2"/>
    <w:rsid w:val="009A3704"/>
    <w:rsid w:val="009A44E1"/>
    <w:rsid w:val="009A4739"/>
    <w:rsid w:val="009A665E"/>
    <w:rsid w:val="009A674F"/>
    <w:rsid w:val="009A6D22"/>
    <w:rsid w:val="009B199C"/>
    <w:rsid w:val="009B1AC6"/>
    <w:rsid w:val="009B1FB6"/>
    <w:rsid w:val="009B3E94"/>
    <w:rsid w:val="009B53E3"/>
    <w:rsid w:val="009B56AA"/>
    <w:rsid w:val="009B5F9B"/>
    <w:rsid w:val="009B5FBE"/>
    <w:rsid w:val="009B60A9"/>
    <w:rsid w:val="009B61F1"/>
    <w:rsid w:val="009B62E0"/>
    <w:rsid w:val="009B6F5C"/>
    <w:rsid w:val="009B7782"/>
    <w:rsid w:val="009C285C"/>
    <w:rsid w:val="009C3D88"/>
    <w:rsid w:val="009C51DC"/>
    <w:rsid w:val="009C5644"/>
    <w:rsid w:val="009C5886"/>
    <w:rsid w:val="009C6489"/>
    <w:rsid w:val="009C70DF"/>
    <w:rsid w:val="009C7628"/>
    <w:rsid w:val="009D0E39"/>
    <w:rsid w:val="009D1DF4"/>
    <w:rsid w:val="009D23F0"/>
    <w:rsid w:val="009D4022"/>
    <w:rsid w:val="009D4681"/>
    <w:rsid w:val="009D4809"/>
    <w:rsid w:val="009D4AEF"/>
    <w:rsid w:val="009D695B"/>
    <w:rsid w:val="009D7116"/>
    <w:rsid w:val="009D7983"/>
    <w:rsid w:val="009E0AE1"/>
    <w:rsid w:val="009E1886"/>
    <w:rsid w:val="009E3858"/>
    <w:rsid w:val="009E467D"/>
    <w:rsid w:val="009E4D7A"/>
    <w:rsid w:val="009E508B"/>
    <w:rsid w:val="009E66EE"/>
    <w:rsid w:val="009E6957"/>
    <w:rsid w:val="009E70DD"/>
    <w:rsid w:val="009E7863"/>
    <w:rsid w:val="009E7E05"/>
    <w:rsid w:val="009F0A1E"/>
    <w:rsid w:val="009F15F7"/>
    <w:rsid w:val="009F1995"/>
    <w:rsid w:val="009F2ED3"/>
    <w:rsid w:val="009F2ED9"/>
    <w:rsid w:val="009F3231"/>
    <w:rsid w:val="009F42D2"/>
    <w:rsid w:val="009F55A0"/>
    <w:rsid w:val="009F5C58"/>
    <w:rsid w:val="009F6471"/>
    <w:rsid w:val="009F7ECD"/>
    <w:rsid w:val="00A00D7C"/>
    <w:rsid w:val="00A01AE6"/>
    <w:rsid w:val="00A021B6"/>
    <w:rsid w:val="00A023A0"/>
    <w:rsid w:val="00A02B37"/>
    <w:rsid w:val="00A030F4"/>
    <w:rsid w:val="00A03289"/>
    <w:rsid w:val="00A04708"/>
    <w:rsid w:val="00A05708"/>
    <w:rsid w:val="00A05DC5"/>
    <w:rsid w:val="00A122F7"/>
    <w:rsid w:val="00A1396D"/>
    <w:rsid w:val="00A1561A"/>
    <w:rsid w:val="00A1562B"/>
    <w:rsid w:val="00A15AC7"/>
    <w:rsid w:val="00A15C86"/>
    <w:rsid w:val="00A15E47"/>
    <w:rsid w:val="00A1602F"/>
    <w:rsid w:val="00A16AED"/>
    <w:rsid w:val="00A170F4"/>
    <w:rsid w:val="00A172B6"/>
    <w:rsid w:val="00A206C7"/>
    <w:rsid w:val="00A21408"/>
    <w:rsid w:val="00A21CFD"/>
    <w:rsid w:val="00A236E5"/>
    <w:rsid w:val="00A253AA"/>
    <w:rsid w:val="00A25B78"/>
    <w:rsid w:val="00A275BC"/>
    <w:rsid w:val="00A275E5"/>
    <w:rsid w:val="00A27FF9"/>
    <w:rsid w:val="00A310E8"/>
    <w:rsid w:val="00A353F3"/>
    <w:rsid w:val="00A364B0"/>
    <w:rsid w:val="00A37849"/>
    <w:rsid w:val="00A40601"/>
    <w:rsid w:val="00A4151E"/>
    <w:rsid w:val="00A423F9"/>
    <w:rsid w:val="00A427A5"/>
    <w:rsid w:val="00A43D8F"/>
    <w:rsid w:val="00A4697A"/>
    <w:rsid w:val="00A46BA8"/>
    <w:rsid w:val="00A47634"/>
    <w:rsid w:val="00A47DA5"/>
    <w:rsid w:val="00A52E47"/>
    <w:rsid w:val="00A53967"/>
    <w:rsid w:val="00A54397"/>
    <w:rsid w:val="00A55091"/>
    <w:rsid w:val="00A552E7"/>
    <w:rsid w:val="00A56099"/>
    <w:rsid w:val="00A56D2D"/>
    <w:rsid w:val="00A57CD3"/>
    <w:rsid w:val="00A6032A"/>
    <w:rsid w:val="00A60FDB"/>
    <w:rsid w:val="00A612FE"/>
    <w:rsid w:val="00A6181C"/>
    <w:rsid w:val="00A61E00"/>
    <w:rsid w:val="00A62ABE"/>
    <w:rsid w:val="00A63686"/>
    <w:rsid w:val="00A657BB"/>
    <w:rsid w:val="00A66151"/>
    <w:rsid w:val="00A6707B"/>
    <w:rsid w:val="00A677BB"/>
    <w:rsid w:val="00A67970"/>
    <w:rsid w:val="00A67A7F"/>
    <w:rsid w:val="00A67E7D"/>
    <w:rsid w:val="00A705A8"/>
    <w:rsid w:val="00A71BC1"/>
    <w:rsid w:val="00A71DB0"/>
    <w:rsid w:val="00A720AE"/>
    <w:rsid w:val="00A723D9"/>
    <w:rsid w:val="00A72F47"/>
    <w:rsid w:val="00A7335D"/>
    <w:rsid w:val="00A73CC1"/>
    <w:rsid w:val="00A75B64"/>
    <w:rsid w:val="00A75C18"/>
    <w:rsid w:val="00A77D8F"/>
    <w:rsid w:val="00A77DC6"/>
    <w:rsid w:val="00A82924"/>
    <w:rsid w:val="00A82CA2"/>
    <w:rsid w:val="00A83A04"/>
    <w:rsid w:val="00A855E2"/>
    <w:rsid w:val="00A86145"/>
    <w:rsid w:val="00A8680F"/>
    <w:rsid w:val="00A875E1"/>
    <w:rsid w:val="00A8783B"/>
    <w:rsid w:val="00A919E7"/>
    <w:rsid w:val="00A92159"/>
    <w:rsid w:val="00A92739"/>
    <w:rsid w:val="00A92955"/>
    <w:rsid w:val="00A92CD0"/>
    <w:rsid w:val="00A9331F"/>
    <w:rsid w:val="00A93E66"/>
    <w:rsid w:val="00A93F54"/>
    <w:rsid w:val="00A94996"/>
    <w:rsid w:val="00A94DFA"/>
    <w:rsid w:val="00A970B7"/>
    <w:rsid w:val="00A97653"/>
    <w:rsid w:val="00AA0045"/>
    <w:rsid w:val="00AA15EF"/>
    <w:rsid w:val="00AA26B8"/>
    <w:rsid w:val="00AA3551"/>
    <w:rsid w:val="00AA3767"/>
    <w:rsid w:val="00AA3DD1"/>
    <w:rsid w:val="00AA469A"/>
    <w:rsid w:val="00AA6A63"/>
    <w:rsid w:val="00AA7049"/>
    <w:rsid w:val="00AB0695"/>
    <w:rsid w:val="00AB1019"/>
    <w:rsid w:val="00AB1088"/>
    <w:rsid w:val="00AB1F9F"/>
    <w:rsid w:val="00AB2C7C"/>
    <w:rsid w:val="00AB5B90"/>
    <w:rsid w:val="00AB7010"/>
    <w:rsid w:val="00AC0B87"/>
    <w:rsid w:val="00AC2624"/>
    <w:rsid w:val="00AC499C"/>
    <w:rsid w:val="00AC589C"/>
    <w:rsid w:val="00AC6DF5"/>
    <w:rsid w:val="00AC7AF3"/>
    <w:rsid w:val="00AD05F1"/>
    <w:rsid w:val="00AD1022"/>
    <w:rsid w:val="00AD10E3"/>
    <w:rsid w:val="00AD1556"/>
    <w:rsid w:val="00AD1E8B"/>
    <w:rsid w:val="00AD2E4B"/>
    <w:rsid w:val="00AD3621"/>
    <w:rsid w:val="00AD474F"/>
    <w:rsid w:val="00AD588F"/>
    <w:rsid w:val="00AD5F2A"/>
    <w:rsid w:val="00AD6A75"/>
    <w:rsid w:val="00AD6E74"/>
    <w:rsid w:val="00AD70D5"/>
    <w:rsid w:val="00AD7E4E"/>
    <w:rsid w:val="00AE1301"/>
    <w:rsid w:val="00AE20A9"/>
    <w:rsid w:val="00AE4F18"/>
    <w:rsid w:val="00AE564D"/>
    <w:rsid w:val="00AE5CDD"/>
    <w:rsid w:val="00AE5E1E"/>
    <w:rsid w:val="00AE75AE"/>
    <w:rsid w:val="00AF15B1"/>
    <w:rsid w:val="00AF256A"/>
    <w:rsid w:val="00AF2831"/>
    <w:rsid w:val="00AF32DA"/>
    <w:rsid w:val="00AF3635"/>
    <w:rsid w:val="00AF446C"/>
    <w:rsid w:val="00AF4BCC"/>
    <w:rsid w:val="00AF4D58"/>
    <w:rsid w:val="00AF4E8B"/>
    <w:rsid w:val="00AF5067"/>
    <w:rsid w:val="00AF5839"/>
    <w:rsid w:val="00AF591D"/>
    <w:rsid w:val="00AF5E2C"/>
    <w:rsid w:val="00AF6666"/>
    <w:rsid w:val="00AF673D"/>
    <w:rsid w:val="00B0120A"/>
    <w:rsid w:val="00B01C73"/>
    <w:rsid w:val="00B01D37"/>
    <w:rsid w:val="00B04C5B"/>
    <w:rsid w:val="00B04CDE"/>
    <w:rsid w:val="00B052C1"/>
    <w:rsid w:val="00B05A6B"/>
    <w:rsid w:val="00B05ABD"/>
    <w:rsid w:val="00B05AD6"/>
    <w:rsid w:val="00B06D34"/>
    <w:rsid w:val="00B0735B"/>
    <w:rsid w:val="00B109B4"/>
    <w:rsid w:val="00B10E0A"/>
    <w:rsid w:val="00B10E2A"/>
    <w:rsid w:val="00B11BCF"/>
    <w:rsid w:val="00B13A2D"/>
    <w:rsid w:val="00B15B55"/>
    <w:rsid w:val="00B16FDE"/>
    <w:rsid w:val="00B20651"/>
    <w:rsid w:val="00B21D14"/>
    <w:rsid w:val="00B33338"/>
    <w:rsid w:val="00B342FD"/>
    <w:rsid w:val="00B348DD"/>
    <w:rsid w:val="00B36C3F"/>
    <w:rsid w:val="00B3714B"/>
    <w:rsid w:val="00B37A4D"/>
    <w:rsid w:val="00B37AFC"/>
    <w:rsid w:val="00B40568"/>
    <w:rsid w:val="00B416D5"/>
    <w:rsid w:val="00B42517"/>
    <w:rsid w:val="00B43A1A"/>
    <w:rsid w:val="00B44789"/>
    <w:rsid w:val="00B44B6D"/>
    <w:rsid w:val="00B44D18"/>
    <w:rsid w:val="00B453E7"/>
    <w:rsid w:val="00B457C0"/>
    <w:rsid w:val="00B45C82"/>
    <w:rsid w:val="00B45DE5"/>
    <w:rsid w:val="00B45EFB"/>
    <w:rsid w:val="00B506EC"/>
    <w:rsid w:val="00B513F7"/>
    <w:rsid w:val="00B52AD0"/>
    <w:rsid w:val="00B538CB"/>
    <w:rsid w:val="00B55861"/>
    <w:rsid w:val="00B55997"/>
    <w:rsid w:val="00B57165"/>
    <w:rsid w:val="00B57F42"/>
    <w:rsid w:val="00B60587"/>
    <w:rsid w:val="00B60E46"/>
    <w:rsid w:val="00B6226F"/>
    <w:rsid w:val="00B62E89"/>
    <w:rsid w:val="00B63F08"/>
    <w:rsid w:val="00B640B0"/>
    <w:rsid w:val="00B650BA"/>
    <w:rsid w:val="00B6562A"/>
    <w:rsid w:val="00B65CF7"/>
    <w:rsid w:val="00B6730F"/>
    <w:rsid w:val="00B678B0"/>
    <w:rsid w:val="00B67E39"/>
    <w:rsid w:val="00B7455E"/>
    <w:rsid w:val="00B75829"/>
    <w:rsid w:val="00B76573"/>
    <w:rsid w:val="00B81B44"/>
    <w:rsid w:val="00B8574D"/>
    <w:rsid w:val="00B85C80"/>
    <w:rsid w:val="00B86781"/>
    <w:rsid w:val="00B867C6"/>
    <w:rsid w:val="00B87932"/>
    <w:rsid w:val="00B9053B"/>
    <w:rsid w:val="00B90684"/>
    <w:rsid w:val="00B92152"/>
    <w:rsid w:val="00B92939"/>
    <w:rsid w:val="00B93946"/>
    <w:rsid w:val="00B93FD5"/>
    <w:rsid w:val="00B957CA"/>
    <w:rsid w:val="00B97E70"/>
    <w:rsid w:val="00BA31B3"/>
    <w:rsid w:val="00BA31F2"/>
    <w:rsid w:val="00BA5A92"/>
    <w:rsid w:val="00BA5D49"/>
    <w:rsid w:val="00BA7B99"/>
    <w:rsid w:val="00BB0992"/>
    <w:rsid w:val="00BB0A2D"/>
    <w:rsid w:val="00BB0CFD"/>
    <w:rsid w:val="00BB10E1"/>
    <w:rsid w:val="00BB40D0"/>
    <w:rsid w:val="00BB4435"/>
    <w:rsid w:val="00BB4D98"/>
    <w:rsid w:val="00BB4EBF"/>
    <w:rsid w:val="00BB59E0"/>
    <w:rsid w:val="00BB6AE4"/>
    <w:rsid w:val="00BB757A"/>
    <w:rsid w:val="00BC099E"/>
    <w:rsid w:val="00BC1092"/>
    <w:rsid w:val="00BC3422"/>
    <w:rsid w:val="00BC4A48"/>
    <w:rsid w:val="00BC50F9"/>
    <w:rsid w:val="00BC6E19"/>
    <w:rsid w:val="00BD0A01"/>
    <w:rsid w:val="00BD151D"/>
    <w:rsid w:val="00BD2729"/>
    <w:rsid w:val="00BD523E"/>
    <w:rsid w:val="00BD6162"/>
    <w:rsid w:val="00BD7175"/>
    <w:rsid w:val="00BD7B46"/>
    <w:rsid w:val="00BE0297"/>
    <w:rsid w:val="00BE0C8E"/>
    <w:rsid w:val="00BE11BF"/>
    <w:rsid w:val="00BE1510"/>
    <w:rsid w:val="00BE2219"/>
    <w:rsid w:val="00BE23C6"/>
    <w:rsid w:val="00BE326D"/>
    <w:rsid w:val="00BE45E9"/>
    <w:rsid w:val="00BE4A7D"/>
    <w:rsid w:val="00BE51B9"/>
    <w:rsid w:val="00BE75DC"/>
    <w:rsid w:val="00BE7A02"/>
    <w:rsid w:val="00BE7B73"/>
    <w:rsid w:val="00BE7DCC"/>
    <w:rsid w:val="00BF076B"/>
    <w:rsid w:val="00BF1B6A"/>
    <w:rsid w:val="00BF1FD0"/>
    <w:rsid w:val="00BF22E6"/>
    <w:rsid w:val="00BF2E8C"/>
    <w:rsid w:val="00BF4F96"/>
    <w:rsid w:val="00BF5677"/>
    <w:rsid w:val="00BF5B12"/>
    <w:rsid w:val="00BF731D"/>
    <w:rsid w:val="00BF78CF"/>
    <w:rsid w:val="00C012CF"/>
    <w:rsid w:val="00C015B9"/>
    <w:rsid w:val="00C022F9"/>
    <w:rsid w:val="00C02737"/>
    <w:rsid w:val="00C032EA"/>
    <w:rsid w:val="00C03895"/>
    <w:rsid w:val="00C058A5"/>
    <w:rsid w:val="00C06EB5"/>
    <w:rsid w:val="00C072E3"/>
    <w:rsid w:val="00C10633"/>
    <w:rsid w:val="00C10D6A"/>
    <w:rsid w:val="00C1145F"/>
    <w:rsid w:val="00C11A78"/>
    <w:rsid w:val="00C11CD1"/>
    <w:rsid w:val="00C1369C"/>
    <w:rsid w:val="00C139B3"/>
    <w:rsid w:val="00C13ABF"/>
    <w:rsid w:val="00C14979"/>
    <w:rsid w:val="00C152A5"/>
    <w:rsid w:val="00C15C25"/>
    <w:rsid w:val="00C161DC"/>
    <w:rsid w:val="00C17E63"/>
    <w:rsid w:val="00C200B5"/>
    <w:rsid w:val="00C20FC4"/>
    <w:rsid w:val="00C21157"/>
    <w:rsid w:val="00C215DA"/>
    <w:rsid w:val="00C223F1"/>
    <w:rsid w:val="00C22784"/>
    <w:rsid w:val="00C229FF"/>
    <w:rsid w:val="00C22C53"/>
    <w:rsid w:val="00C237E4"/>
    <w:rsid w:val="00C23B51"/>
    <w:rsid w:val="00C24489"/>
    <w:rsid w:val="00C246AE"/>
    <w:rsid w:val="00C25900"/>
    <w:rsid w:val="00C263D7"/>
    <w:rsid w:val="00C26436"/>
    <w:rsid w:val="00C31B95"/>
    <w:rsid w:val="00C3242C"/>
    <w:rsid w:val="00C330FF"/>
    <w:rsid w:val="00C33945"/>
    <w:rsid w:val="00C33AC5"/>
    <w:rsid w:val="00C33AD3"/>
    <w:rsid w:val="00C340FA"/>
    <w:rsid w:val="00C34554"/>
    <w:rsid w:val="00C34F92"/>
    <w:rsid w:val="00C359AE"/>
    <w:rsid w:val="00C35CB3"/>
    <w:rsid w:val="00C37323"/>
    <w:rsid w:val="00C37820"/>
    <w:rsid w:val="00C40D6E"/>
    <w:rsid w:val="00C40F36"/>
    <w:rsid w:val="00C43180"/>
    <w:rsid w:val="00C43F06"/>
    <w:rsid w:val="00C44703"/>
    <w:rsid w:val="00C44A69"/>
    <w:rsid w:val="00C44D64"/>
    <w:rsid w:val="00C45C9C"/>
    <w:rsid w:val="00C464D2"/>
    <w:rsid w:val="00C50FB4"/>
    <w:rsid w:val="00C51C01"/>
    <w:rsid w:val="00C51D75"/>
    <w:rsid w:val="00C521E9"/>
    <w:rsid w:val="00C53184"/>
    <w:rsid w:val="00C53A93"/>
    <w:rsid w:val="00C5494D"/>
    <w:rsid w:val="00C549FB"/>
    <w:rsid w:val="00C562F7"/>
    <w:rsid w:val="00C57463"/>
    <w:rsid w:val="00C61D37"/>
    <w:rsid w:val="00C63057"/>
    <w:rsid w:val="00C637E1"/>
    <w:rsid w:val="00C63AA8"/>
    <w:rsid w:val="00C63D4B"/>
    <w:rsid w:val="00C64229"/>
    <w:rsid w:val="00C64983"/>
    <w:rsid w:val="00C64DB3"/>
    <w:rsid w:val="00C65289"/>
    <w:rsid w:val="00C67AA7"/>
    <w:rsid w:val="00C67EAC"/>
    <w:rsid w:val="00C7080A"/>
    <w:rsid w:val="00C70D50"/>
    <w:rsid w:val="00C72252"/>
    <w:rsid w:val="00C724FF"/>
    <w:rsid w:val="00C72BD0"/>
    <w:rsid w:val="00C736FD"/>
    <w:rsid w:val="00C74108"/>
    <w:rsid w:val="00C742F0"/>
    <w:rsid w:val="00C74658"/>
    <w:rsid w:val="00C74EC2"/>
    <w:rsid w:val="00C7525F"/>
    <w:rsid w:val="00C76EB3"/>
    <w:rsid w:val="00C77C8F"/>
    <w:rsid w:val="00C815D1"/>
    <w:rsid w:val="00C82488"/>
    <w:rsid w:val="00C83180"/>
    <w:rsid w:val="00C907D7"/>
    <w:rsid w:val="00C91277"/>
    <w:rsid w:val="00C92338"/>
    <w:rsid w:val="00C92B20"/>
    <w:rsid w:val="00C930B2"/>
    <w:rsid w:val="00C930C4"/>
    <w:rsid w:val="00C94609"/>
    <w:rsid w:val="00C9464C"/>
    <w:rsid w:val="00C94C3A"/>
    <w:rsid w:val="00C95F9F"/>
    <w:rsid w:val="00CA496A"/>
    <w:rsid w:val="00CA5AA5"/>
    <w:rsid w:val="00CA65F1"/>
    <w:rsid w:val="00CA6DEF"/>
    <w:rsid w:val="00CA7B7A"/>
    <w:rsid w:val="00CA7C5D"/>
    <w:rsid w:val="00CB0616"/>
    <w:rsid w:val="00CB062C"/>
    <w:rsid w:val="00CB0C38"/>
    <w:rsid w:val="00CB112C"/>
    <w:rsid w:val="00CB1382"/>
    <w:rsid w:val="00CB30FC"/>
    <w:rsid w:val="00CB3976"/>
    <w:rsid w:val="00CB3CAA"/>
    <w:rsid w:val="00CC09C4"/>
    <w:rsid w:val="00CC1E8A"/>
    <w:rsid w:val="00CC263C"/>
    <w:rsid w:val="00CC26DD"/>
    <w:rsid w:val="00CC2A89"/>
    <w:rsid w:val="00CC2E5A"/>
    <w:rsid w:val="00CC346B"/>
    <w:rsid w:val="00CC4AE2"/>
    <w:rsid w:val="00CC5EC4"/>
    <w:rsid w:val="00CC6BF4"/>
    <w:rsid w:val="00CD0307"/>
    <w:rsid w:val="00CD1AC2"/>
    <w:rsid w:val="00CD1FBF"/>
    <w:rsid w:val="00CD3D1B"/>
    <w:rsid w:val="00CD3FF0"/>
    <w:rsid w:val="00CD72D0"/>
    <w:rsid w:val="00CD7EFF"/>
    <w:rsid w:val="00CE1850"/>
    <w:rsid w:val="00CE28EC"/>
    <w:rsid w:val="00CE32DB"/>
    <w:rsid w:val="00CF0815"/>
    <w:rsid w:val="00CF3683"/>
    <w:rsid w:val="00CF7054"/>
    <w:rsid w:val="00CF7BB0"/>
    <w:rsid w:val="00D00E2E"/>
    <w:rsid w:val="00D0233F"/>
    <w:rsid w:val="00D02663"/>
    <w:rsid w:val="00D02A39"/>
    <w:rsid w:val="00D04412"/>
    <w:rsid w:val="00D047A5"/>
    <w:rsid w:val="00D05F90"/>
    <w:rsid w:val="00D0633E"/>
    <w:rsid w:val="00D06B5D"/>
    <w:rsid w:val="00D07B82"/>
    <w:rsid w:val="00D112B2"/>
    <w:rsid w:val="00D116DD"/>
    <w:rsid w:val="00D119E8"/>
    <w:rsid w:val="00D12B1D"/>
    <w:rsid w:val="00D12E74"/>
    <w:rsid w:val="00D130FD"/>
    <w:rsid w:val="00D1340E"/>
    <w:rsid w:val="00D1383B"/>
    <w:rsid w:val="00D138E1"/>
    <w:rsid w:val="00D146C9"/>
    <w:rsid w:val="00D1538F"/>
    <w:rsid w:val="00D15D4D"/>
    <w:rsid w:val="00D1676A"/>
    <w:rsid w:val="00D16840"/>
    <w:rsid w:val="00D16A29"/>
    <w:rsid w:val="00D17914"/>
    <w:rsid w:val="00D2006A"/>
    <w:rsid w:val="00D200A7"/>
    <w:rsid w:val="00D207FF"/>
    <w:rsid w:val="00D22773"/>
    <w:rsid w:val="00D2312F"/>
    <w:rsid w:val="00D2458E"/>
    <w:rsid w:val="00D24939"/>
    <w:rsid w:val="00D25030"/>
    <w:rsid w:val="00D269C1"/>
    <w:rsid w:val="00D30B10"/>
    <w:rsid w:val="00D33036"/>
    <w:rsid w:val="00D339E3"/>
    <w:rsid w:val="00D3406E"/>
    <w:rsid w:val="00D3538A"/>
    <w:rsid w:val="00D35B1D"/>
    <w:rsid w:val="00D35C5B"/>
    <w:rsid w:val="00D3674C"/>
    <w:rsid w:val="00D37F1A"/>
    <w:rsid w:val="00D4021D"/>
    <w:rsid w:val="00D41982"/>
    <w:rsid w:val="00D41B2F"/>
    <w:rsid w:val="00D42523"/>
    <w:rsid w:val="00D42FE3"/>
    <w:rsid w:val="00D44953"/>
    <w:rsid w:val="00D460E7"/>
    <w:rsid w:val="00D46AB7"/>
    <w:rsid w:val="00D5122A"/>
    <w:rsid w:val="00D51D0D"/>
    <w:rsid w:val="00D53F64"/>
    <w:rsid w:val="00D542F3"/>
    <w:rsid w:val="00D54387"/>
    <w:rsid w:val="00D54513"/>
    <w:rsid w:val="00D54AAE"/>
    <w:rsid w:val="00D5644B"/>
    <w:rsid w:val="00D56A1B"/>
    <w:rsid w:val="00D56E25"/>
    <w:rsid w:val="00D5719D"/>
    <w:rsid w:val="00D57E89"/>
    <w:rsid w:val="00D60229"/>
    <w:rsid w:val="00D60432"/>
    <w:rsid w:val="00D613CD"/>
    <w:rsid w:val="00D62255"/>
    <w:rsid w:val="00D62538"/>
    <w:rsid w:val="00D641AC"/>
    <w:rsid w:val="00D64B1B"/>
    <w:rsid w:val="00D64F73"/>
    <w:rsid w:val="00D6560D"/>
    <w:rsid w:val="00D65D77"/>
    <w:rsid w:val="00D66946"/>
    <w:rsid w:val="00D676A7"/>
    <w:rsid w:val="00D70575"/>
    <w:rsid w:val="00D7135F"/>
    <w:rsid w:val="00D716F4"/>
    <w:rsid w:val="00D718D7"/>
    <w:rsid w:val="00D753FA"/>
    <w:rsid w:val="00D757BB"/>
    <w:rsid w:val="00D77BFB"/>
    <w:rsid w:val="00D77D71"/>
    <w:rsid w:val="00D802A3"/>
    <w:rsid w:val="00D80F0F"/>
    <w:rsid w:val="00D80F5F"/>
    <w:rsid w:val="00D811CB"/>
    <w:rsid w:val="00D814B7"/>
    <w:rsid w:val="00D819EB"/>
    <w:rsid w:val="00D834FA"/>
    <w:rsid w:val="00D9067F"/>
    <w:rsid w:val="00D90688"/>
    <w:rsid w:val="00D90CE2"/>
    <w:rsid w:val="00D917A1"/>
    <w:rsid w:val="00D92CA3"/>
    <w:rsid w:val="00D95F2F"/>
    <w:rsid w:val="00DA266F"/>
    <w:rsid w:val="00DA3AAD"/>
    <w:rsid w:val="00DA3DA5"/>
    <w:rsid w:val="00DA4902"/>
    <w:rsid w:val="00DA5C18"/>
    <w:rsid w:val="00DA6569"/>
    <w:rsid w:val="00DA6A67"/>
    <w:rsid w:val="00DA7AFA"/>
    <w:rsid w:val="00DB1EF1"/>
    <w:rsid w:val="00DB312B"/>
    <w:rsid w:val="00DB3F36"/>
    <w:rsid w:val="00DB417E"/>
    <w:rsid w:val="00DB4310"/>
    <w:rsid w:val="00DB445B"/>
    <w:rsid w:val="00DB5EEC"/>
    <w:rsid w:val="00DB7A4D"/>
    <w:rsid w:val="00DB7ADE"/>
    <w:rsid w:val="00DC0616"/>
    <w:rsid w:val="00DC087F"/>
    <w:rsid w:val="00DC1BE4"/>
    <w:rsid w:val="00DC2D5D"/>
    <w:rsid w:val="00DC37F2"/>
    <w:rsid w:val="00DC5654"/>
    <w:rsid w:val="00DC658F"/>
    <w:rsid w:val="00DC674A"/>
    <w:rsid w:val="00DC6A8A"/>
    <w:rsid w:val="00DC6CA1"/>
    <w:rsid w:val="00DD04D8"/>
    <w:rsid w:val="00DD12F7"/>
    <w:rsid w:val="00DD1E0B"/>
    <w:rsid w:val="00DD4AD3"/>
    <w:rsid w:val="00DD5201"/>
    <w:rsid w:val="00DD5BDF"/>
    <w:rsid w:val="00DD6B52"/>
    <w:rsid w:val="00DD74E4"/>
    <w:rsid w:val="00DE0535"/>
    <w:rsid w:val="00DE0B62"/>
    <w:rsid w:val="00DE2FE7"/>
    <w:rsid w:val="00DE4F60"/>
    <w:rsid w:val="00DE60CC"/>
    <w:rsid w:val="00DE6677"/>
    <w:rsid w:val="00DF1243"/>
    <w:rsid w:val="00DF2032"/>
    <w:rsid w:val="00DF342E"/>
    <w:rsid w:val="00DF3B08"/>
    <w:rsid w:val="00DF58F2"/>
    <w:rsid w:val="00DF64D6"/>
    <w:rsid w:val="00DF66A7"/>
    <w:rsid w:val="00DF69B1"/>
    <w:rsid w:val="00E01111"/>
    <w:rsid w:val="00E0180E"/>
    <w:rsid w:val="00E01D06"/>
    <w:rsid w:val="00E02A66"/>
    <w:rsid w:val="00E0306A"/>
    <w:rsid w:val="00E06510"/>
    <w:rsid w:val="00E06D2E"/>
    <w:rsid w:val="00E07EFE"/>
    <w:rsid w:val="00E1260F"/>
    <w:rsid w:val="00E12A8F"/>
    <w:rsid w:val="00E1440D"/>
    <w:rsid w:val="00E14E16"/>
    <w:rsid w:val="00E157DD"/>
    <w:rsid w:val="00E15906"/>
    <w:rsid w:val="00E16D14"/>
    <w:rsid w:val="00E16E61"/>
    <w:rsid w:val="00E20107"/>
    <w:rsid w:val="00E2127F"/>
    <w:rsid w:val="00E226EA"/>
    <w:rsid w:val="00E22A9C"/>
    <w:rsid w:val="00E24A22"/>
    <w:rsid w:val="00E25A98"/>
    <w:rsid w:val="00E26B32"/>
    <w:rsid w:val="00E305AA"/>
    <w:rsid w:val="00E30999"/>
    <w:rsid w:val="00E30D3C"/>
    <w:rsid w:val="00E3296A"/>
    <w:rsid w:val="00E33823"/>
    <w:rsid w:val="00E3432F"/>
    <w:rsid w:val="00E34FAF"/>
    <w:rsid w:val="00E35039"/>
    <w:rsid w:val="00E35235"/>
    <w:rsid w:val="00E352E5"/>
    <w:rsid w:val="00E35B37"/>
    <w:rsid w:val="00E407B6"/>
    <w:rsid w:val="00E40E12"/>
    <w:rsid w:val="00E41EF1"/>
    <w:rsid w:val="00E42942"/>
    <w:rsid w:val="00E433BA"/>
    <w:rsid w:val="00E43EDF"/>
    <w:rsid w:val="00E44231"/>
    <w:rsid w:val="00E45665"/>
    <w:rsid w:val="00E45F21"/>
    <w:rsid w:val="00E4611A"/>
    <w:rsid w:val="00E462BD"/>
    <w:rsid w:val="00E46E45"/>
    <w:rsid w:val="00E47A99"/>
    <w:rsid w:val="00E47DA4"/>
    <w:rsid w:val="00E51A91"/>
    <w:rsid w:val="00E5229B"/>
    <w:rsid w:val="00E52AE7"/>
    <w:rsid w:val="00E55CD9"/>
    <w:rsid w:val="00E560D1"/>
    <w:rsid w:val="00E5651F"/>
    <w:rsid w:val="00E5669D"/>
    <w:rsid w:val="00E56F12"/>
    <w:rsid w:val="00E6006C"/>
    <w:rsid w:val="00E604B6"/>
    <w:rsid w:val="00E62B93"/>
    <w:rsid w:val="00E62C6B"/>
    <w:rsid w:val="00E65A0A"/>
    <w:rsid w:val="00E65BA2"/>
    <w:rsid w:val="00E711A2"/>
    <w:rsid w:val="00E71BDF"/>
    <w:rsid w:val="00E72A62"/>
    <w:rsid w:val="00E72DA6"/>
    <w:rsid w:val="00E73845"/>
    <w:rsid w:val="00E73DC0"/>
    <w:rsid w:val="00E73F47"/>
    <w:rsid w:val="00E73FFB"/>
    <w:rsid w:val="00E74206"/>
    <w:rsid w:val="00E74894"/>
    <w:rsid w:val="00E758DB"/>
    <w:rsid w:val="00E75CCB"/>
    <w:rsid w:val="00E75F05"/>
    <w:rsid w:val="00E76165"/>
    <w:rsid w:val="00E765C4"/>
    <w:rsid w:val="00E765DE"/>
    <w:rsid w:val="00E80E3A"/>
    <w:rsid w:val="00E82004"/>
    <w:rsid w:val="00E8245B"/>
    <w:rsid w:val="00E824DE"/>
    <w:rsid w:val="00E82C21"/>
    <w:rsid w:val="00E82F59"/>
    <w:rsid w:val="00E8361C"/>
    <w:rsid w:val="00E83CA7"/>
    <w:rsid w:val="00E85D28"/>
    <w:rsid w:val="00E86F0B"/>
    <w:rsid w:val="00E870D6"/>
    <w:rsid w:val="00E9206C"/>
    <w:rsid w:val="00E92192"/>
    <w:rsid w:val="00E9355D"/>
    <w:rsid w:val="00E93FCC"/>
    <w:rsid w:val="00E94C01"/>
    <w:rsid w:val="00E95A71"/>
    <w:rsid w:val="00E95EE7"/>
    <w:rsid w:val="00E96E28"/>
    <w:rsid w:val="00E97656"/>
    <w:rsid w:val="00EA0857"/>
    <w:rsid w:val="00EA0999"/>
    <w:rsid w:val="00EA20B1"/>
    <w:rsid w:val="00EA2B70"/>
    <w:rsid w:val="00EA3FB5"/>
    <w:rsid w:val="00EA45AC"/>
    <w:rsid w:val="00EA5349"/>
    <w:rsid w:val="00EB0A63"/>
    <w:rsid w:val="00EB1C90"/>
    <w:rsid w:val="00EB1D2F"/>
    <w:rsid w:val="00EB30A6"/>
    <w:rsid w:val="00EB5CFD"/>
    <w:rsid w:val="00EB7014"/>
    <w:rsid w:val="00EC09B2"/>
    <w:rsid w:val="00EC0E7D"/>
    <w:rsid w:val="00EC1C14"/>
    <w:rsid w:val="00EC2101"/>
    <w:rsid w:val="00EC2ACF"/>
    <w:rsid w:val="00EC2E01"/>
    <w:rsid w:val="00EC40B6"/>
    <w:rsid w:val="00EC4A14"/>
    <w:rsid w:val="00EC4EFE"/>
    <w:rsid w:val="00EC5CDE"/>
    <w:rsid w:val="00EC5D16"/>
    <w:rsid w:val="00EC6054"/>
    <w:rsid w:val="00EC70F7"/>
    <w:rsid w:val="00ED1708"/>
    <w:rsid w:val="00ED487E"/>
    <w:rsid w:val="00ED4ABD"/>
    <w:rsid w:val="00ED5BE9"/>
    <w:rsid w:val="00ED677C"/>
    <w:rsid w:val="00ED7E2F"/>
    <w:rsid w:val="00EE2512"/>
    <w:rsid w:val="00EE28C7"/>
    <w:rsid w:val="00EE2E7C"/>
    <w:rsid w:val="00EE33A1"/>
    <w:rsid w:val="00EE3910"/>
    <w:rsid w:val="00EE39FE"/>
    <w:rsid w:val="00EE3F87"/>
    <w:rsid w:val="00EE7A0D"/>
    <w:rsid w:val="00EE7D1A"/>
    <w:rsid w:val="00EF0A1D"/>
    <w:rsid w:val="00EF2A60"/>
    <w:rsid w:val="00EF302C"/>
    <w:rsid w:val="00EF32E7"/>
    <w:rsid w:val="00EF3653"/>
    <w:rsid w:val="00EF450E"/>
    <w:rsid w:val="00EF5C35"/>
    <w:rsid w:val="00EF650D"/>
    <w:rsid w:val="00EF7659"/>
    <w:rsid w:val="00EF7835"/>
    <w:rsid w:val="00F00AAF"/>
    <w:rsid w:val="00F0209D"/>
    <w:rsid w:val="00F0222C"/>
    <w:rsid w:val="00F0312B"/>
    <w:rsid w:val="00F04776"/>
    <w:rsid w:val="00F10DAA"/>
    <w:rsid w:val="00F12312"/>
    <w:rsid w:val="00F13512"/>
    <w:rsid w:val="00F15238"/>
    <w:rsid w:val="00F1585A"/>
    <w:rsid w:val="00F177B3"/>
    <w:rsid w:val="00F17CE1"/>
    <w:rsid w:val="00F2115C"/>
    <w:rsid w:val="00F222FA"/>
    <w:rsid w:val="00F22782"/>
    <w:rsid w:val="00F22A21"/>
    <w:rsid w:val="00F22ABA"/>
    <w:rsid w:val="00F233B1"/>
    <w:rsid w:val="00F23519"/>
    <w:rsid w:val="00F24436"/>
    <w:rsid w:val="00F2518D"/>
    <w:rsid w:val="00F26C90"/>
    <w:rsid w:val="00F278D8"/>
    <w:rsid w:val="00F310EB"/>
    <w:rsid w:val="00F31949"/>
    <w:rsid w:val="00F323AC"/>
    <w:rsid w:val="00F338ED"/>
    <w:rsid w:val="00F36B12"/>
    <w:rsid w:val="00F37718"/>
    <w:rsid w:val="00F378DD"/>
    <w:rsid w:val="00F413A1"/>
    <w:rsid w:val="00F4178E"/>
    <w:rsid w:val="00F41D41"/>
    <w:rsid w:val="00F41E90"/>
    <w:rsid w:val="00F44288"/>
    <w:rsid w:val="00F4590D"/>
    <w:rsid w:val="00F4769B"/>
    <w:rsid w:val="00F52276"/>
    <w:rsid w:val="00F52EA5"/>
    <w:rsid w:val="00F537DD"/>
    <w:rsid w:val="00F54952"/>
    <w:rsid w:val="00F55177"/>
    <w:rsid w:val="00F551EF"/>
    <w:rsid w:val="00F55884"/>
    <w:rsid w:val="00F566D1"/>
    <w:rsid w:val="00F60F9F"/>
    <w:rsid w:val="00F6123E"/>
    <w:rsid w:val="00F61915"/>
    <w:rsid w:val="00F625AB"/>
    <w:rsid w:val="00F6307B"/>
    <w:rsid w:val="00F64B94"/>
    <w:rsid w:val="00F64DC0"/>
    <w:rsid w:val="00F64F08"/>
    <w:rsid w:val="00F65196"/>
    <w:rsid w:val="00F70055"/>
    <w:rsid w:val="00F7139E"/>
    <w:rsid w:val="00F71840"/>
    <w:rsid w:val="00F73134"/>
    <w:rsid w:val="00F734F5"/>
    <w:rsid w:val="00F73B5B"/>
    <w:rsid w:val="00F74F93"/>
    <w:rsid w:val="00F758A9"/>
    <w:rsid w:val="00F75A4A"/>
    <w:rsid w:val="00F75B05"/>
    <w:rsid w:val="00F76981"/>
    <w:rsid w:val="00F7708C"/>
    <w:rsid w:val="00F8042F"/>
    <w:rsid w:val="00F8077F"/>
    <w:rsid w:val="00F824EC"/>
    <w:rsid w:val="00F832B4"/>
    <w:rsid w:val="00F83DA0"/>
    <w:rsid w:val="00F8620E"/>
    <w:rsid w:val="00F8625C"/>
    <w:rsid w:val="00F86A7E"/>
    <w:rsid w:val="00F872D9"/>
    <w:rsid w:val="00F90AB7"/>
    <w:rsid w:val="00F9161B"/>
    <w:rsid w:val="00F91F5A"/>
    <w:rsid w:val="00F92238"/>
    <w:rsid w:val="00F93E29"/>
    <w:rsid w:val="00F94DEE"/>
    <w:rsid w:val="00F950DA"/>
    <w:rsid w:val="00F956AA"/>
    <w:rsid w:val="00F95CFA"/>
    <w:rsid w:val="00F966B1"/>
    <w:rsid w:val="00F96BBE"/>
    <w:rsid w:val="00F97157"/>
    <w:rsid w:val="00F9767C"/>
    <w:rsid w:val="00F97D48"/>
    <w:rsid w:val="00FA0311"/>
    <w:rsid w:val="00FA1316"/>
    <w:rsid w:val="00FA1F88"/>
    <w:rsid w:val="00FA211E"/>
    <w:rsid w:val="00FA2886"/>
    <w:rsid w:val="00FB03E4"/>
    <w:rsid w:val="00FB0ADF"/>
    <w:rsid w:val="00FB0B80"/>
    <w:rsid w:val="00FB12EC"/>
    <w:rsid w:val="00FB144A"/>
    <w:rsid w:val="00FB1D38"/>
    <w:rsid w:val="00FB2455"/>
    <w:rsid w:val="00FB2B3F"/>
    <w:rsid w:val="00FB36F0"/>
    <w:rsid w:val="00FB3F96"/>
    <w:rsid w:val="00FB55E1"/>
    <w:rsid w:val="00FB5B71"/>
    <w:rsid w:val="00FB5EDC"/>
    <w:rsid w:val="00FB6C7C"/>
    <w:rsid w:val="00FB711D"/>
    <w:rsid w:val="00FB721B"/>
    <w:rsid w:val="00FB78FA"/>
    <w:rsid w:val="00FB7A1B"/>
    <w:rsid w:val="00FC0075"/>
    <w:rsid w:val="00FC1AC1"/>
    <w:rsid w:val="00FC40CE"/>
    <w:rsid w:val="00FC4473"/>
    <w:rsid w:val="00FC48E0"/>
    <w:rsid w:val="00FC4ABE"/>
    <w:rsid w:val="00FC5081"/>
    <w:rsid w:val="00FC5775"/>
    <w:rsid w:val="00FC5E18"/>
    <w:rsid w:val="00FC79EB"/>
    <w:rsid w:val="00FC7C12"/>
    <w:rsid w:val="00FD04A1"/>
    <w:rsid w:val="00FD2C0A"/>
    <w:rsid w:val="00FD5A80"/>
    <w:rsid w:val="00FD6229"/>
    <w:rsid w:val="00FD640F"/>
    <w:rsid w:val="00FD6B4C"/>
    <w:rsid w:val="00FD74D3"/>
    <w:rsid w:val="00FE0384"/>
    <w:rsid w:val="00FE0553"/>
    <w:rsid w:val="00FE0A03"/>
    <w:rsid w:val="00FE2082"/>
    <w:rsid w:val="00FE2541"/>
    <w:rsid w:val="00FE3BA3"/>
    <w:rsid w:val="00FE3BC6"/>
    <w:rsid w:val="00FE47F7"/>
    <w:rsid w:val="00FE4CF2"/>
    <w:rsid w:val="00FE61A2"/>
    <w:rsid w:val="00FE6818"/>
    <w:rsid w:val="00FE726D"/>
    <w:rsid w:val="00FE75DB"/>
    <w:rsid w:val="00FE7917"/>
    <w:rsid w:val="00FF4E99"/>
    <w:rsid w:val="00FF56B2"/>
    <w:rsid w:val="00FF6F48"/>
    <w:rsid w:val="00FF70D3"/>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8263A"/>
  <w15:docId w15:val="{93D0AB67-01EC-4BF1-BF10-9EDB7C77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14B"/>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9820B0"/>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qFormat/>
    <w:rsid w:val="009820B0"/>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9">
    <w:name w:val="heading 9"/>
    <w:basedOn w:val="Normal"/>
    <w:next w:val="Normal"/>
    <w:link w:val="Heading9Char"/>
    <w:uiPriority w:val="9"/>
    <w:semiHidden/>
    <w:qFormat/>
    <w:rsid w:val="00396A0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B3714B"/>
    <w:rPr>
      <w:color w:val="0000FF"/>
      <w:u w:val="singl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88"/>
      </w:numPr>
    </w:pPr>
  </w:style>
  <w:style w:type="paragraph" w:customStyle="1" w:styleId="Heading2numbered">
    <w:name w:val="Heading 2 numbered"/>
    <w:basedOn w:val="Heading2"/>
    <w:next w:val="NormalIndent"/>
    <w:uiPriority w:val="8"/>
    <w:qFormat/>
    <w:rsid w:val="0023202C"/>
    <w:pPr>
      <w:numPr>
        <w:ilvl w:val="3"/>
        <w:numId w:val="88"/>
      </w:numPr>
    </w:pPr>
  </w:style>
  <w:style w:type="paragraph" w:customStyle="1" w:styleId="Heading3numbered">
    <w:name w:val="Heading 3 numbered"/>
    <w:basedOn w:val="Heading3"/>
    <w:next w:val="NormalIndent"/>
    <w:uiPriority w:val="8"/>
    <w:qFormat/>
    <w:rsid w:val="0023202C"/>
    <w:pPr>
      <w:numPr>
        <w:ilvl w:val="4"/>
        <w:numId w:val="88"/>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88"/>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4B2305"/>
    <w:pPr>
      <w:spacing w:before="100"/>
    </w:pPr>
  </w:style>
  <w:style w:type="paragraph" w:customStyle="1" w:styleId="Listnumindent">
    <w:name w:val="List num indent"/>
    <w:basedOn w:val="Normal"/>
    <w:uiPriority w:val="9"/>
    <w:qFormat/>
    <w:rsid w:val="00102379"/>
    <w:pPr>
      <w:numPr>
        <w:ilvl w:val="6"/>
        <w:numId w:val="88"/>
      </w:numPr>
      <w:spacing w:before="100"/>
    </w:pPr>
  </w:style>
  <w:style w:type="paragraph" w:customStyle="1" w:styleId="Listnum">
    <w:name w:val="List num"/>
    <w:basedOn w:val="Normal"/>
    <w:uiPriority w:val="2"/>
    <w:qFormat/>
    <w:rsid w:val="004A7519"/>
    <w:pPr>
      <w:numPr>
        <w:numId w:val="88"/>
      </w:numPr>
    </w:pPr>
  </w:style>
  <w:style w:type="paragraph" w:customStyle="1" w:styleId="Listnum2">
    <w:name w:val="List num 2"/>
    <w:basedOn w:val="Normal"/>
    <w:uiPriority w:val="2"/>
    <w:qFormat/>
    <w:rsid w:val="00913A0A"/>
    <w:pPr>
      <w:numPr>
        <w:ilvl w:val="1"/>
        <w:numId w:val="88"/>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0">
    <w:name w:val="Table bullet"/>
    <w:basedOn w:val="Tabletext"/>
    <w:uiPriority w:val="6"/>
    <w:rsid w:val="00937A10"/>
    <w:pPr>
      <w:numPr>
        <w:numId w:val="2"/>
      </w:numPr>
    </w:pPr>
  </w:style>
  <w:style w:type="paragraph" w:customStyle="1" w:styleId="Tabledash">
    <w:name w:val="Table dash"/>
    <w:basedOn w:val="Tablebullet0"/>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3"/>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88"/>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6F0286"/>
    <w:rPr>
      <w:sz w:val="16"/>
      <w:szCs w:val="16"/>
    </w:rPr>
  </w:style>
  <w:style w:type="paragraph" w:styleId="CommentText">
    <w:name w:val="annotation text"/>
    <w:basedOn w:val="Normal"/>
    <w:link w:val="CommentTextChar"/>
    <w:semiHidden/>
    <w:rsid w:val="006F0286"/>
    <w:pPr>
      <w:spacing w:line="240" w:lineRule="auto"/>
    </w:pPr>
  </w:style>
  <w:style w:type="character" w:customStyle="1" w:styleId="CommentTextChar">
    <w:name w:val="Comment Text Char"/>
    <w:basedOn w:val="DefaultParagraphFont"/>
    <w:link w:val="CommentText"/>
    <w:semiHidden/>
    <w:rsid w:val="006F0286"/>
    <w:rPr>
      <w:spacing w:val="2"/>
    </w:rPr>
  </w:style>
  <w:style w:type="paragraph" w:styleId="CommentSubject">
    <w:name w:val="annotation subject"/>
    <w:basedOn w:val="CommentText"/>
    <w:next w:val="CommentText"/>
    <w:link w:val="CommentSubjectChar"/>
    <w:uiPriority w:val="99"/>
    <w:semiHidden/>
    <w:rsid w:val="006F0286"/>
    <w:rPr>
      <w:b/>
      <w:bCs/>
    </w:rPr>
  </w:style>
  <w:style w:type="character" w:customStyle="1" w:styleId="CommentSubjectChar">
    <w:name w:val="Comment Subject Char"/>
    <w:basedOn w:val="CommentTextChar"/>
    <w:link w:val="CommentSubject"/>
    <w:uiPriority w:val="99"/>
    <w:semiHidden/>
    <w:rsid w:val="006F0286"/>
    <w:rPr>
      <w:b/>
      <w:bCs/>
      <w:spacing w:val="2"/>
    </w:rPr>
  </w:style>
  <w:style w:type="character" w:customStyle="1" w:styleId="Heading5Char">
    <w:name w:val="Heading 5 Char"/>
    <w:basedOn w:val="DefaultParagraphFont"/>
    <w:link w:val="Heading5"/>
    <w:uiPriority w:val="9"/>
    <w:semiHidden/>
    <w:rsid w:val="009820B0"/>
    <w:rPr>
      <w:rFonts w:asciiTheme="majorHAnsi" w:eastAsiaTheme="majorEastAsia" w:hAnsiTheme="majorHAnsi" w:cstheme="majorBidi"/>
      <w:color w:val="003152" w:themeColor="accent1" w:themeShade="7F"/>
      <w:spacing w:val="2"/>
    </w:rPr>
  </w:style>
  <w:style w:type="character" w:customStyle="1" w:styleId="Heading6Char">
    <w:name w:val="Heading 6 Char"/>
    <w:basedOn w:val="DefaultParagraphFont"/>
    <w:link w:val="Heading6"/>
    <w:uiPriority w:val="9"/>
    <w:semiHidden/>
    <w:rsid w:val="009820B0"/>
    <w:rPr>
      <w:rFonts w:asciiTheme="majorHAnsi" w:eastAsiaTheme="majorEastAsia" w:hAnsiTheme="majorHAnsi" w:cstheme="majorBidi"/>
      <w:i/>
      <w:iCs/>
      <w:color w:val="003152" w:themeColor="accent1" w:themeShade="7F"/>
      <w:spacing w:val="2"/>
    </w:rPr>
  </w:style>
  <w:style w:type="paragraph" w:styleId="Revision">
    <w:name w:val="Revision"/>
    <w:hidden/>
    <w:uiPriority w:val="99"/>
    <w:semiHidden/>
    <w:rsid w:val="00567842"/>
    <w:pPr>
      <w:spacing w:after="0" w:line="240" w:lineRule="auto"/>
    </w:pPr>
    <w:rPr>
      <w:spacing w:val="2"/>
    </w:rPr>
  </w:style>
  <w:style w:type="table" w:customStyle="1" w:styleId="Table12">
    <w:name w:val="Table12"/>
    <w:basedOn w:val="TableNormal"/>
    <w:next w:val="LightShading"/>
    <w:uiPriority w:val="60"/>
    <w:rsid w:val="00706D93"/>
    <w:pPr>
      <w:spacing w:after="0" w:line="240" w:lineRule="auto"/>
    </w:pPr>
    <w:rPr>
      <w:rFonts w:eastAsiaTheme="minorHAnsi"/>
      <w:color w:val="000000" w:themeColor="text1" w:themeShade="BF"/>
      <w:sz w:val="22"/>
      <w:szCs w:val="22"/>
      <w:lang w:eastAsia="en-US"/>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valuetext1">
    <w:name w:val="valuetext1"/>
    <w:basedOn w:val="DefaultParagraphFont"/>
    <w:rsid w:val="000C5DAD"/>
    <w:rPr>
      <w:color w:val="0000CD"/>
    </w:rPr>
  </w:style>
  <w:style w:type="paragraph" w:customStyle="1" w:styleId="TableBullet">
    <w:name w:val="Table Bullet"/>
    <w:basedOn w:val="Normal"/>
    <w:qFormat/>
    <w:rsid w:val="00C44A69"/>
    <w:pPr>
      <w:numPr>
        <w:numId w:val="4"/>
      </w:numPr>
      <w:spacing w:before="0" w:after="120" w:line="240" w:lineRule="auto"/>
    </w:pPr>
    <w:rPr>
      <w:rFonts w:ascii="Arial" w:eastAsia="MS Mincho" w:hAnsi="Arial" w:cs="Arial"/>
      <w:spacing w:val="-4"/>
      <w:szCs w:val="24"/>
      <w:lang w:val="en-US" w:eastAsia="en-US"/>
    </w:rPr>
  </w:style>
  <w:style w:type="paragraph" w:styleId="TOC7">
    <w:name w:val="toc 7"/>
    <w:basedOn w:val="Normal"/>
    <w:next w:val="Normal"/>
    <w:autoRedefine/>
    <w:uiPriority w:val="39"/>
    <w:unhideWhenUsed/>
    <w:rsid w:val="00354056"/>
    <w:pPr>
      <w:spacing w:before="0"/>
      <w:ind w:left="1320"/>
    </w:pPr>
    <w:rPr>
      <w:spacing w:val="0"/>
      <w:sz w:val="22"/>
      <w:szCs w:val="22"/>
    </w:rPr>
  </w:style>
  <w:style w:type="paragraph" w:styleId="TOC8">
    <w:name w:val="toc 8"/>
    <w:basedOn w:val="Normal"/>
    <w:next w:val="Normal"/>
    <w:autoRedefine/>
    <w:uiPriority w:val="39"/>
    <w:unhideWhenUsed/>
    <w:rsid w:val="00354056"/>
    <w:pPr>
      <w:spacing w:before="0"/>
      <w:ind w:left="1540"/>
    </w:pPr>
    <w:rPr>
      <w:spacing w:val="0"/>
      <w:sz w:val="22"/>
      <w:szCs w:val="22"/>
    </w:rPr>
  </w:style>
  <w:style w:type="paragraph" w:styleId="TOC9">
    <w:name w:val="toc 9"/>
    <w:basedOn w:val="Normal"/>
    <w:next w:val="Normal"/>
    <w:autoRedefine/>
    <w:uiPriority w:val="39"/>
    <w:unhideWhenUsed/>
    <w:rsid w:val="00354056"/>
    <w:pPr>
      <w:spacing w:before="0"/>
      <w:ind w:left="1760"/>
    </w:pPr>
    <w:rPr>
      <w:spacing w:val="0"/>
      <w:sz w:val="22"/>
      <w:szCs w:val="22"/>
    </w:rPr>
  </w:style>
  <w:style w:type="character" w:styleId="FollowedHyperlink">
    <w:name w:val="FollowedHyperlink"/>
    <w:basedOn w:val="DefaultParagraphFont"/>
    <w:uiPriority w:val="99"/>
    <w:semiHidden/>
    <w:rsid w:val="00C91277"/>
    <w:rPr>
      <w:color w:val="8A2A2B" w:themeColor="followedHyperlink"/>
      <w:u w:val="single"/>
    </w:rPr>
  </w:style>
  <w:style w:type="character" w:customStyle="1" w:styleId="Heading9Char">
    <w:name w:val="Heading 9 Char"/>
    <w:basedOn w:val="DefaultParagraphFont"/>
    <w:link w:val="Heading9"/>
    <w:uiPriority w:val="9"/>
    <w:semiHidden/>
    <w:rsid w:val="00396A07"/>
    <w:rPr>
      <w:rFonts w:asciiTheme="majorHAnsi" w:eastAsiaTheme="majorEastAsia" w:hAnsiTheme="majorHAnsi" w:cstheme="majorBidi"/>
      <w:i/>
      <w:iCs/>
      <w:color w:val="404040" w:themeColor="text1" w:themeTint="BF"/>
      <w:spacing w:val="2"/>
    </w:rPr>
  </w:style>
  <w:style w:type="character" w:customStyle="1" w:styleId="AltOpt">
    <w:name w:val="AltOpt"/>
    <w:basedOn w:val="DefaultParagraphFont"/>
    <w:rsid w:val="00396A07"/>
    <w:rPr>
      <w:rFonts w:ascii="Arial" w:hAnsi="Arial"/>
      <w:b/>
      <w:color w:val="FFFF99"/>
      <w:sz w:val="20"/>
      <w:szCs w:val="22"/>
      <w:shd w:val="clear" w:color="auto" w:fill="808080"/>
    </w:rPr>
  </w:style>
  <w:style w:type="paragraph" w:customStyle="1" w:styleId="CUNumber1">
    <w:name w:val="CU_Number1"/>
    <w:basedOn w:val="Normal"/>
    <w:rsid w:val="00396A07"/>
    <w:pPr>
      <w:numPr>
        <w:numId w:val="6"/>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396A07"/>
    <w:pPr>
      <w:numPr>
        <w:ilvl w:val="1"/>
        <w:numId w:val="6"/>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link w:val="CUNumber3Char"/>
    <w:rsid w:val="00396A07"/>
    <w:pPr>
      <w:numPr>
        <w:ilvl w:val="2"/>
        <w:numId w:val="6"/>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396A07"/>
    <w:pPr>
      <w:numPr>
        <w:ilvl w:val="3"/>
        <w:numId w:val="6"/>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396A07"/>
    <w:pPr>
      <w:numPr>
        <w:ilvl w:val="4"/>
        <w:numId w:val="6"/>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396A07"/>
    <w:pPr>
      <w:numPr>
        <w:ilvl w:val="5"/>
        <w:numId w:val="6"/>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396A07"/>
    <w:pPr>
      <w:numPr>
        <w:ilvl w:val="6"/>
        <w:numId w:val="6"/>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396A07"/>
    <w:pPr>
      <w:numPr>
        <w:ilvl w:val="7"/>
        <w:numId w:val="6"/>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396A07"/>
    <w:pPr>
      <w:numPr>
        <w:numId w:val="5"/>
      </w:numPr>
    </w:pPr>
  </w:style>
  <w:style w:type="paragraph" w:customStyle="1" w:styleId="TableText0">
    <w:name w:val="TableText"/>
    <w:basedOn w:val="Normal"/>
    <w:link w:val="TableTextChar"/>
    <w:rsid w:val="00396A07"/>
    <w:pPr>
      <w:spacing w:before="0" w:after="0" w:line="240" w:lineRule="auto"/>
    </w:pPr>
    <w:rPr>
      <w:rFonts w:ascii="Times New Roman" w:eastAsia="Times New Roman" w:hAnsi="Times New Roman" w:cs="Times New Roman"/>
      <w:spacing w:val="0"/>
      <w:sz w:val="22"/>
      <w:szCs w:val="24"/>
      <w:lang w:eastAsia="en-US"/>
    </w:rPr>
  </w:style>
  <w:style w:type="paragraph" w:customStyle="1" w:styleId="CUTableIndent1">
    <w:name w:val="CU_Table Indent1"/>
    <w:basedOn w:val="Normal"/>
    <w:qFormat/>
    <w:rsid w:val="00396A07"/>
    <w:pPr>
      <w:numPr>
        <w:numId w:val="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2">
    <w:name w:val="CU_Table Indent2"/>
    <w:basedOn w:val="Normal"/>
    <w:qFormat/>
    <w:rsid w:val="00396A07"/>
    <w:pPr>
      <w:numPr>
        <w:ilvl w:val="1"/>
        <w:numId w:val="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3">
    <w:name w:val="CU_Table Indent3"/>
    <w:basedOn w:val="Normal"/>
    <w:qFormat/>
    <w:rsid w:val="00396A07"/>
    <w:pPr>
      <w:numPr>
        <w:ilvl w:val="2"/>
        <w:numId w:val="7"/>
      </w:numPr>
      <w:spacing w:before="0" w:after="220" w:line="240" w:lineRule="auto"/>
    </w:pPr>
    <w:rPr>
      <w:rFonts w:ascii="Times New Roman" w:eastAsia="Times New Roman" w:hAnsi="Times New Roman" w:cs="Times New Roman"/>
      <w:spacing w:val="0"/>
      <w:sz w:val="22"/>
      <w:szCs w:val="24"/>
      <w:lang w:eastAsia="en-US"/>
    </w:rPr>
  </w:style>
  <w:style w:type="numbering" w:customStyle="1" w:styleId="CUTableIndent">
    <w:name w:val="CUTableIndent"/>
    <w:uiPriority w:val="99"/>
    <w:rsid w:val="00396A07"/>
    <w:pPr>
      <w:numPr>
        <w:numId w:val="7"/>
      </w:numPr>
    </w:pPr>
  </w:style>
  <w:style w:type="character" w:customStyle="1" w:styleId="CUNumber3Char">
    <w:name w:val="CU_Number3 Char"/>
    <w:link w:val="CUNumber3"/>
    <w:rsid w:val="00396A07"/>
    <w:rPr>
      <w:rFonts w:ascii="Times New Roman" w:eastAsia="Times New Roman" w:hAnsi="Times New Roman" w:cs="Times New Roman"/>
      <w:sz w:val="22"/>
      <w:szCs w:val="24"/>
      <w:lang w:eastAsia="en-US"/>
    </w:rPr>
  </w:style>
  <w:style w:type="character" w:customStyle="1" w:styleId="TableTextChar">
    <w:name w:val="TableText Char"/>
    <w:link w:val="TableText0"/>
    <w:rsid w:val="00396A07"/>
    <w:rPr>
      <w:rFonts w:ascii="Times New Roman" w:eastAsia="Times New Roman" w:hAnsi="Times New Roman" w:cs="Times New Roman"/>
      <w:sz w:val="22"/>
      <w:szCs w:val="24"/>
      <w:lang w:eastAsia="en-US"/>
    </w:rPr>
  </w:style>
  <w:style w:type="paragraph" w:customStyle="1" w:styleId="Heading1NoNum">
    <w:name w:val="Heading 1 NoNum"/>
    <w:basedOn w:val="Heading1"/>
    <w:next w:val="Normal"/>
    <w:uiPriority w:val="4"/>
    <w:qFormat/>
    <w:rsid w:val="002C6909"/>
    <w:pPr>
      <w:spacing w:before="160" w:after="120" w:line="216" w:lineRule="auto"/>
    </w:pPr>
    <w:rPr>
      <w:rFonts w:ascii="Calibri" w:eastAsia="Times New Roman" w:hAnsi="Calibri" w:cs="Calibri"/>
      <w:bCs w:val="0"/>
      <w:color w:val="0063A6" w:themeColor="accent1"/>
      <w:spacing w:val="0"/>
      <w:sz w:val="28"/>
    </w:rPr>
  </w:style>
  <w:style w:type="paragraph" w:customStyle="1" w:styleId="Style1">
    <w:name w:val="Style1"/>
    <w:basedOn w:val="NormalIndent"/>
    <w:qFormat/>
    <w:rsid w:val="00841F87"/>
    <w:pPr>
      <w:ind w:left="0"/>
    </w:pPr>
    <w:rPr>
      <w:rFonts w:ascii="Arial" w:hAnsi="Arial" w:cs="Arial"/>
      <w:sz w:val="17"/>
      <w:szCs w:val="17"/>
    </w:rPr>
  </w:style>
  <w:style w:type="table" w:styleId="TableGridLight">
    <w:name w:val="Grid Table Light"/>
    <w:basedOn w:val="TableNormal"/>
    <w:uiPriority w:val="40"/>
    <w:rsid w:val="008074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1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59940">
      <w:bodyDiv w:val="1"/>
      <w:marLeft w:val="0"/>
      <w:marRight w:val="0"/>
      <w:marTop w:val="0"/>
      <w:marBottom w:val="0"/>
      <w:divBdr>
        <w:top w:val="none" w:sz="0" w:space="0" w:color="auto"/>
        <w:left w:val="none" w:sz="0" w:space="0" w:color="auto"/>
        <w:bottom w:val="none" w:sz="0" w:space="0" w:color="auto"/>
        <w:right w:val="none" w:sz="0" w:space="0" w:color="auto"/>
      </w:divBdr>
    </w:div>
    <w:div w:id="1518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tf.vic.gov.au/financial-management-government/standing-directions-minister-finance-201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tf.vic.gov.au/public-construction-policy-and-resources/ministerial-directions-and-instructions-public-construction-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tf.vic.gov.au/ministerial-directions-and-instructions-public-construction-procurement/responsibilities-accountable-officer-direction-1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3A75-9C29-417C-971A-95E17A94F40D}">
  <ds:schemaRefs>
    <ds:schemaRef ds:uri="http://www.w3.org/2001/XMLSchema"/>
  </ds:schemaRefs>
</ds:datastoreItem>
</file>

<file path=customXml/itemProps2.xml><?xml version="1.0" encoding="utf-8"?>
<ds:datastoreItem xmlns:ds="http://schemas.openxmlformats.org/officeDocument/2006/customXml" ds:itemID="{2457BBB4-A1C0-4267-812D-991EF624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Checklist---Mandatory-requirements-of-the-Directions-and-Instructions-for Public-Construction</vt:lpstr>
    </vt:vector>
  </TitlesOfParts>
  <Company>Department of Treasury and Finance</Company>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Checklist---Mandatory-requirements-of-the-Directions-and-Instructions-for Public-Construction</dc:title>
  <dc:creator>Belinda Richards</dc:creator>
  <cp:lastModifiedBy>Athena Rozenberg (DTF)</cp:lastModifiedBy>
  <cp:revision>20</cp:revision>
  <cp:lastPrinted>2018-05-28T01:03:00Z</cp:lastPrinted>
  <dcterms:created xsi:type="dcterms:W3CDTF">2019-05-21T07:51:00Z</dcterms:created>
  <dcterms:modified xsi:type="dcterms:W3CDTF">2020-01-06T01:37:00Z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75435433-11b8-44ab-8ebd-019ac19d7bbf</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2020-01-06T01:14:00.0173282Z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